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CA80A">
      <w:pPr>
        <w:rPr>
          <w:rFonts w:ascii="仿宋_GB2312" w:hAnsi="仿宋_GB2312" w:eastAsia="仿宋_GB2312" w:cs="仿宋_GB2312"/>
          <w:sz w:val="36"/>
          <w:szCs w:val="36"/>
        </w:rPr>
      </w:pPr>
    </w:p>
    <w:p w14:paraId="380DAA34">
      <w:pPr>
        <w:rPr>
          <w:rFonts w:ascii="仿宋_GB2312" w:hAnsi="仿宋_GB2312" w:eastAsia="仿宋_GB2312" w:cs="仿宋_GB2312"/>
          <w:sz w:val="36"/>
          <w:szCs w:val="36"/>
        </w:rPr>
      </w:pPr>
    </w:p>
    <w:p w14:paraId="3B8EFD1D">
      <w:pPr>
        <w:rPr>
          <w:rFonts w:ascii="仿宋_GB2312" w:hAnsi="仿宋_GB2312" w:eastAsia="仿宋_GB2312" w:cs="仿宋_GB2312"/>
          <w:sz w:val="36"/>
          <w:szCs w:val="36"/>
        </w:rPr>
      </w:pPr>
    </w:p>
    <w:p w14:paraId="1452FCCE">
      <w:pPr>
        <w:rPr>
          <w:rFonts w:ascii="仿宋_GB2312" w:hAnsi="仿宋_GB2312" w:eastAsia="仿宋_GB2312" w:cs="仿宋_GB2312"/>
          <w:sz w:val="36"/>
          <w:szCs w:val="36"/>
        </w:rPr>
      </w:pPr>
    </w:p>
    <w:p w14:paraId="26B312DB">
      <w:pPr>
        <w:rPr>
          <w:rFonts w:hint="eastAsia" w:ascii="仿宋_GB2312" w:hAnsi="仿宋_GB2312" w:eastAsia="仿宋_GB2312" w:cs="仿宋_GB2312"/>
          <w:sz w:val="36"/>
          <w:szCs w:val="36"/>
        </w:rPr>
      </w:pPr>
    </w:p>
    <w:p w14:paraId="694F8AFC">
      <w:pPr>
        <w:adjustRightInd w:val="0"/>
        <w:snapToGrid w:val="0"/>
        <w:jc w:val="center"/>
        <w:outlineLvl w:val="0"/>
        <w:rPr>
          <w:rFonts w:hint="eastAsia" w:ascii="方正小标宋_GBK" w:eastAsia="方正小标宋_GBK"/>
          <w:bCs/>
          <w:color w:val="000000"/>
          <w:sz w:val="72"/>
          <w:szCs w:val="72"/>
        </w:rPr>
      </w:pPr>
      <w:bookmarkStart w:id="0" w:name="_Toc30858"/>
      <w:r>
        <w:rPr>
          <w:rFonts w:hint="eastAsia" w:ascii="方正小标宋_GBK" w:eastAsia="方正小标宋_GBK"/>
          <w:bCs/>
          <w:color w:val="000000"/>
          <w:sz w:val="72"/>
          <w:szCs w:val="72"/>
        </w:rPr>
        <w:t>建设项目环境影响报告表</w:t>
      </w:r>
      <w:bookmarkEnd w:id="0"/>
    </w:p>
    <w:p w14:paraId="4608A67F">
      <w:pPr>
        <w:adjustRightInd w:val="0"/>
        <w:snapToGrid w:val="0"/>
        <w:spacing w:before="192" w:beforeLines="80"/>
        <w:jc w:val="center"/>
        <w:rPr>
          <w:rFonts w:hint="eastAsia" w:ascii="楷体_GB2312" w:eastAsia="楷体_GB2312"/>
          <w:bCs/>
          <w:color w:val="000000"/>
          <w:sz w:val="48"/>
          <w:szCs w:val="48"/>
        </w:rPr>
      </w:pPr>
      <w:r>
        <w:rPr>
          <w:rFonts w:hint="eastAsia" w:ascii="楷体_GB2312" w:eastAsia="楷体_GB2312"/>
          <w:bCs/>
          <w:color w:val="000000"/>
          <w:sz w:val="48"/>
          <w:szCs w:val="48"/>
        </w:rPr>
        <w:t>（污染影响类）</w:t>
      </w:r>
    </w:p>
    <w:p w14:paraId="09E1ECC3">
      <w:pPr>
        <w:pStyle w:val="10"/>
        <w:jc w:val="center"/>
        <w:rPr>
          <w:rFonts w:hint="eastAsia" w:ascii="楷体_GB2312" w:eastAsia="楷体_GB2312"/>
          <w:bCs/>
          <w:color w:val="000000"/>
          <w:kern w:val="2"/>
          <w:sz w:val="48"/>
          <w:szCs w:val="48"/>
        </w:rPr>
      </w:pPr>
      <w:r>
        <w:rPr>
          <w:rFonts w:hint="eastAsia" w:ascii="楷体_GB2312" w:eastAsia="楷体_GB2312"/>
          <w:bCs/>
          <w:color w:val="000000"/>
          <w:kern w:val="2"/>
          <w:sz w:val="48"/>
          <w:szCs w:val="48"/>
        </w:rPr>
        <w:t>（</w:t>
      </w:r>
      <w:r>
        <w:rPr>
          <w:rFonts w:hint="eastAsia" w:ascii="楷体_GB2312" w:eastAsia="楷体_GB2312"/>
          <w:bCs/>
          <w:color w:val="000000"/>
          <w:kern w:val="2"/>
          <w:sz w:val="48"/>
          <w:szCs w:val="48"/>
          <w:lang w:val="en-US" w:eastAsia="zh-CN"/>
        </w:rPr>
        <w:t>公示</w:t>
      </w:r>
      <w:r>
        <w:rPr>
          <w:rFonts w:hint="eastAsia" w:ascii="楷体_GB2312" w:eastAsia="楷体_GB2312"/>
          <w:bCs/>
          <w:color w:val="000000"/>
          <w:kern w:val="2"/>
          <w:sz w:val="48"/>
          <w:szCs w:val="48"/>
          <w:lang w:eastAsia="zh-CN"/>
        </w:rPr>
        <w:t>本</w:t>
      </w:r>
      <w:r>
        <w:rPr>
          <w:rFonts w:hint="eastAsia" w:ascii="楷体_GB2312" w:eastAsia="楷体_GB2312"/>
          <w:bCs/>
          <w:color w:val="000000"/>
          <w:kern w:val="2"/>
          <w:sz w:val="48"/>
          <w:szCs w:val="48"/>
        </w:rPr>
        <w:t>）</w:t>
      </w:r>
    </w:p>
    <w:p w14:paraId="78D67156">
      <w:pPr>
        <w:adjustRightInd w:val="0"/>
        <w:snapToGrid w:val="0"/>
        <w:spacing w:line="288" w:lineRule="auto"/>
        <w:jc w:val="center"/>
        <w:outlineLvl w:val="0"/>
        <w:rPr>
          <w:rFonts w:ascii="华文仿宋" w:hAnsi="华文仿宋" w:eastAsia="华文仿宋" w:cs="华文仿宋"/>
          <w:color w:val="000000"/>
          <w:kern w:val="44"/>
          <w:sz w:val="44"/>
          <w:szCs w:val="44"/>
        </w:rPr>
      </w:pPr>
    </w:p>
    <w:p w14:paraId="5428BE35">
      <w:pPr>
        <w:jc w:val="center"/>
        <w:rPr>
          <w:rFonts w:eastAsia="仿宋"/>
          <w:color w:val="000000"/>
          <w:sz w:val="52"/>
          <w:szCs w:val="52"/>
        </w:rPr>
      </w:pPr>
    </w:p>
    <w:p w14:paraId="6EAD054E">
      <w:pPr>
        <w:ind w:firstLine="1040"/>
        <w:rPr>
          <w:rFonts w:eastAsia="仿宋"/>
          <w:color w:val="000000"/>
          <w:sz w:val="44"/>
          <w:szCs w:val="44"/>
        </w:rPr>
      </w:pPr>
    </w:p>
    <w:p w14:paraId="4BDC61EC">
      <w:pPr>
        <w:ind w:firstLine="1040"/>
        <w:rPr>
          <w:rFonts w:eastAsia="仿宋"/>
          <w:color w:val="000000"/>
          <w:sz w:val="44"/>
          <w:szCs w:val="44"/>
        </w:rPr>
      </w:pPr>
    </w:p>
    <w:p w14:paraId="474FCC83">
      <w:pPr>
        <w:ind w:firstLine="1040"/>
        <w:rPr>
          <w:rFonts w:eastAsia="仿宋"/>
          <w:color w:val="000000"/>
          <w:sz w:val="44"/>
          <w:szCs w:val="44"/>
        </w:rPr>
      </w:pPr>
    </w:p>
    <w:p w14:paraId="5D9B47E3">
      <w:pPr>
        <w:ind w:firstLine="1040"/>
        <w:rPr>
          <w:rFonts w:hint="eastAsia" w:ascii="华文仿宋" w:hAnsi="华文仿宋" w:eastAsia="华文仿宋" w:cs="华文仿宋"/>
          <w:color w:val="000000"/>
          <w:sz w:val="44"/>
          <w:szCs w:val="44"/>
        </w:rPr>
      </w:pPr>
    </w:p>
    <w:p w14:paraId="6E681DAA">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仿宋_GB2312" w:eastAsia="仿宋_GB2312"/>
          <w:color w:val="000000"/>
          <w:sz w:val="36"/>
          <w:szCs w:val="36"/>
          <w:u w:val="single"/>
          <w:lang w:val="en-US" w:eastAsia="zh-CN"/>
        </w:rPr>
      </w:pPr>
      <w:r>
        <w:rPr>
          <w:rFonts w:hint="eastAsia" w:ascii="仿宋_GB2312" w:eastAsia="仿宋_GB2312"/>
          <w:color w:val="000000"/>
          <w:sz w:val="36"/>
          <w:szCs w:val="36"/>
        </w:rPr>
        <w:t>项目名称：</w:t>
      </w:r>
      <w:r>
        <w:rPr>
          <w:rFonts w:hint="eastAsia" w:ascii="仿宋_GB2312" w:eastAsia="仿宋_GB2312"/>
          <w:color w:val="000000"/>
          <w:sz w:val="36"/>
          <w:szCs w:val="36"/>
          <w:u w:val="single"/>
          <w:lang w:val="en-US" w:eastAsia="zh-CN"/>
        </w:rPr>
        <w:t xml:space="preserve">平昌县锂电池负极材料生产线技改扩能              </w:t>
      </w:r>
    </w:p>
    <w:p w14:paraId="5C35B99A">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default" w:ascii="仿宋_GB2312" w:hAnsi="Times New Roman" w:eastAsia="仿宋_GB2312" w:cs="Times New Roman"/>
          <w:color w:val="000000"/>
          <w:sz w:val="36"/>
          <w:szCs w:val="36"/>
          <w:u w:val="single"/>
          <w:lang w:val="en-US" w:eastAsia="zh-CN"/>
        </w:rPr>
      </w:pPr>
      <w:r>
        <w:rPr>
          <w:rFonts w:hint="eastAsia" w:ascii="仿宋_GB2312" w:eastAsia="仿宋_GB2312"/>
          <w:color w:val="000000"/>
          <w:sz w:val="36"/>
          <w:szCs w:val="36"/>
        </w:rPr>
        <w:t>建设单位（盖章）：</w:t>
      </w:r>
      <w:r>
        <w:rPr>
          <w:rFonts w:hint="eastAsia" w:ascii="仿宋_GB2312" w:hAnsi="Times New Roman" w:eastAsia="仿宋_GB2312" w:cs="Times New Roman"/>
          <w:color w:val="000000"/>
          <w:sz w:val="36"/>
          <w:szCs w:val="36"/>
          <w:u w:val="single"/>
          <w:lang w:val="en-US" w:eastAsia="zh-CN"/>
        </w:rPr>
        <w:t xml:space="preserve"> 巴中碳原子新材料科技有限公司    </w:t>
      </w:r>
    </w:p>
    <w:p w14:paraId="265C52E4">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default" w:ascii="仿宋_GB2312" w:eastAsia="仿宋_GB2312"/>
          <w:color w:val="000000"/>
          <w:sz w:val="36"/>
          <w:szCs w:val="36"/>
          <w:u w:val="single"/>
          <w:lang w:val="en-US" w:eastAsia="zh-CN"/>
        </w:rPr>
      </w:pPr>
      <w:r>
        <w:rPr>
          <w:rFonts w:hint="eastAsia" w:ascii="仿宋_GB2312" w:eastAsia="仿宋_GB2312"/>
          <w:color w:val="000000"/>
          <w:sz w:val="36"/>
          <w:szCs w:val="36"/>
        </w:rPr>
        <w:t>编制日期：</w:t>
      </w:r>
      <w:r>
        <w:rPr>
          <w:rFonts w:hint="eastAsia" w:ascii="仿宋_GB2312" w:eastAsia="仿宋_GB2312"/>
          <w:color w:val="000000"/>
          <w:sz w:val="36"/>
          <w:szCs w:val="36"/>
          <w:u w:val="single"/>
          <w:lang w:val="en-US" w:eastAsia="zh-CN"/>
        </w:rPr>
        <w:t xml:space="preserve">           2026</w:t>
      </w:r>
      <w:r>
        <w:rPr>
          <w:rFonts w:hint="eastAsia" w:ascii="仿宋_GB2312" w:eastAsia="仿宋_GB2312"/>
          <w:color w:val="000000"/>
          <w:sz w:val="36"/>
          <w:szCs w:val="36"/>
          <w:u w:val="single"/>
        </w:rPr>
        <w:t>年</w:t>
      </w:r>
      <w:r>
        <w:rPr>
          <w:rFonts w:hint="eastAsia" w:ascii="仿宋_GB2312" w:eastAsia="仿宋_GB2312"/>
          <w:color w:val="000000"/>
          <w:sz w:val="36"/>
          <w:szCs w:val="36"/>
          <w:u w:val="single"/>
          <w:lang w:val="en-US" w:eastAsia="zh-CN"/>
        </w:rPr>
        <w:t xml:space="preserve">5月                  </w:t>
      </w:r>
    </w:p>
    <w:p w14:paraId="31AE6289">
      <w:pPr>
        <w:adjustRightInd w:val="0"/>
        <w:snapToGrid w:val="0"/>
        <w:spacing w:line="288" w:lineRule="auto"/>
        <w:ind w:firstLine="1040"/>
        <w:rPr>
          <w:rFonts w:ascii="仿宋_GB2312" w:eastAsia="仿宋_GB2312"/>
          <w:color w:val="000000"/>
          <w:sz w:val="36"/>
          <w:szCs w:val="36"/>
          <w:u w:val="single"/>
        </w:rPr>
      </w:pPr>
      <w:bookmarkStart w:id="1" w:name="_Hlk57884087"/>
    </w:p>
    <w:p w14:paraId="44177885">
      <w:pPr>
        <w:adjustRightInd w:val="0"/>
        <w:snapToGrid w:val="0"/>
        <w:spacing w:line="288" w:lineRule="auto"/>
        <w:ind w:firstLine="1040"/>
        <w:rPr>
          <w:rFonts w:ascii="仿宋_GB2312" w:eastAsia="仿宋_GB2312"/>
          <w:color w:val="000000"/>
          <w:sz w:val="36"/>
          <w:szCs w:val="36"/>
        </w:rPr>
      </w:pPr>
    </w:p>
    <w:p w14:paraId="47C075D4">
      <w:pPr>
        <w:adjustRightInd w:val="0"/>
        <w:snapToGrid w:val="0"/>
        <w:spacing w:line="288" w:lineRule="auto"/>
        <w:rPr>
          <w:rFonts w:hint="eastAsia" w:ascii="仿宋_GB2312" w:eastAsia="仿宋_GB2312"/>
          <w:color w:val="000000"/>
          <w:sz w:val="36"/>
          <w:szCs w:val="36"/>
        </w:rPr>
      </w:pPr>
    </w:p>
    <w:bookmarkEnd w:id="1"/>
    <w:p w14:paraId="77695E88">
      <w:pPr>
        <w:adjustRightInd w:val="0"/>
        <w:snapToGrid w:val="0"/>
        <w:spacing w:line="288" w:lineRule="auto"/>
        <w:jc w:val="center"/>
        <w:rPr>
          <w:rFonts w:hint="eastAsia" w:ascii="楷体_GB2312" w:eastAsia="楷体_GB2312"/>
          <w:color w:val="000000"/>
          <w:sz w:val="36"/>
          <w:szCs w:val="36"/>
        </w:rPr>
        <w:sectPr>
          <w:footerReference r:id="rId3" w:type="default"/>
          <w:pgSz w:w="11906" w:h="16838"/>
          <w:pgMar w:top="1644" w:right="1531" w:bottom="1644" w:left="1531" w:header="851" w:footer="1077" w:gutter="0"/>
          <w:pgNumType w:fmt="decimal" w:start="1"/>
          <w:cols w:space="720" w:num="1"/>
          <w:docGrid w:linePitch="312" w:charSpace="0"/>
        </w:sectPr>
      </w:pPr>
      <w:r>
        <w:rPr>
          <w:rFonts w:hint="eastAsia" w:ascii="楷体_GB2312" w:eastAsia="楷体_GB2312"/>
          <w:color w:val="000000"/>
          <w:sz w:val="36"/>
          <w:szCs w:val="36"/>
        </w:rPr>
        <w:t>中华人民共和国生态环境部制</w:t>
      </w:r>
    </w:p>
    <w:p w14:paraId="5C5CCF0F">
      <w:pPr>
        <w:pStyle w:val="27"/>
        <w:jc w:val="center"/>
        <w:outlineLvl w:val="0"/>
        <w:rPr>
          <w:rFonts w:hint="eastAsia" w:ascii="黑体" w:hAnsi="黑体" w:eastAsia="黑体"/>
          <w:snapToGrid w:val="0"/>
          <w:sz w:val="30"/>
          <w:szCs w:val="30"/>
        </w:rPr>
      </w:pPr>
      <w:bookmarkStart w:id="2" w:name="_Toc28571"/>
      <w:r>
        <w:rPr>
          <w:rFonts w:hint="eastAsia" w:ascii="黑体" w:hAnsi="黑体" w:eastAsia="黑体"/>
          <w:snapToGrid w:val="0"/>
          <w:sz w:val="30"/>
          <w:szCs w:val="30"/>
        </w:rPr>
        <w:t>一、建设项目基本情况</w:t>
      </w:r>
      <w:bookmarkEnd w:id="2"/>
    </w:p>
    <w:tbl>
      <w:tblPr>
        <w:tblStyle w:val="31"/>
        <w:tblW w:w="972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202"/>
        <w:gridCol w:w="2214"/>
        <w:gridCol w:w="2446"/>
        <w:gridCol w:w="3864"/>
      </w:tblGrid>
      <w:tr w14:paraId="30890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02" w:type="dxa"/>
            <w:noWrap w:val="0"/>
            <w:tcMar>
              <w:top w:w="16" w:type="dxa"/>
              <w:left w:w="16" w:type="dxa"/>
              <w:right w:w="16" w:type="dxa"/>
            </w:tcMar>
            <w:vAlign w:val="center"/>
          </w:tcPr>
          <w:p w14:paraId="11D8F8C0">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建设项目</w:t>
            </w:r>
          </w:p>
          <w:p w14:paraId="1E8B0799">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名称</w:t>
            </w:r>
          </w:p>
        </w:tc>
        <w:tc>
          <w:tcPr>
            <w:tcW w:w="8524" w:type="dxa"/>
            <w:gridSpan w:val="3"/>
            <w:noWrap w:val="0"/>
            <w:vAlign w:val="center"/>
          </w:tcPr>
          <w:p w14:paraId="08172DE4">
            <w:pPr>
              <w:adjustRightInd w:val="0"/>
              <w:snapToGrid w:val="0"/>
              <w:jc w:val="center"/>
              <w:rPr>
                <w:rFonts w:hint="default" w:ascii="Times New Roman" w:hAnsi="Times New Roman" w:eastAsia="宋体" w:cs="Times New Roman"/>
                <w:color w:val="000000"/>
                <w:sz w:val="24"/>
                <w:lang w:eastAsia="zh-CN"/>
              </w:rPr>
            </w:pPr>
            <w:r>
              <w:rPr>
                <w:rFonts w:hint="eastAsia" w:ascii="Times New Roman" w:hAnsi="Times New Roman" w:cs="Times New Roman"/>
                <w:color w:val="000000"/>
                <w:sz w:val="24"/>
                <w:lang w:eastAsia="zh-CN"/>
              </w:rPr>
              <w:t>平昌县锂电池负极材料生产线技改扩能</w:t>
            </w:r>
          </w:p>
        </w:tc>
      </w:tr>
      <w:tr w14:paraId="23AD12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2" w:type="dxa"/>
            <w:noWrap w:val="0"/>
            <w:tcMar>
              <w:top w:w="16" w:type="dxa"/>
              <w:left w:w="16" w:type="dxa"/>
              <w:right w:w="16" w:type="dxa"/>
            </w:tcMar>
            <w:vAlign w:val="center"/>
          </w:tcPr>
          <w:p w14:paraId="7D1712DF">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项目代码</w:t>
            </w:r>
          </w:p>
        </w:tc>
        <w:tc>
          <w:tcPr>
            <w:tcW w:w="8524" w:type="dxa"/>
            <w:gridSpan w:val="3"/>
            <w:noWrap w:val="0"/>
            <w:vAlign w:val="center"/>
          </w:tcPr>
          <w:p w14:paraId="22B7C137">
            <w:pPr>
              <w:adjustRightInd w:val="0"/>
              <w:snapToGrid w:val="0"/>
              <w:jc w:val="center"/>
              <w:rPr>
                <w:rFonts w:hint="default" w:ascii="Times New Roman" w:hAnsi="Times New Roman" w:eastAsia="宋体" w:cs="Times New Roman"/>
                <w:color w:val="000000"/>
                <w:sz w:val="24"/>
                <w:lang w:eastAsia="zh-CN"/>
              </w:rPr>
            </w:pPr>
            <w:r>
              <w:rPr>
                <w:rFonts w:hint="eastAsia" w:ascii="Times New Roman" w:hAnsi="Times New Roman" w:cs="Times New Roman"/>
                <w:color w:val="000000"/>
                <w:sz w:val="24"/>
                <w:lang w:eastAsia="zh-CN"/>
              </w:rPr>
              <w:t>2603-511923-07-02-826779</w:t>
            </w:r>
          </w:p>
        </w:tc>
      </w:tr>
      <w:tr w14:paraId="2837C7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2" w:type="dxa"/>
            <w:noWrap w:val="0"/>
            <w:tcMar>
              <w:top w:w="16" w:type="dxa"/>
              <w:left w:w="16" w:type="dxa"/>
              <w:right w:w="16" w:type="dxa"/>
            </w:tcMar>
            <w:vAlign w:val="center"/>
          </w:tcPr>
          <w:p w14:paraId="1B74F389">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建设单位</w:t>
            </w:r>
          </w:p>
          <w:p w14:paraId="4DEDBF2A">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联系人</w:t>
            </w:r>
          </w:p>
        </w:tc>
        <w:tc>
          <w:tcPr>
            <w:tcW w:w="2214" w:type="dxa"/>
            <w:noWrap w:val="0"/>
            <w:vAlign w:val="center"/>
          </w:tcPr>
          <w:p w14:paraId="2A0F22AB">
            <w:pPr>
              <w:adjustRightInd w:val="0"/>
              <w:snapToGrid w:val="0"/>
              <w:jc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lang w:eastAsia="zh-CN"/>
              </w:rPr>
              <w:t>罗</w:t>
            </w:r>
            <w:r>
              <w:rPr>
                <w:rFonts w:hint="eastAsia" w:ascii="Times New Roman" w:hAnsi="Times New Roman" w:eastAsia="宋体" w:cs="Times New Roman"/>
                <w:color w:val="000000"/>
                <w:sz w:val="24"/>
                <w:lang w:val="en-US" w:eastAsia="zh-CN"/>
              </w:rPr>
              <w:t>**</w:t>
            </w:r>
            <w:r>
              <w:rPr>
                <w:rFonts w:hint="default" w:ascii="Times New Roman" w:hAnsi="Times New Roman" w:eastAsia="宋体" w:cs="Times New Roman"/>
                <w:color w:val="000000"/>
                <w:sz w:val="24"/>
                <w:lang w:eastAsia="zh-CN"/>
              </w:rPr>
              <w:t xml:space="preserve"> </w:t>
            </w:r>
          </w:p>
        </w:tc>
        <w:tc>
          <w:tcPr>
            <w:tcW w:w="2446" w:type="dxa"/>
            <w:noWrap w:val="0"/>
            <w:vAlign w:val="center"/>
          </w:tcPr>
          <w:p w14:paraId="48DB80A5">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联系方式</w:t>
            </w:r>
          </w:p>
        </w:tc>
        <w:tc>
          <w:tcPr>
            <w:tcW w:w="3864" w:type="dxa"/>
            <w:noWrap w:val="0"/>
            <w:vAlign w:val="center"/>
          </w:tcPr>
          <w:p w14:paraId="7C73C0DC">
            <w:pPr>
              <w:adjustRightInd w:val="0"/>
              <w:snapToGrid w:val="0"/>
              <w:jc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lang w:val="en-US" w:eastAsia="zh-CN"/>
              </w:rPr>
              <w:t>151</w:t>
            </w:r>
            <w:r>
              <w:rPr>
                <w:rFonts w:hint="eastAsia" w:ascii="Times New Roman" w:hAnsi="Times New Roman" w:eastAsia="宋体" w:cs="Times New Roman"/>
                <w:color w:val="000000"/>
                <w:sz w:val="24"/>
                <w:lang w:val="en-US" w:eastAsia="zh-CN"/>
              </w:rPr>
              <w:t>****</w:t>
            </w:r>
            <w:r>
              <w:rPr>
                <w:rFonts w:hint="default" w:ascii="Times New Roman" w:hAnsi="Times New Roman" w:eastAsia="宋体" w:cs="Times New Roman"/>
                <w:color w:val="000000"/>
                <w:sz w:val="24"/>
                <w:lang w:val="en-US" w:eastAsia="zh-CN"/>
              </w:rPr>
              <w:t>5998</w:t>
            </w:r>
          </w:p>
        </w:tc>
      </w:tr>
      <w:tr w14:paraId="625F1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2" w:type="dxa"/>
            <w:noWrap w:val="0"/>
            <w:tcMar>
              <w:top w:w="16" w:type="dxa"/>
              <w:left w:w="16" w:type="dxa"/>
              <w:right w:w="16" w:type="dxa"/>
            </w:tcMar>
            <w:vAlign w:val="center"/>
          </w:tcPr>
          <w:p w14:paraId="1CD7E1D4">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建设地点</w:t>
            </w:r>
          </w:p>
        </w:tc>
        <w:tc>
          <w:tcPr>
            <w:tcW w:w="8524" w:type="dxa"/>
            <w:gridSpan w:val="3"/>
            <w:noWrap w:val="0"/>
            <w:vAlign w:val="center"/>
          </w:tcPr>
          <w:p w14:paraId="071A4715">
            <w:pPr>
              <w:adjustRightInd w:val="0"/>
              <w:snapToGrid w:val="0"/>
              <w:jc w:val="center"/>
              <w:rPr>
                <w:rFonts w:hint="default" w:ascii="Times New Roman" w:hAnsi="Times New Roman" w:cs="Times New Roman"/>
                <w:color w:val="000000"/>
                <w:sz w:val="24"/>
                <w:lang w:val="en-US"/>
              </w:rPr>
            </w:pPr>
            <w:r>
              <w:rPr>
                <w:rFonts w:hint="eastAsia" w:ascii="Times New Roman" w:hAnsi="Times New Roman" w:cs="Times New Roman"/>
                <w:color w:val="000000"/>
                <w:sz w:val="24"/>
                <w:lang w:eastAsia="zh-CN"/>
              </w:rPr>
              <w:t>巴中市平昌经济开发区星光工业园兆祥路1号</w:t>
            </w:r>
          </w:p>
        </w:tc>
      </w:tr>
      <w:tr w14:paraId="4E4688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2" w:type="dxa"/>
            <w:noWrap w:val="0"/>
            <w:tcMar>
              <w:top w:w="16" w:type="dxa"/>
              <w:left w:w="16" w:type="dxa"/>
              <w:right w:w="16" w:type="dxa"/>
            </w:tcMar>
            <w:vAlign w:val="center"/>
          </w:tcPr>
          <w:p w14:paraId="4B70BAE6">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地理坐标</w:t>
            </w:r>
          </w:p>
        </w:tc>
        <w:tc>
          <w:tcPr>
            <w:tcW w:w="8524" w:type="dxa"/>
            <w:gridSpan w:val="3"/>
            <w:noWrap w:val="0"/>
            <w:vAlign w:val="center"/>
          </w:tcPr>
          <w:p w14:paraId="7B19AB1C">
            <w:pPr>
              <w:jc w:val="center"/>
              <w:rPr>
                <w:rFonts w:hint="default" w:ascii="Times New Roman" w:hAnsi="Times New Roman" w:cs="Times New Roman"/>
                <w:color w:val="000000"/>
                <w:sz w:val="24"/>
              </w:rPr>
            </w:pPr>
            <w:r>
              <w:rPr>
                <w:rFonts w:hint="default" w:ascii="Times New Roman" w:hAnsi="Times New Roman" w:cs="Times New Roman"/>
                <w:color w:val="000000"/>
                <w:sz w:val="24"/>
              </w:rPr>
              <w:t>（</w:t>
            </w:r>
            <w:r>
              <w:rPr>
                <w:rFonts w:hint="default" w:ascii="Times New Roman" w:hAnsi="Times New Roman" w:cs="Times New Roman"/>
                <w:color w:val="000000"/>
                <w:sz w:val="24"/>
                <w:u w:val="single"/>
              </w:rPr>
              <w:t>10</w:t>
            </w:r>
            <w:r>
              <w:rPr>
                <w:rFonts w:hint="eastAsia" w:ascii="Times New Roman" w:hAnsi="Times New Roman" w:cs="Times New Roman"/>
                <w:color w:val="000000"/>
                <w:sz w:val="24"/>
                <w:u w:val="single"/>
                <w:lang w:val="en-US" w:eastAsia="zh-CN"/>
              </w:rPr>
              <w:t>6</w:t>
            </w:r>
            <w:r>
              <w:rPr>
                <w:rFonts w:hint="default" w:ascii="Times New Roman" w:hAnsi="Times New Roman" w:cs="Times New Roman"/>
                <w:color w:val="000000"/>
                <w:sz w:val="24"/>
              </w:rPr>
              <w:t>度</w:t>
            </w:r>
            <w:r>
              <w:rPr>
                <w:rFonts w:hint="eastAsia" w:ascii="Times New Roman" w:hAnsi="Times New Roman" w:cs="Times New Roman"/>
                <w:color w:val="000000"/>
                <w:sz w:val="24"/>
                <w:u w:val="single"/>
                <w:lang w:val="en-US" w:eastAsia="zh-CN"/>
              </w:rPr>
              <w:t>48</w:t>
            </w:r>
            <w:r>
              <w:rPr>
                <w:rFonts w:hint="default" w:ascii="Times New Roman" w:hAnsi="Times New Roman" w:cs="Times New Roman"/>
                <w:color w:val="000000"/>
                <w:sz w:val="24"/>
              </w:rPr>
              <w:t>分</w:t>
            </w:r>
            <w:r>
              <w:rPr>
                <w:rFonts w:hint="eastAsia" w:ascii="Times New Roman" w:hAnsi="Times New Roman" w:cs="Times New Roman"/>
                <w:color w:val="000000"/>
                <w:sz w:val="24"/>
                <w:u w:val="single"/>
                <w:lang w:val="en-US" w:eastAsia="zh-CN"/>
              </w:rPr>
              <w:t>52.609</w:t>
            </w:r>
            <w:r>
              <w:rPr>
                <w:rFonts w:hint="default" w:ascii="Times New Roman" w:hAnsi="Times New Roman" w:cs="Times New Roman"/>
                <w:color w:val="000000"/>
                <w:sz w:val="24"/>
              </w:rPr>
              <w:t>秒，</w:t>
            </w:r>
            <w:r>
              <w:rPr>
                <w:rFonts w:hint="default" w:ascii="Times New Roman" w:hAnsi="Times New Roman" w:cs="Times New Roman"/>
                <w:color w:val="000000"/>
                <w:sz w:val="24"/>
                <w:u w:val="single"/>
              </w:rPr>
              <w:t>3</w:t>
            </w:r>
            <w:r>
              <w:rPr>
                <w:rFonts w:hint="eastAsia" w:ascii="Times New Roman" w:hAnsi="Times New Roman" w:cs="Times New Roman"/>
                <w:color w:val="000000"/>
                <w:sz w:val="24"/>
                <w:u w:val="single"/>
                <w:lang w:val="en-US" w:eastAsia="zh-CN"/>
              </w:rPr>
              <w:t>2</w:t>
            </w:r>
            <w:r>
              <w:rPr>
                <w:rFonts w:hint="default" w:ascii="Times New Roman" w:hAnsi="Times New Roman" w:cs="Times New Roman"/>
                <w:color w:val="000000"/>
                <w:sz w:val="24"/>
              </w:rPr>
              <w:t>度</w:t>
            </w:r>
            <w:r>
              <w:rPr>
                <w:rFonts w:hint="eastAsia" w:ascii="Times New Roman" w:hAnsi="Times New Roman" w:cs="Times New Roman"/>
                <w:color w:val="000000"/>
                <w:sz w:val="24"/>
                <w:u w:val="single"/>
                <w:lang w:val="en-US" w:eastAsia="zh-CN"/>
              </w:rPr>
              <w:t>18</w:t>
            </w:r>
            <w:r>
              <w:rPr>
                <w:rFonts w:hint="default" w:ascii="Times New Roman" w:hAnsi="Times New Roman" w:cs="Times New Roman"/>
                <w:color w:val="000000"/>
                <w:sz w:val="24"/>
              </w:rPr>
              <w:t>分</w:t>
            </w:r>
            <w:r>
              <w:rPr>
                <w:rFonts w:hint="eastAsia" w:ascii="Times New Roman" w:hAnsi="Times New Roman" w:cs="Times New Roman"/>
                <w:color w:val="000000"/>
                <w:sz w:val="24"/>
                <w:u w:val="single"/>
                <w:lang w:val="en-US" w:eastAsia="zh-CN"/>
              </w:rPr>
              <w:t>28.126</w:t>
            </w:r>
            <w:r>
              <w:rPr>
                <w:rFonts w:hint="default" w:ascii="Times New Roman" w:hAnsi="Times New Roman" w:cs="Times New Roman"/>
                <w:color w:val="000000"/>
                <w:sz w:val="24"/>
              </w:rPr>
              <w:t>秒）</w:t>
            </w:r>
          </w:p>
        </w:tc>
      </w:tr>
      <w:tr w14:paraId="5904EB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202" w:type="dxa"/>
            <w:noWrap w:val="0"/>
            <w:tcMar>
              <w:top w:w="16" w:type="dxa"/>
              <w:left w:w="16" w:type="dxa"/>
              <w:right w:w="16" w:type="dxa"/>
            </w:tcMar>
            <w:vAlign w:val="center"/>
          </w:tcPr>
          <w:p w14:paraId="3DBF2377">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国民经济</w:t>
            </w:r>
          </w:p>
          <w:p w14:paraId="333C4171">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行业类别</w:t>
            </w:r>
          </w:p>
        </w:tc>
        <w:tc>
          <w:tcPr>
            <w:tcW w:w="2214" w:type="dxa"/>
            <w:noWrap w:val="0"/>
            <w:vAlign w:val="center"/>
          </w:tcPr>
          <w:p w14:paraId="1A495CB9">
            <w:pPr>
              <w:adjustRightInd w:val="0"/>
              <w:snapToGrid w:val="0"/>
              <w:jc w:val="both"/>
              <w:rPr>
                <w:rFonts w:hint="default" w:ascii="Times New Roman" w:hAnsi="Times New Roman" w:cs="Times New Roman"/>
                <w:color w:val="000000"/>
                <w:lang w:eastAsia="zh-CN"/>
              </w:rPr>
            </w:pPr>
            <w:r>
              <w:rPr>
                <w:rFonts w:hint="default" w:ascii="Times New Roman" w:hAnsi="Times New Roman" w:cs="Times New Roman"/>
                <w:color w:val="000000"/>
                <w:sz w:val="24"/>
                <w:lang w:eastAsia="zh-CN"/>
              </w:rPr>
              <w:t>石墨及碳素制品制造（C3091）</w:t>
            </w:r>
          </w:p>
        </w:tc>
        <w:tc>
          <w:tcPr>
            <w:tcW w:w="2446" w:type="dxa"/>
            <w:noWrap w:val="0"/>
            <w:vAlign w:val="center"/>
          </w:tcPr>
          <w:p w14:paraId="244D7BAF">
            <w:pPr>
              <w:adjustRightInd w:val="0"/>
              <w:snapToGrid w:val="0"/>
              <w:jc w:val="center"/>
              <w:rPr>
                <w:rFonts w:hint="default" w:ascii="Times New Roman" w:hAnsi="Times New Roman" w:cs="Times New Roman"/>
                <w:color w:val="000000"/>
                <w:sz w:val="24"/>
              </w:rPr>
            </w:pPr>
            <w:bookmarkStart w:id="3" w:name="_Hlk49843745"/>
            <w:r>
              <w:rPr>
                <w:rFonts w:hint="default" w:ascii="Times New Roman" w:hAnsi="Times New Roman" w:cs="Times New Roman"/>
                <w:color w:val="000000"/>
                <w:sz w:val="24"/>
              </w:rPr>
              <w:t>建设项目</w:t>
            </w:r>
          </w:p>
          <w:p w14:paraId="561E795B">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行业类别</w:t>
            </w:r>
            <w:bookmarkEnd w:id="3"/>
          </w:p>
        </w:tc>
        <w:tc>
          <w:tcPr>
            <w:tcW w:w="3864" w:type="dxa"/>
            <w:noWrap w:val="0"/>
            <w:vAlign w:val="center"/>
          </w:tcPr>
          <w:p w14:paraId="392A73E0">
            <w:pPr>
              <w:adjustRightInd w:val="0"/>
              <w:snapToGrid w:val="0"/>
              <w:rPr>
                <w:rFonts w:hint="default" w:ascii="Times New Roman" w:hAnsi="Times New Roman" w:cs="Times New Roman"/>
                <w:color w:val="000000"/>
                <w:sz w:val="24"/>
              </w:rPr>
            </w:pPr>
            <w:r>
              <w:rPr>
                <w:rFonts w:hint="default" w:ascii="Times New Roman" w:hAnsi="Times New Roman" w:eastAsia="宋体" w:cs="Times New Roman"/>
                <w:color w:val="000000"/>
                <w:sz w:val="24"/>
              </w:rPr>
              <w:t>二十七、非金属矿物制品60→石墨及其他非金属矿物制品制造309→其他</w:t>
            </w:r>
          </w:p>
        </w:tc>
      </w:tr>
      <w:tr w14:paraId="1FBBCD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202" w:type="dxa"/>
            <w:noWrap w:val="0"/>
            <w:tcMar>
              <w:top w:w="16" w:type="dxa"/>
              <w:left w:w="16" w:type="dxa"/>
              <w:right w:w="16" w:type="dxa"/>
            </w:tcMar>
            <w:vAlign w:val="center"/>
          </w:tcPr>
          <w:p w14:paraId="0B51DE18">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建设性质</w:t>
            </w:r>
          </w:p>
        </w:tc>
        <w:tc>
          <w:tcPr>
            <w:tcW w:w="2214" w:type="dxa"/>
            <w:noWrap w:val="0"/>
            <w:vAlign w:val="center"/>
          </w:tcPr>
          <w:p w14:paraId="758AE888">
            <w:pPr>
              <w:jc w:val="left"/>
              <w:rPr>
                <w:rFonts w:hint="default" w:ascii="Times New Roman" w:hAnsi="Times New Roman" w:cs="Times New Roman"/>
                <w:color w:val="000000"/>
                <w:sz w:val="24"/>
              </w:rPr>
            </w:pP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新建（迁建）</w:t>
            </w:r>
          </w:p>
          <w:p w14:paraId="0DC91CFE">
            <w:pPr>
              <w:jc w:val="left"/>
              <w:rPr>
                <w:rFonts w:hint="default" w:ascii="Times New Roman" w:hAnsi="Times New Roman" w:cs="Times New Roman"/>
                <w:color w:val="000000"/>
                <w:sz w:val="24"/>
              </w:rPr>
            </w:pP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改建</w:t>
            </w:r>
          </w:p>
          <w:p w14:paraId="288762ED">
            <w:pPr>
              <w:jc w:val="left"/>
              <w:rPr>
                <w:rFonts w:hint="default" w:ascii="Times New Roman" w:hAnsi="Times New Roman" w:cs="Times New Roman"/>
                <w:color w:val="000000"/>
                <w:sz w:val="24"/>
              </w:rPr>
            </w:pP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扩建</w:t>
            </w:r>
          </w:p>
          <w:p w14:paraId="4F22E723">
            <w:pPr>
              <w:jc w:val="left"/>
              <w:rPr>
                <w:rFonts w:hint="default" w:ascii="Times New Roman" w:hAnsi="Times New Roman" w:cs="Times New Roman"/>
                <w:color w:val="000000"/>
                <w:sz w:val="24"/>
              </w:rPr>
            </w:pPr>
            <w:r>
              <w:rPr>
                <w:rFonts w:hint="default" w:ascii="Times New Roman" w:hAnsi="Times New Roman" w:cs="Times New Roman"/>
                <w:color w:val="000000"/>
                <w:sz w:val="24"/>
              </w:rPr>
              <w:t>□技术改造</w:t>
            </w:r>
          </w:p>
        </w:tc>
        <w:tc>
          <w:tcPr>
            <w:tcW w:w="2446" w:type="dxa"/>
            <w:noWrap w:val="0"/>
            <w:vAlign w:val="center"/>
          </w:tcPr>
          <w:p w14:paraId="31BB3BF1">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建设项目</w:t>
            </w:r>
          </w:p>
          <w:p w14:paraId="3303F9C2">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申报情形</w:t>
            </w:r>
          </w:p>
        </w:tc>
        <w:tc>
          <w:tcPr>
            <w:tcW w:w="3864" w:type="dxa"/>
            <w:noWrap w:val="0"/>
            <w:vAlign w:val="center"/>
          </w:tcPr>
          <w:p w14:paraId="0E77AF49">
            <w:pPr>
              <w:jc w:val="left"/>
              <w:rPr>
                <w:rFonts w:hint="default" w:ascii="Times New Roman" w:hAnsi="Times New Roman" w:cs="Times New Roman"/>
                <w:color w:val="000000"/>
                <w:sz w:val="24"/>
              </w:rPr>
            </w:pPr>
            <w:r>
              <w:rPr>
                <w:rFonts w:hint="default" w:ascii="Times New Roman" w:hAnsi="Times New Roman" w:cs="Times New Roman"/>
                <w:color w:val="000000"/>
                <w:sz w:val="24"/>
              </w:rPr>
              <w:t>☑首次申报项目</w:t>
            </w:r>
          </w:p>
          <w:p w14:paraId="476B795D">
            <w:pPr>
              <w:jc w:val="left"/>
              <w:rPr>
                <w:rFonts w:hint="default" w:ascii="Times New Roman" w:hAnsi="Times New Roman" w:cs="Times New Roman"/>
                <w:color w:val="000000"/>
                <w:sz w:val="24"/>
              </w:rPr>
            </w:pPr>
            <w:r>
              <w:rPr>
                <w:rFonts w:hint="default" w:ascii="Times New Roman" w:hAnsi="Times New Roman" w:cs="Times New Roman"/>
                <w:color w:val="000000"/>
                <w:sz w:val="24"/>
              </w:rPr>
              <w:t>□不予批准后再次申报项目</w:t>
            </w:r>
          </w:p>
          <w:p w14:paraId="1C74333D">
            <w:pPr>
              <w:jc w:val="left"/>
              <w:rPr>
                <w:rFonts w:hint="default" w:ascii="Times New Roman" w:hAnsi="Times New Roman" w:cs="Times New Roman"/>
                <w:color w:val="000000"/>
                <w:sz w:val="24"/>
              </w:rPr>
            </w:pPr>
            <w:r>
              <w:rPr>
                <w:rFonts w:hint="default" w:ascii="Times New Roman" w:hAnsi="Times New Roman" w:cs="Times New Roman"/>
                <w:color w:val="000000"/>
                <w:sz w:val="24"/>
              </w:rPr>
              <w:t>□超五年重新审核项目</w:t>
            </w:r>
          </w:p>
          <w:p w14:paraId="462F2C70">
            <w:pPr>
              <w:jc w:val="left"/>
              <w:rPr>
                <w:rFonts w:hint="default" w:ascii="Times New Roman" w:hAnsi="Times New Roman" w:cs="Times New Roman"/>
                <w:color w:val="000000"/>
                <w:sz w:val="24"/>
              </w:rPr>
            </w:pPr>
            <w:r>
              <w:rPr>
                <w:rFonts w:hint="default" w:ascii="Times New Roman" w:hAnsi="Times New Roman" w:cs="Times New Roman"/>
                <w:color w:val="000000"/>
                <w:sz w:val="24"/>
              </w:rPr>
              <w:t>□重大变动重新报批项目</w:t>
            </w:r>
          </w:p>
        </w:tc>
      </w:tr>
      <w:tr w14:paraId="3DC74A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202" w:type="dxa"/>
            <w:noWrap w:val="0"/>
            <w:tcMar>
              <w:top w:w="16" w:type="dxa"/>
              <w:left w:w="16" w:type="dxa"/>
              <w:right w:w="16" w:type="dxa"/>
            </w:tcMar>
            <w:vAlign w:val="center"/>
          </w:tcPr>
          <w:p w14:paraId="5E946AED">
            <w:pPr>
              <w:adjustRightInd w:val="0"/>
              <w:snapToGrid w:val="0"/>
              <w:rPr>
                <w:rFonts w:hint="default" w:ascii="Times New Roman" w:hAnsi="Times New Roman" w:cs="Times New Roman"/>
                <w:color w:val="000000"/>
                <w:sz w:val="24"/>
              </w:rPr>
            </w:pPr>
            <w:r>
              <w:rPr>
                <w:rFonts w:hint="default" w:ascii="Times New Roman" w:hAnsi="Times New Roman" w:cs="Times New Roman"/>
                <w:color w:val="000000"/>
                <w:sz w:val="24"/>
              </w:rPr>
              <w:t>项目审批（核准/备案）部门（选填）</w:t>
            </w:r>
          </w:p>
        </w:tc>
        <w:tc>
          <w:tcPr>
            <w:tcW w:w="2214" w:type="dxa"/>
            <w:noWrap w:val="0"/>
            <w:vAlign w:val="center"/>
          </w:tcPr>
          <w:p w14:paraId="36AC5E2E">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平昌县经济和信息化局</w:t>
            </w:r>
          </w:p>
        </w:tc>
        <w:tc>
          <w:tcPr>
            <w:tcW w:w="2446" w:type="dxa"/>
            <w:noWrap w:val="0"/>
            <w:vAlign w:val="center"/>
          </w:tcPr>
          <w:p w14:paraId="01931684">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项目审批（核准/</w:t>
            </w:r>
          </w:p>
          <w:p w14:paraId="41DDE088">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备案）文号（选填）</w:t>
            </w:r>
          </w:p>
        </w:tc>
        <w:tc>
          <w:tcPr>
            <w:tcW w:w="3864" w:type="dxa"/>
            <w:noWrap w:val="0"/>
            <w:vAlign w:val="center"/>
          </w:tcPr>
          <w:p w14:paraId="3D38B622">
            <w:pPr>
              <w:adjustRightInd w:val="0"/>
              <w:snapToGrid w:val="0"/>
              <w:jc w:val="center"/>
              <w:rPr>
                <w:rFonts w:hint="default" w:ascii="Times New Roman" w:hAnsi="Times New Roman" w:eastAsia="宋体" w:cs="Times New Roman"/>
                <w:color w:val="000000"/>
                <w:sz w:val="24"/>
                <w:lang w:eastAsia="zh-CN"/>
              </w:rPr>
            </w:pPr>
            <w:r>
              <w:rPr>
                <w:rFonts w:hint="eastAsia" w:ascii="Times New Roman" w:hAnsi="Times New Roman" w:cs="Times New Roman"/>
                <w:color w:val="000000"/>
                <w:sz w:val="24"/>
                <w:lang w:eastAsia="zh-CN"/>
              </w:rPr>
              <w:t>川投资备【2603-511923-07-02-826779】JXQB-0349 号</w:t>
            </w:r>
          </w:p>
        </w:tc>
      </w:tr>
      <w:tr w14:paraId="69B55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2" w:type="dxa"/>
            <w:noWrap w:val="0"/>
            <w:tcMar>
              <w:top w:w="16" w:type="dxa"/>
              <w:left w:w="16" w:type="dxa"/>
              <w:right w:w="16" w:type="dxa"/>
            </w:tcMar>
            <w:vAlign w:val="center"/>
          </w:tcPr>
          <w:p w14:paraId="6AF8BA61">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总投资</w:t>
            </w:r>
          </w:p>
          <w:p w14:paraId="61FDD447">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（万元）</w:t>
            </w:r>
          </w:p>
        </w:tc>
        <w:tc>
          <w:tcPr>
            <w:tcW w:w="2214" w:type="dxa"/>
            <w:noWrap w:val="0"/>
            <w:vAlign w:val="center"/>
          </w:tcPr>
          <w:p w14:paraId="610BE50C">
            <w:pPr>
              <w:adjustRightInd w:val="0"/>
              <w:snapToGrid w:val="0"/>
              <w:jc w:val="center"/>
              <w:rPr>
                <w:rFonts w:hint="default"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3000</w:t>
            </w:r>
          </w:p>
        </w:tc>
        <w:tc>
          <w:tcPr>
            <w:tcW w:w="2446" w:type="dxa"/>
            <w:noWrap w:val="0"/>
            <w:tcMar>
              <w:top w:w="16" w:type="dxa"/>
              <w:left w:w="16" w:type="dxa"/>
              <w:right w:w="16" w:type="dxa"/>
            </w:tcMar>
            <w:vAlign w:val="center"/>
          </w:tcPr>
          <w:p w14:paraId="509F5CEA">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环保投资（万元）</w:t>
            </w:r>
          </w:p>
        </w:tc>
        <w:tc>
          <w:tcPr>
            <w:tcW w:w="3864" w:type="dxa"/>
            <w:noWrap w:val="0"/>
            <w:vAlign w:val="center"/>
          </w:tcPr>
          <w:p w14:paraId="2E786890">
            <w:pPr>
              <w:adjustRightInd w:val="0"/>
              <w:snapToGrid w:val="0"/>
              <w:jc w:val="center"/>
              <w:rPr>
                <w:rFonts w:hint="default"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239</w:t>
            </w:r>
          </w:p>
        </w:tc>
      </w:tr>
      <w:tr w14:paraId="7A3F82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2" w:type="dxa"/>
            <w:noWrap w:val="0"/>
            <w:tcMar>
              <w:top w:w="16" w:type="dxa"/>
              <w:left w:w="16" w:type="dxa"/>
              <w:right w:w="16" w:type="dxa"/>
            </w:tcMar>
            <w:vAlign w:val="center"/>
          </w:tcPr>
          <w:p w14:paraId="0C9A04BF">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环保投资占比（%）</w:t>
            </w:r>
          </w:p>
        </w:tc>
        <w:tc>
          <w:tcPr>
            <w:tcW w:w="2214" w:type="dxa"/>
            <w:noWrap w:val="0"/>
            <w:vAlign w:val="center"/>
          </w:tcPr>
          <w:p w14:paraId="61B0C986">
            <w:pPr>
              <w:adjustRightInd w:val="0"/>
              <w:snapToGrid w:val="0"/>
              <w:jc w:val="center"/>
              <w:rPr>
                <w:rFonts w:hint="default" w:ascii="Times New Roman" w:hAnsi="Times New Roman" w:cs="Times New Roman"/>
                <w:color w:val="000000"/>
                <w:sz w:val="24"/>
              </w:rPr>
            </w:pPr>
            <w:r>
              <w:rPr>
                <w:rFonts w:hint="eastAsia" w:ascii="Times New Roman" w:hAnsi="Times New Roman" w:cs="Times New Roman"/>
                <w:color w:val="000000"/>
                <w:sz w:val="24"/>
                <w:lang w:val="en-US" w:eastAsia="zh-CN"/>
              </w:rPr>
              <w:t>7.97</w:t>
            </w:r>
            <w:r>
              <w:rPr>
                <w:rFonts w:hint="default" w:ascii="Times New Roman" w:hAnsi="Times New Roman" w:cs="Times New Roman"/>
                <w:color w:val="000000"/>
                <w:sz w:val="24"/>
              </w:rPr>
              <w:t>%</w:t>
            </w:r>
          </w:p>
        </w:tc>
        <w:tc>
          <w:tcPr>
            <w:tcW w:w="2446" w:type="dxa"/>
            <w:noWrap w:val="0"/>
            <w:tcMar>
              <w:top w:w="16" w:type="dxa"/>
              <w:left w:w="16" w:type="dxa"/>
              <w:right w:w="16" w:type="dxa"/>
            </w:tcMar>
            <w:vAlign w:val="center"/>
          </w:tcPr>
          <w:p w14:paraId="319B37F4">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施工工期</w:t>
            </w:r>
          </w:p>
        </w:tc>
        <w:tc>
          <w:tcPr>
            <w:tcW w:w="3864" w:type="dxa"/>
            <w:noWrap w:val="0"/>
            <w:vAlign w:val="center"/>
          </w:tcPr>
          <w:p w14:paraId="3B7C83CC">
            <w:pPr>
              <w:adjustRightInd w:val="0"/>
              <w:snapToGrid w:val="0"/>
              <w:jc w:val="center"/>
              <w:rPr>
                <w:rFonts w:hint="default" w:ascii="Times New Roman" w:hAnsi="Times New Roman" w:cs="Times New Roman"/>
                <w:color w:val="000000"/>
                <w:sz w:val="24"/>
              </w:rPr>
            </w:pPr>
            <w:r>
              <w:rPr>
                <w:rFonts w:hint="eastAsia" w:ascii="Times New Roman" w:hAnsi="Times New Roman" w:cs="Times New Roman"/>
                <w:color w:val="000000"/>
                <w:sz w:val="24"/>
                <w:lang w:val="en-US" w:eastAsia="zh-CN"/>
              </w:rPr>
              <w:t>12</w:t>
            </w:r>
            <w:r>
              <w:rPr>
                <w:rFonts w:hint="default" w:ascii="Times New Roman" w:hAnsi="Times New Roman" w:cs="Times New Roman"/>
                <w:color w:val="000000"/>
                <w:sz w:val="24"/>
              </w:rPr>
              <w:t>个月</w:t>
            </w:r>
          </w:p>
        </w:tc>
      </w:tr>
      <w:tr w14:paraId="2AAAC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02" w:type="dxa"/>
            <w:noWrap w:val="0"/>
            <w:tcMar>
              <w:top w:w="16" w:type="dxa"/>
              <w:left w:w="16" w:type="dxa"/>
              <w:right w:w="16" w:type="dxa"/>
            </w:tcMar>
            <w:vAlign w:val="center"/>
          </w:tcPr>
          <w:p w14:paraId="557C879C">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是否开工</w:t>
            </w:r>
          </w:p>
          <w:p w14:paraId="529A8B41">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建设</w:t>
            </w:r>
          </w:p>
        </w:tc>
        <w:tc>
          <w:tcPr>
            <w:tcW w:w="2214" w:type="dxa"/>
            <w:noWrap w:val="0"/>
            <w:vAlign w:val="center"/>
          </w:tcPr>
          <w:p w14:paraId="3D0F0274">
            <w:pPr>
              <w:adjustRightInd w:val="0"/>
              <w:snapToGrid w:val="0"/>
              <w:rPr>
                <w:rFonts w:hint="default" w:ascii="Times New Roman" w:hAnsi="Times New Roman" w:cs="Times New Roman"/>
                <w:color w:val="000000"/>
                <w:sz w:val="24"/>
              </w:rPr>
            </w:pPr>
            <w:r>
              <w:rPr>
                <w:rFonts w:hint="default" w:ascii="Times New Roman" w:hAnsi="Times New Roman" w:cs="Times New Roman"/>
                <w:color w:val="000000"/>
                <w:sz w:val="24"/>
              </w:rPr>
              <w:t>☑否</w:t>
            </w:r>
          </w:p>
          <w:p w14:paraId="2E5FCF2B">
            <w:pPr>
              <w:adjustRightInd w:val="0"/>
              <w:snapToGrid w:val="0"/>
              <w:rPr>
                <w:rFonts w:hint="default" w:ascii="Times New Roman" w:hAnsi="Times New Roman" w:cs="Times New Roman"/>
                <w:color w:val="000000"/>
                <w:sz w:val="24"/>
              </w:rPr>
            </w:pPr>
            <w:r>
              <w:rPr>
                <w:rFonts w:hint="default" w:ascii="Times New Roman" w:hAnsi="Times New Roman" w:cs="Times New Roman"/>
                <w:color w:val="000000"/>
                <w:sz w:val="24"/>
              </w:rPr>
              <w:t>□是</w:t>
            </w:r>
          </w:p>
        </w:tc>
        <w:tc>
          <w:tcPr>
            <w:tcW w:w="2446" w:type="dxa"/>
            <w:noWrap w:val="0"/>
            <w:tcMar>
              <w:top w:w="16" w:type="dxa"/>
              <w:left w:w="16" w:type="dxa"/>
              <w:right w:w="16" w:type="dxa"/>
            </w:tcMar>
            <w:vAlign w:val="center"/>
          </w:tcPr>
          <w:p w14:paraId="7E8579FE">
            <w:pPr>
              <w:adjustRightInd w:val="0"/>
              <w:snapToGrid w:val="0"/>
              <w:jc w:val="center"/>
              <w:rPr>
                <w:rFonts w:hint="default" w:ascii="Times New Roman" w:hAnsi="Times New Roman" w:cs="Times New Roman"/>
                <w:color w:val="000000"/>
                <w:spacing w:val="-6"/>
                <w:sz w:val="24"/>
              </w:rPr>
            </w:pPr>
            <w:r>
              <w:rPr>
                <w:rFonts w:hint="default" w:ascii="Times New Roman" w:hAnsi="Times New Roman" w:cs="Times New Roman"/>
                <w:color w:val="000000"/>
                <w:spacing w:val="-6"/>
                <w:sz w:val="24"/>
              </w:rPr>
              <w:t>用地（用海）</w:t>
            </w:r>
          </w:p>
          <w:p w14:paraId="42D17DF2">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pacing w:val="-6"/>
                <w:sz w:val="24"/>
              </w:rPr>
              <w:t>面积（m</w:t>
            </w:r>
            <w:r>
              <w:rPr>
                <w:rFonts w:hint="default" w:ascii="Times New Roman" w:hAnsi="Times New Roman" w:cs="Times New Roman"/>
                <w:color w:val="000000"/>
                <w:spacing w:val="-6"/>
                <w:sz w:val="24"/>
                <w:vertAlign w:val="superscript"/>
              </w:rPr>
              <w:t>2</w:t>
            </w:r>
            <w:r>
              <w:rPr>
                <w:rFonts w:hint="default" w:ascii="Times New Roman" w:hAnsi="Times New Roman" w:cs="Times New Roman"/>
                <w:color w:val="000000"/>
                <w:spacing w:val="-6"/>
                <w:sz w:val="24"/>
              </w:rPr>
              <w:t>）</w:t>
            </w:r>
          </w:p>
        </w:tc>
        <w:tc>
          <w:tcPr>
            <w:tcW w:w="3864" w:type="dxa"/>
            <w:noWrap w:val="0"/>
            <w:vAlign w:val="center"/>
          </w:tcPr>
          <w:p w14:paraId="03E6E1B5">
            <w:pPr>
              <w:adjustRightInd w:val="0"/>
              <w:snapToGrid w:val="0"/>
              <w:jc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lang w:val="en-US" w:eastAsia="zh-CN"/>
              </w:rPr>
              <w:t>521</w:t>
            </w:r>
            <w:r>
              <w:rPr>
                <w:rFonts w:hint="default" w:ascii="Times New Roman" w:hAnsi="Times New Roman" w:eastAsia="宋体" w:cs="Times New Roman"/>
                <w:color w:val="000000"/>
                <w:sz w:val="24"/>
                <w:szCs w:val="24"/>
                <w:lang w:val="en-US" w:eastAsia="zh-CN"/>
              </w:rPr>
              <w:t>59</w:t>
            </w:r>
            <w:r>
              <w:rPr>
                <w:rFonts w:hint="eastAsia"/>
                <w:color w:val="auto"/>
                <w:sz w:val="24"/>
                <w:szCs w:val="24"/>
              </w:rPr>
              <w:t>m</w:t>
            </w:r>
            <w:r>
              <w:rPr>
                <w:color w:val="auto"/>
                <w:sz w:val="24"/>
                <w:szCs w:val="24"/>
                <w:vertAlign w:val="superscript"/>
              </w:rPr>
              <w:t>2</w:t>
            </w:r>
          </w:p>
        </w:tc>
      </w:tr>
      <w:tr w14:paraId="633EA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02" w:type="dxa"/>
            <w:noWrap w:val="0"/>
            <w:vAlign w:val="center"/>
          </w:tcPr>
          <w:p w14:paraId="5E65A1BC">
            <w:pPr>
              <w:autoSpaceDE w:val="0"/>
              <w:autoSpaceDN w:val="0"/>
              <w:adjustRightInd w:val="0"/>
              <w:snapToGrid w:val="0"/>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专项评价设置情况</w:t>
            </w:r>
          </w:p>
        </w:tc>
        <w:tc>
          <w:tcPr>
            <w:tcW w:w="8524" w:type="dxa"/>
            <w:gridSpan w:val="3"/>
            <w:noWrap w:val="0"/>
            <w:vAlign w:val="center"/>
          </w:tcPr>
          <w:p w14:paraId="750DAF6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olor w:val="000000"/>
                <w:sz w:val="24"/>
                <w:szCs w:val="24"/>
              </w:rPr>
            </w:pPr>
            <w:r>
              <w:rPr>
                <w:rFonts w:hint="eastAsia"/>
                <w:color w:val="000000"/>
                <w:sz w:val="24"/>
                <w:szCs w:val="24"/>
              </w:rPr>
              <w:t>根据《建设项目环境影响报告表编制技术指南（污染影响类）》</w:t>
            </w:r>
            <w:r>
              <w:rPr>
                <w:rFonts w:hint="eastAsia"/>
                <w:color w:val="000000"/>
                <w:sz w:val="24"/>
                <w:szCs w:val="24"/>
                <w:lang w:eastAsia="zh-CN"/>
              </w:rPr>
              <w:t>（</w:t>
            </w:r>
            <w:r>
              <w:rPr>
                <w:rFonts w:hint="eastAsia"/>
                <w:color w:val="000000"/>
                <w:sz w:val="24"/>
                <w:szCs w:val="24"/>
              </w:rPr>
              <w:t>试行）表1判定，本项目</w:t>
            </w:r>
            <w:r>
              <w:rPr>
                <w:rFonts w:hint="eastAsia"/>
                <w:color w:val="000000"/>
                <w:sz w:val="24"/>
                <w:szCs w:val="24"/>
                <w:lang w:eastAsia="zh-CN"/>
              </w:rPr>
              <w:t>设置</w:t>
            </w:r>
            <w:r>
              <w:rPr>
                <w:rFonts w:hint="eastAsia"/>
                <w:color w:val="000000"/>
                <w:sz w:val="24"/>
                <w:szCs w:val="24"/>
              </w:rPr>
              <w:t>相应专项评价，判定结果如下：</w:t>
            </w:r>
          </w:p>
          <w:p w14:paraId="5E64DE9B">
            <w:pPr>
              <w:pStyle w:val="12"/>
              <w:numPr>
                <w:ilvl w:val="0"/>
                <w:numId w:val="4"/>
              </w:numPr>
              <w:ind w:left="0" w:leftChars="0" w:firstLine="420" w:firstLineChars="0"/>
              <w:jc w:val="center"/>
              <w:rPr>
                <w:rFonts w:hint="eastAsia" w:ascii="宋体" w:hAnsi="宋体" w:cs="宋体"/>
                <w:color w:val="000000"/>
                <w:kern w:val="0"/>
                <w:sz w:val="24"/>
              </w:rPr>
            </w:pPr>
            <w:r>
              <w:rPr>
                <w:rFonts w:hint="eastAsia" w:ascii="宋体" w:hAnsi="宋体" w:cs="宋体"/>
                <w:b/>
                <w:bCs/>
                <w:color w:val="000000"/>
                <w:kern w:val="0"/>
                <w:sz w:val="24"/>
                <w:lang w:val="en-US" w:eastAsia="zh-CN"/>
              </w:rPr>
              <w:t xml:space="preserve">  </w:t>
            </w:r>
            <w:r>
              <w:rPr>
                <w:rFonts w:hint="eastAsia" w:ascii="宋体" w:hAnsi="宋体" w:cs="宋体"/>
                <w:b/>
                <w:bCs/>
                <w:color w:val="000000"/>
                <w:kern w:val="0"/>
                <w:sz w:val="24"/>
              </w:rPr>
              <w:t>专项评价设置情况判定</w:t>
            </w:r>
          </w:p>
          <w:tbl>
            <w:tblPr>
              <w:tblStyle w:val="31"/>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775"/>
              <w:gridCol w:w="2987"/>
              <w:gridCol w:w="3294"/>
              <w:gridCol w:w="988"/>
            </w:tblGrid>
            <w:tr w14:paraId="36BF2D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775" w:type="dxa"/>
                  <w:noWrap w:val="0"/>
                  <w:vAlign w:val="center"/>
                </w:tcPr>
                <w:p w14:paraId="76293F83">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专项评价的类别</w:t>
                  </w:r>
                </w:p>
              </w:tc>
              <w:tc>
                <w:tcPr>
                  <w:tcW w:w="2987" w:type="dxa"/>
                  <w:noWrap w:val="0"/>
                  <w:vAlign w:val="center"/>
                </w:tcPr>
                <w:p w14:paraId="03DD518C">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设置原则</w:t>
                  </w:r>
                </w:p>
              </w:tc>
              <w:tc>
                <w:tcPr>
                  <w:tcW w:w="3294" w:type="dxa"/>
                  <w:noWrap w:val="0"/>
                  <w:vAlign w:val="center"/>
                </w:tcPr>
                <w:p w14:paraId="204C5C06">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本项目</w:t>
                  </w:r>
                </w:p>
              </w:tc>
              <w:tc>
                <w:tcPr>
                  <w:tcW w:w="988" w:type="dxa"/>
                  <w:noWrap w:val="0"/>
                  <w:vAlign w:val="center"/>
                </w:tcPr>
                <w:p w14:paraId="179B872A">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判定</w:t>
                  </w:r>
                </w:p>
                <w:p w14:paraId="0366E678">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结果</w:t>
                  </w:r>
                </w:p>
              </w:tc>
            </w:tr>
            <w:tr w14:paraId="4BF9F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775" w:type="dxa"/>
                  <w:noWrap w:val="0"/>
                  <w:vAlign w:val="center"/>
                </w:tcPr>
                <w:p w14:paraId="4DC3028A">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大气</w:t>
                  </w:r>
                </w:p>
              </w:tc>
              <w:tc>
                <w:tcPr>
                  <w:tcW w:w="2987" w:type="dxa"/>
                  <w:noWrap w:val="0"/>
                  <w:vAlign w:val="center"/>
                </w:tcPr>
                <w:p w14:paraId="28F237B4">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排放废气含有毒有害污染物</w:t>
                  </w:r>
                  <w:r>
                    <w:rPr>
                      <w:rFonts w:hint="default" w:ascii="Times New Roman" w:hAnsi="Times New Roman" w:eastAsia="宋体" w:cs="Times New Roman"/>
                      <w:color w:val="000000"/>
                      <w:sz w:val="21"/>
                      <w:szCs w:val="21"/>
                      <w:vertAlign w:val="superscript"/>
                    </w:rPr>
                    <w:t>1</w:t>
                  </w:r>
                  <w:r>
                    <w:rPr>
                      <w:rFonts w:hint="default" w:ascii="Times New Roman" w:hAnsi="Times New Roman" w:eastAsia="宋体" w:cs="Times New Roman"/>
                      <w:color w:val="000000"/>
                      <w:sz w:val="21"/>
                      <w:szCs w:val="21"/>
                    </w:rPr>
                    <w:t>、二噁英、苯并[a]芘、氰化物、氯气且厂界外500米范围内有环境空气保护目标</w:t>
                  </w:r>
                  <w:r>
                    <w:rPr>
                      <w:rFonts w:hint="default" w:ascii="Times New Roman" w:hAnsi="Times New Roman" w:eastAsia="宋体" w:cs="Times New Roman"/>
                      <w:color w:val="000000"/>
                      <w:sz w:val="21"/>
                      <w:szCs w:val="21"/>
                      <w:vertAlign w:val="superscript"/>
                    </w:rPr>
                    <w:t>2</w:t>
                  </w:r>
                  <w:r>
                    <w:rPr>
                      <w:rFonts w:hint="default" w:ascii="Times New Roman" w:hAnsi="Times New Roman" w:eastAsia="宋体" w:cs="Times New Roman"/>
                      <w:color w:val="000000"/>
                      <w:sz w:val="21"/>
                      <w:szCs w:val="21"/>
                    </w:rPr>
                    <w:t>的建设项目</w:t>
                  </w:r>
                </w:p>
              </w:tc>
              <w:tc>
                <w:tcPr>
                  <w:tcW w:w="3294" w:type="dxa"/>
                  <w:noWrap w:val="0"/>
                  <w:vAlign w:val="center"/>
                </w:tcPr>
                <w:p w14:paraId="6AAC68AE">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eastAsia"/>
                      <w:color w:val="000000"/>
                      <w:szCs w:val="21"/>
                    </w:rPr>
                    <w:t>本项目废气污染物为颗粒物、SO</w:t>
                  </w:r>
                  <w:r>
                    <w:rPr>
                      <w:rFonts w:hint="eastAsia"/>
                      <w:color w:val="000000"/>
                      <w:szCs w:val="21"/>
                      <w:vertAlign w:val="subscript"/>
                    </w:rPr>
                    <w:t>2</w:t>
                  </w:r>
                  <w:r>
                    <w:rPr>
                      <w:rFonts w:hint="eastAsia"/>
                      <w:color w:val="000000"/>
                      <w:szCs w:val="21"/>
                    </w:rPr>
                    <w:t>、</w:t>
                  </w:r>
                  <w:r>
                    <w:rPr>
                      <w:rFonts w:hint="eastAsia"/>
                      <w:color w:val="000000"/>
                      <w:szCs w:val="21"/>
                      <w:lang w:eastAsia="zh-CN"/>
                    </w:rPr>
                    <w:t>沥青烟、</w:t>
                  </w:r>
                  <w:r>
                    <w:rPr>
                      <w:rFonts w:hint="eastAsia"/>
                      <w:color w:val="000000"/>
                      <w:szCs w:val="21"/>
                    </w:rPr>
                    <w:t>NOx、苯并[a]芘、VOCs等</w:t>
                  </w:r>
                  <w:r>
                    <w:rPr>
                      <w:rFonts w:hint="eastAsia"/>
                      <w:color w:val="000000"/>
                      <w:kern w:val="0"/>
                      <w:szCs w:val="21"/>
                    </w:rPr>
                    <w:t>。项目所在厂界500米范围内有环境空气保护目标</w:t>
                  </w:r>
                </w:p>
              </w:tc>
              <w:tc>
                <w:tcPr>
                  <w:tcW w:w="988" w:type="dxa"/>
                  <w:noWrap w:val="0"/>
                  <w:vAlign w:val="center"/>
                </w:tcPr>
                <w:p w14:paraId="1EE94FC3">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需</w:t>
                  </w:r>
                  <w:r>
                    <w:rPr>
                      <w:rFonts w:hint="default" w:ascii="Times New Roman" w:hAnsi="Times New Roman" w:eastAsia="宋体" w:cs="Times New Roman"/>
                      <w:color w:val="000000"/>
                      <w:sz w:val="21"/>
                      <w:szCs w:val="21"/>
                    </w:rPr>
                    <w:t>设置大气</w:t>
                  </w:r>
                  <w:r>
                    <w:rPr>
                      <w:rFonts w:hint="eastAsia" w:ascii="Times New Roman" w:hAnsi="Times New Roman" w:eastAsia="宋体" w:cs="Times New Roman"/>
                      <w:color w:val="000000"/>
                      <w:sz w:val="21"/>
                      <w:szCs w:val="21"/>
                      <w:lang w:eastAsia="zh-CN"/>
                    </w:rPr>
                    <w:t>专</w:t>
                  </w:r>
                  <w:r>
                    <w:rPr>
                      <w:rFonts w:hint="default" w:ascii="Times New Roman" w:hAnsi="Times New Roman" w:eastAsia="宋体" w:cs="Times New Roman"/>
                      <w:color w:val="000000"/>
                      <w:sz w:val="21"/>
                      <w:szCs w:val="21"/>
                    </w:rPr>
                    <w:t>项</w:t>
                  </w:r>
                </w:p>
              </w:tc>
            </w:tr>
            <w:tr w14:paraId="6FC13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775" w:type="dxa"/>
                  <w:noWrap w:val="0"/>
                  <w:vAlign w:val="center"/>
                </w:tcPr>
                <w:p w14:paraId="26D4F7FE">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地表水</w:t>
                  </w:r>
                </w:p>
              </w:tc>
              <w:tc>
                <w:tcPr>
                  <w:tcW w:w="2987" w:type="dxa"/>
                  <w:noWrap w:val="0"/>
                  <w:vAlign w:val="center"/>
                </w:tcPr>
                <w:p w14:paraId="56D3EFDB">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新增工业</w:t>
                  </w:r>
                  <w:r>
                    <w:rPr>
                      <w:rFonts w:hint="eastAsia" w:ascii="Times New Roman" w:hAnsi="Times New Roman" w:eastAsia="宋体" w:cs="Times New Roman"/>
                      <w:color w:val="000000"/>
                      <w:sz w:val="21"/>
                      <w:szCs w:val="21"/>
                      <w:lang w:eastAsia="zh-CN"/>
                    </w:rPr>
                    <w:t>废水</w:t>
                  </w:r>
                  <w:r>
                    <w:rPr>
                      <w:rFonts w:hint="default" w:ascii="Times New Roman" w:hAnsi="Times New Roman" w:eastAsia="宋体" w:cs="Times New Roman"/>
                      <w:color w:val="000000"/>
                      <w:sz w:val="21"/>
                      <w:szCs w:val="21"/>
                    </w:rPr>
                    <w:t>直排建设项目（槽罐车外送污水处理厂的除外）；新增废水直排的污水集中处理厂</w:t>
                  </w:r>
                </w:p>
              </w:tc>
              <w:tc>
                <w:tcPr>
                  <w:tcW w:w="3294" w:type="dxa"/>
                  <w:noWrap w:val="0"/>
                  <w:vAlign w:val="center"/>
                </w:tcPr>
                <w:p w14:paraId="3DD09406">
                  <w:pPr>
                    <w:keepNext w:val="0"/>
                    <w:keepLines w:val="0"/>
                    <w:pageBreakBefore w:val="0"/>
                    <w:widowControl w:val="0"/>
                    <w:kinsoku/>
                    <w:wordWrap/>
                    <w:overflowPunct/>
                    <w:topLinePunct w:val="0"/>
                    <w:autoSpaceDE/>
                    <w:autoSpaceDN/>
                    <w:bidi w:val="0"/>
                    <w:adjustRightInd/>
                    <w:snapToGrid/>
                    <w:spacing w:before="0"/>
                    <w:ind w:firstLine="0"/>
                    <w:jc w:val="both"/>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b w:val="0"/>
                      <w:bCs w:val="0"/>
                      <w:color w:val="000000"/>
                      <w:sz w:val="21"/>
                      <w:szCs w:val="21"/>
                      <w:lang w:eastAsia="zh-CN"/>
                    </w:rPr>
                    <w:t>本项目废水不涉及直排</w:t>
                  </w:r>
                </w:p>
              </w:tc>
              <w:tc>
                <w:tcPr>
                  <w:tcW w:w="988" w:type="dxa"/>
                  <w:noWrap w:val="0"/>
                  <w:vAlign w:val="center"/>
                </w:tcPr>
                <w:p w14:paraId="64F0E969">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无须设置</w:t>
                  </w:r>
                  <w:r>
                    <w:rPr>
                      <w:rFonts w:hint="default" w:ascii="Times New Roman" w:hAnsi="Times New Roman" w:eastAsia="宋体" w:cs="Times New Roman"/>
                      <w:color w:val="000000"/>
                      <w:sz w:val="21"/>
                      <w:szCs w:val="21"/>
                    </w:rPr>
                    <w:t>地表</w:t>
                  </w:r>
                  <w:r>
                    <w:rPr>
                      <w:rFonts w:hint="eastAsia" w:ascii="Times New Roman" w:hAnsi="Times New Roman" w:eastAsia="宋体" w:cs="Times New Roman"/>
                      <w:color w:val="000000"/>
                      <w:sz w:val="21"/>
                      <w:szCs w:val="21"/>
                      <w:lang w:eastAsia="zh-CN"/>
                    </w:rPr>
                    <w:t>水</w:t>
                  </w:r>
                  <w:r>
                    <w:rPr>
                      <w:rFonts w:hint="default" w:ascii="Times New Roman" w:hAnsi="Times New Roman" w:eastAsia="宋体" w:cs="Times New Roman"/>
                      <w:color w:val="000000"/>
                      <w:sz w:val="21"/>
                      <w:szCs w:val="21"/>
                    </w:rPr>
                    <w:t>专项</w:t>
                  </w:r>
                </w:p>
              </w:tc>
            </w:tr>
            <w:tr w14:paraId="46870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775" w:type="dxa"/>
                  <w:noWrap w:val="0"/>
                  <w:vAlign w:val="center"/>
                </w:tcPr>
                <w:p w14:paraId="2E50D4A8">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环境</w:t>
                  </w:r>
                </w:p>
                <w:p w14:paraId="6741843A">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风险</w:t>
                  </w:r>
                </w:p>
              </w:tc>
              <w:tc>
                <w:tcPr>
                  <w:tcW w:w="2987" w:type="dxa"/>
                  <w:noWrap w:val="0"/>
                  <w:vAlign w:val="center"/>
                </w:tcPr>
                <w:p w14:paraId="54032316">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有毒有害和易燃易爆危险物质存储量超过临界量的建设项目</w:t>
                  </w:r>
                </w:p>
              </w:tc>
              <w:tc>
                <w:tcPr>
                  <w:tcW w:w="3294" w:type="dxa"/>
                  <w:noWrap w:val="0"/>
                  <w:vAlign w:val="center"/>
                </w:tcPr>
                <w:p w14:paraId="0EB6EF7E">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项目涉及的</w:t>
                  </w:r>
                  <w:r>
                    <w:rPr>
                      <w:rFonts w:hint="eastAsia" w:ascii="Times New Roman" w:hAnsi="Times New Roman" w:eastAsia="宋体" w:cs="Times New Roman"/>
                      <w:color w:val="000000"/>
                      <w:sz w:val="21"/>
                      <w:szCs w:val="21"/>
                      <w:lang w:eastAsia="zh-CN"/>
                    </w:rPr>
                    <w:t>风险</w:t>
                  </w:r>
                  <w:r>
                    <w:rPr>
                      <w:rFonts w:hint="default" w:ascii="Times New Roman" w:hAnsi="Times New Roman" w:eastAsia="宋体" w:cs="Times New Roman"/>
                      <w:color w:val="000000"/>
                      <w:sz w:val="21"/>
                      <w:szCs w:val="21"/>
                    </w:rPr>
                    <w:t>物质Q＜1，不超过临界量</w:t>
                  </w:r>
                </w:p>
              </w:tc>
              <w:tc>
                <w:tcPr>
                  <w:tcW w:w="988" w:type="dxa"/>
                  <w:noWrap w:val="0"/>
                  <w:vAlign w:val="center"/>
                </w:tcPr>
                <w:p w14:paraId="3EB87A04">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无须设置</w:t>
                  </w:r>
                  <w:r>
                    <w:rPr>
                      <w:rFonts w:hint="default" w:ascii="Times New Roman" w:hAnsi="Times New Roman" w:eastAsia="宋体" w:cs="Times New Roman"/>
                      <w:color w:val="000000"/>
                      <w:sz w:val="21"/>
                      <w:szCs w:val="21"/>
                    </w:rPr>
                    <w:t>环境</w:t>
                  </w:r>
                  <w:r>
                    <w:rPr>
                      <w:rFonts w:hint="eastAsia" w:ascii="Times New Roman" w:hAnsi="Times New Roman" w:eastAsia="宋体" w:cs="Times New Roman"/>
                      <w:color w:val="000000"/>
                      <w:sz w:val="21"/>
                      <w:szCs w:val="21"/>
                      <w:lang w:eastAsia="zh-CN"/>
                    </w:rPr>
                    <w:t>风险专项</w:t>
                  </w:r>
                </w:p>
              </w:tc>
            </w:tr>
            <w:tr w14:paraId="120B5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775" w:type="dxa"/>
                  <w:noWrap w:val="0"/>
                  <w:vAlign w:val="center"/>
                </w:tcPr>
                <w:p w14:paraId="27F91F00">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生态</w:t>
                  </w:r>
                </w:p>
              </w:tc>
              <w:tc>
                <w:tcPr>
                  <w:tcW w:w="2987" w:type="dxa"/>
                  <w:noWrap w:val="0"/>
                  <w:vAlign w:val="center"/>
                </w:tcPr>
                <w:p w14:paraId="7093FB9D">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取水口下游500米范围内有重要水生生物的自然产卵场、索饵场、越冬场和涧游通道的新增河道取水的污染类建设项目</w:t>
                  </w:r>
                </w:p>
              </w:tc>
              <w:tc>
                <w:tcPr>
                  <w:tcW w:w="3294" w:type="dxa"/>
                  <w:noWrap w:val="0"/>
                  <w:vAlign w:val="center"/>
                </w:tcPr>
                <w:p w14:paraId="7B7849B5">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不涉及</w:t>
                  </w:r>
                </w:p>
              </w:tc>
              <w:tc>
                <w:tcPr>
                  <w:tcW w:w="988" w:type="dxa"/>
                  <w:noWrap w:val="0"/>
                  <w:vAlign w:val="center"/>
                </w:tcPr>
                <w:p w14:paraId="231E2B16">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无须设置</w:t>
                  </w:r>
                  <w:r>
                    <w:rPr>
                      <w:rFonts w:hint="default" w:ascii="Times New Roman" w:hAnsi="Times New Roman" w:eastAsia="宋体" w:cs="Times New Roman"/>
                      <w:color w:val="000000"/>
                      <w:sz w:val="21"/>
                      <w:szCs w:val="21"/>
                    </w:rPr>
                    <w:t>生态</w:t>
                  </w:r>
                  <w:r>
                    <w:rPr>
                      <w:rFonts w:hint="eastAsia" w:ascii="Times New Roman" w:hAnsi="Times New Roman" w:eastAsia="宋体" w:cs="Times New Roman"/>
                      <w:color w:val="000000"/>
                      <w:sz w:val="21"/>
                      <w:szCs w:val="21"/>
                      <w:lang w:eastAsia="zh-CN"/>
                    </w:rPr>
                    <w:t>专项</w:t>
                  </w:r>
                </w:p>
              </w:tc>
            </w:tr>
            <w:tr w14:paraId="36D2D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775" w:type="dxa"/>
                  <w:noWrap w:val="0"/>
                  <w:vAlign w:val="center"/>
                </w:tcPr>
                <w:p w14:paraId="0D65D89F">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海洋</w:t>
                  </w:r>
                </w:p>
              </w:tc>
              <w:tc>
                <w:tcPr>
                  <w:tcW w:w="2987" w:type="dxa"/>
                  <w:noWrap w:val="0"/>
                  <w:vAlign w:val="center"/>
                </w:tcPr>
                <w:p w14:paraId="64817AD0">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直接向海排放污染物的海洋工程建设项目</w:t>
                  </w:r>
                </w:p>
              </w:tc>
              <w:tc>
                <w:tcPr>
                  <w:tcW w:w="3294" w:type="dxa"/>
                  <w:noWrap w:val="0"/>
                  <w:vAlign w:val="center"/>
                </w:tcPr>
                <w:p w14:paraId="0334F3B5">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不涉及</w:t>
                  </w:r>
                </w:p>
              </w:tc>
              <w:tc>
                <w:tcPr>
                  <w:tcW w:w="988" w:type="dxa"/>
                  <w:noWrap w:val="0"/>
                  <w:vAlign w:val="center"/>
                </w:tcPr>
                <w:p w14:paraId="2F04B4AB">
                  <w:pPr>
                    <w:keepNext w:val="0"/>
                    <w:keepLines w:val="0"/>
                    <w:pageBreakBefore w:val="0"/>
                    <w:widowControl w:val="0"/>
                    <w:kinsoku/>
                    <w:wordWrap/>
                    <w:overflowPunct/>
                    <w:topLinePunct w:val="0"/>
                    <w:autoSpaceDE/>
                    <w:autoSpaceDN/>
                    <w:bidi w:val="0"/>
                    <w:adjustRightInd/>
                    <w:snapToGrid/>
                    <w:spacing w:before="0"/>
                    <w:ind w:firstLine="0"/>
                    <w:jc w:val="center"/>
                    <w:textAlignment w:val="auto"/>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无须设置</w:t>
                  </w:r>
                  <w:r>
                    <w:rPr>
                      <w:rFonts w:hint="default" w:ascii="Times New Roman" w:hAnsi="Times New Roman" w:eastAsia="宋体" w:cs="Times New Roman"/>
                      <w:color w:val="000000"/>
                      <w:sz w:val="21"/>
                      <w:szCs w:val="21"/>
                    </w:rPr>
                    <w:t>海洋专项</w:t>
                  </w:r>
                </w:p>
              </w:tc>
            </w:tr>
          </w:tbl>
          <w:p w14:paraId="31D0645B">
            <w:pPr>
              <w:pStyle w:val="12"/>
              <w:keepNext w:val="0"/>
              <w:keepLines w:val="0"/>
              <w:pageBreakBefore w:val="0"/>
              <w:widowControl w:val="0"/>
              <w:kinsoku/>
              <w:wordWrap/>
              <w:overflowPunct/>
              <w:topLinePunct w:val="0"/>
              <w:autoSpaceDE/>
              <w:autoSpaceDN/>
              <w:bidi w:val="0"/>
              <w:adjustRightInd/>
              <w:snapToGrid/>
              <w:spacing w:before="0"/>
              <w:ind w:left="0" w:leftChars="0" w:right="0" w:rightChars="0" w:firstLine="420" w:firstLineChars="200"/>
              <w:jc w:val="both"/>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注：</w:t>
            </w:r>
          </w:p>
          <w:p w14:paraId="0306C2BE">
            <w:pPr>
              <w:pStyle w:val="12"/>
              <w:keepNext w:val="0"/>
              <w:keepLines w:val="0"/>
              <w:pageBreakBefore w:val="0"/>
              <w:widowControl w:val="0"/>
              <w:kinsoku/>
              <w:wordWrap/>
              <w:overflowPunct/>
              <w:topLinePunct w:val="0"/>
              <w:autoSpaceDE/>
              <w:autoSpaceDN/>
              <w:bidi w:val="0"/>
              <w:adjustRightInd/>
              <w:snapToGrid/>
              <w:spacing w:before="0"/>
              <w:ind w:left="0" w:leftChars="0" w:right="0" w:rightChars="0" w:firstLine="420" w:firstLineChars="200"/>
              <w:jc w:val="both"/>
              <w:textAlignment w:val="auto"/>
              <w:rPr>
                <w:rFonts w:hint="default" w:ascii="Times New Roman" w:hAnsi="Times New Roman" w:cs="Times New Roman"/>
                <w:color w:val="000000"/>
                <w:kern w:val="0"/>
                <w:sz w:val="21"/>
                <w:szCs w:val="21"/>
              </w:rPr>
            </w:pPr>
            <w:r>
              <w:rPr>
                <w:rFonts w:hint="eastAsia" w:ascii="Times New Roman" w:hAnsi="Times New Roman" w:cs="Times New Roman"/>
                <w:color w:val="000000"/>
                <w:kern w:val="0"/>
                <w:sz w:val="21"/>
                <w:szCs w:val="21"/>
                <w:lang w:eastAsia="zh-CN"/>
              </w:rPr>
              <w:t>1.</w:t>
            </w:r>
            <w:r>
              <w:rPr>
                <w:rFonts w:hint="default" w:ascii="Times New Roman" w:hAnsi="Times New Roman" w:cs="Times New Roman"/>
                <w:color w:val="000000"/>
                <w:kern w:val="0"/>
                <w:sz w:val="21"/>
                <w:szCs w:val="21"/>
              </w:rPr>
              <w:t>废气中有毒有害污染物</w:t>
            </w:r>
            <w:r>
              <w:rPr>
                <w:rFonts w:hint="eastAsia" w:ascii="Times New Roman" w:hAnsi="Times New Roman" w:cs="Times New Roman"/>
                <w:color w:val="000000"/>
                <w:kern w:val="0"/>
                <w:sz w:val="21"/>
                <w:szCs w:val="21"/>
                <w:lang w:eastAsia="zh-CN"/>
              </w:rPr>
              <w:t>指标</w:t>
            </w:r>
            <w:r>
              <w:rPr>
                <w:rFonts w:hint="default" w:ascii="Times New Roman" w:hAnsi="Times New Roman" w:cs="Times New Roman"/>
                <w:color w:val="000000"/>
                <w:kern w:val="0"/>
                <w:sz w:val="21"/>
                <w:szCs w:val="21"/>
              </w:rPr>
              <w:t>纳入《有毒有害大气污染物名录》的污染物（不包括无排放标准的污染物）；</w:t>
            </w:r>
          </w:p>
          <w:p w14:paraId="3DBB13AC">
            <w:pPr>
              <w:pStyle w:val="12"/>
              <w:keepNext w:val="0"/>
              <w:keepLines w:val="0"/>
              <w:pageBreakBefore w:val="0"/>
              <w:widowControl w:val="0"/>
              <w:kinsoku/>
              <w:wordWrap/>
              <w:overflowPunct/>
              <w:topLinePunct w:val="0"/>
              <w:autoSpaceDE/>
              <w:autoSpaceDN/>
              <w:bidi w:val="0"/>
              <w:adjustRightInd/>
              <w:snapToGrid/>
              <w:spacing w:before="0"/>
              <w:ind w:left="0" w:leftChars="0" w:right="0" w:rightChars="0" w:firstLine="420" w:firstLineChars="200"/>
              <w:jc w:val="both"/>
              <w:textAlignment w:val="auto"/>
              <w:rPr>
                <w:rFonts w:hint="default" w:ascii="Times New Roman" w:hAnsi="Times New Roman" w:cs="Times New Roman"/>
                <w:color w:val="000000"/>
                <w:kern w:val="0"/>
                <w:sz w:val="21"/>
                <w:szCs w:val="21"/>
              </w:rPr>
            </w:pPr>
            <w:r>
              <w:rPr>
                <w:rFonts w:hint="eastAsia" w:ascii="Times New Roman" w:hAnsi="Times New Roman" w:cs="Times New Roman"/>
                <w:color w:val="000000"/>
                <w:kern w:val="0"/>
                <w:sz w:val="21"/>
                <w:szCs w:val="21"/>
                <w:lang w:eastAsia="zh-CN"/>
              </w:rPr>
              <w:t>2.</w:t>
            </w:r>
            <w:r>
              <w:rPr>
                <w:rFonts w:hint="default" w:ascii="Times New Roman" w:hAnsi="Times New Roman" w:cs="Times New Roman"/>
                <w:color w:val="000000"/>
                <w:kern w:val="0"/>
                <w:sz w:val="21"/>
                <w:szCs w:val="21"/>
              </w:rPr>
              <w:t>环境空气保护目标指自然保护区、风景名胜区、居住区、文化区和农村地区中人群较集中的区域；</w:t>
            </w:r>
          </w:p>
          <w:p w14:paraId="028A49FB">
            <w:pPr>
              <w:keepNext w:val="0"/>
              <w:keepLines w:val="0"/>
              <w:pageBreakBefore w:val="0"/>
              <w:widowControl w:val="0"/>
              <w:kinsoku/>
              <w:wordWrap/>
              <w:overflowPunct/>
              <w:topLinePunct w:val="0"/>
              <w:autoSpaceDE w:val="0"/>
              <w:autoSpaceDN w:val="0"/>
              <w:bidi w:val="0"/>
              <w:adjustRightInd w:val="0"/>
              <w:snapToGrid w:val="0"/>
              <w:ind w:firstLine="420" w:firstLineChars="200"/>
              <w:jc w:val="both"/>
              <w:textAlignment w:val="auto"/>
              <w:rPr>
                <w:rFonts w:hint="default" w:ascii="Times New Roman" w:hAnsi="Times New Roman" w:cs="Times New Roman"/>
                <w:color w:val="000000"/>
                <w:kern w:val="0"/>
                <w:sz w:val="24"/>
              </w:rPr>
            </w:pPr>
            <w:r>
              <w:rPr>
                <w:rFonts w:hint="eastAsia" w:ascii="Times New Roman" w:hAnsi="Times New Roman" w:cs="Times New Roman"/>
                <w:color w:val="000000"/>
                <w:kern w:val="0"/>
                <w:sz w:val="21"/>
                <w:szCs w:val="21"/>
                <w:lang w:eastAsia="zh-CN"/>
              </w:rPr>
              <w:t>3.</w:t>
            </w:r>
            <w:r>
              <w:rPr>
                <w:rFonts w:hint="default" w:ascii="Times New Roman" w:hAnsi="Times New Roman" w:cs="Times New Roman"/>
                <w:color w:val="000000"/>
                <w:kern w:val="0"/>
                <w:sz w:val="21"/>
                <w:szCs w:val="21"/>
              </w:rPr>
              <w:t>临界量及其计算方法可参考《建设项目环境风险评价技术导则》（HJ169）附录B、附录C。</w:t>
            </w:r>
          </w:p>
        </w:tc>
      </w:tr>
      <w:tr w14:paraId="3DB39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1202" w:type="dxa"/>
            <w:noWrap w:val="0"/>
            <w:vAlign w:val="center"/>
          </w:tcPr>
          <w:p w14:paraId="203988C2">
            <w:pPr>
              <w:autoSpaceDE w:val="0"/>
              <w:autoSpaceDN w:val="0"/>
              <w:adjustRightInd w:val="0"/>
              <w:snapToGrid w:val="0"/>
              <w:jc w:val="center"/>
              <w:rPr>
                <w:rFonts w:hint="default" w:ascii="Times New Roman" w:hAnsi="Times New Roman" w:cs="Times New Roman"/>
                <w:color w:val="000000"/>
                <w:kern w:val="0"/>
                <w:sz w:val="24"/>
              </w:rPr>
            </w:pPr>
            <w:r>
              <w:rPr>
                <w:color w:val="000000"/>
                <w:sz w:val="24"/>
              </w:rPr>
              <w:t>规划情况</w:t>
            </w:r>
          </w:p>
        </w:tc>
        <w:tc>
          <w:tcPr>
            <w:tcW w:w="8524" w:type="dxa"/>
            <w:gridSpan w:val="3"/>
            <w:noWrap w:val="0"/>
            <w:vAlign w:val="center"/>
          </w:tcPr>
          <w:p w14:paraId="20B9DD5A">
            <w:pPr>
              <w:pStyle w:val="95"/>
              <w:spacing w:line="360" w:lineRule="auto"/>
              <w:ind w:firstLine="480" w:firstLineChars="200"/>
              <w:rPr>
                <w:rFonts w:hint="eastAsia"/>
                <w:color w:val="000000"/>
                <w:sz w:val="24"/>
              </w:rPr>
            </w:pPr>
            <w:r>
              <w:rPr>
                <w:rFonts w:hint="eastAsia"/>
                <w:color w:val="000000"/>
                <w:sz w:val="24"/>
              </w:rPr>
              <w:t>①规划名称：四川平昌经济开发区；</w:t>
            </w:r>
          </w:p>
          <w:p w14:paraId="64C0D34D">
            <w:pPr>
              <w:pStyle w:val="95"/>
              <w:spacing w:line="360" w:lineRule="auto"/>
              <w:ind w:firstLine="480" w:firstLineChars="200"/>
              <w:rPr>
                <w:rFonts w:hint="eastAsia"/>
                <w:color w:val="000000"/>
                <w:sz w:val="24"/>
              </w:rPr>
            </w:pPr>
            <w:r>
              <w:rPr>
                <w:rFonts w:hint="eastAsia"/>
                <w:color w:val="000000"/>
                <w:sz w:val="24"/>
              </w:rPr>
              <w:t>②规划审批机关：四川省生态环境厅；</w:t>
            </w:r>
          </w:p>
          <w:p w14:paraId="7EFDB28F">
            <w:pPr>
              <w:pStyle w:val="95"/>
              <w:spacing w:line="360" w:lineRule="auto"/>
              <w:ind w:firstLine="480" w:firstLineChars="200"/>
              <w:rPr>
                <w:rFonts w:hint="default" w:ascii="Times New Roman" w:hAnsi="Times New Roman" w:eastAsia="宋体" w:cs="Times New Roman"/>
                <w:color w:val="000000"/>
                <w:lang w:eastAsia="zh-CN"/>
              </w:rPr>
            </w:pPr>
            <w:r>
              <w:rPr>
                <w:rFonts w:hint="eastAsia"/>
                <w:color w:val="000000"/>
                <w:sz w:val="24"/>
              </w:rPr>
              <w:t>③审查文件名及文号：《关于设立四川蒲江经济开发区等64家省级开发区的批复》（川府函〔2019〕20号）。</w:t>
            </w:r>
          </w:p>
        </w:tc>
      </w:tr>
      <w:tr w14:paraId="475DD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1" w:hRule="atLeast"/>
          <w:jc w:val="center"/>
        </w:trPr>
        <w:tc>
          <w:tcPr>
            <w:tcW w:w="1202" w:type="dxa"/>
            <w:noWrap w:val="0"/>
            <w:vAlign w:val="center"/>
          </w:tcPr>
          <w:p w14:paraId="57B6042E">
            <w:pPr>
              <w:adjustRightInd w:val="0"/>
              <w:snapToGrid w:val="0"/>
              <w:jc w:val="center"/>
              <w:rPr>
                <w:color w:val="000000"/>
                <w:sz w:val="24"/>
              </w:rPr>
            </w:pPr>
            <w:r>
              <w:rPr>
                <w:color w:val="000000"/>
                <w:sz w:val="24"/>
              </w:rPr>
              <w:t>规划环境影响</w:t>
            </w:r>
          </w:p>
          <w:p w14:paraId="4BD7A1AC">
            <w:pPr>
              <w:adjustRightInd w:val="0"/>
              <w:snapToGrid w:val="0"/>
              <w:jc w:val="center"/>
              <w:rPr>
                <w:rFonts w:hint="default" w:ascii="Times New Roman" w:hAnsi="Times New Roman" w:cs="Times New Roman"/>
                <w:color w:val="000000"/>
                <w:kern w:val="0"/>
                <w:sz w:val="24"/>
              </w:rPr>
            </w:pPr>
            <w:r>
              <w:rPr>
                <w:color w:val="000000"/>
                <w:sz w:val="24"/>
              </w:rPr>
              <w:t>评价情况</w:t>
            </w:r>
          </w:p>
        </w:tc>
        <w:tc>
          <w:tcPr>
            <w:tcW w:w="8524" w:type="dxa"/>
            <w:gridSpan w:val="3"/>
            <w:noWrap w:val="0"/>
            <w:vAlign w:val="center"/>
          </w:tcPr>
          <w:p w14:paraId="43AD4777">
            <w:pPr>
              <w:pStyle w:val="106"/>
              <w:spacing w:before="127" w:line="360" w:lineRule="auto"/>
              <w:ind w:right="196" w:firstLine="476" w:firstLineChars="200"/>
              <w:rPr>
                <w:b w:val="0"/>
                <w:bCs w:val="0"/>
              </w:rPr>
            </w:pPr>
            <w:r>
              <w:rPr>
                <w:b w:val="0"/>
                <w:bCs w:val="0"/>
                <w:spacing w:val="-1"/>
              </w:rPr>
              <w:t>①规划环境影响评价文件名称：《四川平昌经济开发区规</w:t>
            </w:r>
            <w:r>
              <w:rPr>
                <w:b w:val="0"/>
                <w:bCs w:val="0"/>
                <w:spacing w:val="-2"/>
              </w:rPr>
              <w:t>划修编环境影响报告书》；</w:t>
            </w:r>
          </w:p>
          <w:p w14:paraId="4DC91B18">
            <w:pPr>
              <w:pStyle w:val="88"/>
              <w:spacing w:line="360" w:lineRule="auto"/>
              <w:ind w:firstLine="472" w:firstLineChars="200"/>
              <w:rPr>
                <w:rFonts w:hint="eastAsia"/>
                <w:color w:val="000000"/>
              </w:rPr>
            </w:pPr>
            <w:r>
              <w:rPr>
                <w:b w:val="0"/>
                <w:bCs w:val="0"/>
                <w:spacing w:val="-2"/>
              </w:rPr>
              <w:t>②审查机关：</w:t>
            </w:r>
            <w:r>
              <w:rPr>
                <w:spacing w:val="-2"/>
              </w:rPr>
              <w:t>四川省生态环境厅</w:t>
            </w:r>
            <w:r>
              <w:rPr>
                <w:rFonts w:hint="eastAsia"/>
                <w:color w:val="000000"/>
              </w:rPr>
              <w:t>。</w:t>
            </w:r>
          </w:p>
          <w:p w14:paraId="1B44500B">
            <w:pPr>
              <w:pStyle w:val="88"/>
              <w:spacing w:line="360" w:lineRule="auto"/>
              <w:ind w:firstLine="480" w:firstLineChars="200"/>
              <w:rPr>
                <w:rFonts w:hint="default" w:ascii="Times New Roman" w:hAnsi="Times New Roman" w:eastAsia="宋体" w:cs="Times New Roman"/>
                <w:color w:val="000000"/>
                <w:lang w:eastAsia="zh-CN"/>
              </w:rPr>
            </w:pPr>
            <w:r>
              <w:rPr>
                <w:rFonts w:hint="default" w:ascii="Times New Roman" w:hAnsi="Times New Roman" w:eastAsia="宋体" w:cs="Times New Roman"/>
                <w:color w:val="000000"/>
                <w:lang w:eastAsia="zh-CN"/>
              </w:rPr>
              <w:t>③审查文件名称及文号：四川省生态环境厅关于印发《四川平昌经济开发区规划修编环境影响报告书》审查意见的函（川环建函〔2023〕17 号）。</w:t>
            </w:r>
          </w:p>
        </w:tc>
      </w:tr>
      <w:tr w14:paraId="426D9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2" w:type="dxa"/>
            <w:noWrap w:val="0"/>
            <w:vAlign w:val="center"/>
          </w:tcPr>
          <w:p w14:paraId="4EE30DC6">
            <w:pPr>
              <w:autoSpaceDE w:val="0"/>
              <w:autoSpaceDN w:val="0"/>
              <w:adjustRightInd w:val="0"/>
              <w:snapToGrid w:val="0"/>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规划及规划环境影响评价符合性分析</w:t>
            </w:r>
          </w:p>
        </w:tc>
        <w:tc>
          <w:tcPr>
            <w:tcW w:w="8524" w:type="dxa"/>
            <w:gridSpan w:val="3"/>
            <w:noWrap w:val="0"/>
            <w:vAlign w:val="center"/>
          </w:tcPr>
          <w:p w14:paraId="42E251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1、规划及规划环境影响评价符合性分析</w:t>
            </w:r>
          </w:p>
          <w:p w14:paraId="715897D4">
            <w:pPr>
              <w:pStyle w:val="106"/>
              <w:keepNext w:val="0"/>
              <w:keepLines w:val="0"/>
              <w:pageBreakBefore w:val="0"/>
              <w:widowControl w:val="0"/>
              <w:kinsoku/>
              <w:wordWrap/>
              <w:overflowPunct/>
              <w:topLinePunct w:val="0"/>
              <w:autoSpaceDE/>
              <w:autoSpaceDN/>
              <w:bidi w:val="0"/>
              <w:adjustRightInd/>
              <w:snapToGrid/>
              <w:spacing w:line="360" w:lineRule="auto"/>
              <w:ind w:left="113" w:right="40" w:firstLine="476"/>
              <w:jc w:val="both"/>
              <w:textAlignment w:val="auto"/>
              <w:rPr>
                <w:rFonts w:hint="eastAsia" w:ascii="Times New Roman" w:hAnsi="Times New Roman" w:eastAsia="宋体" w:cs="Times New Roman"/>
                <w:b/>
                <w:bCs/>
                <w:spacing w:val="1"/>
                <w:lang w:eastAsia="zh-CN"/>
              </w:rPr>
            </w:pPr>
            <w:r>
              <w:rPr>
                <w:rFonts w:hint="eastAsia" w:ascii="Times New Roman" w:hAnsi="Times New Roman" w:eastAsia="宋体" w:cs="Times New Roman"/>
                <w:b/>
                <w:bCs/>
                <w:spacing w:val="1"/>
                <w:lang w:eastAsia="zh-CN"/>
              </w:rPr>
              <w:t>（</w:t>
            </w:r>
            <w:r>
              <w:rPr>
                <w:rFonts w:hint="eastAsia" w:ascii="Times New Roman" w:hAnsi="Times New Roman" w:eastAsia="宋体" w:cs="Times New Roman"/>
                <w:b/>
                <w:bCs/>
                <w:spacing w:val="1"/>
                <w:lang w:val="en-US" w:eastAsia="zh-CN"/>
              </w:rPr>
              <w:t>1</w:t>
            </w:r>
            <w:r>
              <w:rPr>
                <w:rFonts w:hint="eastAsia" w:ascii="Times New Roman" w:hAnsi="Times New Roman" w:eastAsia="宋体" w:cs="Times New Roman"/>
                <w:b/>
                <w:bCs/>
                <w:spacing w:val="1"/>
                <w:lang w:eastAsia="zh-CN"/>
              </w:rPr>
              <w:t>）四川平昌经济开发区概况</w:t>
            </w:r>
          </w:p>
          <w:p w14:paraId="23E418F2">
            <w:pPr>
              <w:pStyle w:val="106"/>
              <w:keepNext w:val="0"/>
              <w:keepLines w:val="0"/>
              <w:pageBreakBefore w:val="0"/>
              <w:widowControl w:val="0"/>
              <w:kinsoku/>
              <w:wordWrap/>
              <w:overflowPunct/>
              <w:topLinePunct w:val="0"/>
              <w:autoSpaceDE/>
              <w:autoSpaceDN/>
              <w:bidi w:val="0"/>
              <w:adjustRightInd/>
              <w:snapToGrid/>
              <w:spacing w:line="360" w:lineRule="auto"/>
              <w:ind w:left="113" w:right="40" w:firstLine="476"/>
              <w:jc w:val="both"/>
              <w:textAlignment w:val="auto"/>
            </w:pPr>
            <w:r>
              <w:rPr>
                <w:rFonts w:ascii="Times New Roman" w:hAnsi="Times New Roman" w:eastAsia="Times New Roman" w:cs="Times New Roman"/>
                <w:spacing w:val="1"/>
              </w:rPr>
              <w:t xml:space="preserve">2012 </w:t>
            </w:r>
            <w:r>
              <w:rPr>
                <w:spacing w:val="1"/>
              </w:rPr>
              <w:t>年，平昌县人民政府批准成立平昌经济开发区，后更名为四川平昌经济开发区（以下简称经开区）。</w:t>
            </w:r>
            <w:r>
              <w:rPr>
                <w:rFonts w:ascii="Times New Roman" w:hAnsi="Times New Roman" w:eastAsia="Times New Roman" w:cs="Times New Roman"/>
                <w:spacing w:val="1"/>
              </w:rPr>
              <w:t xml:space="preserve">2014 </w:t>
            </w:r>
            <w:r>
              <w:rPr>
                <w:spacing w:val="1"/>
              </w:rPr>
              <w:t>年，平昌县人</w:t>
            </w:r>
            <w:r>
              <w:rPr>
                <w:spacing w:val="-3"/>
              </w:rPr>
              <w:t>民政府组织编制了《四川省平昌县经济开发区控制性详细规划》，</w:t>
            </w:r>
            <w:r>
              <w:rPr>
                <w:spacing w:val="3"/>
              </w:rPr>
              <w:t>同年开展了规划环评，取得了原四川省环境保护厅审查意见（川</w:t>
            </w:r>
            <w:r>
              <w:t>环建函〔</w:t>
            </w:r>
            <w:r>
              <w:rPr>
                <w:rFonts w:ascii="Times New Roman" w:hAnsi="Times New Roman" w:eastAsia="Times New Roman" w:cs="Times New Roman"/>
              </w:rPr>
              <w:t>2014</w:t>
            </w:r>
            <w:r>
              <w:t>〕</w:t>
            </w:r>
            <w:r>
              <w:rPr>
                <w:rFonts w:ascii="Times New Roman" w:hAnsi="Times New Roman" w:eastAsia="Times New Roman" w:cs="Times New Roman"/>
              </w:rPr>
              <w:t>267</w:t>
            </w:r>
            <w:r>
              <w:rPr>
                <w:rFonts w:ascii="Times New Roman" w:hAnsi="Times New Roman" w:eastAsia="Times New Roman" w:cs="Times New Roman"/>
                <w:spacing w:val="27"/>
                <w:w w:val="101"/>
              </w:rPr>
              <w:t xml:space="preserve"> </w:t>
            </w:r>
            <w:r>
              <w:t>号）。经开区于</w:t>
            </w:r>
            <w:r>
              <w:rPr>
                <w:spacing w:val="-53"/>
              </w:rPr>
              <w:t xml:space="preserve"> </w:t>
            </w:r>
            <w:r>
              <w:rPr>
                <w:rFonts w:ascii="Times New Roman" w:hAnsi="Times New Roman" w:eastAsia="Times New Roman" w:cs="Times New Roman"/>
              </w:rPr>
              <w:t xml:space="preserve">2019 </w:t>
            </w:r>
            <w:r>
              <w:t>年经省政府批复为省级</w:t>
            </w:r>
            <w:r>
              <w:rPr>
                <w:spacing w:val="-1"/>
              </w:rPr>
              <w:t>开发区，</w:t>
            </w:r>
            <w:r>
              <w:rPr>
                <w:rFonts w:ascii="Times New Roman" w:hAnsi="Times New Roman" w:eastAsia="Times New Roman" w:cs="Times New Roman"/>
                <w:spacing w:val="-1"/>
              </w:rPr>
              <w:t xml:space="preserve">2022 </w:t>
            </w:r>
            <w:r>
              <w:rPr>
                <w:spacing w:val="-1"/>
              </w:rPr>
              <w:t>年完成了规划环评跟踪评价工作。</w:t>
            </w:r>
          </w:p>
          <w:p w14:paraId="3484F641">
            <w:pPr>
              <w:pStyle w:val="106"/>
              <w:spacing w:before="5" w:line="360" w:lineRule="auto"/>
              <w:ind w:left="112" w:right="41" w:firstLine="474"/>
              <w:jc w:val="both"/>
              <w:rPr>
                <w:spacing w:val="-1"/>
              </w:rPr>
            </w:pPr>
            <w:r>
              <w:rPr>
                <w:rFonts w:ascii="Times New Roman" w:hAnsi="Times New Roman" w:eastAsia="Times New Roman" w:cs="Times New Roman"/>
                <w:spacing w:val="-4"/>
              </w:rPr>
              <w:t xml:space="preserve">2022 </w:t>
            </w:r>
            <w:r>
              <w:rPr>
                <w:spacing w:val="-4"/>
              </w:rPr>
              <w:t>年</w:t>
            </w:r>
            <w:r>
              <w:rPr>
                <w:spacing w:val="-32"/>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5"/>
              </w:rPr>
              <w:t xml:space="preserve"> </w:t>
            </w:r>
            <w:r>
              <w:rPr>
                <w:spacing w:val="-4"/>
              </w:rPr>
              <w:t>月，经平昌县人民政府同意，经开区组织</w:t>
            </w:r>
            <w:r>
              <w:rPr>
                <w:spacing w:val="-5"/>
              </w:rPr>
              <w:t>了规划修</w:t>
            </w:r>
            <w:r>
              <w:rPr>
                <w:spacing w:val="-4"/>
              </w:rPr>
              <w:t>编，其规划修编环评于</w:t>
            </w:r>
            <w:r>
              <w:rPr>
                <w:spacing w:val="-55"/>
              </w:rPr>
              <w:t xml:space="preserve"> </w:t>
            </w:r>
            <w:r>
              <w:rPr>
                <w:rFonts w:ascii="Times New Roman" w:hAnsi="Times New Roman" w:eastAsia="Times New Roman" w:cs="Times New Roman"/>
                <w:spacing w:val="-4"/>
              </w:rPr>
              <w:t xml:space="preserve">2023 </w:t>
            </w:r>
            <w:r>
              <w:rPr>
                <w:spacing w:val="-4"/>
              </w:rPr>
              <w:t>年</w:t>
            </w:r>
            <w:r>
              <w:rPr>
                <w:spacing w:val="-4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5"/>
                <w:w w:val="101"/>
              </w:rPr>
              <w:t xml:space="preserve"> </w:t>
            </w:r>
            <w:r>
              <w:rPr>
                <w:spacing w:val="-4"/>
              </w:rPr>
              <w:t>月</w:t>
            </w:r>
            <w:r>
              <w:rPr>
                <w:spacing w:val="-55"/>
              </w:rPr>
              <w:t xml:space="preserve"> </w:t>
            </w:r>
            <w:r>
              <w:rPr>
                <w:rFonts w:ascii="Times New Roman" w:hAnsi="Times New Roman" w:eastAsia="Times New Roman" w:cs="Times New Roman"/>
                <w:spacing w:val="-4"/>
              </w:rPr>
              <w:t xml:space="preserve">22  </w:t>
            </w:r>
            <w:r>
              <w:rPr>
                <w:spacing w:val="-4"/>
              </w:rPr>
              <w:t>日取得《关于印发</w:t>
            </w:r>
            <w:r>
              <w:rPr>
                <w:rFonts w:ascii="Times New Roman" w:hAnsi="Times New Roman" w:eastAsia="Times New Roman" w:cs="Times New Roman"/>
                <w:spacing w:val="-4"/>
              </w:rPr>
              <w:t>&lt;</w:t>
            </w:r>
            <w:r>
              <w:rPr>
                <w:spacing w:val="-4"/>
              </w:rPr>
              <w:t>四</w:t>
            </w:r>
            <w:r>
              <w:rPr>
                <w:spacing w:val="-5"/>
              </w:rPr>
              <w:t>川平</w:t>
            </w:r>
            <w:r>
              <w:rPr>
                <w:spacing w:val="-2"/>
              </w:rPr>
              <w:t>昌经济开发区规划修编环境影响报告书</w:t>
            </w:r>
            <w:r>
              <w:rPr>
                <w:rFonts w:ascii="Times New Roman" w:hAnsi="Times New Roman" w:eastAsia="Times New Roman" w:cs="Times New Roman"/>
                <w:spacing w:val="-2"/>
              </w:rPr>
              <w:t>&gt;</w:t>
            </w:r>
            <w:r>
              <w:rPr>
                <w:spacing w:val="-2"/>
              </w:rPr>
              <w:t>审查意见的函》（川环建</w:t>
            </w:r>
            <w:r>
              <w:rPr>
                <w:spacing w:val="-7"/>
              </w:rPr>
              <w:t>函〔</w:t>
            </w:r>
            <w:r>
              <w:rPr>
                <w:rFonts w:ascii="Times New Roman" w:hAnsi="Times New Roman" w:eastAsia="Times New Roman" w:cs="Times New Roman"/>
                <w:spacing w:val="-7"/>
              </w:rPr>
              <w:t>2023</w:t>
            </w:r>
            <w:r>
              <w:rPr>
                <w:spacing w:val="-7"/>
              </w:rPr>
              <w:t>〕</w:t>
            </w:r>
            <w:r>
              <w:rPr>
                <w:rFonts w:ascii="Times New Roman" w:hAnsi="Times New Roman" w:eastAsia="Times New Roman" w:cs="Times New Roman"/>
                <w:spacing w:val="-7"/>
              </w:rPr>
              <w:t>17</w:t>
            </w:r>
            <w:r>
              <w:rPr>
                <w:rFonts w:ascii="Times New Roman" w:hAnsi="Times New Roman" w:eastAsia="Times New Roman" w:cs="Times New Roman"/>
                <w:spacing w:val="15"/>
              </w:rPr>
              <w:t xml:space="preserve"> </w:t>
            </w:r>
            <w:r>
              <w:rPr>
                <w:spacing w:val="-7"/>
              </w:rPr>
              <w:t>号）。修编后，平昌经开区规划总面积</w:t>
            </w:r>
            <w:r>
              <w:rPr>
                <w:spacing w:val="-52"/>
              </w:rPr>
              <w:t xml:space="preserve"> </w:t>
            </w:r>
            <w:r>
              <w:rPr>
                <w:rFonts w:ascii="Times New Roman" w:hAnsi="Times New Roman" w:eastAsia="Times New Roman" w:cs="Times New Roman"/>
                <w:spacing w:val="-7"/>
              </w:rPr>
              <w:t>746.42</w:t>
            </w:r>
            <w:r>
              <w:rPr>
                <w:rFonts w:ascii="Times New Roman" w:hAnsi="Times New Roman" w:eastAsia="Times New Roman" w:cs="Times New Roman"/>
                <w:spacing w:val="17"/>
                <w:w w:val="101"/>
              </w:rPr>
              <w:t xml:space="preserve"> </w:t>
            </w:r>
            <w:r>
              <w:rPr>
                <w:spacing w:val="-7"/>
              </w:rPr>
              <w:t>公顷，</w:t>
            </w:r>
            <w:r>
              <w:rPr>
                <w:spacing w:val="3"/>
              </w:rPr>
              <w:t>主导产业为机械、食品饮料及能源，协同发展化工。辖星光机械制造产业园、金宝食品饮料产业园、驷马清洁能源产业园和托管</w:t>
            </w:r>
            <w:r>
              <w:rPr>
                <w:spacing w:val="-1"/>
              </w:rPr>
              <w:t>的平昌石龙门化工园区。</w:t>
            </w:r>
          </w:p>
          <w:p w14:paraId="5D673EF1">
            <w:pPr>
              <w:pStyle w:val="106"/>
              <w:spacing w:before="5" w:line="360" w:lineRule="auto"/>
              <w:ind w:left="112" w:right="41" w:firstLine="474"/>
              <w:jc w:val="both"/>
              <w:rPr>
                <w:rFonts w:hint="eastAsia" w:eastAsia="宋体"/>
                <w:b/>
                <w:bCs/>
                <w:spacing w:val="-1"/>
                <w:lang w:eastAsia="zh-CN"/>
              </w:rPr>
            </w:pPr>
            <w:r>
              <w:rPr>
                <w:rFonts w:hint="eastAsia"/>
                <w:b/>
                <w:bCs/>
                <w:spacing w:val="-1"/>
                <w:lang w:eastAsia="zh-CN"/>
              </w:rPr>
              <w:t>（</w:t>
            </w:r>
            <w:r>
              <w:rPr>
                <w:rFonts w:hint="eastAsia"/>
                <w:b/>
                <w:bCs/>
                <w:spacing w:val="-1"/>
                <w:lang w:val="en-US" w:eastAsia="zh-CN"/>
              </w:rPr>
              <w:t>2</w:t>
            </w:r>
            <w:r>
              <w:rPr>
                <w:rFonts w:hint="eastAsia"/>
                <w:b/>
                <w:bCs/>
                <w:spacing w:val="-1"/>
                <w:lang w:eastAsia="zh-CN"/>
              </w:rPr>
              <w:t>）与四川平昌经济开发区的符合性分析</w:t>
            </w:r>
          </w:p>
          <w:p w14:paraId="7E096668">
            <w:pPr>
              <w:spacing w:line="360" w:lineRule="auto"/>
              <w:ind w:firstLine="480" w:firstLineChars="200"/>
              <w:rPr>
                <w:color w:val="000000"/>
                <w:sz w:val="24"/>
              </w:rPr>
            </w:pPr>
            <w:r>
              <w:rPr>
                <w:rFonts w:hint="eastAsia"/>
                <w:color w:val="000000"/>
                <w:sz w:val="24"/>
              </w:rPr>
              <w:t>经查阅《四川平昌经济开发区规划修编环境影响报告书》，园区入园要求如下表所示：</w:t>
            </w:r>
          </w:p>
          <w:p w14:paraId="440FA9DC">
            <w:pPr>
              <w:pStyle w:val="12"/>
              <w:numPr>
                <w:ilvl w:val="0"/>
                <w:numId w:val="4"/>
              </w:numPr>
              <w:ind w:left="0" w:leftChars="0" w:firstLine="420" w:firstLineChars="0"/>
              <w:jc w:val="center"/>
              <w:rPr>
                <w:rFonts w:hint="eastAsia"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 xml:space="preserve"> 项目与四川平昌经济开发区的符合性分析</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4336"/>
              <w:gridCol w:w="3061"/>
            </w:tblGrid>
            <w:tr w14:paraId="4F5A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noWrap w:val="0"/>
                  <w:vAlign w:val="center"/>
                </w:tcPr>
                <w:p w14:paraId="19FC4BBE">
                  <w:pPr>
                    <w:widowControl/>
                    <w:jc w:val="center"/>
                    <w:rPr>
                      <w:b/>
                      <w:color w:val="000000"/>
                    </w:rPr>
                  </w:pPr>
                  <w:r>
                    <w:rPr>
                      <w:b/>
                      <w:color w:val="000000"/>
                    </w:rPr>
                    <w:t>类别</w:t>
                  </w:r>
                </w:p>
              </w:tc>
              <w:tc>
                <w:tcPr>
                  <w:tcW w:w="2612" w:type="pct"/>
                  <w:noWrap w:val="0"/>
                  <w:vAlign w:val="center"/>
                </w:tcPr>
                <w:p w14:paraId="0EE9C8A2">
                  <w:pPr>
                    <w:widowControl/>
                    <w:jc w:val="center"/>
                    <w:rPr>
                      <w:b/>
                      <w:color w:val="000000"/>
                    </w:rPr>
                  </w:pPr>
                  <w:r>
                    <w:rPr>
                      <w:b/>
                      <w:color w:val="000000"/>
                    </w:rPr>
                    <w:t>行业</w:t>
                  </w:r>
                </w:p>
              </w:tc>
              <w:tc>
                <w:tcPr>
                  <w:tcW w:w="1844" w:type="pct"/>
                  <w:noWrap w:val="0"/>
                  <w:vAlign w:val="center"/>
                </w:tcPr>
                <w:p w14:paraId="062E33BB">
                  <w:pPr>
                    <w:widowControl/>
                    <w:jc w:val="center"/>
                    <w:rPr>
                      <w:b/>
                      <w:color w:val="000000"/>
                    </w:rPr>
                  </w:pPr>
                  <w:r>
                    <w:rPr>
                      <w:b/>
                      <w:color w:val="000000"/>
                    </w:rPr>
                    <w:t>项目情况</w:t>
                  </w:r>
                </w:p>
              </w:tc>
            </w:tr>
            <w:tr w14:paraId="10F2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noWrap w:val="0"/>
                  <w:vAlign w:val="top"/>
                </w:tcPr>
                <w:p w14:paraId="6A9E0D8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78864A1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4FA7BC5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4111824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65F13F74">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5130A1D4">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66188F69">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08D9C5B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3B40860E">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6FBA711B">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3544AD3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pacing w:val="6"/>
                      <w:sz w:val="21"/>
                      <w:szCs w:val="21"/>
                    </w:rPr>
                    <w:t>禁止和</w:t>
                  </w:r>
                </w:p>
                <w:p w14:paraId="2B1EC81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pacing w:val="2"/>
                      <w:sz w:val="21"/>
                      <w:szCs w:val="21"/>
                    </w:rPr>
                    <w:t>限制入</w:t>
                  </w:r>
                </w:p>
                <w:p w14:paraId="7055E2A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color w:val="000000"/>
                      <w:sz w:val="21"/>
                      <w:szCs w:val="21"/>
                    </w:rPr>
                  </w:pPr>
                  <w:r>
                    <w:rPr>
                      <w:rFonts w:hint="default" w:ascii="Times New Roman" w:hAnsi="Times New Roman" w:cs="Times New Roman"/>
                      <w:sz w:val="21"/>
                      <w:szCs w:val="21"/>
                    </w:rPr>
                    <w:t>园</w:t>
                  </w:r>
                </w:p>
              </w:tc>
              <w:tc>
                <w:tcPr>
                  <w:tcW w:w="2612" w:type="pct"/>
                  <w:noWrap w:val="0"/>
                  <w:vAlign w:val="top"/>
                </w:tcPr>
                <w:p w14:paraId="59A9992D">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default" w:ascii="Times New Roman" w:hAnsi="Times New Roman" w:cs="Times New Roman"/>
                      <w:sz w:val="21"/>
                      <w:szCs w:val="21"/>
                    </w:rPr>
                  </w:pPr>
                </w:p>
                <w:p w14:paraId="0AA672EB">
                  <w:pPr>
                    <w:pStyle w:val="106"/>
                    <w:keepNext w:val="0"/>
                    <w:keepLines w:val="0"/>
                    <w:pageBreakBefore w:val="0"/>
                    <w:widowControl w:val="0"/>
                    <w:kinsoku/>
                    <w:wordWrap/>
                    <w:overflowPunct/>
                    <w:topLinePunct w:val="0"/>
                    <w:autoSpaceDE/>
                    <w:autoSpaceDN/>
                    <w:bidi w:val="0"/>
                    <w:adjustRightInd/>
                    <w:snapToGrid/>
                    <w:spacing w:line="240" w:lineRule="auto"/>
                    <w:ind w:right="0"/>
                    <w:textAlignment w:val="auto"/>
                    <w:rPr>
                      <w:rFonts w:hint="default" w:ascii="Times New Roman" w:hAnsi="Times New Roman" w:cs="Times New Roman"/>
                      <w:sz w:val="21"/>
                      <w:szCs w:val="21"/>
                    </w:rPr>
                  </w:pPr>
                  <w:r>
                    <w:rPr>
                      <w:rFonts w:hint="default" w:ascii="Times New Roman" w:hAnsi="Times New Roman" w:cs="Times New Roman"/>
                      <w:spacing w:val="7"/>
                      <w:sz w:val="21"/>
                      <w:szCs w:val="21"/>
                    </w:rPr>
                    <w:t>（</w:t>
                  </w:r>
                  <w:r>
                    <w:rPr>
                      <w:rFonts w:hint="default" w:ascii="Times New Roman" w:hAnsi="Times New Roman" w:eastAsia="Times New Roman" w:cs="Times New Roman"/>
                      <w:spacing w:val="7"/>
                      <w:sz w:val="21"/>
                      <w:szCs w:val="21"/>
                    </w:rPr>
                    <w:t>1</w:t>
                  </w:r>
                  <w:r>
                    <w:rPr>
                      <w:rFonts w:hint="default" w:ascii="Times New Roman" w:hAnsi="Times New Roman" w:cs="Times New Roman"/>
                      <w:spacing w:val="7"/>
                      <w:sz w:val="21"/>
                      <w:szCs w:val="21"/>
                    </w:rPr>
                    <w:t>）属于《产业结构调整指导目录（</w:t>
                  </w:r>
                  <w:r>
                    <w:rPr>
                      <w:rFonts w:hint="default" w:ascii="Times New Roman" w:hAnsi="Times New Roman" w:eastAsia="Times New Roman" w:cs="Times New Roman"/>
                      <w:spacing w:val="7"/>
                      <w:sz w:val="21"/>
                      <w:szCs w:val="21"/>
                    </w:rPr>
                    <w:t>2011</w:t>
                  </w:r>
                  <w:r>
                    <w:rPr>
                      <w:rFonts w:hint="default" w:ascii="Times New Roman" w:hAnsi="Times New Roman" w:cs="Times New Roman"/>
                      <w:spacing w:val="5"/>
                      <w:sz w:val="21"/>
                      <w:szCs w:val="21"/>
                    </w:rPr>
                    <w:t>年本）》中界定的限制类、淘汰类项目；不</w:t>
                  </w:r>
                  <w:r>
                    <w:rPr>
                      <w:rFonts w:hint="default" w:ascii="Times New Roman" w:hAnsi="Times New Roman" w:cs="Times New Roman"/>
                      <w:spacing w:val="8"/>
                      <w:sz w:val="21"/>
                      <w:szCs w:val="21"/>
                    </w:rPr>
                    <w:t>满足行业准入条件的项目；</w:t>
                  </w:r>
                </w:p>
                <w:p w14:paraId="058BEC2A">
                  <w:pPr>
                    <w:pStyle w:val="106"/>
                    <w:keepNext w:val="0"/>
                    <w:keepLines w:val="0"/>
                    <w:pageBreakBefore w:val="0"/>
                    <w:widowControl w:val="0"/>
                    <w:kinsoku/>
                    <w:wordWrap/>
                    <w:overflowPunct/>
                    <w:topLinePunct w:val="0"/>
                    <w:autoSpaceDE/>
                    <w:autoSpaceDN/>
                    <w:bidi w:val="0"/>
                    <w:adjustRightInd/>
                    <w:snapToGrid/>
                    <w:spacing w:line="240" w:lineRule="auto"/>
                    <w:ind w:right="0"/>
                    <w:textAlignment w:val="auto"/>
                    <w:rPr>
                      <w:rFonts w:hint="default" w:ascii="Times New Roman" w:hAnsi="Times New Roman" w:cs="Times New Roman"/>
                      <w:sz w:val="21"/>
                      <w:szCs w:val="21"/>
                    </w:rPr>
                  </w:pPr>
                  <w:r>
                    <w:rPr>
                      <w:rFonts w:hint="default" w:ascii="Times New Roman" w:hAnsi="Times New Roman" w:cs="Times New Roman"/>
                      <w:spacing w:val="6"/>
                      <w:sz w:val="21"/>
                      <w:szCs w:val="21"/>
                    </w:rPr>
                    <w:t>（</w:t>
                  </w:r>
                  <w:r>
                    <w:rPr>
                      <w:rFonts w:hint="default" w:ascii="Times New Roman" w:hAnsi="Times New Roman" w:eastAsia="Times New Roman" w:cs="Times New Roman"/>
                      <w:spacing w:val="6"/>
                      <w:sz w:val="21"/>
                      <w:szCs w:val="21"/>
                    </w:rPr>
                    <w:t>2</w:t>
                  </w:r>
                  <w:r>
                    <w:rPr>
                      <w:rFonts w:hint="default" w:ascii="Times New Roman" w:hAnsi="Times New Roman" w:cs="Times New Roman"/>
                      <w:spacing w:val="6"/>
                      <w:sz w:val="21"/>
                      <w:szCs w:val="21"/>
                    </w:rPr>
                    <w:t>）</w:t>
                  </w:r>
                  <w:r>
                    <w:rPr>
                      <w:rFonts w:hint="default" w:ascii="Times New Roman" w:hAnsi="Times New Roman" w:cs="Times New Roman"/>
                      <w:spacing w:val="-54"/>
                      <w:sz w:val="21"/>
                      <w:szCs w:val="21"/>
                    </w:rPr>
                    <w:t xml:space="preserve"> </w:t>
                  </w:r>
                  <w:r>
                    <w:rPr>
                      <w:rFonts w:hint="default" w:ascii="Times New Roman" w:hAnsi="Times New Roman" w:cs="Times New Roman"/>
                      <w:spacing w:val="6"/>
                      <w:sz w:val="21"/>
                      <w:szCs w:val="21"/>
                    </w:rPr>
                    <w:t>国家明令禁止的“十五小</w:t>
                  </w:r>
                  <w:r>
                    <w:rPr>
                      <w:rFonts w:hint="default" w:ascii="Times New Roman" w:hAnsi="Times New Roman" w:cs="Times New Roman"/>
                      <w:spacing w:val="-72"/>
                      <w:sz w:val="21"/>
                      <w:szCs w:val="21"/>
                    </w:rPr>
                    <w:t xml:space="preserve"> </w:t>
                  </w:r>
                  <w:r>
                    <w:rPr>
                      <w:rFonts w:hint="default" w:ascii="Times New Roman" w:hAnsi="Times New Roman" w:cs="Times New Roman"/>
                      <w:spacing w:val="6"/>
                      <w:sz w:val="21"/>
                      <w:szCs w:val="21"/>
                    </w:rPr>
                    <w:t>”、“新五</w:t>
                  </w:r>
                  <w:r>
                    <w:rPr>
                      <w:rFonts w:hint="default" w:ascii="Times New Roman" w:hAnsi="Times New Roman" w:cs="Times New Roman"/>
                      <w:spacing w:val="3"/>
                      <w:sz w:val="21"/>
                      <w:szCs w:val="21"/>
                    </w:rPr>
                    <w:t>小</w:t>
                  </w:r>
                  <w:r>
                    <w:rPr>
                      <w:rFonts w:hint="default" w:ascii="Times New Roman" w:hAnsi="Times New Roman" w:cs="Times New Roman"/>
                      <w:spacing w:val="-62"/>
                      <w:sz w:val="21"/>
                      <w:szCs w:val="21"/>
                    </w:rPr>
                    <w:t xml:space="preserve"> </w:t>
                  </w:r>
                  <w:r>
                    <w:rPr>
                      <w:rFonts w:hint="default" w:ascii="Times New Roman" w:hAnsi="Times New Roman" w:cs="Times New Roman"/>
                      <w:spacing w:val="3"/>
                      <w:sz w:val="21"/>
                      <w:szCs w:val="21"/>
                    </w:rPr>
                    <w:t>”企业及工艺设备落后、产品滞销、污染</w:t>
                  </w:r>
                  <w:r>
                    <w:rPr>
                      <w:rFonts w:hint="default" w:ascii="Times New Roman" w:hAnsi="Times New Roman" w:cs="Times New Roman"/>
                      <w:spacing w:val="6"/>
                      <w:sz w:val="21"/>
                      <w:szCs w:val="21"/>
                    </w:rPr>
                    <w:t>严重，且污染物不能进行有效治理的项目；</w:t>
                  </w:r>
                </w:p>
                <w:p w14:paraId="7430BCC4">
                  <w:pPr>
                    <w:pStyle w:val="106"/>
                    <w:keepNext w:val="0"/>
                    <w:keepLines w:val="0"/>
                    <w:pageBreakBefore w:val="0"/>
                    <w:widowControl w:val="0"/>
                    <w:kinsoku/>
                    <w:wordWrap/>
                    <w:overflowPunct/>
                    <w:topLinePunct w:val="0"/>
                    <w:autoSpaceDE/>
                    <w:autoSpaceDN/>
                    <w:bidi w:val="0"/>
                    <w:adjustRightInd/>
                    <w:snapToGrid/>
                    <w:spacing w:line="240" w:lineRule="auto"/>
                    <w:ind w:right="0"/>
                    <w:textAlignment w:val="auto"/>
                    <w:rPr>
                      <w:rFonts w:hint="default" w:ascii="Times New Roman" w:hAnsi="Times New Roman" w:cs="Times New Roman"/>
                      <w:sz w:val="21"/>
                      <w:szCs w:val="21"/>
                    </w:rPr>
                  </w:pPr>
                  <w:r>
                    <w:rPr>
                      <w:rFonts w:hint="default" w:ascii="Times New Roman" w:hAnsi="Times New Roman" w:cs="Times New Roman"/>
                      <w:spacing w:val="9"/>
                      <w:sz w:val="21"/>
                      <w:szCs w:val="21"/>
                    </w:rPr>
                    <w:t>（</w:t>
                  </w:r>
                  <w:r>
                    <w:rPr>
                      <w:rFonts w:hint="default" w:ascii="Times New Roman" w:hAnsi="Times New Roman" w:eastAsia="Times New Roman" w:cs="Times New Roman"/>
                      <w:spacing w:val="9"/>
                      <w:sz w:val="21"/>
                      <w:szCs w:val="21"/>
                    </w:rPr>
                    <w:t>3</w:t>
                  </w:r>
                  <w:r>
                    <w:rPr>
                      <w:rFonts w:hint="default" w:ascii="Times New Roman" w:hAnsi="Times New Roman" w:cs="Times New Roman"/>
                      <w:spacing w:val="9"/>
                      <w:sz w:val="21"/>
                      <w:szCs w:val="21"/>
                    </w:rPr>
                    <w:t>）技术落后，项目清洁生产水平不能达</w:t>
                  </w:r>
                  <w:r>
                    <w:rPr>
                      <w:rFonts w:hint="default" w:ascii="Times New Roman" w:hAnsi="Times New Roman" w:cs="Times New Roman"/>
                      <w:spacing w:val="16"/>
                      <w:sz w:val="21"/>
                      <w:szCs w:val="21"/>
                    </w:rPr>
                    <w:t>到行业清洁生产标准二级标准要求或低于全国同类企业平均水平清洁生产水平的项</w:t>
                  </w:r>
                  <w:r>
                    <w:rPr>
                      <w:rFonts w:hint="default" w:ascii="Times New Roman" w:hAnsi="Times New Roman" w:cs="Times New Roman"/>
                      <w:sz w:val="21"/>
                      <w:szCs w:val="21"/>
                    </w:rPr>
                    <w:t>目；</w:t>
                  </w:r>
                </w:p>
                <w:p w14:paraId="25020813">
                  <w:pPr>
                    <w:pStyle w:val="106"/>
                    <w:keepNext w:val="0"/>
                    <w:keepLines w:val="0"/>
                    <w:pageBreakBefore w:val="0"/>
                    <w:widowControl w:val="0"/>
                    <w:kinsoku/>
                    <w:wordWrap/>
                    <w:overflowPunct/>
                    <w:topLinePunct w:val="0"/>
                    <w:autoSpaceDE/>
                    <w:autoSpaceDN/>
                    <w:bidi w:val="0"/>
                    <w:adjustRightInd/>
                    <w:snapToGrid/>
                    <w:spacing w:line="240" w:lineRule="auto"/>
                    <w:ind w:right="0"/>
                    <w:textAlignment w:val="auto"/>
                    <w:rPr>
                      <w:rFonts w:hint="default" w:ascii="Times New Roman" w:hAnsi="Times New Roman" w:cs="Times New Roman"/>
                      <w:sz w:val="21"/>
                      <w:szCs w:val="21"/>
                    </w:rPr>
                  </w:pPr>
                  <w:r>
                    <w:rPr>
                      <w:rFonts w:hint="default" w:ascii="Times New Roman" w:hAnsi="Times New Roman" w:cs="Times New Roman"/>
                      <w:spacing w:val="9"/>
                      <w:sz w:val="21"/>
                      <w:szCs w:val="21"/>
                    </w:rPr>
                    <w:t>（</w:t>
                  </w:r>
                  <w:r>
                    <w:rPr>
                      <w:rFonts w:hint="default" w:ascii="Times New Roman" w:hAnsi="Times New Roman" w:eastAsia="Times New Roman" w:cs="Times New Roman"/>
                      <w:spacing w:val="9"/>
                      <w:sz w:val="21"/>
                      <w:szCs w:val="21"/>
                    </w:rPr>
                    <w:t>4</w:t>
                  </w:r>
                  <w:r>
                    <w:rPr>
                      <w:rFonts w:hint="default" w:ascii="Times New Roman" w:hAnsi="Times New Roman" w:cs="Times New Roman"/>
                      <w:spacing w:val="9"/>
                      <w:sz w:val="21"/>
                      <w:szCs w:val="21"/>
                    </w:rPr>
                    <w:t>）禁止单纯新增产能的白酒生产线和酒</w:t>
                  </w:r>
                  <w:r>
                    <w:rPr>
                      <w:rFonts w:hint="default" w:ascii="Times New Roman" w:hAnsi="Times New Roman" w:cs="Times New Roman"/>
                      <w:spacing w:val="5"/>
                      <w:sz w:val="21"/>
                      <w:szCs w:val="21"/>
                    </w:rPr>
                    <w:t>精生产线；</w:t>
                  </w:r>
                </w:p>
                <w:p w14:paraId="63E45D14">
                  <w:pPr>
                    <w:pStyle w:val="106"/>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color w:val="000000"/>
                      <w:sz w:val="21"/>
                      <w:szCs w:val="21"/>
                    </w:rPr>
                  </w:pPr>
                  <w:r>
                    <w:rPr>
                      <w:rFonts w:hint="default" w:ascii="Times New Roman" w:hAnsi="Times New Roman" w:cs="Times New Roman"/>
                      <w:spacing w:val="2"/>
                      <w:sz w:val="21"/>
                      <w:szCs w:val="21"/>
                    </w:rPr>
                    <w:t>（</w:t>
                  </w:r>
                  <w:r>
                    <w:rPr>
                      <w:rFonts w:hint="default" w:ascii="Times New Roman" w:hAnsi="Times New Roman" w:eastAsia="Times New Roman" w:cs="Times New Roman"/>
                      <w:spacing w:val="2"/>
                      <w:sz w:val="21"/>
                      <w:szCs w:val="21"/>
                    </w:rPr>
                    <w:t>5</w:t>
                  </w:r>
                  <w:r>
                    <w:rPr>
                      <w:rFonts w:hint="default" w:ascii="Times New Roman" w:hAnsi="Times New Roman" w:cs="Times New Roman"/>
                      <w:spacing w:val="2"/>
                      <w:sz w:val="21"/>
                      <w:szCs w:val="21"/>
                    </w:rPr>
                    <w:t>）禁止重污染型企业。包括电镀、皮革、</w:t>
                  </w:r>
                  <w:r>
                    <w:rPr>
                      <w:rFonts w:hint="default" w:ascii="Times New Roman" w:hAnsi="Times New Roman" w:cs="Times New Roman"/>
                      <w:spacing w:val="5"/>
                      <w:sz w:val="21"/>
                      <w:szCs w:val="21"/>
                    </w:rPr>
                    <w:t>屠宰、化学纸浆造纸、发酵类制药企业、印</w:t>
                  </w:r>
                  <w:r>
                    <w:rPr>
                      <w:rFonts w:hint="default" w:ascii="Times New Roman" w:hAnsi="Times New Roman" w:cs="Times New Roman"/>
                      <w:spacing w:val="8"/>
                      <w:sz w:val="21"/>
                      <w:szCs w:val="21"/>
                    </w:rPr>
                    <w:t>染等水污染物排放量大且难以处理的企业；</w:t>
                  </w:r>
                  <w:r>
                    <w:rPr>
                      <w:rFonts w:hint="default" w:ascii="Times New Roman" w:hAnsi="Times New Roman" w:cs="Times New Roman"/>
                      <w:spacing w:val="5"/>
                      <w:sz w:val="21"/>
                      <w:szCs w:val="21"/>
                    </w:rPr>
                    <w:t>以及焦化、黄磷、冶金等大气污染排放量大</w:t>
                  </w:r>
                  <w:r>
                    <w:rPr>
                      <w:rFonts w:hint="default" w:ascii="Times New Roman" w:hAnsi="Times New Roman" w:cs="Times New Roman"/>
                      <w:spacing w:val="8"/>
                      <w:sz w:val="21"/>
                      <w:szCs w:val="21"/>
                    </w:rPr>
                    <w:t>或排放人体有害物质较多的企业。</w:t>
                  </w:r>
                </w:p>
              </w:tc>
              <w:tc>
                <w:tcPr>
                  <w:tcW w:w="1844" w:type="pct"/>
                  <w:noWrap w:val="0"/>
                  <w:vAlign w:val="center"/>
                </w:tcPr>
                <w:p w14:paraId="09E2F4B0">
                  <w:pPr>
                    <w:widowControl/>
                    <w:jc w:val="left"/>
                    <w:rPr>
                      <w:rFonts w:hint="eastAsia"/>
                      <w:color w:val="000000"/>
                      <w:sz w:val="21"/>
                      <w:szCs w:val="21"/>
                    </w:rPr>
                  </w:pPr>
                  <w:r>
                    <w:rPr>
                      <w:rFonts w:hint="eastAsia"/>
                      <w:color w:val="000000"/>
                      <w:sz w:val="21"/>
                      <w:szCs w:val="21"/>
                    </w:rPr>
                    <w:t>（1）本项目不属于《产业结构调整指导目录（2024 年本）》中界定的限制类、淘汰类项目，可以满足行业准入条件；</w:t>
                  </w:r>
                </w:p>
                <w:p w14:paraId="26B4B415">
                  <w:pPr>
                    <w:widowControl/>
                    <w:jc w:val="left"/>
                    <w:rPr>
                      <w:rFonts w:hint="eastAsia"/>
                      <w:color w:val="000000"/>
                      <w:sz w:val="21"/>
                      <w:szCs w:val="21"/>
                    </w:rPr>
                  </w:pPr>
                  <w:r>
                    <w:rPr>
                      <w:rFonts w:hint="eastAsia"/>
                      <w:color w:val="000000"/>
                      <w:sz w:val="21"/>
                      <w:szCs w:val="21"/>
                    </w:rPr>
                    <w:t>（2）本项目不属于国家明令禁止的“十五小 ”、“新五小 ”企业，不涉及落后的工艺设备、滞销产品、污染严重，项目污染物均进行有效治理的项目；</w:t>
                  </w:r>
                </w:p>
                <w:p w14:paraId="6D8446FB">
                  <w:pPr>
                    <w:widowControl/>
                    <w:jc w:val="left"/>
                    <w:rPr>
                      <w:rFonts w:hint="eastAsia"/>
                      <w:color w:val="000000"/>
                      <w:sz w:val="21"/>
                      <w:szCs w:val="21"/>
                    </w:rPr>
                  </w:pPr>
                  <w:r>
                    <w:rPr>
                      <w:rFonts w:hint="eastAsia"/>
                      <w:color w:val="000000"/>
                      <w:sz w:val="21"/>
                      <w:szCs w:val="21"/>
                    </w:rPr>
                    <w:t>（3）本项目不采用落后技术；</w:t>
                  </w:r>
                </w:p>
                <w:p w14:paraId="72D840AE">
                  <w:pPr>
                    <w:widowControl/>
                    <w:jc w:val="left"/>
                    <w:rPr>
                      <w:rFonts w:hint="eastAsia"/>
                      <w:color w:val="000000"/>
                      <w:sz w:val="21"/>
                      <w:szCs w:val="21"/>
                    </w:rPr>
                  </w:pPr>
                  <w:r>
                    <w:rPr>
                      <w:rFonts w:hint="eastAsia"/>
                      <w:color w:val="000000"/>
                      <w:sz w:val="21"/>
                      <w:szCs w:val="21"/>
                    </w:rPr>
                    <w:t>（4）</w:t>
                  </w:r>
                  <w:r>
                    <w:rPr>
                      <w:color w:val="000000"/>
                      <w:sz w:val="21"/>
                      <w:szCs w:val="21"/>
                    </w:rPr>
                    <w:t>本项目主要生产</w:t>
                  </w:r>
                  <w:r>
                    <w:rPr>
                      <w:rFonts w:hint="eastAsia"/>
                      <w:color w:val="000000"/>
                      <w:sz w:val="21"/>
                      <w:szCs w:val="21"/>
                    </w:rPr>
                    <w:t>硅碳负极材料</w:t>
                  </w:r>
                  <w:r>
                    <w:rPr>
                      <w:color w:val="000000"/>
                      <w:sz w:val="21"/>
                      <w:szCs w:val="21"/>
                    </w:rPr>
                    <w:t>，</w:t>
                  </w:r>
                  <w:r>
                    <w:rPr>
                      <w:rFonts w:hint="eastAsia"/>
                      <w:color w:val="000000"/>
                      <w:sz w:val="21"/>
                      <w:szCs w:val="21"/>
                      <w:lang w:val="en-US" w:eastAsia="zh-CN"/>
                    </w:rPr>
                    <w:t>属于</w:t>
                  </w:r>
                  <w:r>
                    <w:rPr>
                      <w:rFonts w:ascii="Times New Roman" w:hAnsi="Times New Roman" w:eastAsia="Times New Roman" w:cs="Times New Roman"/>
                      <w:color w:val="000000"/>
                      <w:spacing w:val="-4"/>
                      <w:sz w:val="21"/>
                      <w:szCs w:val="21"/>
                    </w:rPr>
                    <w:t>C3</w:t>
                  </w:r>
                  <w:r>
                    <w:rPr>
                      <w:rFonts w:hint="eastAsia" w:eastAsia="宋体" w:cs="Times New Roman"/>
                      <w:color w:val="000000"/>
                      <w:spacing w:val="-4"/>
                      <w:sz w:val="21"/>
                      <w:szCs w:val="21"/>
                      <w:lang w:val="en-US" w:eastAsia="zh-CN"/>
                    </w:rPr>
                    <w:t>091</w:t>
                  </w:r>
                  <w:r>
                    <w:rPr>
                      <w:rFonts w:hint="eastAsia" w:eastAsia="宋体"/>
                      <w:color w:val="000000"/>
                      <w:spacing w:val="-4"/>
                      <w:sz w:val="21"/>
                      <w:szCs w:val="21"/>
                      <w:lang w:val="en-US" w:eastAsia="zh-CN"/>
                    </w:rPr>
                    <w:t>石墨及碳素制品制造</w:t>
                  </w:r>
                  <w:r>
                    <w:rPr>
                      <w:rFonts w:hint="eastAsia"/>
                      <w:color w:val="000000"/>
                      <w:sz w:val="21"/>
                      <w:szCs w:val="21"/>
                    </w:rPr>
                    <w:t>，不涉及白酒生产线及酒精生产线；</w:t>
                  </w:r>
                </w:p>
                <w:p w14:paraId="4734A2CA">
                  <w:pPr>
                    <w:widowControl/>
                    <w:jc w:val="left"/>
                    <w:rPr>
                      <w:rFonts w:hint="eastAsia"/>
                      <w:color w:val="000000"/>
                      <w:sz w:val="21"/>
                      <w:szCs w:val="21"/>
                    </w:rPr>
                  </w:pPr>
                  <w:r>
                    <w:rPr>
                      <w:rFonts w:hint="eastAsia"/>
                      <w:color w:val="000000"/>
                      <w:sz w:val="21"/>
                      <w:szCs w:val="21"/>
                    </w:rPr>
                    <w:t>（5）本项目生产过程中</w:t>
                  </w:r>
                  <w:r>
                    <w:rPr>
                      <w:rFonts w:hint="eastAsia"/>
                      <w:color w:val="000000"/>
                      <w:sz w:val="21"/>
                      <w:szCs w:val="21"/>
                      <w:lang w:val="en-US" w:eastAsia="zh-CN"/>
                    </w:rPr>
                    <w:t>不</w:t>
                  </w:r>
                  <w:r>
                    <w:rPr>
                      <w:rFonts w:hint="eastAsia"/>
                      <w:color w:val="000000"/>
                      <w:sz w:val="21"/>
                      <w:szCs w:val="21"/>
                    </w:rPr>
                    <w:t>涉及工序电镀。项目不属于皮革、屠宰、化学纸浆造纸、发酵类制药、印染、焦化、冶金、黄磷企业。</w:t>
                  </w:r>
                </w:p>
              </w:tc>
            </w:tr>
            <w:tr w14:paraId="213D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noWrap w:val="0"/>
                  <w:vAlign w:val="center"/>
                </w:tcPr>
                <w:p w14:paraId="2D65C34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center"/>
                    <w:textAlignment w:val="auto"/>
                    <w:rPr>
                      <w:rFonts w:hint="default" w:ascii="Times New Roman" w:hAnsi="Times New Roman" w:cs="Times New Roman"/>
                      <w:sz w:val="21"/>
                      <w:szCs w:val="21"/>
                    </w:rPr>
                  </w:pPr>
                </w:p>
                <w:p w14:paraId="142C1E9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center"/>
                    <w:textAlignment w:val="auto"/>
                    <w:rPr>
                      <w:rFonts w:hint="default" w:ascii="Times New Roman" w:hAnsi="Times New Roman" w:cs="Times New Roman"/>
                      <w:sz w:val="21"/>
                      <w:szCs w:val="21"/>
                    </w:rPr>
                  </w:pPr>
                </w:p>
                <w:p w14:paraId="10F7544B">
                  <w:pPr>
                    <w:pStyle w:val="106"/>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sz w:val="21"/>
                      <w:szCs w:val="21"/>
                    </w:rPr>
                  </w:pPr>
                  <w:r>
                    <w:rPr>
                      <w:rFonts w:hint="default" w:ascii="Times New Roman" w:hAnsi="Times New Roman" w:cs="Times New Roman"/>
                      <w:spacing w:val="3"/>
                      <w:sz w:val="21"/>
                      <w:szCs w:val="21"/>
                    </w:rPr>
                    <w:t>鼓励</w:t>
                  </w:r>
                </w:p>
              </w:tc>
              <w:tc>
                <w:tcPr>
                  <w:tcW w:w="2612" w:type="pct"/>
                  <w:noWrap w:val="0"/>
                  <w:vAlign w:val="center"/>
                </w:tcPr>
                <w:p w14:paraId="571C3025">
                  <w:pPr>
                    <w:pStyle w:val="106"/>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color w:val="000000"/>
                      <w:sz w:val="21"/>
                      <w:szCs w:val="21"/>
                    </w:rPr>
                  </w:pPr>
                  <w:r>
                    <w:rPr>
                      <w:rFonts w:hint="default" w:ascii="Times New Roman" w:hAnsi="Times New Roman" w:cs="Times New Roman"/>
                      <w:spacing w:val="6"/>
                      <w:sz w:val="21"/>
                      <w:szCs w:val="21"/>
                    </w:rPr>
                    <w:t>符合经济开发区规划产业，企业效益明显，</w:t>
                  </w:r>
                  <w:r>
                    <w:rPr>
                      <w:rFonts w:hint="default" w:ascii="Times New Roman" w:hAnsi="Times New Roman" w:cs="Times New Roman"/>
                      <w:spacing w:val="5"/>
                      <w:sz w:val="21"/>
                      <w:szCs w:val="21"/>
                    </w:rPr>
                    <w:t>对区域不造成明显污染，遵循清洁生产及循环经济的项目；在用水、节水、排水设计等方面达到国内先进水平；清洁生产标准达到</w:t>
                  </w:r>
                  <w:r>
                    <w:rPr>
                      <w:rFonts w:hint="default" w:ascii="Times New Roman" w:hAnsi="Times New Roman" w:cs="Times New Roman"/>
                      <w:spacing w:val="8"/>
                      <w:sz w:val="21"/>
                      <w:szCs w:val="21"/>
                    </w:rPr>
                    <w:t>或优于国家先进水平的项目。</w:t>
                  </w:r>
                </w:p>
              </w:tc>
              <w:tc>
                <w:tcPr>
                  <w:tcW w:w="3061" w:type="dxa"/>
                  <w:noWrap w:val="0"/>
                  <w:vAlign w:val="center"/>
                </w:tcPr>
                <w:p w14:paraId="3D9ECF54">
                  <w:pPr>
                    <w:widowControl/>
                    <w:jc w:val="left"/>
                    <w:rPr>
                      <w:rFonts w:ascii="Times New Roman" w:hAnsi="Times New Roman" w:eastAsia="Times New Roman" w:cs="Times New Roman"/>
                      <w:color w:val="000000"/>
                      <w:spacing w:val="-4"/>
                      <w:sz w:val="21"/>
                      <w:szCs w:val="21"/>
                    </w:rPr>
                  </w:pPr>
                </w:p>
                <w:p w14:paraId="167B8C90">
                  <w:pPr>
                    <w:widowControl/>
                    <w:jc w:val="left"/>
                    <w:rPr>
                      <w:rFonts w:ascii="Times New Roman" w:hAnsi="Times New Roman" w:eastAsia="Times New Roman" w:cs="Times New Roman"/>
                      <w:color w:val="000000"/>
                      <w:spacing w:val="-4"/>
                      <w:sz w:val="21"/>
                      <w:szCs w:val="21"/>
                    </w:rPr>
                  </w:pPr>
                  <w:r>
                    <w:rPr>
                      <w:rFonts w:ascii="Times New Roman" w:hAnsi="Times New Roman" w:eastAsia="Times New Roman" w:cs="Times New Roman"/>
                      <w:color w:val="000000"/>
                      <w:spacing w:val="-4"/>
                      <w:sz w:val="21"/>
                      <w:szCs w:val="21"/>
                    </w:rPr>
                    <w:t>本项目不属于“入园要求中 ”鼓励类别项目。</w:t>
                  </w:r>
                </w:p>
              </w:tc>
            </w:tr>
            <w:tr w14:paraId="5597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noWrap w:val="0"/>
                  <w:vAlign w:val="center"/>
                </w:tcPr>
                <w:p w14:paraId="69575778">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center"/>
                    <w:textAlignment w:val="auto"/>
                    <w:rPr>
                      <w:rFonts w:hint="default" w:ascii="Times New Roman" w:hAnsi="Times New Roman" w:cs="Times New Roman"/>
                      <w:sz w:val="21"/>
                      <w:szCs w:val="21"/>
                    </w:rPr>
                  </w:pPr>
                </w:p>
                <w:p w14:paraId="3DD3E4A4">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center"/>
                    <w:textAlignment w:val="auto"/>
                    <w:rPr>
                      <w:rFonts w:hint="default" w:ascii="Times New Roman" w:hAnsi="Times New Roman" w:cs="Times New Roman"/>
                      <w:sz w:val="21"/>
                      <w:szCs w:val="21"/>
                    </w:rPr>
                  </w:pPr>
                </w:p>
                <w:p w14:paraId="488E4A1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center"/>
                    <w:textAlignment w:val="auto"/>
                    <w:rPr>
                      <w:rFonts w:hint="default" w:ascii="Times New Roman" w:hAnsi="Times New Roman" w:cs="Times New Roman"/>
                      <w:sz w:val="21"/>
                      <w:szCs w:val="21"/>
                    </w:rPr>
                  </w:pPr>
                </w:p>
                <w:p w14:paraId="0499A55B">
                  <w:pPr>
                    <w:pStyle w:val="106"/>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sz w:val="21"/>
                      <w:szCs w:val="21"/>
                    </w:rPr>
                  </w:pPr>
                  <w:r>
                    <w:rPr>
                      <w:rFonts w:hint="default" w:ascii="Times New Roman" w:hAnsi="Times New Roman" w:cs="Times New Roman"/>
                      <w:spacing w:val="1"/>
                      <w:sz w:val="21"/>
                      <w:szCs w:val="21"/>
                    </w:rPr>
                    <w:t>允许</w:t>
                  </w:r>
                </w:p>
              </w:tc>
              <w:tc>
                <w:tcPr>
                  <w:tcW w:w="2612" w:type="pct"/>
                  <w:noWrap w:val="0"/>
                  <w:vAlign w:val="center"/>
                </w:tcPr>
                <w:p w14:paraId="1639E3D1">
                  <w:pPr>
                    <w:pStyle w:val="106"/>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color w:val="000000"/>
                      <w:sz w:val="21"/>
                      <w:szCs w:val="21"/>
                    </w:rPr>
                  </w:pPr>
                  <w:r>
                    <w:rPr>
                      <w:rFonts w:hint="default" w:ascii="Times New Roman" w:hAnsi="Times New Roman" w:cs="Times New Roman"/>
                      <w:spacing w:val="4"/>
                      <w:sz w:val="21"/>
                      <w:szCs w:val="21"/>
                    </w:rPr>
                    <w:t>不属于上述鼓励、禁止产业类型，园区及各</w:t>
                  </w:r>
                  <w:r>
                    <w:rPr>
                      <w:rFonts w:hint="default" w:ascii="Times New Roman" w:hAnsi="Times New Roman" w:cs="Times New Roman"/>
                      <w:spacing w:val="16"/>
                      <w:sz w:val="21"/>
                      <w:szCs w:val="21"/>
                    </w:rPr>
                    <w:t>功能区同时也不排斥本区主业的上下游企</w:t>
                  </w:r>
                  <w:r>
                    <w:rPr>
                      <w:rFonts w:hint="default" w:ascii="Times New Roman" w:hAnsi="Times New Roman" w:cs="Times New Roman"/>
                      <w:spacing w:val="5"/>
                      <w:sz w:val="21"/>
                      <w:szCs w:val="21"/>
                    </w:rPr>
                    <w:t>业、循环经济项目；以及与片区主业不相禁忌和不形成交叉影响的企业；退城入园、等量淘汰、等量置换等符合现行国家产业政策</w:t>
                  </w:r>
                  <w:r>
                    <w:rPr>
                      <w:rFonts w:hint="default" w:ascii="Times New Roman" w:hAnsi="Times New Roman" w:cs="Times New Roman"/>
                      <w:spacing w:val="6"/>
                      <w:sz w:val="21"/>
                      <w:szCs w:val="21"/>
                    </w:rPr>
                    <w:t>的白酒产业。</w:t>
                  </w:r>
                </w:p>
              </w:tc>
              <w:tc>
                <w:tcPr>
                  <w:tcW w:w="3061" w:type="dxa"/>
                  <w:noWrap w:val="0"/>
                  <w:vAlign w:val="center"/>
                </w:tcPr>
                <w:p w14:paraId="4382A536">
                  <w:pPr>
                    <w:widowControl/>
                    <w:jc w:val="left"/>
                    <w:rPr>
                      <w:rFonts w:ascii="Times New Roman" w:hAnsi="Times New Roman" w:eastAsia="Times New Roman" w:cs="Times New Roman"/>
                      <w:color w:val="000000"/>
                      <w:spacing w:val="-4"/>
                      <w:sz w:val="21"/>
                      <w:szCs w:val="21"/>
                    </w:rPr>
                  </w:pPr>
                  <w:r>
                    <w:rPr>
                      <w:rFonts w:ascii="Times New Roman" w:hAnsi="Times New Roman" w:eastAsia="Times New Roman" w:cs="Times New Roman"/>
                      <w:color w:val="000000"/>
                      <w:spacing w:val="-4"/>
                      <w:sz w:val="21"/>
                      <w:szCs w:val="21"/>
                    </w:rPr>
                    <w:t>本项目不属于上述鼓励、禁止产业禁忌和不形成交叉影响的企业，不涉及白酒生产线及酒精生产线。</w:t>
                  </w:r>
                </w:p>
              </w:tc>
            </w:tr>
          </w:tbl>
          <w:p w14:paraId="124504BD">
            <w:pPr>
              <w:pStyle w:val="106"/>
              <w:keepNext w:val="0"/>
              <w:keepLines w:val="0"/>
              <w:pageBreakBefore w:val="0"/>
              <w:widowControl w:val="0"/>
              <w:kinsoku/>
              <w:wordWrap/>
              <w:overflowPunct/>
              <w:topLinePunct w:val="0"/>
              <w:autoSpaceDE/>
              <w:autoSpaceDN/>
              <w:bidi w:val="0"/>
              <w:adjustRightInd/>
              <w:snapToGrid/>
              <w:spacing w:line="365" w:lineRule="auto"/>
              <w:ind w:right="0" w:firstLine="476" w:firstLineChars="200"/>
              <w:jc w:val="both"/>
              <w:textAlignment w:val="auto"/>
              <w:rPr>
                <w:spacing w:val="-5"/>
              </w:rPr>
            </w:pPr>
            <w:r>
              <w:rPr>
                <w:spacing w:val="-1"/>
              </w:rPr>
              <w:t>本项目</w:t>
            </w:r>
            <w:r>
              <w:rPr>
                <w:rFonts w:hint="eastAsia"/>
                <w:spacing w:val="-1"/>
              </w:rPr>
              <w:t>主要生产硅碳负极材料，属于C3091石墨及碳素制品制造</w:t>
            </w:r>
            <w:r>
              <w:rPr>
                <w:spacing w:val="-1"/>
              </w:rPr>
              <w:t>，不属于禁</w:t>
            </w:r>
            <w:r>
              <w:rPr>
                <w:spacing w:val="-2"/>
              </w:rPr>
              <w:t>止和限制入园企业，属于允许</w:t>
            </w:r>
            <w:r>
              <w:rPr>
                <w:spacing w:val="-1"/>
              </w:rPr>
              <w:t>类，同时根据四川平昌经济开发区管理委员会出具的入园证明（详见附</w:t>
            </w:r>
            <w:r>
              <w:rPr>
                <w:spacing w:val="-2"/>
              </w:rPr>
              <w:t>件</w:t>
            </w:r>
            <w:r>
              <w:rPr>
                <w:spacing w:val="-4"/>
              </w:rPr>
              <w:t>），</w:t>
            </w:r>
            <w:r>
              <w:rPr>
                <w:spacing w:val="-2"/>
              </w:rPr>
              <w:t>本项目</w:t>
            </w:r>
            <w:r>
              <w:rPr>
                <w:spacing w:val="-1"/>
              </w:rPr>
              <w:t>已取得园区管委会同意项目入驻园区的意见，因此，本项目属于</w:t>
            </w:r>
            <w:r>
              <w:rPr>
                <w:spacing w:val="-2"/>
              </w:rPr>
              <w:t>园区内允许发展的产</w:t>
            </w:r>
            <w:r>
              <w:rPr>
                <w:spacing w:val="-5"/>
              </w:rPr>
              <w:t>业。</w:t>
            </w:r>
          </w:p>
          <w:p w14:paraId="0687A4A9">
            <w:pPr>
              <w:pStyle w:val="106"/>
              <w:keepNext w:val="0"/>
              <w:keepLines w:val="0"/>
              <w:pageBreakBefore w:val="0"/>
              <w:widowControl w:val="0"/>
              <w:numPr>
                <w:ilvl w:val="0"/>
                <w:numId w:val="5"/>
              </w:numPr>
              <w:kinsoku/>
              <w:wordWrap/>
              <w:overflowPunct/>
              <w:topLinePunct w:val="0"/>
              <w:autoSpaceDE/>
              <w:autoSpaceDN/>
              <w:bidi w:val="0"/>
              <w:adjustRightInd/>
              <w:snapToGrid/>
              <w:spacing w:line="365" w:lineRule="auto"/>
              <w:ind w:left="0" w:right="0" w:firstLine="420"/>
              <w:jc w:val="both"/>
              <w:textAlignment w:val="auto"/>
              <w:rPr>
                <w:rFonts w:hint="eastAsia"/>
                <w:b/>
                <w:bCs/>
                <w:spacing w:val="-5"/>
                <w:lang w:eastAsia="zh-CN"/>
              </w:rPr>
            </w:pPr>
            <w:r>
              <w:rPr>
                <w:rFonts w:hint="eastAsia"/>
                <w:b/>
                <w:bCs/>
                <w:spacing w:val="-5"/>
                <w:lang w:eastAsia="zh-CN"/>
              </w:rPr>
              <w:t>与《四川平昌经济开发区规划修编环境影响报告书》审查意见的函的符合性分析</w:t>
            </w:r>
          </w:p>
          <w:p w14:paraId="1C64E27B">
            <w:pPr>
              <w:pStyle w:val="106"/>
              <w:keepNext w:val="0"/>
              <w:keepLines w:val="0"/>
              <w:pageBreakBefore w:val="0"/>
              <w:widowControl w:val="0"/>
              <w:numPr>
                <w:ilvl w:val="0"/>
                <w:numId w:val="0"/>
              </w:numPr>
              <w:kinsoku/>
              <w:wordWrap/>
              <w:overflowPunct/>
              <w:topLinePunct w:val="0"/>
              <w:autoSpaceDE/>
              <w:autoSpaceDN/>
              <w:bidi w:val="0"/>
              <w:adjustRightInd/>
              <w:snapToGrid/>
              <w:spacing w:line="365" w:lineRule="auto"/>
              <w:ind w:right="0" w:rightChars="0" w:firstLine="460" w:firstLineChars="200"/>
              <w:jc w:val="both"/>
              <w:textAlignment w:val="auto"/>
              <w:rPr>
                <w:spacing w:val="-2"/>
              </w:rPr>
            </w:pPr>
            <w:r>
              <w:rPr>
                <w:rFonts w:hint="eastAsia"/>
                <w:b w:val="0"/>
                <w:bCs w:val="0"/>
                <w:spacing w:val="-5"/>
                <w:lang w:eastAsia="zh-CN"/>
              </w:rPr>
              <w:t>本项目位于四川平昌经济开发区中的星光机械制造产业园，项目与审查意见的函</w:t>
            </w:r>
            <w:r>
              <w:rPr>
                <w:spacing w:val="-2"/>
              </w:rPr>
              <w:t>“生态环境准入清单</w:t>
            </w:r>
            <w:r>
              <w:rPr>
                <w:spacing w:val="-79"/>
              </w:rPr>
              <w:t xml:space="preserve"> </w:t>
            </w:r>
            <w:r>
              <w:rPr>
                <w:spacing w:val="-2"/>
              </w:rPr>
              <w:t>”的符合性分析见下表：</w:t>
            </w:r>
          </w:p>
          <w:p w14:paraId="35C1C5F3">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 xml:space="preserve"> 本项目与《四川平昌经济开发区规划修编环境影响报告书》</w:t>
            </w:r>
          </w:p>
          <w:p w14:paraId="4C27FE3D">
            <w:pPr>
              <w:pStyle w:val="12"/>
              <w:numPr>
                <w:ilvl w:val="0"/>
                <w:numId w:val="0"/>
              </w:numPr>
              <w:ind w:left="420" w:leftChars="0" w:right="-334" w:rightChars="-159"/>
              <w:jc w:val="center"/>
              <w:rPr>
                <w:rFonts w:hint="eastAsia"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审查意见的函符合性分析</w:t>
            </w:r>
          </w:p>
          <w:tbl>
            <w:tblPr>
              <w:tblStyle w:val="32"/>
              <w:tblW w:w="8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4290"/>
              <w:gridCol w:w="2415"/>
              <w:gridCol w:w="896"/>
            </w:tblGrid>
            <w:tr w14:paraId="6CCE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4C79A2E5">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b/>
                      <w:bCs/>
                      <w:spacing w:val="-2"/>
                      <w:sz w:val="21"/>
                      <w:szCs w:val="21"/>
                      <w:vertAlign w:val="baseline"/>
                      <w:lang w:val="en-US" w:eastAsia="zh-CN"/>
                    </w:rPr>
                  </w:pPr>
                  <w:r>
                    <w:rPr>
                      <w:rFonts w:hint="eastAsia"/>
                      <w:b/>
                      <w:bCs/>
                      <w:spacing w:val="-2"/>
                      <w:sz w:val="21"/>
                      <w:szCs w:val="21"/>
                      <w:vertAlign w:val="baseline"/>
                      <w:lang w:val="en-US" w:eastAsia="zh-CN"/>
                    </w:rPr>
                    <w:t>项目</w:t>
                  </w:r>
                </w:p>
              </w:tc>
              <w:tc>
                <w:tcPr>
                  <w:tcW w:w="4290" w:type="dxa"/>
                  <w:noWrap w:val="0"/>
                  <w:vAlign w:val="top"/>
                </w:tcPr>
                <w:p w14:paraId="384C21F5">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b/>
                      <w:bCs/>
                      <w:spacing w:val="-2"/>
                      <w:sz w:val="21"/>
                      <w:szCs w:val="21"/>
                      <w:vertAlign w:val="baseline"/>
                      <w:lang w:val="en-US" w:eastAsia="zh-CN"/>
                    </w:rPr>
                  </w:pPr>
                  <w:r>
                    <w:rPr>
                      <w:rFonts w:hint="eastAsia"/>
                      <w:b/>
                      <w:bCs/>
                      <w:spacing w:val="-2"/>
                      <w:sz w:val="21"/>
                      <w:szCs w:val="21"/>
                      <w:vertAlign w:val="baseline"/>
                      <w:lang w:val="en-US" w:eastAsia="zh-CN"/>
                    </w:rPr>
                    <w:t>内容</w:t>
                  </w:r>
                </w:p>
              </w:tc>
              <w:tc>
                <w:tcPr>
                  <w:tcW w:w="2415" w:type="dxa"/>
                  <w:noWrap w:val="0"/>
                  <w:vAlign w:val="top"/>
                </w:tcPr>
                <w:p w14:paraId="0E389DFA">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b/>
                      <w:bCs/>
                      <w:spacing w:val="-2"/>
                      <w:sz w:val="21"/>
                      <w:szCs w:val="21"/>
                      <w:vertAlign w:val="baseline"/>
                      <w:lang w:val="en-US" w:eastAsia="zh-CN"/>
                    </w:rPr>
                  </w:pPr>
                  <w:r>
                    <w:rPr>
                      <w:rFonts w:hint="eastAsia"/>
                      <w:b/>
                      <w:bCs/>
                      <w:spacing w:val="-2"/>
                      <w:sz w:val="21"/>
                      <w:szCs w:val="21"/>
                      <w:vertAlign w:val="baseline"/>
                      <w:lang w:val="en-US" w:eastAsia="zh-CN"/>
                    </w:rPr>
                    <w:t>本项目情况</w:t>
                  </w:r>
                </w:p>
              </w:tc>
              <w:tc>
                <w:tcPr>
                  <w:tcW w:w="896" w:type="dxa"/>
                  <w:noWrap w:val="0"/>
                  <w:vAlign w:val="top"/>
                </w:tcPr>
                <w:p w14:paraId="307D20AE">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b/>
                      <w:bCs/>
                      <w:spacing w:val="-2"/>
                      <w:sz w:val="21"/>
                      <w:szCs w:val="21"/>
                      <w:vertAlign w:val="baseline"/>
                      <w:lang w:val="en-US" w:eastAsia="zh-CN"/>
                    </w:rPr>
                  </w:pPr>
                  <w:r>
                    <w:rPr>
                      <w:rFonts w:hint="eastAsia"/>
                      <w:b/>
                      <w:bCs/>
                      <w:spacing w:val="-2"/>
                      <w:sz w:val="21"/>
                      <w:szCs w:val="21"/>
                      <w:vertAlign w:val="baseline"/>
                      <w:lang w:val="en-US" w:eastAsia="zh-CN"/>
                    </w:rPr>
                    <w:t>符合性</w:t>
                  </w:r>
                </w:p>
              </w:tc>
            </w:tr>
            <w:tr w14:paraId="0389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Merge w:val="restart"/>
                  <w:noWrap w:val="0"/>
                  <w:vAlign w:val="center"/>
                </w:tcPr>
                <w:p w14:paraId="20B2C77F">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spacing w:val="-2"/>
                      <w:sz w:val="21"/>
                      <w:szCs w:val="21"/>
                      <w:vertAlign w:val="baseline"/>
                      <w:lang w:eastAsia="zh-CN"/>
                    </w:rPr>
                  </w:pPr>
                  <w:r>
                    <w:rPr>
                      <w:rFonts w:hint="eastAsia"/>
                      <w:spacing w:val="-2"/>
                      <w:sz w:val="21"/>
                      <w:szCs w:val="21"/>
                      <w:vertAlign w:val="baseline"/>
                      <w:lang w:eastAsia="zh-CN"/>
                    </w:rPr>
                    <w:t>规划实施的环境制约因素分析及解决对策</w:t>
                  </w:r>
                </w:p>
              </w:tc>
              <w:tc>
                <w:tcPr>
                  <w:tcW w:w="4290" w:type="dxa"/>
                  <w:noWrap w:val="0"/>
                  <w:vAlign w:val="top"/>
                </w:tcPr>
                <w:p w14:paraId="12D261B5">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spacing w:val="-2"/>
                      <w:sz w:val="21"/>
                      <w:szCs w:val="21"/>
                      <w:vertAlign w:val="baseline"/>
                      <w:lang w:eastAsia="zh-CN"/>
                    </w:rPr>
                  </w:pPr>
                  <w:r>
                    <w:rPr>
                      <w:rFonts w:hint="eastAsia"/>
                      <w:spacing w:val="-2"/>
                      <w:sz w:val="21"/>
                      <w:szCs w:val="21"/>
                      <w:vertAlign w:val="baseline"/>
                      <w:lang w:eastAsia="zh-CN"/>
                    </w:rPr>
                    <w:t>（一）石龙门化工园区距离四川驷马自然保护区、粉壁镇场镇距离较近；金宝食品饮料产业园距离县城较近，金宝食品饮料产业园及星光机械制造产业园部分工业用地紧邻学校或居住用地，对规划实施构成制约。</w:t>
                  </w:r>
                </w:p>
                <w:p w14:paraId="6AEA0F07">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spacing w:val="-2"/>
                      <w:sz w:val="21"/>
                      <w:szCs w:val="21"/>
                      <w:vertAlign w:val="baseline"/>
                      <w:lang w:eastAsia="zh-CN"/>
                    </w:rPr>
                  </w:pPr>
                  <w:r>
                    <w:rPr>
                      <w:rFonts w:hint="eastAsia"/>
                      <w:spacing w:val="-2"/>
                      <w:sz w:val="21"/>
                      <w:szCs w:val="21"/>
                      <w:vertAlign w:val="baseline"/>
                      <w:lang w:eastAsia="zh-CN"/>
                    </w:rPr>
                    <w:t>解决对策：</w:t>
                  </w:r>
                </w:p>
                <w:p w14:paraId="1621853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pacing w:val="-2"/>
                      <w:sz w:val="21"/>
                      <w:szCs w:val="21"/>
                      <w:vertAlign w:val="baseline"/>
                      <w:lang w:eastAsia="zh-CN"/>
                    </w:rPr>
                  </w:pPr>
                  <w:r>
                    <w:rPr>
                      <w:rFonts w:hint="eastAsia"/>
                      <w:spacing w:val="-2"/>
                      <w:sz w:val="21"/>
                      <w:szCs w:val="21"/>
                      <w:vertAlign w:val="baseline"/>
                      <w:lang w:eastAsia="zh-CN"/>
                    </w:rPr>
                    <w:t>1.优化石龙门化工园区产业结构和产业布局，执行生态环境准入正面清</w:t>
                  </w:r>
                  <w:r>
                    <w:rPr>
                      <w:rFonts w:hint="default" w:ascii="Times New Roman" w:hAnsi="Times New Roman" w:cs="Times New Roman"/>
                      <w:spacing w:val="-2"/>
                      <w:sz w:val="21"/>
                      <w:szCs w:val="21"/>
                      <w:vertAlign w:val="baseline"/>
                      <w:lang w:eastAsia="zh-CN"/>
                    </w:rPr>
                    <w:t>单。</w:t>
                  </w:r>
                </w:p>
                <w:p w14:paraId="0112BD2E">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pacing w:val="-2"/>
                      <w:sz w:val="21"/>
                      <w:szCs w:val="21"/>
                      <w:vertAlign w:val="baseline"/>
                      <w:lang w:eastAsia="zh-CN"/>
                    </w:rPr>
                  </w:pPr>
                  <w:r>
                    <w:rPr>
                      <w:rFonts w:hint="default" w:ascii="Times New Roman" w:hAnsi="Times New Roman" w:cs="Times New Roman"/>
                      <w:spacing w:val="-2"/>
                      <w:sz w:val="21"/>
                      <w:szCs w:val="21"/>
                      <w:vertAlign w:val="baseline"/>
                      <w:lang w:eastAsia="zh-CN"/>
                    </w:rPr>
                    <w:t>2.严格落实《平昌县人民政府关于粉壁镇场镇规划发展情况的报告》（平昌府〔2023〕24 号）相关措施，结合粉壁镇规划及发展定位，控制场镇现有规模。</w:t>
                  </w:r>
                </w:p>
                <w:p w14:paraId="1E48D32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spacing w:val="-2"/>
                      <w:sz w:val="21"/>
                      <w:szCs w:val="21"/>
                      <w:vertAlign w:val="baseline"/>
                      <w:lang w:eastAsia="zh-CN"/>
                    </w:rPr>
                  </w:pPr>
                  <w:r>
                    <w:rPr>
                      <w:rFonts w:hint="default" w:ascii="Times New Roman" w:hAnsi="Times New Roman" w:cs="Times New Roman"/>
                      <w:spacing w:val="-2"/>
                      <w:sz w:val="21"/>
                      <w:szCs w:val="21"/>
                      <w:vertAlign w:val="baseline"/>
                      <w:lang w:eastAsia="zh-CN"/>
                    </w:rPr>
                    <w:t>3.严格环境准入，优化项目布局，引入项目应充分论证选址的环境合理性。入驻企业应严格落实环保措施，严格控制污染物</w:t>
                  </w:r>
                  <w:r>
                    <w:rPr>
                      <w:rFonts w:hint="eastAsia"/>
                      <w:spacing w:val="-2"/>
                      <w:sz w:val="21"/>
                      <w:szCs w:val="21"/>
                      <w:vertAlign w:val="baseline"/>
                      <w:lang w:eastAsia="zh-CN"/>
                    </w:rPr>
                    <w:t>排放。</w:t>
                  </w:r>
                </w:p>
                <w:p w14:paraId="0676DDEB">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spacing w:val="-2"/>
                      <w:sz w:val="21"/>
                      <w:szCs w:val="21"/>
                      <w:vertAlign w:val="baseline"/>
                      <w:lang w:eastAsia="zh-CN"/>
                    </w:rPr>
                  </w:pPr>
                  <w:r>
                    <w:rPr>
                      <w:rFonts w:hint="eastAsia"/>
                      <w:spacing w:val="-2"/>
                      <w:sz w:val="21"/>
                      <w:szCs w:val="21"/>
                      <w:vertAlign w:val="baseline"/>
                      <w:lang w:eastAsia="zh-CN"/>
                    </w:rPr>
                    <w:t>4.强化多级环境风险防控体系建设，制定突发环境事件应急预案，加强应急演练及应急监测监控系统建设，确保环境风险可控。</w:t>
                  </w:r>
                </w:p>
              </w:tc>
              <w:tc>
                <w:tcPr>
                  <w:tcW w:w="2415" w:type="dxa"/>
                  <w:noWrap w:val="0"/>
                  <w:vAlign w:val="top"/>
                </w:tcPr>
                <w:p w14:paraId="6E107272">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pacing w:val="-2"/>
                      <w:sz w:val="21"/>
                      <w:szCs w:val="21"/>
                      <w:vertAlign w:val="baseline"/>
                      <w:lang w:eastAsia="zh-CN"/>
                    </w:rPr>
                  </w:pPr>
                  <w:r>
                    <w:rPr>
                      <w:rFonts w:hint="eastAsia"/>
                      <w:spacing w:val="-2"/>
                      <w:sz w:val="21"/>
                      <w:szCs w:val="21"/>
                      <w:vertAlign w:val="baseline"/>
                      <w:lang w:eastAsia="zh-CN"/>
                    </w:rPr>
                    <w:t>项目所在位置属于星光机械制造产业园内，项目粉尘分别经过“布袋除尘 ”处理后排放；</w:t>
                  </w:r>
                  <w:r>
                    <w:rPr>
                      <w:rFonts w:hint="eastAsia"/>
                      <w:spacing w:val="-2"/>
                      <w:sz w:val="21"/>
                      <w:szCs w:val="21"/>
                      <w:vertAlign w:val="baseline"/>
                      <w:lang w:val="en-US" w:eastAsia="zh-CN"/>
                    </w:rPr>
                    <w:t>预碳化</w:t>
                  </w:r>
                  <w:r>
                    <w:rPr>
                      <w:rFonts w:hint="eastAsia"/>
                      <w:spacing w:val="-2"/>
                      <w:sz w:val="21"/>
                      <w:szCs w:val="21"/>
                      <w:vertAlign w:val="baseline"/>
                      <w:lang w:eastAsia="zh-CN"/>
                    </w:rPr>
                    <w:t>废气采</w:t>
                  </w:r>
                  <w:r>
                    <w:rPr>
                      <w:rFonts w:hint="default" w:ascii="Times New Roman" w:hAnsi="Times New Roman" w:cs="Times New Roman"/>
                      <w:spacing w:val="-2"/>
                      <w:sz w:val="21"/>
                      <w:szCs w:val="21"/>
                      <w:vertAlign w:val="baseline"/>
                      <w:lang w:eastAsia="zh-CN"/>
                    </w:rPr>
                    <w:t>用</w:t>
                  </w:r>
                  <w:r>
                    <w:rPr>
                      <w:rFonts w:hint="eastAsia" w:ascii="Times New Roman" w:hAnsi="Times New Roman" w:cs="Times New Roman"/>
                      <w:spacing w:val="-2"/>
                      <w:sz w:val="21"/>
                      <w:szCs w:val="21"/>
                      <w:vertAlign w:val="baseline"/>
                      <w:lang w:eastAsia="zh-CN"/>
                    </w:rPr>
                    <w:t>“</w:t>
                  </w:r>
                  <w:r>
                    <w:rPr>
                      <w:rFonts w:hint="default" w:ascii="Times New Roman" w:hAnsi="Times New Roman" w:cs="Times New Roman"/>
                      <w:spacing w:val="-2"/>
                      <w:sz w:val="21"/>
                      <w:szCs w:val="21"/>
                      <w:vertAlign w:val="baseline"/>
                      <w:lang w:val="en-US" w:eastAsia="zh-CN"/>
                    </w:rPr>
                    <w:t>降温塔+双碱法脱硫</w:t>
                  </w:r>
                  <w:r>
                    <w:rPr>
                      <w:rFonts w:hint="eastAsia" w:ascii="Times New Roman" w:hAnsi="Times New Roman" w:cs="Times New Roman"/>
                      <w:spacing w:val="-2"/>
                      <w:sz w:val="21"/>
                      <w:szCs w:val="21"/>
                      <w:vertAlign w:val="baseline"/>
                      <w:lang w:val="en-US" w:eastAsia="zh-CN"/>
                    </w:rPr>
                    <w:t>+电捕焦油器</w:t>
                  </w:r>
                  <w:r>
                    <w:rPr>
                      <w:rFonts w:hint="eastAsia" w:ascii="Times New Roman" w:hAnsi="Times New Roman" w:cs="Times New Roman"/>
                      <w:spacing w:val="-2"/>
                      <w:sz w:val="21"/>
                      <w:szCs w:val="21"/>
                      <w:vertAlign w:val="baseline"/>
                      <w:lang w:eastAsia="zh-CN"/>
                    </w:rPr>
                    <w:t>”</w:t>
                  </w:r>
                  <w:r>
                    <w:rPr>
                      <w:rFonts w:hint="default" w:ascii="Times New Roman" w:hAnsi="Times New Roman" w:cs="Times New Roman"/>
                      <w:spacing w:val="-2"/>
                      <w:sz w:val="21"/>
                      <w:szCs w:val="21"/>
                      <w:vertAlign w:val="baseline"/>
                      <w:lang w:eastAsia="zh-CN"/>
                    </w:rPr>
                    <w:t xml:space="preserve"> 处理后排放；废水经</w:t>
                  </w:r>
                  <w:r>
                    <w:rPr>
                      <w:rFonts w:hint="eastAsia" w:ascii="Times New Roman" w:hAnsi="Times New Roman" w:cs="Times New Roman"/>
                      <w:spacing w:val="-2"/>
                      <w:sz w:val="21"/>
                      <w:szCs w:val="21"/>
                      <w:vertAlign w:val="baseline"/>
                      <w:lang w:val="en-US" w:eastAsia="zh-CN"/>
                    </w:rPr>
                    <w:t>预处理池处理后进入市政管网</w:t>
                  </w:r>
                  <w:r>
                    <w:rPr>
                      <w:rFonts w:hint="default" w:ascii="Times New Roman" w:hAnsi="Times New Roman" w:cs="Times New Roman"/>
                      <w:spacing w:val="-2"/>
                      <w:sz w:val="21"/>
                      <w:szCs w:val="21"/>
                      <w:vertAlign w:val="baseline"/>
                      <w:lang w:eastAsia="zh-CN"/>
                    </w:rPr>
                    <w:t>，项目严格落实环保措施，严格控制污染物排放。</w:t>
                  </w:r>
                </w:p>
                <w:p w14:paraId="109ABE8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spacing w:val="-2"/>
                      <w:sz w:val="21"/>
                      <w:szCs w:val="21"/>
                      <w:vertAlign w:val="baseline"/>
                      <w:lang w:eastAsia="zh-CN"/>
                    </w:rPr>
                  </w:pPr>
                  <w:r>
                    <w:rPr>
                      <w:rFonts w:hint="default" w:ascii="Times New Roman" w:hAnsi="Times New Roman" w:cs="Times New Roman"/>
                      <w:spacing w:val="-2"/>
                      <w:sz w:val="21"/>
                      <w:szCs w:val="21"/>
                      <w:vertAlign w:val="baseline"/>
                      <w:lang w:eastAsia="zh-CN"/>
                    </w:rPr>
                    <w:t>项目</w:t>
                  </w:r>
                  <w:r>
                    <w:rPr>
                      <w:rFonts w:hint="eastAsia" w:ascii="Times New Roman" w:hAnsi="Times New Roman" w:cs="Times New Roman"/>
                      <w:spacing w:val="-2"/>
                      <w:sz w:val="21"/>
                      <w:szCs w:val="21"/>
                      <w:vertAlign w:val="baseline"/>
                      <w:lang w:val="en-US" w:eastAsia="zh-CN"/>
                    </w:rPr>
                    <w:t>拟</w:t>
                  </w:r>
                  <w:r>
                    <w:rPr>
                      <w:rFonts w:hint="default" w:ascii="Times New Roman" w:hAnsi="Times New Roman" w:cs="Times New Roman"/>
                      <w:spacing w:val="-2"/>
                      <w:sz w:val="21"/>
                      <w:szCs w:val="21"/>
                      <w:vertAlign w:val="baseline"/>
                      <w:lang w:eastAsia="zh-CN"/>
                    </w:rPr>
                    <w:t>编制应急预案，建设单位建成后将按照要求办理并备案，加强演练，且环境风险中已提出企业编制应急预案的要求。</w:t>
                  </w:r>
                </w:p>
              </w:tc>
              <w:tc>
                <w:tcPr>
                  <w:tcW w:w="896" w:type="dxa"/>
                  <w:noWrap w:val="0"/>
                  <w:vAlign w:val="center"/>
                </w:tcPr>
                <w:p w14:paraId="1CBED65C">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spacing w:val="-2"/>
                      <w:sz w:val="21"/>
                      <w:szCs w:val="21"/>
                      <w:vertAlign w:val="baseline"/>
                      <w:lang w:val="en-US" w:eastAsia="zh-CN"/>
                    </w:rPr>
                  </w:pPr>
                  <w:r>
                    <w:rPr>
                      <w:rFonts w:hint="eastAsia"/>
                      <w:spacing w:val="-2"/>
                      <w:sz w:val="21"/>
                      <w:szCs w:val="21"/>
                      <w:vertAlign w:val="baseline"/>
                      <w:lang w:val="en-US" w:eastAsia="zh-CN"/>
                    </w:rPr>
                    <w:t>符合</w:t>
                  </w:r>
                </w:p>
              </w:tc>
            </w:tr>
            <w:tr w14:paraId="66DF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Merge w:val="continue"/>
                  <w:noWrap w:val="0"/>
                  <w:vAlign w:val="top"/>
                </w:tcPr>
                <w:p w14:paraId="0E15A51E">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spacing w:val="-2"/>
                      <w:sz w:val="21"/>
                      <w:szCs w:val="21"/>
                      <w:vertAlign w:val="baseline"/>
                      <w:lang w:eastAsia="zh-CN"/>
                    </w:rPr>
                  </w:pPr>
                </w:p>
              </w:tc>
              <w:tc>
                <w:tcPr>
                  <w:tcW w:w="4290" w:type="dxa"/>
                  <w:noWrap w:val="0"/>
                  <w:vAlign w:val="top"/>
                </w:tcPr>
                <w:p w14:paraId="2998F7C3">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r>
                    <w:rPr>
                      <w:rFonts w:hint="eastAsia" w:ascii="宋体" w:hAnsi="宋体" w:eastAsia="宋体" w:cs="宋体"/>
                      <w:spacing w:val="-2"/>
                      <w:sz w:val="21"/>
                      <w:szCs w:val="21"/>
                      <w:vertAlign w:val="baseline"/>
                      <w:lang w:eastAsia="zh-CN"/>
                    </w:rPr>
                    <w:t>（二）驷马清洁能源产业园紧邻驷马河及四川平昌驷马河国家湿地公园，对规划实施构成制约。</w:t>
                  </w:r>
                </w:p>
                <w:p w14:paraId="376C191D">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r>
                    <w:rPr>
                      <w:rFonts w:hint="eastAsia" w:ascii="宋体" w:hAnsi="宋体" w:eastAsia="宋体" w:cs="宋体"/>
                      <w:spacing w:val="-2"/>
                      <w:sz w:val="21"/>
                      <w:szCs w:val="21"/>
                      <w:vertAlign w:val="baseline"/>
                      <w:lang w:eastAsia="zh-CN"/>
                    </w:rPr>
                    <w:t>解决对策：</w:t>
                  </w:r>
                </w:p>
                <w:p w14:paraId="73FCE12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r>
                    <w:rPr>
                      <w:rFonts w:hint="eastAsia" w:ascii="宋体" w:hAnsi="宋体" w:eastAsia="宋体" w:cs="宋体"/>
                      <w:spacing w:val="-2"/>
                      <w:sz w:val="21"/>
                      <w:szCs w:val="21"/>
                      <w:vertAlign w:val="baseline"/>
                      <w:lang w:eastAsia="zh-CN"/>
                    </w:rPr>
                    <w:t>1.禁止在驷马河岸线一公里范围内新建、扩建化工项目。</w:t>
                  </w:r>
                </w:p>
                <w:p w14:paraId="62C0B52A">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r>
                    <w:rPr>
                      <w:rFonts w:hint="eastAsia" w:ascii="宋体" w:hAnsi="宋体" w:eastAsia="宋体" w:cs="宋体"/>
                      <w:spacing w:val="-2"/>
                      <w:sz w:val="21"/>
                      <w:szCs w:val="21"/>
                      <w:vertAlign w:val="baseline"/>
                      <w:lang w:eastAsia="zh-CN"/>
                    </w:rPr>
                    <w:t>2.强化事故废水收集等环境风险防控措施，加强应急演练及应急监测监控系统建设，确保事故废水不下河。</w:t>
                  </w:r>
                </w:p>
              </w:tc>
              <w:tc>
                <w:tcPr>
                  <w:tcW w:w="2415" w:type="dxa"/>
                  <w:noWrap w:val="0"/>
                  <w:vAlign w:val="top"/>
                </w:tcPr>
                <w:p w14:paraId="3AC366EF">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p>
                <w:p w14:paraId="7664FB8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p>
                <w:p w14:paraId="7AF58EB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宋体" w:hAnsi="宋体" w:eastAsia="宋体" w:cs="宋体"/>
                      <w:spacing w:val="-2"/>
                      <w:sz w:val="21"/>
                      <w:szCs w:val="21"/>
                      <w:vertAlign w:val="baseline"/>
                      <w:lang w:eastAsia="zh-CN"/>
                    </w:rPr>
                  </w:pPr>
                  <w:r>
                    <w:rPr>
                      <w:rFonts w:hint="eastAsia" w:ascii="宋体" w:hAnsi="宋体" w:eastAsia="宋体" w:cs="宋体"/>
                      <w:spacing w:val="-2"/>
                      <w:sz w:val="21"/>
                      <w:szCs w:val="21"/>
                      <w:vertAlign w:val="baseline"/>
                      <w:lang w:eastAsia="zh-CN"/>
                    </w:rPr>
                    <w:t>本项目位于星光机械制造产业园内，不涉及驷马清洁能源产业园。</w:t>
                  </w:r>
                </w:p>
              </w:tc>
              <w:tc>
                <w:tcPr>
                  <w:tcW w:w="896" w:type="dxa"/>
                  <w:noWrap w:val="0"/>
                  <w:vAlign w:val="center"/>
                </w:tcPr>
                <w:p w14:paraId="165477C3">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spacing w:val="-2"/>
                      <w:sz w:val="21"/>
                      <w:szCs w:val="21"/>
                      <w:vertAlign w:val="baseline"/>
                      <w:lang w:val="en-US" w:eastAsia="zh-CN"/>
                    </w:rPr>
                  </w:pPr>
                  <w:r>
                    <w:rPr>
                      <w:rFonts w:hint="eastAsia"/>
                      <w:spacing w:val="-2"/>
                      <w:sz w:val="21"/>
                      <w:szCs w:val="21"/>
                      <w:vertAlign w:val="baseline"/>
                      <w:lang w:val="en-US" w:eastAsia="zh-CN"/>
                    </w:rPr>
                    <w:t>符合</w:t>
                  </w:r>
                </w:p>
              </w:tc>
            </w:tr>
            <w:tr w14:paraId="0511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Merge w:val="continue"/>
                  <w:noWrap w:val="0"/>
                  <w:vAlign w:val="top"/>
                </w:tcPr>
                <w:p w14:paraId="79AE0115">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spacing w:val="-2"/>
                      <w:sz w:val="21"/>
                      <w:szCs w:val="21"/>
                      <w:vertAlign w:val="baseline"/>
                      <w:lang w:eastAsia="zh-CN"/>
                    </w:rPr>
                  </w:pPr>
                </w:p>
              </w:tc>
              <w:tc>
                <w:tcPr>
                  <w:tcW w:w="4290" w:type="dxa"/>
                  <w:noWrap w:val="0"/>
                  <w:vAlign w:val="top"/>
                </w:tcPr>
                <w:p w14:paraId="597F6D0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（三）金宝食品饮料产业园和星光机械制造产业园邻近的镇龙山国家森林公园（佛头山景区）执行环境空气一类区功能标准，对规划实施构成制约。</w:t>
                  </w:r>
                </w:p>
                <w:p w14:paraId="1055E65C">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解决对策：</w:t>
                  </w:r>
                </w:p>
                <w:p w14:paraId="090E4EE7">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1.严格落实平昌县秋冬季大气污染防治攻坚行动方案等要求，持续改善区域大气环境质量。禁止使用高污染燃料。</w:t>
                  </w:r>
                </w:p>
                <w:p w14:paraId="35E6A56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2.严格落实入园项目生态环境准入。金宝食品饮料产业园及星光机械制造产业园新引入项目执行最严格的行业废气排放控制要求，生产工艺、设备，以及单位产品能耗、污染物排放和资源利用效率等均需达到同行业先进水平。</w:t>
                  </w:r>
                </w:p>
                <w:p w14:paraId="579677BC">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3.对园区企业开展废气治理措施排查整治，强化现有企业污染治理设施运行维护，严控无组织排放，逐步提高清洁生产水平。</w:t>
                  </w:r>
                </w:p>
              </w:tc>
              <w:tc>
                <w:tcPr>
                  <w:tcW w:w="2415" w:type="dxa"/>
                  <w:noWrap w:val="0"/>
                  <w:vAlign w:val="top"/>
                </w:tcPr>
                <w:p w14:paraId="039824B2">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项目所在位置属于星光机械制造产业园内，距离镇龙山国家森林公园（佛头山景区）＞5000m ，评价范围不涉及。</w:t>
                  </w:r>
                </w:p>
                <w:p w14:paraId="4F83C10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1、本项目按要求严格落实平昌县秋冬季大气污染防治攻坚行动方案等要求项目不使用高污染燃料。</w:t>
                  </w:r>
                </w:p>
                <w:p w14:paraId="243D3F01">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2、项目符合入园生态环境准入要求。</w:t>
                  </w:r>
                </w:p>
                <w:p w14:paraId="60BE6977">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3、项目废气均通过处理后排放。</w:t>
                  </w:r>
                </w:p>
              </w:tc>
              <w:tc>
                <w:tcPr>
                  <w:tcW w:w="896" w:type="dxa"/>
                  <w:noWrap w:val="0"/>
                  <w:vAlign w:val="center"/>
                </w:tcPr>
                <w:p w14:paraId="30626ED2">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spacing w:val="-2"/>
                      <w:sz w:val="21"/>
                      <w:szCs w:val="21"/>
                      <w:vertAlign w:val="baseline"/>
                      <w:lang w:val="en-US" w:eastAsia="zh-CN"/>
                    </w:rPr>
                  </w:pPr>
                  <w:r>
                    <w:rPr>
                      <w:rFonts w:hint="eastAsia"/>
                      <w:spacing w:val="-2"/>
                      <w:sz w:val="21"/>
                      <w:szCs w:val="21"/>
                      <w:vertAlign w:val="baseline"/>
                      <w:lang w:val="en-US" w:eastAsia="zh-CN"/>
                    </w:rPr>
                    <w:t>符合</w:t>
                  </w:r>
                </w:p>
              </w:tc>
            </w:tr>
            <w:tr w14:paraId="317A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top"/>
                </w:tcPr>
                <w:p w14:paraId="278947CA">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465AC88B">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15C2330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70797F52">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35D8D40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28902E2B">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15363367">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生态环境准入清单</w:t>
                  </w:r>
                </w:p>
              </w:tc>
              <w:tc>
                <w:tcPr>
                  <w:tcW w:w="4290" w:type="dxa"/>
                  <w:noWrap w:val="0"/>
                  <w:vAlign w:val="top"/>
                </w:tcPr>
                <w:p w14:paraId="30C0BBCA">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（一）总体准入要求</w:t>
                  </w:r>
                </w:p>
                <w:p w14:paraId="228C61E6">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1、禁止引入不符合国家法律法规、产业政策和行业准入条件以及国家、地方明令禁止的项目，清洁生产水平达不到行业清洁生产标准二级或国内先进水平的项目；</w:t>
                  </w:r>
                </w:p>
                <w:p w14:paraId="7F47F90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2、禁止引入与主导产业环境不相容的项目；</w:t>
                  </w:r>
                </w:p>
                <w:p w14:paraId="5239578E">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3、禁止引入农药、制浆（含废纸制浆）、印染染整、制革、水泥、专业电镀、金属冶炼、发酵类制药；</w:t>
                  </w:r>
                </w:p>
                <w:p w14:paraId="64C15DC5">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4、除石龙门化工园区外其他产业园禁止新建、扩建化工项目。</w:t>
                  </w:r>
                </w:p>
                <w:p w14:paraId="7675721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（二）分区准入要求</w:t>
                  </w:r>
                </w:p>
                <w:p w14:paraId="780FFA4C">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1、星光机械制造产业园、金宝食品饮料产业园、驷马清洁能源产业园：执行总体准入要求；</w:t>
                  </w:r>
                </w:p>
                <w:p w14:paraId="6085446B">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2、石龙门化工园区：可规划建设 ING、CNG、磷酸铁锂利用工业级碳酸二甲酯制备电池级碳酸二甲酯、电池级碳酸二乙酯、碳酸甲乙酯、锂离子电池电解液项目。</w:t>
                  </w:r>
                </w:p>
              </w:tc>
              <w:tc>
                <w:tcPr>
                  <w:tcW w:w="2415" w:type="dxa"/>
                  <w:noWrap w:val="0"/>
                  <w:vAlign w:val="top"/>
                </w:tcPr>
                <w:p w14:paraId="6182F940">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p>
                <w:p w14:paraId="276099B9">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本项目主要生产硅碳负极材料，属于C3091石墨及碳素制品制造，符合国家法律法规、产业政策和行业准入条件，不属于《产业结构调整指导目录（2024 年本）》中规定的限制类、淘汰类项目；不属于禁止和限制入园项目，且与园区主导</w:t>
                  </w:r>
                </w:p>
                <w:p w14:paraId="1F98EBFB">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spacing w:val="-2"/>
                      <w:sz w:val="21"/>
                      <w:szCs w:val="21"/>
                      <w:vertAlign w:val="baseline"/>
                      <w:lang w:eastAsia="zh-CN"/>
                    </w:rPr>
                  </w:pPr>
                  <w:r>
                    <w:rPr>
                      <w:rFonts w:hint="default" w:ascii="Times New Roman" w:hAnsi="Times New Roman" w:eastAsia="宋体" w:cs="Times New Roman"/>
                      <w:spacing w:val="-2"/>
                      <w:sz w:val="21"/>
                      <w:szCs w:val="21"/>
                      <w:vertAlign w:val="baseline"/>
                      <w:lang w:eastAsia="zh-CN"/>
                    </w:rPr>
                    <w:t>产业不冲突；本项目项目建设满足相关法律法规。</w:t>
                  </w:r>
                </w:p>
              </w:tc>
              <w:tc>
                <w:tcPr>
                  <w:tcW w:w="896" w:type="dxa"/>
                  <w:noWrap w:val="0"/>
                  <w:vAlign w:val="center"/>
                </w:tcPr>
                <w:p w14:paraId="284039A8">
                  <w:pPr>
                    <w:pStyle w:val="106"/>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spacing w:val="-2"/>
                      <w:sz w:val="21"/>
                      <w:szCs w:val="21"/>
                      <w:vertAlign w:val="baseline"/>
                      <w:lang w:val="en-US" w:eastAsia="zh-CN"/>
                    </w:rPr>
                  </w:pPr>
                  <w:r>
                    <w:rPr>
                      <w:rFonts w:hint="eastAsia"/>
                      <w:spacing w:val="-2"/>
                      <w:sz w:val="21"/>
                      <w:szCs w:val="21"/>
                      <w:vertAlign w:val="baseline"/>
                      <w:lang w:val="en-US" w:eastAsia="zh-CN"/>
                    </w:rPr>
                    <w:t>符合</w:t>
                  </w:r>
                </w:p>
              </w:tc>
            </w:tr>
          </w:tbl>
          <w:p w14:paraId="4666039D">
            <w:pPr>
              <w:pStyle w:val="106"/>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8" w:firstLineChars="200"/>
              <w:jc w:val="both"/>
              <w:textAlignment w:val="auto"/>
              <w:rPr>
                <w:rFonts w:hint="eastAsia"/>
                <w:spacing w:val="-2"/>
                <w:lang w:eastAsia="zh-CN"/>
              </w:rPr>
            </w:pPr>
            <w:r>
              <w:rPr>
                <w:spacing w:val="2"/>
              </w:rPr>
              <w:t>综上所述，本项目与四川平昌经济开发区星光机械制造产业园主导产业不冲突，</w:t>
            </w:r>
            <w:r>
              <w:rPr>
                <w:spacing w:val="1"/>
              </w:rPr>
              <w:t>不属于《四川平昌经济开发区规划修编环境</w:t>
            </w:r>
            <w:r>
              <w:rPr>
                <w:spacing w:val="-1"/>
              </w:rPr>
              <w:t>影响报告书》审查意见的函中禁止入园产业类型，符合入园要求。</w:t>
            </w:r>
          </w:p>
        </w:tc>
      </w:tr>
      <w:tr w14:paraId="364F8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2" w:type="dxa"/>
            <w:noWrap w:val="0"/>
            <w:vAlign w:val="center"/>
          </w:tcPr>
          <w:p w14:paraId="344EBAE7">
            <w:pPr>
              <w:autoSpaceDE w:val="0"/>
              <w:autoSpaceDN w:val="0"/>
              <w:adjustRightInd w:val="0"/>
              <w:snapToGrid w:val="0"/>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其他符合性分析</w:t>
            </w:r>
          </w:p>
        </w:tc>
        <w:tc>
          <w:tcPr>
            <w:tcW w:w="8524" w:type="dxa"/>
            <w:gridSpan w:val="3"/>
            <w:noWrap w:val="0"/>
            <w:vAlign w:val="center"/>
          </w:tcPr>
          <w:p w14:paraId="37E437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sz w:val="24"/>
                <w:lang w:val="en-US" w:eastAsia="zh-CN"/>
              </w:rPr>
            </w:pPr>
            <w:r>
              <w:rPr>
                <w:rFonts w:hint="eastAsia" w:ascii="Times New Roman" w:hAnsi="Times New Roman" w:cs="Times New Roman"/>
                <w:b/>
                <w:bCs/>
                <w:color w:val="000000"/>
                <w:sz w:val="24"/>
                <w:lang w:val="en-US" w:eastAsia="zh-CN"/>
              </w:rPr>
              <w:t>1、产业政策符合性分析</w:t>
            </w:r>
          </w:p>
          <w:p w14:paraId="32514F66">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本项目</w:t>
            </w:r>
            <w:r>
              <w:rPr>
                <w:rFonts w:hint="eastAsia" w:ascii="Times New Roman" w:hAnsi="Times New Roman" w:cs="Times New Roman"/>
                <w:color w:val="000000"/>
                <w:sz w:val="24"/>
                <w:lang w:eastAsia="zh-CN"/>
              </w:rPr>
              <w:t>为</w:t>
            </w:r>
            <w:r>
              <w:rPr>
                <w:rFonts w:hint="default" w:ascii="Times New Roman" w:hAnsi="Times New Roman" w:cs="Times New Roman"/>
                <w:color w:val="000000"/>
                <w:sz w:val="24"/>
              </w:rPr>
              <w:t>锂离子电池石墨负极材料制造</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根据《国民经济行业分类与代码》</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GB/T4754-2017</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项目属于石墨及碳素制品制造（C3091），本次环评不涉及硅碳负极材料生产</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根据中华人民共和国国家发展和改革委员会制定的《产业结构调整指导目录》（2024年本）的要求，项目不属于鼓励类、限制类和淘汰类，根据国务院发布实施的《促进产业结构调整暂行规定》（国发〔2005〕40号）第十三条规定：“不属于鼓励类、限制类和淘汰类，且符合国家有关法律法规和政策规定的为允许类。”故本项目属于允许类，</w:t>
            </w:r>
            <w:r>
              <w:rPr>
                <w:rFonts w:hint="default" w:ascii="Times New Roman" w:hAnsi="Times New Roman" w:cs="Times New Roman"/>
                <w:color w:val="000000"/>
                <w:sz w:val="24"/>
                <w:lang w:eastAsia="zh-CN"/>
              </w:rPr>
              <w:t>同时</w:t>
            </w:r>
            <w:r>
              <w:rPr>
                <w:rFonts w:hint="default" w:ascii="Times New Roman" w:hAnsi="Times New Roman" w:cs="Times New Roman"/>
                <w:color w:val="000000"/>
                <w:sz w:val="24"/>
              </w:rPr>
              <w:t>项目生产过程中所用的设备均不在国家禁止使用的落后、淘汰生产设备之列。</w:t>
            </w:r>
          </w:p>
          <w:p w14:paraId="57969F36">
            <w:pPr>
              <w:spacing w:line="360" w:lineRule="auto"/>
              <w:ind w:firstLine="480" w:firstLineChars="200"/>
              <w:rPr>
                <w:rFonts w:hint="default" w:ascii="Times New Roman" w:hAnsi="Times New Roman" w:cs="Times New Roman"/>
                <w:color w:val="000000"/>
                <w:sz w:val="24"/>
              </w:rPr>
            </w:pPr>
            <w:r>
              <w:rPr>
                <w:rFonts w:hint="eastAsia" w:ascii="Times New Roman" w:hAnsi="Times New Roman" w:cs="Times New Roman"/>
                <w:color w:val="000000"/>
                <w:sz w:val="24"/>
                <w:lang w:eastAsia="zh-CN"/>
              </w:rPr>
              <w:t>目前</w:t>
            </w:r>
            <w:r>
              <w:rPr>
                <w:rFonts w:hint="default" w:ascii="Times New Roman" w:hAnsi="Times New Roman" w:cs="Times New Roman"/>
                <w:color w:val="000000"/>
                <w:sz w:val="24"/>
              </w:rPr>
              <w:t>，</w:t>
            </w:r>
            <w:r>
              <w:rPr>
                <w:rFonts w:hint="eastAsia" w:ascii="Times New Roman" w:hAnsi="Times New Roman" w:cs="Times New Roman"/>
                <w:color w:val="000000"/>
                <w:sz w:val="24"/>
                <w:lang w:eastAsia="zh-CN"/>
              </w:rPr>
              <w:t>该</w:t>
            </w:r>
            <w:r>
              <w:rPr>
                <w:rFonts w:hint="default" w:ascii="Times New Roman" w:hAnsi="Times New Roman" w:cs="Times New Roman"/>
                <w:color w:val="000000"/>
                <w:sz w:val="24"/>
              </w:rPr>
              <w:t>项目</w:t>
            </w:r>
            <w:r>
              <w:rPr>
                <w:rFonts w:hint="eastAsia" w:ascii="Times New Roman" w:hAnsi="Times New Roman" w:cs="Times New Roman"/>
                <w:color w:val="000000"/>
                <w:sz w:val="24"/>
                <w:lang w:eastAsia="zh-CN"/>
              </w:rPr>
              <w:t>已</w:t>
            </w:r>
            <w:r>
              <w:rPr>
                <w:rFonts w:hint="default" w:ascii="Times New Roman" w:hAnsi="Times New Roman" w:cs="Times New Roman"/>
                <w:color w:val="000000"/>
                <w:sz w:val="24"/>
              </w:rPr>
              <w:t>在</w:t>
            </w:r>
            <w:r>
              <w:rPr>
                <w:rFonts w:hint="eastAsia" w:ascii="Times New Roman" w:hAnsi="Times New Roman" w:cs="Times New Roman"/>
                <w:color w:val="000000"/>
                <w:sz w:val="24"/>
                <w:lang w:eastAsia="zh-CN"/>
              </w:rPr>
              <w:t>平昌县经济和信息化局</w:t>
            </w:r>
            <w:r>
              <w:rPr>
                <w:rFonts w:hint="default" w:ascii="Times New Roman" w:hAnsi="Times New Roman" w:cs="Times New Roman"/>
                <w:color w:val="000000"/>
                <w:sz w:val="24"/>
              </w:rPr>
              <w:t>完成备案（备案号：</w:t>
            </w:r>
            <w:r>
              <w:rPr>
                <w:rFonts w:hint="eastAsia" w:ascii="Times New Roman" w:hAnsi="Times New Roman" w:cs="Times New Roman"/>
                <w:color w:val="000000"/>
                <w:sz w:val="24"/>
                <w:lang w:eastAsia="zh-CN"/>
              </w:rPr>
              <w:t>川投资备【2603-511923-07-02-826779】JXQB-0349 号）</w:t>
            </w:r>
            <w:r>
              <w:rPr>
                <w:rFonts w:hint="default" w:ascii="Times New Roman" w:hAnsi="Times New Roman" w:cs="Times New Roman"/>
                <w:color w:val="000000"/>
                <w:sz w:val="24"/>
              </w:rPr>
              <w:t>。</w:t>
            </w:r>
          </w:p>
          <w:p w14:paraId="532B502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olor w:val="000000"/>
                <w:sz w:val="24"/>
              </w:rPr>
            </w:pPr>
            <w:r>
              <w:rPr>
                <w:rFonts w:hint="eastAsia"/>
                <w:color w:val="000000"/>
                <w:sz w:val="24"/>
              </w:rPr>
              <w:t>因此，本项目的建设符合国家现行产业政策。</w:t>
            </w:r>
          </w:p>
          <w:p w14:paraId="3E7BC122">
            <w:pPr>
              <w:numPr>
                <w:ilvl w:val="0"/>
                <w:numId w:val="0"/>
              </w:numPr>
              <w:spacing w:line="360" w:lineRule="auto"/>
              <w:ind w:firstLine="482" w:firstLineChars="200"/>
              <w:rPr>
                <w:b/>
                <w:bCs/>
                <w:color w:val="000000"/>
                <w:sz w:val="24"/>
              </w:rPr>
            </w:pPr>
            <w:r>
              <w:rPr>
                <w:rFonts w:hint="eastAsia"/>
                <w:b/>
                <w:bCs/>
                <w:color w:val="000000"/>
                <w:sz w:val="24"/>
                <w:lang w:val="en-US" w:eastAsia="zh-CN"/>
              </w:rPr>
              <w:t>2、</w:t>
            </w:r>
            <w:r>
              <w:rPr>
                <w:rFonts w:hint="eastAsia"/>
                <w:b/>
                <w:bCs/>
                <w:color w:val="000000"/>
                <w:sz w:val="24"/>
              </w:rPr>
              <w:t>项目与园区用地性质的符合性分析</w:t>
            </w:r>
          </w:p>
          <w:p w14:paraId="4B7EEF87">
            <w:pPr>
              <w:spacing w:line="360" w:lineRule="auto"/>
              <w:ind w:firstLine="480" w:firstLineChars="200"/>
              <w:rPr>
                <w:color w:val="000000"/>
                <w:sz w:val="24"/>
              </w:rPr>
            </w:pPr>
            <w:r>
              <w:rPr>
                <w:rFonts w:hint="eastAsia"/>
                <w:color w:val="000000"/>
                <w:sz w:val="24"/>
              </w:rPr>
              <w:t>本项目选址于星光工业园内，项目使用的已建成的星光工业园区厂房及配套用房，根据《平昌星光机械制造产业园土地利用规划</w:t>
            </w:r>
            <w:r>
              <w:rPr>
                <w:rFonts w:hint="eastAsia"/>
                <w:color w:val="000000"/>
                <w:sz w:val="24"/>
                <w:lang w:val="en-US" w:eastAsia="zh-CN"/>
              </w:rPr>
              <w:t>图</w:t>
            </w:r>
            <w:r>
              <w:rPr>
                <w:rFonts w:hint="eastAsia"/>
                <w:color w:val="000000"/>
                <w:sz w:val="24"/>
              </w:rPr>
              <w:t>》，项目所在星光工业园区建设用地性质为工业用地；根据</w:t>
            </w:r>
            <w:r>
              <w:rPr>
                <w:rFonts w:hint="eastAsia"/>
                <w:color w:val="000000"/>
                <w:sz w:val="24"/>
                <w:lang w:eastAsia="zh-CN"/>
              </w:rPr>
              <w:t>四川平昌经济开发区管理委员会</w:t>
            </w:r>
            <w:r>
              <w:rPr>
                <w:rFonts w:hint="eastAsia"/>
                <w:color w:val="000000"/>
                <w:sz w:val="24"/>
              </w:rPr>
              <w:t>出具的入园证明，本项目已取得园区管委会同意项目入驻园区的意见。同时，平昌县自然资源和规划局出具了选址规划意见（平自然资规函</w:t>
            </w:r>
            <w:r>
              <w:rPr>
                <w:rFonts w:hint="eastAsia"/>
                <w:color w:val="000000"/>
                <w:sz w:val="24"/>
                <w:lang w:eastAsia="zh-CN"/>
              </w:rPr>
              <w:t>〔2022〕90号</w:t>
            </w:r>
            <w:r>
              <w:rPr>
                <w:rFonts w:hint="eastAsia"/>
                <w:color w:val="000000"/>
                <w:sz w:val="24"/>
              </w:rPr>
              <w:t>），同意项目选址且符合国土规划。因此，本项目用地符合平昌县星光工业园用地布局规划。</w:t>
            </w:r>
          </w:p>
          <w:p w14:paraId="28B78678">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color w:val="000000"/>
                <w:sz w:val="24"/>
              </w:rPr>
            </w:pPr>
            <w:r>
              <w:rPr>
                <w:rFonts w:hint="eastAsia"/>
                <w:b/>
                <w:bCs/>
                <w:color w:val="000000"/>
                <w:sz w:val="24"/>
              </w:rPr>
              <w:t>综上，项目用地符合平昌县土地利用规划及园区土地利用总体规划。</w:t>
            </w:r>
          </w:p>
          <w:p w14:paraId="407916DB">
            <w:pPr>
              <w:pStyle w:val="26"/>
              <w:keepNext w:val="0"/>
              <w:keepLines w:val="0"/>
              <w:pageBreakBefore w:val="0"/>
              <w:widowControl w:val="0"/>
              <w:kinsoku/>
              <w:wordWrap/>
              <w:overflowPunct/>
              <w:topLinePunct w:val="0"/>
              <w:autoSpaceDE/>
              <w:autoSpaceDN/>
              <w:bidi w:val="0"/>
              <w:adjustRightInd/>
              <w:snapToGrid/>
              <w:spacing w:line="360" w:lineRule="auto"/>
              <w:ind w:left="481" w:leftChars="229" w:firstLine="0" w:firstLineChars="0"/>
              <w:textAlignment w:val="auto"/>
              <w:rPr>
                <w:rFonts w:hint="eastAsia"/>
                <w:color w:val="000000"/>
                <w:sz w:val="24"/>
              </w:rPr>
            </w:pPr>
            <w:r>
              <w:rPr>
                <w:rFonts w:hint="eastAsia"/>
                <w:b/>
                <w:bCs/>
                <w:color w:val="000000"/>
                <w:sz w:val="24"/>
                <w:lang w:val="en-US" w:eastAsia="zh-CN"/>
              </w:rPr>
              <w:t>3</w:t>
            </w:r>
            <w:r>
              <w:rPr>
                <w:rFonts w:hint="eastAsia"/>
                <w:b/>
                <w:bCs/>
                <w:color w:val="000000"/>
                <w:sz w:val="24"/>
                <w:lang w:eastAsia="zh-CN"/>
              </w:rPr>
              <w:t>、与《锂离子电池行业规范条件》（2021年本）相符性</w:t>
            </w:r>
          </w:p>
          <w:p w14:paraId="2057B4F5">
            <w:pPr>
              <w:pStyle w:val="2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olor w:val="000000"/>
                <w:sz w:val="24"/>
              </w:rPr>
            </w:pPr>
            <w:r>
              <w:rPr>
                <w:rFonts w:hint="eastAsia"/>
                <w:color w:val="000000"/>
                <w:sz w:val="24"/>
              </w:rPr>
              <w:t>经与《锂离子电池行业规范条件》对照，拟建项目在产业布局、生产规模、工艺技术、产品质量及性能等方面均符合规范要求。具体相符性分析见下表。</w:t>
            </w:r>
          </w:p>
          <w:p w14:paraId="06B60D61">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 xml:space="preserve"> 与《锂离子电池行业规范条件》（2021年本）相符性分析一览表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2"/>
              <w:gridCol w:w="2776"/>
              <w:gridCol w:w="832"/>
            </w:tblGrid>
            <w:tr w14:paraId="74D7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52" w:type="dxa"/>
                  <w:noWrap w:val="0"/>
                  <w:vAlign w:val="center"/>
                </w:tcPr>
                <w:p w14:paraId="10F9BCDC">
                  <w:pPr>
                    <w:pStyle w:val="94"/>
                    <w:ind w:firstLine="420" w:firstLineChars="200"/>
                    <w:rPr>
                      <w:color w:val="000000"/>
                      <w:szCs w:val="21"/>
                    </w:rPr>
                  </w:pPr>
                  <w:r>
                    <w:rPr>
                      <w:rFonts w:hint="eastAsia"/>
                      <w:color w:val="000000"/>
                      <w:szCs w:val="21"/>
                    </w:rPr>
                    <w:t>规范内容</w:t>
                  </w:r>
                </w:p>
              </w:tc>
              <w:tc>
                <w:tcPr>
                  <w:tcW w:w="2776" w:type="dxa"/>
                  <w:noWrap w:val="0"/>
                  <w:vAlign w:val="center"/>
                </w:tcPr>
                <w:p w14:paraId="1880C104">
                  <w:pPr>
                    <w:pStyle w:val="94"/>
                    <w:ind w:firstLine="420" w:firstLineChars="200"/>
                    <w:rPr>
                      <w:color w:val="000000"/>
                      <w:szCs w:val="21"/>
                    </w:rPr>
                  </w:pPr>
                  <w:r>
                    <w:rPr>
                      <w:rFonts w:hint="eastAsia"/>
                      <w:color w:val="000000"/>
                      <w:szCs w:val="21"/>
                    </w:rPr>
                    <w:t>本项目</w:t>
                  </w:r>
                </w:p>
              </w:tc>
              <w:tc>
                <w:tcPr>
                  <w:tcW w:w="832" w:type="dxa"/>
                  <w:noWrap w:val="0"/>
                  <w:vAlign w:val="center"/>
                </w:tcPr>
                <w:p w14:paraId="79B24D99">
                  <w:pPr>
                    <w:pStyle w:val="94"/>
                    <w:rPr>
                      <w:color w:val="000000"/>
                      <w:szCs w:val="21"/>
                    </w:rPr>
                  </w:pPr>
                  <w:r>
                    <w:rPr>
                      <w:rFonts w:hint="eastAsia"/>
                      <w:color w:val="000000"/>
                      <w:szCs w:val="21"/>
                    </w:rPr>
                    <w:t>符合性</w:t>
                  </w:r>
                </w:p>
              </w:tc>
            </w:tr>
            <w:tr w14:paraId="6E59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2" w:type="dxa"/>
                  <w:noWrap w:val="0"/>
                  <w:vAlign w:val="center"/>
                </w:tcPr>
                <w:p w14:paraId="0F0355E6">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 w:val="21"/>
                      <w:szCs w:val="21"/>
                    </w:rPr>
                  </w:pPr>
                  <w:r>
                    <w:rPr>
                      <w:rFonts w:hint="eastAsia"/>
                      <w:color w:val="000000"/>
                      <w:sz w:val="21"/>
                      <w:szCs w:val="21"/>
                    </w:rPr>
                    <w:t>产业布局和项目设立：</w:t>
                  </w:r>
                </w:p>
                <w:p w14:paraId="68302AFD">
                  <w:pPr>
                    <w:pStyle w:val="95"/>
                    <w:keepNext w:val="0"/>
                    <w:keepLines w:val="0"/>
                    <w:pageBreakBefore w:val="0"/>
                    <w:widowControl w:val="0"/>
                    <w:numPr>
                      <w:ilvl w:val="0"/>
                      <w:numId w:val="6"/>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 w:val="21"/>
                      <w:szCs w:val="21"/>
                    </w:rPr>
                  </w:pPr>
                  <w:r>
                    <w:rPr>
                      <w:rFonts w:hint="eastAsia"/>
                      <w:color w:val="000000"/>
                      <w:sz w:val="21"/>
                      <w:szCs w:val="21"/>
                    </w:rPr>
                    <w:t>锂离子电池企业及项目应符合国家资源开发利用、生态环境保护、节能管理、安全生产等法律法规要求，符合国家产业政策和相关产业规划及布局要求，符合当地国土空间规划和生态环境保护专项规划等要求，符合“三线一单”生态环境分区管控要求；</w:t>
                  </w:r>
                </w:p>
                <w:p w14:paraId="2D4F14E0">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eastAsia"/>
                      <w:color w:val="000000"/>
                      <w:sz w:val="21"/>
                      <w:szCs w:val="21"/>
                    </w:rPr>
                  </w:pPr>
                  <w:r>
                    <w:rPr>
                      <w:rFonts w:hint="eastAsia"/>
                      <w:color w:val="000000"/>
                      <w:sz w:val="21"/>
                      <w:szCs w:val="21"/>
                    </w:rPr>
                    <w:t>（2）在规划确定的永久基本农田、生态保护红线，以及国家法律法规、规章规定禁止建设工业企业的区域不得建设锂离子电池及配套项目。上述区域内的现有企业应按照法律法规要求拆除关闭，或严格控制规模、逐步迁出；</w:t>
                  </w:r>
                </w:p>
                <w:p w14:paraId="2344F4C5">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color w:val="000000"/>
                      <w:sz w:val="21"/>
                      <w:szCs w:val="21"/>
                    </w:rPr>
                  </w:pPr>
                  <w:r>
                    <w:rPr>
                      <w:rFonts w:hint="eastAsia"/>
                      <w:color w:val="000000"/>
                      <w:sz w:val="21"/>
                      <w:szCs w:val="21"/>
                    </w:rPr>
                    <w:t>（3）引导企业减少单纯扩大产能的制造项目，加强技术创新、提高产品质量、降低生产成本。</w:t>
                  </w:r>
                </w:p>
              </w:tc>
              <w:tc>
                <w:tcPr>
                  <w:tcW w:w="2776" w:type="dxa"/>
                  <w:noWrap w:val="0"/>
                  <w:vAlign w:val="center"/>
                </w:tcPr>
                <w:p w14:paraId="15E44608">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olor w:val="000000"/>
                      <w:sz w:val="21"/>
                      <w:szCs w:val="21"/>
                    </w:rPr>
                  </w:pPr>
                  <w:r>
                    <w:rPr>
                      <w:rFonts w:hint="eastAsia"/>
                      <w:color w:val="000000"/>
                      <w:sz w:val="21"/>
                      <w:szCs w:val="21"/>
                    </w:rPr>
                    <w:t>（1）本项目符合法律法规要求，属于《产业结构调整指导目录（2</w:t>
                  </w:r>
                  <w:r>
                    <w:rPr>
                      <w:rFonts w:hint="eastAsia"/>
                      <w:color w:val="000000"/>
                      <w:sz w:val="21"/>
                      <w:szCs w:val="21"/>
                      <w:lang w:val="en-US" w:eastAsia="zh-CN"/>
                    </w:rPr>
                    <w:t>024</w:t>
                  </w:r>
                  <w:r>
                    <w:rPr>
                      <w:rFonts w:hint="eastAsia"/>
                      <w:color w:val="000000"/>
                      <w:sz w:val="21"/>
                      <w:szCs w:val="21"/>
                    </w:rPr>
                    <w:t>年本）》鼓励类，满足</w:t>
                  </w:r>
                  <w:r>
                    <w:rPr>
                      <w:rFonts w:hint="eastAsia"/>
                      <w:color w:val="000000"/>
                      <w:sz w:val="21"/>
                      <w:szCs w:val="21"/>
                      <w:lang w:eastAsia="zh-CN"/>
                    </w:rPr>
                    <w:t>平昌经济开发区星光工业园</w:t>
                  </w:r>
                  <w:r>
                    <w:rPr>
                      <w:rFonts w:hint="eastAsia"/>
                      <w:color w:val="000000"/>
                      <w:sz w:val="21"/>
                      <w:szCs w:val="21"/>
                    </w:rPr>
                    <w:t>区总体</w:t>
                  </w:r>
                  <w:r>
                    <w:rPr>
                      <w:rFonts w:hint="eastAsia"/>
                      <w:color w:val="000000"/>
                      <w:sz w:val="21"/>
                      <w:szCs w:val="21"/>
                      <w:lang w:eastAsia="zh-CN"/>
                    </w:rPr>
                    <w:t>规划</w:t>
                  </w:r>
                  <w:r>
                    <w:rPr>
                      <w:rFonts w:hint="eastAsia"/>
                      <w:color w:val="000000"/>
                      <w:sz w:val="21"/>
                      <w:szCs w:val="21"/>
                    </w:rPr>
                    <w:t>要求，符合生态环境分区管控要求</w:t>
                  </w:r>
                </w:p>
                <w:p w14:paraId="7D75879C">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olor w:val="000000"/>
                      <w:sz w:val="21"/>
                      <w:szCs w:val="21"/>
                    </w:rPr>
                  </w:pPr>
                  <w:r>
                    <w:rPr>
                      <w:rFonts w:hint="eastAsia"/>
                      <w:color w:val="000000"/>
                      <w:sz w:val="21"/>
                      <w:szCs w:val="21"/>
                    </w:rPr>
                    <w:t>（2）本项目在</w:t>
                  </w:r>
                  <w:r>
                    <w:rPr>
                      <w:rFonts w:hint="eastAsia"/>
                      <w:color w:val="000000"/>
                      <w:sz w:val="21"/>
                      <w:szCs w:val="21"/>
                      <w:lang w:eastAsia="zh-CN"/>
                    </w:rPr>
                    <w:t>巴中市平昌经济开发区星光工业园</w:t>
                  </w:r>
                  <w:r>
                    <w:rPr>
                      <w:rFonts w:hint="eastAsia"/>
                      <w:color w:val="000000"/>
                      <w:sz w:val="21"/>
                      <w:szCs w:val="21"/>
                    </w:rPr>
                    <w:t>建设，不属于《锂离子电池行业规范条件》产业布局中禁止建设工业企业的区域。</w:t>
                  </w:r>
                </w:p>
                <w:p w14:paraId="71F2E28B">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eastAsia="宋体"/>
                      <w:color w:val="000000"/>
                      <w:sz w:val="21"/>
                      <w:szCs w:val="21"/>
                      <w:lang w:val="en-US" w:eastAsia="zh-CN"/>
                    </w:rPr>
                  </w:pPr>
                  <w:r>
                    <w:rPr>
                      <w:rFonts w:hint="eastAsia"/>
                      <w:color w:val="000000"/>
                      <w:sz w:val="21"/>
                      <w:szCs w:val="21"/>
                      <w:lang w:val="en-US" w:eastAsia="zh-CN"/>
                    </w:rPr>
                    <w:t>(3)本项目产品为锂离子电池原料的一部分，不属于锂离子电池企业</w:t>
                  </w:r>
                </w:p>
              </w:tc>
              <w:tc>
                <w:tcPr>
                  <w:tcW w:w="832" w:type="dxa"/>
                  <w:noWrap w:val="0"/>
                  <w:vAlign w:val="center"/>
                </w:tcPr>
                <w:p w14:paraId="508F5BEB">
                  <w:pPr>
                    <w:pStyle w:val="94"/>
                    <w:rPr>
                      <w:color w:val="000000"/>
                      <w:szCs w:val="21"/>
                    </w:rPr>
                  </w:pPr>
                  <w:r>
                    <w:rPr>
                      <w:rFonts w:hint="eastAsia"/>
                      <w:color w:val="000000"/>
                      <w:szCs w:val="21"/>
                    </w:rPr>
                    <w:t>符合</w:t>
                  </w:r>
                </w:p>
              </w:tc>
            </w:tr>
            <w:tr w14:paraId="0ED7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2" w:type="dxa"/>
                  <w:noWrap w:val="0"/>
                  <w:vAlign w:val="center"/>
                </w:tcPr>
                <w:p w14:paraId="5D186451">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Cs w:val="21"/>
                    </w:rPr>
                  </w:pPr>
                  <w:r>
                    <w:rPr>
                      <w:rFonts w:hint="eastAsia"/>
                      <w:color w:val="000000"/>
                      <w:szCs w:val="21"/>
                    </w:rPr>
                    <w:t>工艺技术和质量管理：</w:t>
                  </w:r>
                </w:p>
                <w:p w14:paraId="75AAE92D">
                  <w:pPr>
                    <w:pStyle w:val="95"/>
                    <w:keepNext w:val="0"/>
                    <w:keepLines w:val="0"/>
                    <w:pageBreakBefore w:val="0"/>
                    <w:widowControl w:val="0"/>
                    <w:numPr>
                      <w:ilvl w:val="0"/>
                      <w:numId w:val="7"/>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Cs w:val="21"/>
                    </w:rPr>
                  </w:pPr>
                  <w:r>
                    <w:rPr>
                      <w:rFonts w:hint="eastAsia"/>
                      <w:color w:val="000000"/>
                      <w:szCs w:val="21"/>
                    </w:rPr>
                    <w:t>企业应具备以下条件：在中华人民共和国境内依法注册成立、具有独立法人资格；具有锂离子电池行业相关产品的独立生产、销售和服务能力；研发经费不低于当年企业主营业务收入的3%，鼓励企业取得省级以上独立研发机构、技术中心或高新技术企业资质；主要产品具有技术发明专利；申报时上一年实际产量不低于同年实际产能的50%。</w:t>
                  </w:r>
                </w:p>
                <w:p w14:paraId="5DD1EFA7">
                  <w:pPr>
                    <w:pStyle w:val="95"/>
                    <w:keepNext w:val="0"/>
                    <w:keepLines w:val="0"/>
                    <w:pageBreakBefore w:val="0"/>
                    <w:widowControl w:val="0"/>
                    <w:numPr>
                      <w:ilvl w:val="0"/>
                      <w:numId w:val="7"/>
                    </w:numPr>
                    <w:kinsoku/>
                    <w:wordWrap/>
                    <w:overflowPunct/>
                    <w:topLinePunct w:val="0"/>
                    <w:autoSpaceDE/>
                    <w:autoSpaceDN/>
                    <w:bidi w:val="0"/>
                    <w:adjustRightInd w:val="0"/>
                    <w:snapToGrid w:val="0"/>
                    <w:spacing w:line="240" w:lineRule="auto"/>
                    <w:ind w:left="0" w:leftChars="0" w:firstLine="0" w:firstLineChars="0"/>
                    <w:jc w:val="both"/>
                    <w:textAlignment w:val="auto"/>
                    <w:rPr>
                      <w:color w:val="000000"/>
                      <w:szCs w:val="21"/>
                    </w:rPr>
                  </w:pPr>
                  <w:r>
                    <w:rPr>
                      <w:color w:val="000000"/>
                      <w:szCs w:val="21"/>
                    </w:rPr>
                    <w:t>企业应采用技术先进、节能环保、安全稳定、智能化程度高的生产工艺和设备，并达到以下要求：1.锂离子电池企业应具有电极涂覆后均匀性的监测能力，电极涂覆厚度和长度的控制精度分别不低于2μm和1mm；应具有电极烘干工艺技术，含水量控制精度不低于10ppm。2.锂离子电池企业应具有注液过程中温湿度和洁净度等环境条件控制能力；应具有电池装配后的内部短路高压测试（HI-POT）在线</w:t>
                  </w:r>
                  <w:r>
                    <w:rPr>
                      <w:rFonts w:hint="eastAsia"/>
                      <w:color w:val="000000"/>
                      <w:szCs w:val="21"/>
                    </w:rPr>
                    <w:t>检验</w:t>
                  </w:r>
                  <w:r>
                    <w:rPr>
                      <w:color w:val="000000"/>
                      <w:szCs w:val="21"/>
                    </w:rPr>
                    <w:t>能力。3.锂离子电池组企业应具有单体电池开路电压、内阻等一致性控制能力，控制精度分别不低于1mV和1mΩ；应具有电池组保护板功能在线</w:t>
                  </w:r>
                  <w:r>
                    <w:rPr>
                      <w:rFonts w:hint="eastAsia"/>
                      <w:color w:val="000000"/>
                      <w:szCs w:val="21"/>
                    </w:rPr>
                    <w:t>检验</w:t>
                  </w:r>
                  <w:r>
                    <w:rPr>
                      <w:color w:val="000000"/>
                      <w:szCs w:val="21"/>
                    </w:rPr>
                    <w:t>能力。</w:t>
                  </w:r>
                </w:p>
                <w:p w14:paraId="2BD548DB">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color w:val="000000"/>
                      <w:szCs w:val="21"/>
                    </w:rPr>
                  </w:pPr>
                  <w:r>
                    <w:rPr>
                      <w:color w:val="000000"/>
                      <w:szCs w:val="21"/>
                    </w:rPr>
                    <w:t>（三）企业应建立质量管理体系，质量管理体系至少包括质量方面的控制流程、防止和发现内部短路故障的控制程序、试验数据和质量记录等内容，鼓励通过第三方认证，设立质量检查部门，配备专职检验人员。</w:t>
                  </w:r>
                </w:p>
                <w:p w14:paraId="505E3326">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color w:val="000000"/>
                      <w:szCs w:val="21"/>
                    </w:rPr>
                  </w:pPr>
                  <w:r>
                    <w:rPr>
                      <w:color w:val="000000"/>
                      <w:szCs w:val="21"/>
                    </w:rPr>
                    <w:t>（四）企业应依据有关政策及标准，对锂离子电池产品开展编码并建立全生命周期溯源体系，鼓励企业应用主动溯源技术。</w:t>
                  </w:r>
                </w:p>
              </w:tc>
              <w:tc>
                <w:tcPr>
                  <w:tcW w:w="2776" w:type="dxa"/>
                  <w:noWrap w:val="0"/>
                  <w:vAlign w:val="center"/>
                </w:tcPr>
                <w:p w14:paraId="04157ABC">
                  <w:pPr>
                    <w:pStyle w:val="95"/>
                    <w:spacing w:line="240" w:lineRule="auto"/>
                    <w:ind w:left="0" w:leftChars="0" w:firstLine="0" w:firstLineChars="0"/>
                    <w:jc w:val="both"/>
                    <w:rPr>
                      <w:color w:val="000000"/>
                      <w:szCs w:val="21"/>
                    </w:rPr>
                  </w:pPr>
                  <w:r>
                    <w:rPr>
                      <w:rFonts w:hint="eastAsia"/>
                      <w:color w:val="000000"/>
                      <w:szCs w:val="21"/>
                      <w:lang w:eastAsia="zh-CN"/>
                    </w:rPr>
                    <w:t>巴中碳原子新材料科技有限公司</w:t>
                  </w:r>
                  <w:r>
                    <w:rPr>
                      <w:rFonts w:hint="eastAsia"/>
                      <w:color w:val="000000"/>
                      <w:szCs w:val="21"/>
                    </w:rPr>
                    <w:t>位于四川省巴中市</w:t>
                  </w:r>
                  <w:r>
                    <w:rPr>
                      <w:rFonts w:hint="eastAsia"/>
                      <w:color w:val="000000"/>
                      <w:szCs w:val="21"/>
                      <w:lang w:eastAsia="zh-CN"/>
                    </w:rPr>
                    <w:t>平昌经济开发区星光工业园</w:t>
                  </w:r>
                  <w:r>
                    <w:rPr>
                      <w:rFonts w:hint="eastAsia"/>
                      <w:color w:val="000000"/>
                      <w:szCs w:val="21"/>
                    </w:rPr>
                    <w:t>，公司拥有“新材料研发、石墨及碳素制品”的独立生产、销售和服务能力。本项目不生产锂电池，只生产销售锂离子电池行业相关产品。</w:t>
                  </w:r>
                </w:p>
              </w:tc>
              <w:tc>
                <w:tcPr>
                  <w:tcW w:w="832" w:type="dxa"/>
                  <w:noWrap w:val="0"/>
                  <w:vAlign w:val="center"/>
                </w:tcPr>
                <w:p w14:paraId="107FB121">
                  <w:pPr>
                    <w:pStyle w:val="94"/>
                    <w:rPr>
                      <w:color w:val="000000"/>
                      <w:szCs w:val="21"/>
                    </w:rPr>
                  </w:pPr>
                  <w:r>
                    <w:rPr>
                      <w:rFonts w:hint="eastAsia"/>
                      <w:color w:val="000000"/>
                      <w:szCs w:val="21"/>
                    </w:rPr>
                    <w:t>符合</w:t>
                  </w:r>
                </w:p>
              </w:tc>
            </w:tr>
            <w:tr w14:paraId="4478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2" w:type="dxa"/>
                  <w:noWrap w:val="0"/>
                  <w:vAlign w:val="center"/>
                </w:tcPr>
                <w:p w14:paraId="74053FCB">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eastAsia="宋体"/>
                      <w:color w:val="000000"/>
                      <w:szCs w:val="21"/>
                      <w:lang w:eastAsia="zh-CN"/>
                    </w:rPr>
                  </w:pPr>
                  <w:r>
                    <w:rPr>
                      <w:rFonts w:hint="eastAsia"/>
                      <w:color w:val="000000"/>
                      <w:szCs w:val="21"/>
                    </w:rPr>
                    <w:t>安全和管理</w:t>
                  </w:r>
                  <w:r>
                    <w:rPr>
                      <w:rFonts w:hint="eastAsia"/>
                      <w:color w:val="000000"/>
                      <w:szCs w:val="21"/>
                      <w:lang w:eastAsia="zh-CN"/>
                    </w:rPr>
                    <w:t>：</w:t>
                  </w:r>
                </w:p>
                <w:p w14:paraId="07C350C7">
                  <w:pPr>
                    <w:pStyle w:val="95"/>
                    <w:keepNext w:val="0"/>
                    <w:keepLines w:val="0"/>
                    <w:pageBreakBefore w:val="0"/>
                    <w:widowControl w:val="0"/>
                    <w:numPr>
                      <w:ilvl w:val="0"/>
                      <w:numId w:val="8"/>
                    </w:numPr>
                    <w:kinsoku/>
                    <w:wordWrap/>
                    <w:overflowPunct/>
                    <w:topLinePunct w:val="0"/>
                    <w:autoSpaceDE/>
                    <w:autoSpaceDN/>
                    <w:bidi w:val="0"/>
                    <w:adjustRightInd w:val="0"/>
                    <w:snapToGrid w:val="0"/>
                    <w:spacing w:line="240" w:lineRule="auto"/>
                    <w:ind w:firstLine="0" w:firstLineChars="0"/>
                    <w:jc w:val="both"/>
                    <w:textAlignment w:val="auto"/>
                    <w:rPr>
                      <w:rFonts w:hint="eastAsia"/>
                      <w:color w:val="000000"/>
                      <w:szCs w:val="21"/>
                    </w:rPr>
                  </w:pPr>
                  <w:r>
                    <w:rPr>
                      <w:rFonts w:hint="eastAsia"/>
                      <w:color w:val="000000"/>
                      <w:szCs w:val="21"/>
                    </w:rPr>
                    <w:t>企业应遵守《中华人民共和国安全生产法》及其他安全生产有关法律法规，执行保障安全生产的国家标准或行业标准，严格落实建设项目安全设施“三同时”制度要求，当年及上一年度未发生一般及以上生产安全事故。</w:t>
                  </w:r>
                </w:p>
                <w:p w14:paraId="186BDBE3">
                  <w:pPr>
                    <w:pStyle w:val="95"/>
                    <w:keepNext w:val="0"/>
                    <w:keepLines w:val="0"/>
                    <w:pageBreakBefore w:val="0"/>
                    <w:widowControl w:val="0"/>
                    <w:numPr>
                      <w:ilvl w:val="0"/>
                      <w:numId w:val="8"/>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Cs w:val="21"/>
                    </w:rPr>
                  </w:pPr>
                  <w:r>
                    <w:rPr>
                      <w:rFonts w:hint="eastAsia"/>
                      <w:color w:val="000000"/>
                      <w:szCs w:val="21"/>
                    </w:rPr>
                    <w:t>企业应建立健全全员安全生产责任制和安全生产规章制度，加大对安全生产资金、物资、技术、人员的投入保障力度，改善安全生产条件，加强安全生产信息化建设，设立产品制造安全质量追溯手段，加强从业人员安全生产教育和培训，构建安全风险分级管控和隐患排查治理双重预防机制，健全风险防范化解机制，开展安全生产标准化建设并达到三级及以上水平。</w:t>
                  </w:r>
                </w:p>
                <w:p w14:paraId="65ABFEDE">
                  <w:pPr>
                    <w:pStyle w:val="95"/>
                    <w:keepNext w:val="0"/>
                    <w:keepLines w:val="0"/>
                    <w:pageBreakBefore w:val="0"/>
                    <w:widowControl w:val="0"/>
                    <w:numPr>
                      <w:ilvl w:val="0"/>
                      <w:numId w:val="8"/>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Cs w:val="21"/>
                    </w:rPr>
                  </w:pPr>
                  <w:r>
                    <w:rPr>
                      <w:rFonts w:hint="eastAsia"/>
                      <w:color w:val="000000"/>
                      <w:szCs w:val="21"/>
                    </w:rPr>
                    <w:t>锂离子电池企业应加强应急处置能力建设，制定事故应急预案并定期开展演练，建设事故处置专业队伍，并配备与企业规模相适应的人员和装备。</w:t>
                  </w:r>
                </w:p>
                <w:p w14:paraId="0548F6B5">
                  <w:pPr>
                    <w:pStyle w:val="95"/>
                    <w:keepNext w:val="0"/>
                    <w:keepLines w:val="0"/>
                    <w:pageBreakBefore w:val="0"/>
                    <w:widowControl w:val="0"/>
                    <w:numPr>
                      <w:ilvl w:val="0"/>
                      <w:numId w:val="8"/>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Cs w:val="21"/>
                    </w:rPr>
                  </w:pPr>
                  <w:r>
                    <w:rPr>
                      <w:rFonts w:hint="eastAsia"/>
                      <w:color w:val="000000"/>
                      <w:szCs w:val="21"/>
                    </w:rPr>
                    <w:t>锂离子电池企业应具有剪切过程中电极毛刺控制能力，控制精度不低于1μm；具有卷绕或叠片过程中电极对齐度控制能力，控制精度不低于0.1mm。正负极材料企业应具有有害杂质的控制能力，控制精度不低于10ppb。</w:t>
                  </w:r>
                </w:p>
                <w:p w14:paraId="28804FA2">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eastAsia"/>
                      <w:color w:val="000000"/>
                      <w:szCs w:val="21"/>
                    </w:rPr>
                  </w:pPr>
                  <w:r>
                    <w:rPr>
                      <w:rFonts w:hint="eastAsia"/>
                      <w:color w:val="000000"/>
                      <w:szCs w:val="21"/>
                    </w:rPr>
                    <w:t>（五）锂离子电池产品的安全应符合《便携式电子产品用锂离子电池和电池组安全要求》（GB31241）、《固定式电子设备用锂离子电池和电池组安全技术规范》（GB40165）、《电动汽车用动力蓄电池安全要求》（GB38031）等强制性标准要求，并经具有相应资质的检验机构检验合格。电池管理系统应具有防止过充、短路、过放等安全保护功能，在高低温等复杂环境下保证电池正常使用。鼓励企业制定和执行高于国家或行业标准的企业标准或规范。</w:t>
                  </w:r>
                </w:p>
                <w:p w14:paraId="45606D9F">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color w:val="000000"/>
                      <w:szCs w:val="21"/>
                    </w:rPr>
                  </w:pPr>
                  <w:r>
                    <w:rPr>
                      <w:rFonts w:hint="eastAsia"/>
                      <w:color w:val="000000"/>
                      <w:szCs w:val="21"/>
                    </w:rPr>
                    <w:t>（六）锂离子电池的运输应符合联合国《关于危险货物运输的建议书—试验和标准手册》第Ⅲ部分38.3节要求。航空运输锂离子电池应符合国际民航组织《危险物品安全航空运输技术细则》和中国民用航空局《民用航空危险品运输管理规定》相关要求，符合《锂电池航空运输规范》（MH/T1020）和《航空运输锂电池测试规范</w:t>
                  </w:r>
                  <w:r>
                    <w:rPr>
                      <w:rFonts w:hint="eastAsia"/>
                      <w:color w:val="000000"/>
                      <w:szCs w:val="21"/>
                      <w:lang w:eastAsia="zh-CN"/>
                    </w:rPr>
                    <w:t>》</w:t>
                  </w:r>
                  <w:r>
                    <w:rPr>
                      <w:rFonts w:hint="eastAsia"/>
                      <w:color w:val="000000"/>
                      <w:szCs w:val="21"/>
                    </w:rPr>
                    <w:t>（MH/T1052）。出口锂离子电池的包装应符合《中华人民共和国进出口商品检验法》及其实施条例的要求。（七）锂离子电池生产、储存、使用、回收和处理处置等应符合法律法规和标准规范相关安全要求，有效采取安全控制措施。</w:t>
                  </w:r>
                </w:p>
              </w:tc>
              <w:tc>
                <w:tcPr>
                  <w:tcW w:w="2776" w:type="dxa"/>
                  <w:noWrap w:val="0"/>
                  <w:vAlign w:val="center"/>
                </w:tcPr>
                <w:p w14:paraId="16584EC4">
                  <w:pPr>
                    <w:pStyle w:val="95"/>
                    <w:spacing w:line="240" w:lineRule="auto"/>
                    <w:ind w:left="0" w:leftChars="0" w:firstLine="0" w:firstLineChars="0"/>
                    <w:jc w:val="both"/>
                    <w:rPr>
                      <w:color w:val="000000"/>
                      <w:szCs w:val="21"/>
                    </w:rPr>
                  </w:pPr>
                  <w:r>
                    <w:rPr>
                      <w:rFonts w:hint="eastAsia"/>
                      <w:color w:val="000000"/>
                      <w:szCs w:val="21"/>
                    </w:rPr>
                    <w:t>建设单位严格按照国家相关规范进行生产管理，建立健全标准化生产要求，严格落实建设项目安全和管理。</w:t>
                  </w:r>
                </w:p>
              </w:tc>
              <w:tc>
                <w:tcPr>
                  <w:tcW w:w="832" w:type="dxa"/>
                  <w:noWrap w:val="0"/>
                  <w:vAlign w:val="center"/>
                </w:tcPr>
                <w:p w14:paraId="45F3DD22">
                  <w:pPr>
                    <w:pStyle w:val="94"/>
                    <w:rPr>
                      <w:color w:val="000000"/>
                      <w:szCs w:val="21"/>
                    </w:rPr>
                  </w:pPr>
                  <w:r>
                    <w:rPr>
                      <w:rFonts w:hint="eastAsia"/>
                      <w:color w:val="000000"/>
                      <w:szCs w:val="21"/>
                    </w:rPr>
                    <w:t>符合</w:t>
                  </w:r>
                </w:p>
              </w:tc>
            </w:tr>
            <w:tr w14:paraId="44B4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2" w:type="dxa"/>
                  <w:noWrap w:val="0"/>
                  <w:vAlign w:val="center"/>
                </w:tcPr>
                <w:p w14:paraId="7EFC7723">
                  <w:pPr>
                    <w:pStyle w:val="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olor w:val="000000"/>
                      <w:szCs w:val="21"/>
                      <w:lang w:eastAsia="zh-CN"/>
                    </w:rPr>
                  </w:pPr>
                  <w:r>
                    <w:rPr>
                      <w:rFonts w:hint="eastAsia"/>
                      <w:color w:val="000000"/>
                      <w:szCs w:val="21"/>
                    </w:rPr>
                    <w:t>资源综合利用和生态环境保护</w:t>
                  </w:r>
                  <w:r>
                    <w:rPr>
                      <w:rFonts w:hint="eastAsia"/>
                      <w:color w:val="000000"/>
                      <w:szCs w:val="21"/>
                      <w:lang w:eastAsia="zh-CN"/>
                    </w:rPr>
                    <w:t>：</w:t>
                  </w:r>
                </w:p>
                <w:p w14:paraId="5A87B054">
                  <w:pPr>
                    <w:pStyle w:val="95"/>
                    <w:keepNext w:val="0"/>
                    <w:keepLines w:val="0"/>
                    <w:pageBreakBefore w:val="0"/>
                    <w:widowControl w:val="0"/>
                    <w:numPr>
                      <w:ilvl w:val="0"/>
                      <w:numId w:val="9"/>
                    </w:numPr>
                    <w:kinsoku/>
                    <w:wordWrap/>
                    <w:overflowPunct/>
                    <w:topLinePunct w:val="0"/>
                    <w:autoSpaceDE/>
                    <w:autoSpaceDN/>
                    <w:bidi w:val="0"/>
                    <w:adjustRightInd w:val="0"/>
                    <w:snapToGrid w:val="0"/>
                    <w:spacing w:line="240" w:lineRule="auto"/>
                    <w:ind w:firstLine="0" w:firstLineChars="0"/>
                    <w:jc w:val="both"/>
                    <w:textAlignment w:val="auto"/>
                    <w:rPr>
                      <w:rFonts w:hint="eastAsia"/>
                      <w:color w:val="000000"/>
                      <w:szCs w:val="21"/>
                    </w:rPr>
                  </w:pPr>
                  <w:r>
                    <w:rPr>
                      <w:rFonts w:hint="eastAsia"/>
                      <w:color w:val="000000"/>
                      <w:szCs w:val="21"/>
                    </w:rPr>
                    <w:t>企业及项目应符合国家出台的土地使用标准，严格保护耕地，节约集约用地。</w:t>
                  </w:r>
                </w:p>
                <w:p w14:paraId="097D60CC">
                  <w:pPr>
                    <w:pStyle w:val="95"/>
                    <w:keepNext w:val="0"/>
                    <w:keepLines w:val="0"/>
                    <w:pageBreakBefore w:val="0"/>
                    <w:widowControl w:val="0"/>
                    <w:numPr>
                      <w:ilvl w:val="0"/>
                      <w:numId w:val="9"/>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olor w:val="000000"/>
                      <w:szCs w:val="21"/>
                    </w:rPr>
                  </w:pPr>
                  <w:r>
                    <w:rPr>
                      <w:rFonts w:hint="eastAsia"/>
                      <w:color w:val="000000"/>
                      <w:szCs w:val="21"/>
                    </w:rPr>
                    <w:t>企业应制定产品单耗指标和能耗</w:t>
                  </w:r>
                  <w:r>
                    <w:rPr>
                      <w:rFonts w:hint="eastAsia"/>
                      <w:color w:val="000000"/>
                      <w:szCs w:val="21"/>
                      <w:lang w:eastAsia="zh-CN"/>
                    </w:rPr>
                    <w:t>台账</w:t>
                  </w:r>
                  <w:r>
                    <w:rPr>
                      <w:rFonts w:hint="eastAsia"/>
                      <w:color w:val="000000"/>
                      <w:szCs w:val="21"/>
                    </w:rPr>
                    <w:t>，不得使用国家明令淘汰的、严重污染环境的落后用能设备和生产工艺。鼓励企业调整用能结构，使用光伏等清洁能源，开展节能技术应用研究，制定节能规章制度，开发节能共性和关键技术，促进节能技术创新与成果转化。锂离子电池企业综合能耗应≤400kgce/万Ah。（三）鼓励企业在产品研发阶段增加资源回收和综合利用设计，加强锂离子电池生产、销售、使用、综合利用等全生命周期资源综合管理。</w:t>
                  </w:r>
                </w:p>
                <w:p w14:paraId="62703068">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eastAsia"/>
                      <w:color w:val="000000"/>
                      <w:szCs w:val="21"/>
                    </w:rPr>
                  </w:pPr>
                  <w:r>
                    <w:rPr>
                      <w:rFonts w:hint="eastAsia"/>
                      <w:color w:val="000000"/>
                      <w:szCs w:val="21"/>
                      <w:lang w:eastAsia="zh-CN"/>
                    </w:rPr>
                    <w:t>（四）</w:t>
                  </w:r>
                  <w:r>
                    <w:rPr>
                      <w:rFonts w:hint="eastAsia"/>
                      <w:color w:val="000000"/>
                      <w:szCs w:val="21"/>
                    </w:rPr>
                    <w:t>企业应依法开展建设项目环境影响评价，严格执行环境保护设施“三同时”制度，并按规定开展竣工环境保护设施验收。</w:t>
                  </w:r>
                </w:p>
                <w:p w14:paraId="1A2A0B0F">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eastAsia"/>
                      <w:color w:val="000000"/>
                      <w:szCs w:val="21"/>
                    </w:rPr>
                  </w:pPr>
                  <w:r>
                    <w:rPr>
                      <w:rFonts w:hint="eastAsia"/>
                      <w:color w:val="000000"/>
                      <w:szCs w:val="21"/>
                      <w:lang w:eastAsia="zh-CN"/>
                    </w:rPr>
                    <w:t>（五）</w:t>
                  </w:r>
                  <w:r>
                    <w:rPr>
                      <w:rFonts w:hint="eastAsia"/>
                      <w:color w:val="000000"/>
                      <w:szCs w:val="21"/>
                    </w:rPr>
                    <w:t>锂离子电池生产企业应依法申领排污许可证，按照排污许可证排放污染物并落实各项环境管理要求，采取有效措施防止污染土壤和地下水，废有机溶剂、废电池等固体废物应依法分类贮存、收集、运输、综合利用或无害化处理。</w:t>
                  </w:r>
                </w:p>
                <w:p w14:paraId="6BED9DCA">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eastAsia"/>
                      <w:color w:val="000000"/>
                      <w:szCs w:val="21"/>
                    </w:rPr>
                  </w:pPr>
                  <w:r>
                    <w:rPr>
                      <w:rFonts w:hint="eastAsia"/>
                      <w:color w:val="000000"/>
                      <w:szCs w:val="21"/>
                      <w:lang w:eastAsia="zh-CN"/>
                    </w:rPr>
                    <w:t>（六）</w:t>
                  </w:r>
                  <w:r>
                    <w:rPr>
                      <w:rFonts w:hint="eastAsia"/>
                      <w:color w:val="000000"/>
                      <w:szCs w:val="21"/>
                    </w:rPr>
                    <w:t>企业应按照国家有关规定制定突发环境事件应急预案，妥善处理突发环境事件。企业应按照《环境信息依法披露制度改革方案》有关要求，依法披露环境信息。</w:t>
                  </w:r>
                </w:p>
                <w:p w14:paraId="443D5C0B">
                  <w:pPr>
                    <w:pStyle w:val="9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color w:val="000000"/>
                      <w:szCs w:val="21"/>
                    </w:rPr>
                  </w:pPr>
                  <w:r>
                    <w:rPr>
                      <w:rFonts w:hint="eastAsia"/>
                      <w:color w:val="000000"/>
                      <w:szCs w:val="21"/>
                    </w:rPr>
                    <w:t>（七）企业应建立环境管理体系，鼓励通过第三方认证。鼓励企业持续开展清洁生产审核工作，清洁生产指标宜达到《电池行业清洁生产评价指标体系》中Ⅲ级及以上水平。</w:t>
                  </w:r>
                </w:p>
              </w:tc>
              <w:tc>
                <w:tcPr>
                  <w:tcW w:w="2776" w:type="dxa"/>
                  <w:noWrap w:val="0"/>
                  <w:vAlign w:val="center"/>
                </w:tcPr>
                <w:p w14:paraId="23702249">
                  <w:pPr>
                    <w:pStyle w:val="95"/>
                    <w:spacing w:line="240" w:lineRule="auto"/>
                    <w:ind w:left="0" w:leftChars="0" w:firstLine="0" w:firstLineChars="0"/>
                    <w:jc w:val="both"/>
                    <w:rPr>
                      <w:rFonts w:hint="eastAsia"/>
                      <w:color w:val="000000"/>
                      <w:szCs w:val="21"/>
                      <w:lang w:val="en-US" w:eastAsia="zh-CN"/>
                    </w:rPr>
                  </w:pPr>
                  <w:r>
                    <w:rPr>
                      <w:rFonts w:hint="eastAsia"/>
                      <w:color w:val="000000"/>
                      <w:szCs w:val="21"/>
                      <w:lang w:val="en-US" w:eastAsia="zh-CN"/>
                    </w:rPr>
                    <w:t>1.本项目用地属于工业用地。</w:t>
                  </w:r>
                </w:p>
                <w:p w14:paraId="297C7B8C">
                  <w:pPr>
                    <w:pStyle w:val="95"/>
                    <w:spacing w:line="240" w:lineRule="auto"/>
                    <w:ind w:left="0" w:leftChars="0" w:firstLine="0" w:firstLineChars="0"/>
                    <w:jc w:val="both"/>
                    <w:rPr>
                      <w:rFonts w:hint="eastAsia"/>
                      <w:color w:val="000000"/>
                      <w:szCs w:val="21"/>
                    </w:rPr>
                  </w:pPr>
                  <w:r>
                    <w:rPr>
                      <w:rFonts w:hint="eastAsia"/>
                      <w:color w:val="000000"/>
                      <w:szCs w:val="21"/>
                      <w:lang w:val="en-US" w:eastAsia="zh-CN"/>
                    </w:rPr>
                    <w:t>2.</w:t>
                  </w:r>
                  <w:r>
                    <w:rPr>
                      <w:rFonts w:hint="eastAsia"/>
                      <w:color w:val="000000"/>
                      <w:szCs w:val="21"/>
                    </w:rPr>
                    <w:t>企业投产后，将制定产品单耗指标和能耗台账。本项目符合国家产业政策，不涉及落后设备和生产工艺的使用。本项目能源为电和天然气，不涉及高污染燃料使用。</w:t>
                  </w:r>
                </w:p>
                <w:p w14:paraId="164416E9">
                  <w:pPr>
                    <w:pStyle w:val="95"/>
                    <w:spacing w:line="240" w:lineRule="auto"/>
                    <w:ind w:left="0" w:leftChars="0" w:firstLine="0" w:firstLineChars="0"/>
                    <w:jc w:val="both"/>
                    <w:rPr>
                      <w:rFonts w:hint="eastAsia"/>
                      <w:color w:val="000000"/>
                      <w:sz w:val="21"/>
                      <w:szCs w:val="21"/>
                      <w:lang w:val="en-US" w:eastAsia="zh-CN"/>
                    </w:rPr>
                  </w:pPr>
                  <w:r>
                    <w:rPr>
                      <w:rFonts w:hint="eastAsia"/>
                      <w:color w:val="000000"/>
                      <w:szCs w:val="21"/>
                      <w:lang w:val="en-US" w:eastAsia="zh-CN"/>
                    </w:rPr>
                    <w:t>3.项目正在开展建设项目环境影响评价，将严格执行环境保护设施“三同时”制度，并按规定开展竣工环境保护设</w:t>
                  </w:r>
                  <w:r>
                    <w:rPr>
                      <w:rFonts w:hint="eastAsia"/>
                      <w:color w:val="000000"/>
                      <w:sz w:val="21"/>
                      <w:szCs w:val="21"/>
                      <w:lang w:val="en-US" w:eastAsia="zh-CN"/>
                    </w:rPr>
                    <w:t>施验收。</w:t>
                  </w:r>
                </w:p>
                <w:p w14:paraId="69A1F23F">
                  <w:pPr>
                    <w:keepNext w:val="0"/>
                    <w:keepLines w:val="0"/>
                    <w:widowControl/>
                    <w:suppressLineNumbers w:val="0"/>
                    <w:spacing w:line="240" w:lineRule="auto"/>
                    <w:jc w:val="both"/>
                    <w:rPr>
                      <w:rFonts w:hint="eastAsia" w:ascii="宋体" w:hAnsi="宋体" w:eastAsia="宋体" w:cs="宋体"/>
                      <w:color w:val="000000"/>
                      <w:kern w:val="0"/>
                      <w:sz w:val="21"/>
                      <w:szCs w:val="21"/>
                      <w:lang w:val="en-US" w:eastAsia="zh-CN" w:bidi="ar"/>
                    </w:rPr>
                  </w:pPr>
                  <w:r>
                    <w:rPr>
                      <w:rFonts w:hint="eastAsia"/>
                      <w:color w:val="000000"/>
                      <w:sz w:val="21"/>
                      <w:szCs w:val="21"/>
                      <w:lang w:val="en-US" w:eastAsia="zh-CN"/>
                    </w:rPr>
                    <w:t>4.</w:t>
                  </w:r>
                  <w:r>
                    <w:rPr>
                      <w:rFonts w:hint="eastAsia" w:ascii="宋体" w:hAnsi="宋体" w:eastAsia="宋体" w:cs="宋体"/>
                      <w:color w:val="000000"/>
                      <w:kern w:val="0"/>
                      <w:sz w:val="21"/>
                      <w:szCs w:val="21"/>
                      <w:lang w:val="en-US" w:eastAsia="zh-CN" w:bidi="ar"/>
                    </w:rPr>
                    <w:t>本项目运行前将依法取得排污许可证，将按照排污许可证排放污染物并落实各项环境管理要求，采取有效措施防止污染土壤和地下水。 固废均得到妥善处置，不会造成二次污染。</w:t>
                  </w:r>
                </w:p>
                <w:p w14:paraId="5A97A503">
                  <w:pPr>
                    <w:pStyle w:val="17"/>
                    <w:spacing w:line="240" w:lineRule="auto"/>
                    <w:ind w:left="0" w:leftChars="0" w:firstLine="0" w:firstLineChars="0"/>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5.企业将按照国家有关规定制定突发环境事件应急预案，妥善处理突发环境事件</w:t>
                  </w:r>
                </w:p>
                <w:p w14:paraId="1709BF69">
                  <w:pPr>
                    <w:pStyle w:val="17"/>
                    <w:spacing w:line="240" w:lineRule="auto"/>
                    <w:ind w:left="0" w:leftChars="0" w:firstLine="0" w:firstLineChars="0"/>
                    <w:rPr>
                      <w:rFonts w:hint="default"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6.企业将建立环境管理体系，并委托第三方进行认证。</w:t>
                  </w:r>
                </w:p>
                <w:p w14:paraId="09FF0CC7">
                  <w:pPr>
                    <w:pStyle w:val="95"/>
                    <w:spacing w:line="240" w:lineRule="auto"/>
                    <w:ind w:left="0" w:leftChars="0" w:firstLine="0" w:firstLineChars="0"/>
                    <w:jc w:val="both"/>
                    <w:rPr>
                      <w:rFonts w:hint="default"/>
                      <w:color w:val="000000"/>
                      <w:szCs w:val="21"/>
                      <w:lang w:val="en-US" w:eastAsia="zh-CN"/>
                    </w:rPr>
                  </w:pPr>
                </w:p>
              </w:tc>
              <w:tc>
                <w:tcPr>
                  <w:tcW w:w="832" w:type="dxa"/>
                  <w:noWrap w:val="0"/>
                  <w:vAlign w:val="center"/>
                </w:tcPr>
                <w:p w14:paraId="73077A45">
                  <w:pPr>
                    <w:pStyle w:val="94"/>
                    <w:rPr>
                      <w:color w:val="000000"/>
                      <w:szCs w:val="21"/>
                    </w:rPr>
                  </w:pPr>
                  <w:r>
                    <w:rPr>
                      <w:rFonts w:hint="eastAsia"/>
                      <w:color w:val="000000"/>
                      <w:szCs w:val="21"/>
                    </w:rPr>
                    <w:t>符合</w:t>
                  </w:r>
                </w:p>
              </w:tc>
            </w:tr>
          </w:tbl>
          <w:p w14:paraId="05B5F974">
            <w:pPr>
              <w:rPr>
                <w:rFonts w:hint="eastAsia"/>
                <w:color w:val="000000"/>
              </w:rPr>
            </w:pPr>
          </w:p>
          <w:p w14:paraId="20CC54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cs="Times New Roman"/>
                <w:b/>
                <w:bCs/>
                <w:color w:val="000000"/>
                <w:sz w:val="24"/>
                <w:lang w:val="en-US" w:eastAsia="zh-CN"/>
              </w:rPr>
            </w:pPr>
            <w:r>
              <w:rPr>
                <w:rFonts w:hint="eastAsia" w:ascii="Times New Roman" w:hAnsi="Times New Roman" w:cs="Times New Roman"/>
                <w:b/>
                <w:bCs/>
                <w:color w:val="000000"/>
                <w:sz w:val="24"/>
                <w:lang w:val="en-US" w:eastAsia="zh-CN"/>
              </w:rPr>
              <w:t>4、《关于加强重点行业涉新污染物建设项目环境影响评价工作的意见》</w:t>
            </w:r>
            <w:r>
              <w:rPr>
                <w:rFonts w:hint="eastAsia" w:ascii="宋体" w:hAnsi="宋体" w:eastAsia="宋体" w:cs="宋体"/>
                <w:b/>
                <w:bCs/>
                <w:color w:val="000000"/>
                <w:sz w:val="24"/>
                <w:lang w:val="en-US" w:eastAsia="zh-CN"/>
              </w:rPr>
              <w:t>（</w:t>
            </w:r>
            <w:r>
              <w:rPr>
                <w:rFonts w:hint="eastAsia" w:ascii="宋体" w:hAnsi="宋体" w:eastAsia="宋体" w:cs="宋体"/>
                <w:i w:val="0"/>
                <w:iCs w:val="0"/>
                <w:caps w:val="0"/>
                <w:color w:val="000000"/>
                <w:spacing w:val="0"/>
                <w:sz w:val="24"/>
                <w:szCs w:val="24"/>
                <w:shd w:val="clear" w:color="auto" w:fill="FFFFFF"/>
              </w:rPr>
              <w:t>环</w:t>
            </w:r>
            <w:r>
              <w:rPr>
                <w:rFonts w:hint="eastAsia" w:ascii="宋体" w:hAnsi="宋体" w:eastAsia="宋体" w:cs="宋体"/>
                <w:b/>
                <w:bCs/>
                <w:i w:val="0"/>
                <w:iCs w:val="0"/>
                <w:caps w:val="0"/>
                <w:color w:val="000000"/>
                <w:spacing w:val="0"/>
                <w:sz w:val="24"/>
                <w:szCs w:val="24"/>
                <w:shd w:val="clear" w:color="auto" w:fill="FFFFFF"/>
              </w:rPr>
              <w:t>环评〔2025〕28号</w:t>
            </w:r>
            <w:r>
              <w:rPr>
                <w:rFonts w:hint="eastAsia" w:ascii="Times New Roman" w:hAnsi="Times New Roman" w:cs="Times New Roman"/>
                <w:b/>
                <w:bCs/>
                <w:color w:val="000000"/>
                <w:sz w:val="24"/>
                <w:lang w:val="en-US" w:eastAsia="zh-CN"/>
              </w:rPr>
              <w:t>）符合性分析</w:t>
            </w:r>
          </w:p>
          <w:p w14:paraId="04FEBB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val="0"/>
                <w:color w:val="000000"/>
                <w:sz w:val="24"/>
                <w:lang w:val="en-US" w:eastAsia="zh-CN"/>
              </w:rPr>
            </w:pPr>
            <w:r>
              <w:rPr>
                <w:rFonts w:hint="eastAsia" w:ascii="Times New Roman" w:hAnsi="Times New Roman" w:cs="Times New Roman"/>
                <w:b w:val="0"/>
                <w:bCs w:val="0"/>
                <w:color w:val="000000"/>
                <w:sz w:val="24"/>
                <w:lang w:val="en-US" w:eastAsia="zh-CN"/>
              </w:rPr>
              <w:t>经与《关于加强重点行业涉新污染物建设项目环境影响评价工作的意见》（环环评〔2025〕28号）对照，</w:t>
            </w:r>
            <w:r>
              <w:rPr>
                <w:rFonts w:hint="eastAsia"/>
                <w:color w:val="000000"/>
                <w:sz w:val="24"/>
              </w:rPr>
              <w:t>具体相符性分析见下表。</w:t>
            </w:r>
          </w:p>
          <w:p w14:paraId="693D0820">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default"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 xml:space="preserve"> 与《关于加强重点行业涉新污染物建设项目环境影响评价工作的意见》（环环评〔2025〕28号）符合性分析一览表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3755"/>
              <w:gridCol w:w="2526"/>
              <w:gridCol w:w="722"/>
            </w:tblGrid>
            <w:tr w14:paraId="3C96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1" w:type="dxa"/>
                  <w:gridSpan w:val="2"/>
                  <w:noWrap w:val="0"/>
                  <w:vAlign w:val="center"/>
                </w:tcPr>
                <w:p w14:paraId="06B36FD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文件相关要求</w:t>
                  </w:r>
                </w:p>
              </w:tc>
              <w:tc>
                <w:tcPr>
                  <w:tcW w:w="2526" w:type="dxa"/>
                  <w:noWrap w:val="0"/>
                  <w:vAlign w:val="center"/>
                </w:tcPr>
                <w:p w14:paraId="613B183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本项目</w:t>
                  </w:r>
                </w:p>
              </w:tc>
              <w:tc>
                <w:tcPr>
                  <w:tcW w:w="722" w:type="dxa"/>
                  <w:noWrap w:val="0"/>
                  <w:vAlign w:val="center"/>
                </w:tcPr>
                <w:p w14:paraId="4A74892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符合性</w:t>
                  </w:r>
                </w:p>
              </w:tc>
            </w:tr>
            <w:tr w14:paraId="2848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6" w:type="dxa"/>
                  <w:noWrap w:val="0"/>
                  <w:vAlign w:val="center"/>
                </w:tcPr>
                <w:p w14:paraId="2340905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禁止审批不符合新污染物管控要求的建设项目</w:t>
                  </w:r>
                </w:p>
              </w:tc>
              <w:tc>
                <w:tcPr>
                  <w:tcW w:w="3755" w:type="dxa"/>
                  <w:noWrap w:val="0"/>
                  <w:vAlign w:val="center"/>
                </w:tcPr>
                <w:p w14:paraId="03C0A80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各级环评审批部门在受理和审批建设项目环评文件时，应落实重点管控新污染物清单、产业结构调整指导目录、《斯德哥尔摩公约》、生态环境分区管控方案和项目所在园区规划环评等有关管控要求。对照不予审批环评的项目类别（见附表），严格审核建设项目原辅材料和产品，对于以禁止生产、加工使用的新污染物作为原辅料或产品的建设项目，依法不予审批。</w:t>
                  </w:r>
                </w:p>
              </w:tc>
              <w:tc>
                <w:tcPr>
                  <w:tcW w:w="2526" w:type="dxa"/>
                  <w:noWrap w:val="0"/>
                  <w:vAlign w:val="center"/>
                </w:tcPr>
                <w:p w14:paraId="13DAB6D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本项目属于石墨及碳素制品制造（C3091），涉及新污染物苯并[a]芘，</w:t>
                  </w:r>
                  <w:r>
                    <w:rPr>
                      <w:rFonts w:hint="eastAsia" w:ascii="Times New Roman" w:hAnsi="Times New Roman" w:eastAsia="宋体" w:cs="Times New Roman"/>
                      <w:b w:val="0"/>
                      <w:bCs w:val="0"/>
                      <w:color w:val="000000"/>
                      <w:sz w:val="21"/>
                      <w:szCs w:val="21"/>
                      <w:vertAlign w:val="baseline"/>
                      <w:lang w:val="en-US" w:eastAsia="zh-CN"/>
                    </w:rPr>
                    <w:t>本项目满足生态环境分区管控及规划环评等管控要求，</w:t>
                  </w:r>
                  <w:r>
                    <w:rPr>
                      <w:rFonts w:hint="default" w:ascii="Times New Roman" w:hAnsi="Times New Roman" w:eastAsia="宋体" w:cs="Times New Roman"/>
                      <w:b w:val="0"/>
                      <w:bCs w:val="0"/>
                      <w:color w:val="000000"/>
                      <w:sz w:val="21"/>
                      <w:szCs w:val="21"/>
                      <w:vertAlign w:val="baseline"/>
                      <w:lang w:val="en-US" w:eastAsia="zh-CN"/>
                    </w:rPr>
                    <w:t>对照不予审批环评的项目类别，本项目不属于不予审批环评的项目。</w:t>
                  </w:r>
                </w:p>
                <w:p w14:paraId="3196E84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00000"/>
                      <w:sz w:val="21"/>
                      <w:szCs w:val="21"/>
                      <w:vertAlign w:val="baseline"/>
                      <w:lang w:val="en-US" w:eastAsia="zh-CN"/>
                    </w:rPr>
                  </w:pPr>
                </w:p>
              </w:tc>
              <w:tc>
                <w:tcPr>
                  <w:tcW w:w="722" w:type="dxa"/>
                  <w:noWrap w:val="0"/>
                  <w:vAlign w:val="center"/>
                </w:tcPr>
                <w:p w14:paraId="51C613C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r w14:paraId="4828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6" w:type="dxa"/>
                  <w:noWrap w:val="0"/>
                  <w:vAlign w:val="center"/>
                </w:tcPr>
                <w:p w14:paraId="3764B85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加强重点行业涉新污染物建设项目环评</w:t>
                  </w:r>
                </w:p>
              </w:tc>
              <w:tc>
                <w:tcPr>
                  <w:tcW w:w="3755" w:type="dxa"/>
                  <w:noWrap w:val="0"/>
                  <w:vAlign w:val="center"/>
                </w:tcPr>
                <w:p w14:paraId="2D25362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建设单位和环评技术单位在开展涉新污染物重点行业建设项目环评工作时，应高度重视新污染物防控，根据新污染物识别结果，结合现行环境影响评价技术导则和建设项目环境影响报告表编制技术指南相关要求，重点做好以下工作。</w:t>
                  </w:r>
                </w:p>
                <w:p w14:paraId="066E83FE">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优化原料、工艺和治理措施，从源头减少新污染物产生。</w:t>
                  </w:r>
                </w:p>
                <w:p w14:paraId="7A6F7F7A">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核算新污染物产排污情况。</w:t>
                  </w:r>
                </w:p>
                <w:p w14:paraId="63DDE9B7">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对已发布污染物排放标准的新污染物严格排放达标要求。</w:t>
                  </w:r>
                </w:p>
                <w:p w14:paraId="5D086655">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对环境质量标准规定的新污染物做好环境质量现状和影响评价。</w:t>
                  </w:r>
                </w:p>
                <w:p w14:paraId="35BCEA29">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强化新污染物排放情况跟踪监测。</w:t>
                  </w:r>
                </w:p>
                <w:p w14:paraId="6F2B638F">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提出新化学物质环境管理登记要求。</w:t>
                  </w:r>
                </w:p>
              </w:tc>
              <w:tc>
                <w:tcPr>
                  <w:tcW w:w="2526" w:type="dxa"/>
                  <w:noWrap w:val="0"/>
                  <w:vAlign w:val="center"/>
                </w:tcPr>
                <w:p w14:paraId="5926347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本项目属于石墨及碳素制品制造（C3091），不属于重点行业，不涉及《重点管控新污染物清单》（2023 年版）中的新污染物</w:t>
                  </w:r>
                </w:p>
              </w:tc>
              <w:tc>
                <w:tcPr>
                  <w:tcW w:w="722" w:type="dxa"/>
                  <w:noWrap w:val="0"/>
                  <w:vAlign w:val="center"/>
                </w:tcPr>
                <w:p w14:paraId="3B81430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r w14:paraId="14AF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6" w:type="dxa"/>
                  <w:noWrap w:val="0"/>
                  <w:vAlign w:val="center"/>
                </w:tcPr>
                <w:p w14:paraId="4A1D863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将新污染物管控要求依法纳入排污许可管理</w:t>
                  </w:r>
                </w:p>
              </w:tc>
              <w:tc>
                <w:tcPr>
                  <w:tcW w:w="3755" w:type="dxa"/>
                  <w:noWrap w:val="0"/>
                  <w:vAlign w:val="center"/>
                </w:tcPr>
                <w:p w14:paraId="33C8C0D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生态环境部门依法核发排污许可证时，石化、涂料、纺织印染、橡胶、农药、医药等行业应按照排污许可证申请与核发技术规范，载明排放标准中规定的新污染物排放限值和自行监测要求；按照环评文件及批复，载明新污染物控制措施要求。生态环境部门应当按排污许可证规定，对新污染物管控要求落实情况开展执法监管。</w:t>
                  </w:r>
                </w:p>
              </w:tc>
              <w:tc>
                <w:tcPr>
                  <w:tcW w:w="2526" w:type="dxa"/>
                  <w:noWrap w:val="0"/>
                  <w:vAlign w:val="center"/>
                </w:tcPr>
                <w:p w14:paraId="740DEB6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本项目属于石墨及碳素制品制造（C3091），不涉及《重点管控新污染物清单》（2023 年版）中的新污染物</w:t>
                  </w:r>
                </w:p>
              </w:tc>
              <w:tc>
                <w:tcPr>
                  <w:tcW w:w="722" w:type="dxa"/>
                  <w:noWrap w:val="0"/>
                  <w:vAlign w:val="center"/>
                </w:tcPr>
                <w:p w14:paraId="4F98A84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bl>
          <w:p w14:paraId="4ED7BFDD">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textAlignment w:val="auto"/>
              <w:rPr>
                <w:rFonts w:hint="eastAsia" w:ascii="Times New Roman" w:hAnsi="Times New Roman" w:cs="Times New Roman"/>
                <w:b/>
                <w:bCs/>
                <w:color w:val="000000"/>
                <w:sz w:val="24"/>
                <w:szCs w:val="24"/>
                <w:lang w:val="en-US" w:eastAsia="zh-CN"/>
              </w:rPr>
            </w:pPr>
            <w:r>
              <w:rPr>
                <w:rFonts w:hint="eastAsia" w:ascii="Times New Roman" w:hAnsi="Times New Roman" w:cs="Times New Roman"/>
                <w:b/>
                <w:bCs/>
                <w:color w:val="000000"/>
                <w:sz w:val="24"/>
                <w:lang w:val="en-US" w:eastAsia="zh-CN"/>
              </w:rPr>
              <w:t>5、选址合理性</w:t>
            </w:r>
          </w:p>
          <w:p w14:paraId="07F8DD20">
            <w:pPr>
              <w:pStyle w:val="106"/>
              <w:spacing w:before="182" w:line="220" w:lineRule="auto"/>
              <w:ind w:left="600"/>
            </w:pPr>
            <w:r>
              <w:rPr>
                <w:b/>
                <w:bCs/>
                <w:spacing w:val="-5"/>
              </w:rPr>
              <w:t>（</w:t>
            </w:r>
            <w:r>
              <w:rPr>
                <w:rFonts w:ascii="Times New Roman" w:hAnsi="Times New Roman" w:eastAsia="Times New Roman" w:cs="Times New Roman"/>
                <w:b/>
                <w:bCs/>
                <w:spacing w:val="-5"/>
              </w:rPr>
              <w:t>1</w:t>
            </w:r>
            <w:r>
              <w:rPr>
                <w:b/>
                <w:bCs/>
                <w:spacing w:val="-5"/>
              </w:rPr>
              <w:t>）园区配套</w:t>
            </w:r>
          </w:p>
          <w:p w14:paraId="1B766F5D">
            <w:pPr>
              <w:pStyle w:val="106"/>
              <w:spacing w:before="181" w:line="359" w:lineRule="auto"/>
              <w:ind w:left="109" w:right="101" w:firstLine="480"/>
              <w:jc w:val="both"/>
            </w:pPr>
            <w:r>
              <w:rPr>
                <w:spacing w:val="-1"/>
              </w:rPr>
              <w:t>本项目位于</w:t>
            </w:r>
            <w:r>
              <w:rPr>
                <w:rFonts w:hint="eastAsia"/>
                <w:spacing w:val="-1"/>
                <w:lang w:val="en-US" w:eastAsia="zh-CN"/>
              </w:rPr>
              <w:t>星光工业园</w:t>
            </w:r>
            <w:r>
              <w:rPr>
                <w:spacing w:val="-1"/>
              </w:rPr>
              <w:t>，项目位置紧邻园区道路，交通便利，可满足项目生产所需的物流运输条件。另外，园区供电、供水、供气设施已经完善，园区基础设施配套能够满足项目</w:t>
            </w:r>
            <w:r>
              <w:rPr>
                <w:spacing w:val="-2"/>
              </w:rPr>
              <w:t>营运的需求。</w:t>
            </w:r>
          </w:p>
          <w:p w14:paraId="7703C205">
            <w:pPr>
              <w:pStyle w:val="106"/>
              <w:spacing w:line="360" w:lineRule="auto"/>
              <w:ind w:left="600"/>
            </w:pPr>
            <w:r>
              <w:rPr>
                <w:b/>
                <w:bCs/>
                <w:spacing w:val="-5"/>
              </w:rPr>
              <w:t>（</w:t>
            </w:r>
            <w:r>
              <w:rPr>
                <w:rFonts w:ascii="Times New Roman" w:hAnsi="Times New Roman" w:eastAsia="Times New Roman" w:cs="Times New Roman"/>
                <w:b/>
                <w:bCs/>
                <w:spacing w:val="-5"/>
              </w:rPr>
              <w:t>2</w:t>
            </w:r>
            <w:r>
              <w:rPr>
                <w:b/>
                <w:bCs/>
                <w:spacing w:val="-5"/>
              </w:rPr>
              <w:t>）外环境关系</w:t>
            </w:r>
          </w:p>
          <w:p w14:paraId="1B2416BD">
            <w:pPr>
              <w:pStyle w:val="106"/>
              <w:keepNext w:val="0"/>
              <w:keepLines w:val="0"/>
              <w:pageBreakBefore w:val="0"/>
              <w:widowControl w:val="0"/>
              <w:kinsoku/>
              <w:wordWrap/>
              <w:overflowPunct/>
              <w:topLinePunct w:val="0"/>
              <w:autoSpaceDE/>
              <w:autoSpaceDN/>
              <w:bidi w:val="0"/>
              <w:adjustRightInd/>
              <w:snapToGrid/>
              <w:spacing w:line="360" w:lineRule="auto"/>
              <w:ind w:left="0" w:right="144" w:firstLine="476"/>
              <w:textAlignment w:val="auto"/>
            </w:pPr>
            <w:r>
              <w:rPr>
                <w:spacing w:val="-1"/>
              </w:rPr>
              <w:t>根据现场踏勘，项目周边主要为园区企业、空地和散户居民，项目近距离</w:t>
            </w:r>
            <w:r>
              <w:rPr>
                <w:spacing w:val="-33"/>
              </w:rPr>
              <w:t xml:space="preserve"> </w:t>
            </w:r>
            <w:r>
              <w:rPr>
                <w:rFonts w:ascii="Times New Roman" w:hAnsi="Times New Roman" w:eastAsia="Times New Roman" w:cs="Times New Roman"/>
                <w:spacing w:val="-1"/>
              </w:rPr>
              <w:t>500m</w:t>
            </w:r>
            <w:r>
              <w:rPr>
                <w:spacing w:val="-1"/>
              </w:rPr>
              <w:t>外环境</w:t>
            </w:r>
            <w:r>
              <w:rPr>
                <w:spacing w:val="-3"/>
              </w:rPr>
              <w:t>关系如下：</w:t>
            </w:r>
          </w:p>
          <w:p w14:paraId="62AC9CD5">
            <w:pPr>
              <w:autoSpaceDE w:val="0"/>
              <w:autoSpaceDN w:val="0"/>
              <w:spacing w:line="360" w:lineRule="auto"/>
              <w:ind w:firstLine="480" w:firstLineChars="200"/>
              <w:rPr>
                <w:kern w:val="0"/>
                <w:sz w:val="24"/>
              </w:rPr>
            </w:pPr>
            <w:r>
              <w:rPr>
                <w:rFonts w:hint="eastAsia"/>
                <w:kern w:val="0"/>
                <w:sz w:val="24"/>
              </w:rPr>
              <w:t>西侧依次为</w:t>
            </w:r>
            <w:r>
              <w:rPr>
                <w:kern w:val="0"/>
                <w:sz w:val="24"/>
              </w:rPr>
              <w:t>：</w:t>
            </w:r>
            <w:r>
              <w:rPr>
                <w:rFonts w:hint="eastAsia"/>
                <w:kern w:val="0"/>
                <w:sz w:val="24"/>
              </w:rPr>
              <w:t>园区道路、</w:t>
            </w:r>
            <w:r>
              <w:rPr>
                <w:rFonts w:hint="eastAsia"/>
                <w:kern w:val="0"/>
                <w:sz w:val="24"/>
                <w:lang w:val="en-US" w:eastAsia="zh-CN"/>
              </w:rPr>
              <w:t>三统</w:t>
            </w:r>
            <w:r>
              <w:rPr>
                <w:rFonts w:hint="eastAsia"/>
                <w:kern w:val="0"/>
                <w:sz w:val="24"/>
              </w:rPr>
              <w:t>机械制造有限公司（</w:t>
            </w:r>
            <w:r>
              <w:rPr>
                <w:rFonts w:hint="eastAsia"/>
                <w:kern w:val="0"/>
                <w:sz w:val="24"/>
                <w:lang w:val="en-US" w:eastAsia="zh-CN"/>
              </w:rPr>
              <w:t>40</w:t>
            </w:r>
            <w:r>
              <w:rPr>
                <w:rFonts w:hint="eastAsia"/>
                <w:kern w:val="0"/>
                <w:sz w:val="24"/>
              </w:rPr>
              <w:t>，齿轮制造）、平昌温氏畜牧有限公司（</w:t>
            </w:r>
            <w:r>
              <w:rPr>
                <w:rFonts w:hint="eastAsia"/>
                <w:kern w:val="0"/>
                <w:sz w:val="24"/>
                <w:lang w:val="en-US" w:eastAsia="zh-CN"/>
              </w:rPr>
              <w:t>35</w:t>
            </w:r>
            <w:r>
              <w:rPr>
                <w:rFonts w:hint="eastAsia"/>
                <w:kern w:val="0"/>
                <w:sz w:val="24"/>
              </w:rPr>
              <w:t>m，饲料制造）</w:t>
            </w:r>
            <w:r>
              <w:rPr>
                <w:rFonts w:hint="eastAsia"/>
                <w:kern w:val="0"/>
                <w:sz w:val="24"/>
                <w:lang w:eastAsia="zh-CN"/>
              </w:rPr>
              <w:t>、</w:t>
            </w:r>
            <w:r>
              <w:rPr>
                <w:rFonts w:hint="eastAsia"/>
                <w:kern w:val="0"/>
                <w:sz w:val="24"/>
                <w:lang w:val="en-US" w:eastAsia="zh-CN"/>
              </w:rPr>
              <w:t>巴河（169m，</w:t>
            </w:r>
            <w:r>
              <w:rPr>
                <w:rFonts w:hint="eastAsia"/>
                <w:sz w:val="24"/>
              </w:rPr>
              <w:t>水体功能均为灌溉、行洪</w:t>
            </w:r>
            <w:r>
              <w:rPr>
                <w:rFonts w:hint="eastAsia"/>
                <w:kern w:val="0"/>
                <w:sz w:val="24"/>
                <w:lang w:val="en-US" w:eastAsia="zh-CN"/>
              </w:rPr>
              <w:t>）</w:t>
            </w:r>
            <w:r>
              <w:rPr>
                <w:rFonts w:hint="eastAsia"/>
                <w:kern w:val="0"/>
                <w:sz w:val="24"/>
              </w:rPr>
              <w:t>；</w:t>
            </w:r>
          </w:p>
          <w:p w14:paraId="23A12E89">
            <w:pPr>
              <w:autoSpaceDE w:val="0"/>
              <w:autoSpaceDN w:val="0"/>
              <w:spacing w:line="360" w:lineRule="auto"/>
              <w:ind w:firstLine="480" w:firstLineChars="200"/>
              <w:rPr>
                <w:kern w:val="0"/>
                <w:sz w:val="24"/>
              </w:rPr>
            </w:pPr>
            <w:r>
              <w:rPr>
                <w:rFonts w:hint="eastAsia"/>
                <w:kern w:val="0"/>
                <w:sz w:val="24"/>
              </w:rPr>
              <w:t>北侧依次为</w:t>
            </w:r>
            <w:r>
              <w:rPr>
                <w:kern w:val="0"/>
                <w:sz w:val="24"/>
              </w:rPr>
              <w:t>：</w:t>
            </w:r>
            <w:r>
              <w:rPr>
                <w:rFonts w:hint="eastAsia"/>
                <w:kern w:val="0"/>
                <w:sz w:val="24"/>
              </w:rPr>
              <w:t>园区道路、四川惠创智链科技有限公司</w:t>
            </w:r>
            <w:r>
              <w:rPr>
                <w:rFonts w:hint="eastAsia"/>
                <w:kern w:val="0"/>
                <w:sz w:val="24"/>
                <w:lang w:eastAsia="zh-CN"/>
              </w:rPr>
              <w:t>（</w:t>
            </w:r>
            <w:r>
              <w:rPr>
                <w:rFonts w:hint="eastAsia"/>
                <w:kern w:val="0"/>
                <w:sz w:val="24"/>
                <w:lang w:val="en-US" w:eastAsia="zh-CN"/>
              </w:rPr>
              <w:t>55</w:t>
            </w:r>
            <w:r>
              <w:rPr>
                <w:rFonts w:hint="eastAsia" w:ascii="Times New Roman" w:hAnsi="Times New Roman" w:eastAsia="宋体" w:cs="Times New Roman"/>
                <w:kern w:val="0"/>
                <w:sz w:val="24"/>
                <w:lang w:val="en-US" w:eastAsia="zh-CN"/>
              </w:rPr>
              <w:t>m</w:t>
            </w:r>
            <w:r>
              <w:rPr>
                <w:rFonts w:hint="eastAsia" w:ascii="Times New Roman" w:hAnsi="Times New Roman" w:eastAsia="宋体" w:cs="Times New Roman"/>
                <w:kern w:val="0"/>
                <w:sz w:val="24"/>
                <w:lang w:eastAsia="zh-CN"/>
              </w:rPr>
              <w:t>，印刷电路板制造）</w:t>
            </w:r>
            <w:r>
              <w:rPr>
                <w:rFonts w:hint="eastAsia" w:ascii="Times New Roman" w:hAnsi="Times New Roman" w:eastAsia="宋体" w:cs="Times New Roman"/>
                <w:kern w:val="0"/>
                <w:sz w:val="24"/>
              </w:rPr>
              <w:t>；</w:t>
            </w:r>
          </w:p>
          <w:p w14:paraId="27E90CA8">
            <w:pPr>
              <w:autoSpaceDE w:val="0"/>
              <w:autoSpaceDN w:val="0"/>
              <w:spacing w:line="360" w:lineRule="auto"/>
              <w:ind w:firstLine="480" w:firstLineChars="200"/>
              <w:rPr>
                <w:kern w:val="0"/>
                <w:sz w:val="24"/>
              </w:rPr>
            </w:pPr>
            <w:r>
              <w:rPr>
                <w:rFonts w:hint="eastAsia"/>
                <w:kern w:val="0"/>
                <w:sz w:val="24"/>
                <w:lang w:val="en-US" w:eastAsia="zh-CN"/>
              </w:rPr>
              <w:t>东北</w:t>
            </w:r>
            <w:r>
              <w:rPr>
                <w:kern w:val="0"/>
                <w:sz w:val="24"/>
              </w:rPr>
              <w:t>侧</w:t>
            </w:r>
            <w:r>
              <w:rPr>
                <w:rFonts w:hint="eastAsia"/>
                <w:kern w:val="0"/>
                <w:sz w:val="24"/>
              </w:rPr>
              <w:t>依次为</w:t>
            </w:r>
            <w:r>
              <w:rPr>
                <w:kern w:val="0"/>
                <w:sz w:val="24"/>
              </w:rPr>
              <w:t>：</w:t>
            </w:r>
            <w:r>
              <w:rPr>
                <w:rFonts w:hint="eastAsia"/>
                <w:kern w:val="0"/>
                <w:sz w:val="24"/>
              </w:rPr>
              <w:t>规划工业用地和山体</w:t>
            </w:r>
            <w:r>
              <w:rPr>
                <w:kern w:val="0"/>
                <w:sz w:val="24"/>
              </w:rPr>
              <w:t>、</w:t>
            </w:r>
            <w:r>
              <w:rPr>
                <w:rFonts w:hint="eastAsia"/>
                <w:kern w:val="0"/>
                <w:sz w:val="24"/>
                <w:lang w:val="en-US" w:eastAsia="zh-CN"/>
              </w:rPr>
              <w:t>28</w:t>
            </w:r>
            <w:r>
              <w:rPr>
                <w:rFonts w:hint="eastAsia"/>
                <w:kern w:val="0"/>
                <w:sz w:val="24"/>
              </w:rPr>
              <w:t>#散户（</w:t>
            </w:r>
            <w:r>
              <w:rPr>
                <w:rFonts w:hint="eastAsia"/>
                <w:kern w:val="0"/>
                <w:sz w:val="24"/>
                <w:lang w:val="en-US" w:eastAsia="zh-CN"/>
              </w:rPr>
              <w:t>450</w:t>
            </w:r>
            <w:r>
              <w:rPr>
                <w:rFonts w:hint="eastAsia"/>
                <w:kern w:val="0"/>
                <w:sz w:val="24"/>
              </w:rPr>
              <w:t>m、</w:t>
            </w:r>
            <w:r>
              <w:rPr>
                <w:rFonts w:hint="eastAsia"/>
                <w:kern w:val="0"/>
                <w:sz w:val="24"/>
                <w:lang w:val="en-US" w:eastAsia="zh-CN"/>
              </w:rPr>
              <w:t>1</w:t>
            </w:r>
            <w:r>
              <w:rPr>
                <w:rFonts w:hint="eastAsia"/>
                <w:kern w:val="0"/>
                <w:sz w:val="24"/>
              </w:rPr>
              <w:t>户共</w:t>
            </w:r>
            <w:r>
              <w:rPr>
                <w:rFonts w:hint="eastAsia"/>
                <w:kern w:val="0"/>
                <w:sz w:val="24"/>
                <w:lang w:val="en-US" w:eastAsia="zh-CN"/>
              </w:rPr>
              <w:t>3</w:t>
            </w:r>
            <w:r>
              <w:rPr>
                <w:rFonts w:hint="eastAsia"/>
                <w:kern w:val="0"/>
                <w:sz w:val="24"/>
              </w:rPr>
              <w:t>人）</w:t>
            </w:r>
            <w:r>
              <w:rPr>
                <w:kern w:val="0"/>
                <w:sz w:val="24"/>
              </w:rPr>
              <w:t>、</w:t>
            </w:r>
            <w:r>
              <w:rPr>
                <w:rFonts w:hint="eastAsia"/>
                <w:kern w:val="0"/>
                <w:sz w:val="24"/>
                <w:lang w:val="en-US" w:eastAsia="zh-CN"/>
              </w:rPr>
              <w:t>17</w:t>
            </w:r>
            <w:r>
              <w:rPr>
                <w:rFonts w:hint="eastAsia"/>
                <w:kern w:val="0"/>
                <w:sz w:val="24"/>
              </w:rPr>
              <w:t>#散户</w:t>
            </w:r>
            <w:r>
              <w:rPr>
                <w:kern w:val="0"/>
                <w:sz w:val="24"/>
              </w:rPr>
              <w:t>（</w:t>
            </w:r>
            <w:r>
              <w:rPr>
                <w:rFonts w:hint="eastAsia"/>
                <w:kern w:val="0"/>
                <w:sz w:val="24"/>
                <w:lang w:val="en-US" w:eastAsia="zh-CN"/>
              </w:rPr>
              <w:t>273</w:t>
            </w:r>
            <w:r>
              <w:rPr>
                <w:rFonts w:hint="eastAsia"/>
                <w:kern w:val="0"/>
                <w:sz w:val="24"/>
              </w:rPr>
              <w:t>m</w:t>
            </w:r>
            <w:r>
              <w:rPr>
                <w:rFonts w:hint="eastAsia"/>
                <w:lang w:val="en-US" w:eastAsia="zh-CN"/>
              </w:rPr>
              <w:t>-500m</w:t>
            </w:r>
            <w:r>
              <w:rPr>
                <w:rFonts w:hint="eastAsia"/>
                <w:kern w:val="0"/>
                <w:sz w:val="24"/>
              </w:rPr>
              <w:t>、2</w:t>
            </w:r>
            <w:r>
              <w:rPr>
                <w:rFonts w:hint="eastAsia"/>
                <w:kern w:val="0"/>
                <w:sz w:val="24"/>
                <w:lang w:val="en-US" w:eastAsia="zh-CN"/>
              </w:rPr>
              <w:t>8</w:t>
            </w:r>
            <w:r>
              <w:rPr>
                <w:rFonts w:hint="eastAsia"/>
                <w:kern w:val="0"/>
                <w:sz w:val="24"/>
              </w:rPr>
              <w:t>户共</w:t>
            </w:r>
            <w:r>
              <w:rPr>
                <w:rFonts w:hint="eastAsia"/>
                <w:kern w:val="0"/>
                <w:sz w:val="24"/>
                <w:lang w:val="en-US" w:eastAsia="zh-CN"/>
              </w:rPr>
              <w:t>8</w:t>
            </w:r>
            <w:r>
              <w:rPr>
                <w:rFonts w:hint="eastAsia"/>
                <w:kern w:val="0"/>
                <w:sz w:val="24"/>
              </w:rPr>
              <w:t>4人</w:t>
            </w:r>
            <w:r>
              <w:rPr>
                <w:kern w:val="0"/>
                <w:sz w:val="24"/>
              </w:rPr>
              <w:t>）；</w:t>
            </w:r>
          </w:p>
          <w:p w14:paraId="0021DF68">
            <w:pPr>
              <w:autoSpaceDE w:val="0"/>
              <w:autoSpaceDN w:val="0"/>
              <w:spacing w:line="360" w:lineRule="auto"/>
              <w:ind w:firstLine="480" w:firstLineChars="200"/>
              <w:rPr>
                <w:rFonts w:hint="eastAsia"/>
                <w:kern w:val="0"/>
                <w:sz w:val="24"/>
                <w:lang w:val="en-US" w:eastAsia="zh-CN"/>
              </w:rPr>
            </w:pPr>
            <w:r>
              <w:rPr>
                <w:rFonts w:hint="eastAsia"/>
                <w:kern w:val="0"/>
                <w:sz w:val="24"/>
                <w:lang w:val="en-US" w:eastAsia="zh-CN"/>
              </w:rPr>
              <w:t>东侧依次为：</w:t>
            </w:r>
            <w:r>
              <w:rPr>
                <w:rFonts w:hint="eastAsia"/>
                <w:lang w:val="en-US" w:eastAsia="zh-CN"/>
              </w:rPr>
              <w:t>山体、</w:t>
            </w:r>
            <w:r>
              <w:rPr>
                <w:rFonts w:hint="eastAsia"/>
                <w:kern w:val="0"/>
                <w:sz w:val="24"/>
                <w:lang w:val="en-US" w:eastAsia="zh-CN"/>
              </w:rPr>
              <w:t>18#散户（346m、1户3人）；</w:t>
            </w:r>
          </w:p>
          <w:p w14:paraId="023FF727">
            <w:pPr>
              <w:autoSpaceDE w:val="0"/>
              <w:autoSpaceDN w:val="0"/>
              <w:spacing w:line="360" w:lineRule="auto"/>
              <w:ind w:firstLine="480" w:firstLineChars="200"/>
              <w:rPr>
                <w:rFonts w:hint="default"/>
                <w:kern w:val="0"/>
                <w:sz w:val="24"/>
                <w:lang w:val="en-US" w:eastAsia="zh-CN"/>
              </w:rPr>
            </w:pPr>
            <w:r>
              <w:rPr>
                <w:rFonts w:hint="eastAsia"/>
                <w:kern w:val="0"/>
                <w:sz w:val="24"/>
                <w:lang w:val="en-US" w:eastAsia="zh-CN"/>
              </w:rPr>
              <w:t>东南侧依次为：梅垭村（191-500m、60户180人）、</w:t>
            </w:r>
          </w:p>
          <w:p w14:paraId="419E2510">
            <w:pPr>
              <w:autoSpaceDE w:val="0"/>
              <w:autoSpaceDN w:val="0"/>
              <w:spacing w:line="360" w:lineRule="auto"/>
              <w:ind w:firstLine="480" w:firstLineChars="200"/>
              <w:rPr>
                <w:sz w:val="24"/>
              </w:rPr>
            </w:pPr>
            <w:r>
              <w:rPr>
                <w:kern w:val="0"/>
                <w:sz w:val="24"/>
              </w:rPr>
              <w:t>南侧</w:t>
            </w:r>
            <w:r>
              <w:rPr>
                <w:rFonts w:hint="eastAsia"/>
                <w:kern w:val="0"/>
                <w:sz w:val="24"/>
              </w:rPr>
              <w:t>依次为</w:t>
            </w:r>
            <w:r>
              <w:rPr>
                <w:kern w:val="0"/>
                <w:sz w:val="24"/>
              </w:rPr>
              <w:t>：</w:t>
            </w:r>
            <w:r>
              <w:rPr>
                <w:rFonts w:hint="eastAsia"/>
                <w:kern w:val="0"/>
                <w:sz w:val="24"/>
                <w:lang w:val="en-US" w:eastAsia="zh-CN"/>
              </w:rPr>
              <w:t>22</w:t>
            </w:r>
            <w:r>
              <w:rPr>
                <w:rFonts w:hint="eastAsia"/>
                <w:kern w:val="0"/>
                <w:sz w:val="24"/>
              </w:rPr>
              <w:t>#</w:t>
            </w:r>
            <w:r>
              <w:rPr>
                <w:rFonts w:hint="eastAsia"/>
                <w:sz w:val="24"/>
              </w:rPr>
              <w:t>散户（</w:t>
            </w:r>
            <w:r>
              <w:rPr>
                <w:rFonts w:hint="eastAsia"/>
                <w:kern w:val="0"/>
                <w:sz w:val="24"/>
                <w:lang w:val="en-US" w:eastAsia="zh-CN"/>
              </w:rPr>
              <w:t>297</w:t>
            </w:r>
            <w:r>
              <w:rPr>
                <w:rFonts w:hint="eastAsia"/>
                <w:kern w:val="0"/>
                <w:sz w:val="24"/>
              </w:rPr>
              <w:t>m、</w:t>
            </w:r>
            <w:r>
              <w:rPr>
                <w:rFonts w:hint="eastAsia"/>
                <w:kern w:val="0"/>
                <w:sz w:val="24"/>
                <w:lang w:val="en-US" w:eastAsia="zh-CN"/>
              </w:rPr>
              <w:t>8</w:t>
            </w:r>
            <w:r>
              <w:rPr>
                <w:rFonts w:hint="eastAsia"/>
                <w:kern w:val="0"/>
                <w:sz w:val="24"/>
              </w:rPr>
              <w:t>户共</w:t>
            </w:r>
            <w:r>
              <w:rPr>
                <w:rFonts w:hint="eastAsia"/>
                <w:kern w:val="0"/>
                <w:sz w:val="24"/>
                <w:lang w:val="en-US" w:eastAsia="zh-CN"/>
              </w:rPr>
              <w:t>24</w:t>
            </w:r>
            <w:r>
              <w:rPr>
                <w:rFonts w:hint="eastAsia"/>
                <w:kern w:val="0"/>
                <w:sz w:val="24"/>
              </w:rPr>
              <w:t>人</w:t>
            </w:r>
            <w:r>
              <w:rPr>
                <w:rFonts w:hint="eastAsia"/>
                <w:sz w:val="24"/>
              </w:rPr>
              <w:t>）、</w:t>
            </w:r>
            <w:r>
              <w:rPr>
                <w:rFonts w:hint="eastAsia"/>
                <w:kern w:val="0"/>
                <w:sz w:val="24"/>
                <w:lang w:val="en-US" w:eastAsia="zh-CN"/>
              </w:rPr>
              <w:t>21</w:t>
            </w:r>
            <w:r>
              <w:rPr>
                <w:rFonts w:hint="eastAsia"/>
                <w:kern w:val="0"/>
                <w:sz w:val="24"/>
              </w:rPr>
              <w:t>#</w:t>
            </w:r>
            <w:r>
              <w:rPr>
                <w:rFonts w:hint="eastAsia"/>
                <w:sz w:val="24"/>
              </w:rPr>
              <w:t>散户（</w:t>
            </w:r>
            <w:r>
              <w:rPr>
                <w:rFonts w:hint="eastAsia"/>
                <w:kern w:val="0"/>
                <w:sz w:val="24"/>
                <w:lang w:val="en-US" w:eastAsia="zh-CN"/>
              </w:rPr>
              <w:t>385</w:t>
            </w:r>
            <w:r>
              <w:rPr>
                <w:rFonts w:hint="eastAsia"/>
                <w:kern w:val="0"/>
                <w:sz w:val="24"/>
              </w:rPr>
              <w:t>m、</w:t>
            </w:r>
            <w:r>
              <w:rPr>
                <w:rFonts w:hint="eastAsia"/>
                <w:kern w:val="0"/>
                <w:sz w:val="24"/>
                <w:lang w:val="en-US" w:eastAsia="zh-CN"/>
              </w:rPr>
              <w:t>20</w:t>
            </w:r>
            <w:r>
              <w:rPr>
                <w:rFonts w:hint="eastAsia"/>
                <w:kern w:val="0"/>
                <w:sz w:val="24"/>
              </w:rPr>
              <w:t>户共</w:t>
            </w:r>
            <w:r>
              <w:rPr>
                <w:rFonts w:hint="eastAsia"/>
                <w:kern w:val="0"/>
                <w:sz w:val="24"/>
                <w:lang w:val="en-US" w:eastAsia="zh-CN"/>
              </w:rPr>
              <w:t>60</w:t>
            </w:r>
            <w:r>
              <w:rPr>
                <w:rFonts w:hint="eastAsia"/>
                <w:kern w:val="0"/>
                <w:sz w:val="24"/>
              </w:rPr>
              <w:t>人</w:t>
            </w:r>
            <w:r>
              <w:rPr>
                <w:rFonts w:hint="eastAsia"/>
                <w:sz w:val="24"/>
              </w:rPr>
              <w:t>）、四川秦巴本草药业有限公司</w:t>
            </w:r>
            <w:r>
              <w:rPr>
                <w:rFonts w:hint="eastAsia"/>
                <w:kern w:val="0"/>
                <w:sz w:val="24"/>
              </w:rPr>
              <w:t>（</w:t>
            </w:r>
            <w:r>
              <w:rPr>
                <w:rFonts w:hint="eastAsia"/>
                <w:kern w:val="0"/>
                <w:sz w:val="24"/>
                <w:lang w:val="en-US" w:eastAsia="zh-CN"/>
              </w:rPr>
              <w:t>146m</w:t>
            </w:r>
            <w:r>
              <w:rPr>
                <w:rFonts w:hint="eastAsia"/>
                <w:kern w:val="0"/>
                <w:sz w:val="24"/>
              </w:rPr>
              <w:t>，药业制造）</w:t>
            </w:r>
            <w:r>
              <w:rPr>
                <w:rFonts w:hint="eastAsia"/>
                <w:kern w:val="0"/>
                <w:sz w:val="24"/>
                <w:lang w:eastAsia="zh-CN"/>
              </w:rPr>
              <w:t>、</w:t>
            </w:r>
            <w:r>
              <w:rPr>
                <w:rFonts w:hint="eastAsia"/>
                <w:sz w:val="24"/>
              </w:rPr>
              <w:t>3536制衣厂（11</w:t>
            </w:r>
            <w:r>
              <w:rPr>
                <w:rFonts w:hint="eastAsia"/>
                <w:sz w:val="24"/>
                <w:lang w:val="en-US" w:eastAsia="zh-CN"/>
              </w:rPr>
              <w:t>5m</w:t>
            </w:r>
            <w:r>
              <w:rPr>
                <w:rFonts w:hint="eastAsia"/>
                <w:sz w:val="24"/>
              </w:rPr>
              <w:t>）</w:t>
            </w:r>
            <w:r>
              <w:rPr>
                <w:rFonts w:hint="eastAsia"/>
                <w:sz w:val="24"/>
                <w:lang w:eastAsia="zh-CN"/>
              </w:rPr>
              <w:t>、奥丽侬内衣（</w:t>
            </w:r>
            <w:r>
              <w:rPr>
                <w:rFonts w:hint="eastAsia"/>
                <w:sz w:val="24"/>
                <w:lang w:val="en-US" w:eastAsia="zh-CN"/>
              </w:rPr>
              <w:t>464m</w:t>
            </w:r>
            <w:r>
              <w:rPr>
                <w:rFonts w:hint="eastAsia"/>
                <w:sz w:val="24"/>
                <w:lang w:eastAsia="zh-CN"/>
              </w:rPr>
              <w:t>）、智康医疗（</w:t>
            </w:r>
            <w:r>
              <w:rPr>
                <w:rFonts w:hint="eastAsia"/>
                <w:sz w:val="24"/>
                <w:lang w:val="en-US" w:eastAsia="zh-CN"/>
              </w:rPr>
              <w:t>418m</w:t>
            </w:r>
            <w:r>
              <w:rPr>
                <w:rFonts w:hint="eastAsia"/>
                <w:sz w:val="24"/>
                <w:lang w:eastAsia="zh-CN"/>
              </w:rPr>
              <w:t>）</w:t>
            </w:r>
            <w:r>
              <w:rPr>
                <w:rFonts w:hint="eastAsia"/>
                <w:sz w:val="24"/>
              </w:rPr>
              <w:t>；</w:t>
            </w:r>
          </w:p>
          <w:p w14:paraId="16C34ACF">
            <w:pPr>
              <w:autoSpaceDE w:val="0"/>
              <w:autoSpaceDN w:val="0"/>
              <w:spacing w:line="360" w:lineRule="auto"/>
              <w:ind w:firstLine="480" w:firstLineChars="200"/>
              <w:rPr>
                <w:sz w:val="24"/>
              </w:rPr>
            </w:pPr>
            <w:r>
              <w:rPr>
                <w:rFonts w:hint="eastAsia"/>
                <w:sz w:val="24"/>
              </w:rPr>
              <w:t>由此可见，本项目周边多为建成企业及空地或规划工业用地，无特殊环境要求单位。部分现场照片如下：</w:t>
            </w:r>
          </w:p>
          <w:p w14:paraId="4432B405">
            <w:pPr>
              <w:autoSpaceDE w:val="0"/>
              <w:autoSpaceDN w:val="0"/>
              <w:spacing w:line="360" w:lineRule="auto"/>
              <w:ind w:firstLine="480" w:firstLineChars="200"/>
              <w:rPr>
                <w:sz w:val="24"/>
              </w:rPr>
            </w:pPr>
          </w:p>
          <w:tbl>
            <w:tblPr>
              <w:tblStyle w:val="32"/>
              <w:tblW w:w="6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3"/>
              <w:gridCol w:w="3394"/>
            </w:tblGrid>
            <w:tr w14:paraId="46C9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09C39BA1">
                  <w:pPr>
                    <w:pStyle w:val="29"/>
                    <w:spacing w:after="0"/>
                    <w:ind w:firstLine="0" w:firstLineChars="0"/>
                    <w:rPr>
                      <w:szCs w:val="21"/>
                    </w:rPr>
                  </w:pPr>
                  <w:r>
                    <w:rPr>
                      <w:szCs w:val="21"/>
                    </w:rPr>
                    <w:drawing>
                      <wp:inline distT="0" distB="0" distL="114300" distR="114300">
                        <wp:extent cx="2035175" cy="1541780"/>
                        <wp:effectExtent l="0" t="0" r="3175" b="1270"/>
                        <wp:docPr id="1" name="图片 9" descr="IMG_20220123_09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IMG_20220123_093933"/>
                                <pic:cNvPicPr>
                                  <a:picLocks noChangeAspect="1"/>
                                </pic:cNvPicPr>
                              </pic:nvPicPr>
                              <pic:blipFill>
                                <a:blip r:embed="rId8"/>
                                <a:stretch>
                                  <a:fillRect/>
                                </a:stretch>
                              </pic:blipFill>
                              <pic:spPr>
                                <a:xfrm>
                                  <a:off x="0" y="0"/>
                                  <a:ext cx="2035175" cy="1541780"/>
                                </a:xfrm>
                                <a:prstGeom prst="rect">
                                  <a:avLst/>
                                </a:prstGeom>
                                <a:noFill/>
                                <a:ln>
                                  <a:noFill/>
                                </a:ln>
                              </pic:spPr>
                            </pic:pic>
                          </a:graphicData>
                        </a:graphic>
                      </wp:inline>
                    </w:drawing>
                  </w:r>
                </w:p>
              </w:tc>
              <w:tc>
                <w:tcPr>
                  <w:tcW w:w="3394" w:type="dxa"/>
                  <w:noWrap w:val="0"/>
                  <w:vAlign w:val="top"/>
                </w:tcPr>
                <w:p w14:paraId="5B3DBA76">
                  <w:pPr>
                    <w:pStyle w:val="29"/>
                    <w:ind w:firstLine="0" w:firstLineChars="0"/>
                    <w:rPr>
                      <w:szCs w:val="21"/>
                    </w:rPr>
                  </w:pPr>
                  <w:r>
                    <w:rPr>
                      <w:szCs w:val="21"/>
                    </w:rPr>
                    <w:drawing>
                      <wp:inline distT="0" distB="0" distL="114300" distR="114300">
                        <wp:extent cx="1989455" cy="1526540"/>
                        <wp:effectExtent l="0" t="0" r="10795" b="16510"/>
                        <wp:docPr id="2" name="图片 17" descr="IMG_20220123_09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0220123_094042"/>
                                <pic:cNvPicPr>
                                  <a:picLocks noChangeAspect="1"/>
                                </pic:cNvPicPr>
                              </pic:nvPicPr>
                              <pic:blipFill>
                                <a:blip r:embed="rId9"/>
                                <a:srcRect b="20674"/>
                                <a:stretch>
                                  <a:fillRect/>
                                </a:stretch>
                              </pic:blipFill>
                              <pic:spPr>
                                <a:xfrm>
                                  <a:off x="0" y="0"/>
                                  <a:ext cx="1989455" cy="1526540"/>
                                </a:xfrm>
                                <a:prstGeom prst="rect">
                                  <a:avLst/>
                                </a:prstGeom>
                                <a:noFill/>
                                <a:ln>
                                  <a:noFill/>
                                </a:ln>
                              </pic:spPr>
                            </pic:pic>
                          </a:graphicData>
                        </a:graphic>
                      </wp:inline>
                    </w:drawing>
                  </w:r>
                </w:p>
              </w:tc>
            </w:tr>
            <w:tr w14:paraId="2191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1064980E">
                  <w:pPr>
                    <w:pStyle w:val="29"/>
                    <w:spacing w:after="0"/>
                    <w:ind w:firstLine="0" w:firstLineChars="0"/>
                    <w:jc w:val="center"/>
                    <w:rPr>
                      <w:szCs w:val="21"/>
                    </w:rPr>
                  </w:pPr>
                  <w:r>
                    <w:rPr>
                      <w:rFonts w:hint="eastAsia"/>
                      <w:szCs w:val="21"/>
                    </w:rPr>
                    <w:t>项目北侧园区道路</w:t>
                  </w:r>
                </w:p>
              </w:tc>
              <w:tc>
                <w:tcPr>
                  <w:tcW w:w="3394" w:type="dxa"/>
                  <w:noWrap w:val="0"/>
                  <w:vAlign w:val="top"/>
                </w:tcPr>
                <w:p w14:paraId="17A0B317">
                  <w:pPr>
                    <w:pStyle w:val="29"/>
                    <w:spacing w:after="0"/>
                    <w:ind w:firstLine="0" w:firstLineChars="0"/>
                    <w:jc w:val="center"/>
                    <w:rPr>
                      <w:szCs w:val="21"/>
                    </w:rPr>
                  </w:pPr>
                  <w:r>
                    <w:rPr>
                      <w:rFonts w:hint="eastAsia"/>
                      <w:szCs w:val="21"/>
                    </w:rPr>
                    <w:t>北侧</w:t>
                  </w:r>
                  <w:r>
                    <w:rPr>
                      <w:szCs w:val="21"/>
                    </w:rPr>
                    <w:t>四川兆润摩托车有限公司</w:t>
                  </w:r>
                </w:p>
              </w:tc>
            </w:tr>
            <w:tr w14:paraId="1511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1117BFC8">
                  <w:pPr>
                    <w:pStyle w:val="29"/>
                    <w:spacing w:after="0"/>
                    <w:ind w:firstLine="0" w:firstLineChars="0"/>
                    <w:rPr>
                      <w:szCs w:val="21"/>
                    </w:rPr>
                  </w:pPr>
                  <w:r>
                    <w:rPr>
                      <w:szCs w:val="21"/>
                    </w:rPr>
                    <w:drawing>
                      <wp:inline distT="0" distB="0" distL="114300" distR="114300">
                        <wp:extent cx="1989455" cy="1683385"/>
                        <wp:effectExtent l="0" t="0" r="10795" b="12065"/>
                        <wp:docPr id="3" name="图片 24" descr="IMG_20220123_11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4" descr="IMG_20220123_112236"/>
                                <pic:cNvPicPr>
                                  <a:picLocks noChangeAspect="1"/>
                                </pic:cNvPicPr>
                              </pic:nvPicPr>
                              <pic:blipFill>
                                <a:blip r:embed="rId10"/>
                                <a:stretch>
                                  <a:fillRect/>
                                </a:stretch>
                              </pic:blipFill>
                              <pic:spPr>
                                <a:xfrm>
                                  <a:off x="0" y="0"/>
                                  <a:ext cx="1989455" cy="1683385"/>
                                </a:xfrm>
                                <a:prstGeom prst="rect">
                                  <a:avLst/>
                                </a:prstGeom>
                                <a:noFill/>
                                <a:ln>
                                  <a:noFill/>
                                </a:ln>
                              </pic:spPr>
                            </pic:pic>
                          </a:graphicData>
                        </a:graphic>
                      </wp:inline>
                    </w:drawing>
                  </w:r>
                </w:p>
              </w:tc>
              <w:tc>
                <w:tcPr>
                  <w:tcW w:w="3394" w:type="dxa"/>
                  <w:noWrap w:val="0"/>
                  <w:vAlign w:val="top"/>
                </w:tcPr>
                <w:p w14:paraId="13405FEA">
                  <w:pPr>
                    <w:pStyle w:val="29"/>
                    <w:ind w:firstLine="0" w:firstLineChars="0"/>
                    <w:rPr>
                      <w:szCs w:val="21"/>
                    </w:rPr>
                  </w:pPr>
                  <w:r>
                    <w:rPr>
                      <w:szCs w:val="21"/>
                    </w:rPr>
                    <w:drawing>
                      <wp:inline distT="0" distB="0" distL="114300" distR="114300">
                        <wp:extent cx="1989455" cy="1725295"/>
                        <wp:effectExtent l="0" t="0" r="10795" b="8255"/>
                        <wp:docPr id="4" name="图片 27" descr="IMG_20220123_11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7" descr="IMG_20220123_113415"/>
                                <pic:cNvPicPr>
                                  <a:picLocks noChangeAspect="1"/>
                                </pic:cNvPicPr>
                              </pic:nvPicPr>
                              <pic:blipFill>
                                <a:blip r:embed="rId11"/>
                                <a:srcRect t="9944"/>
                                <a:stretch>
                                  <a:fillRect/>
                                </a:stretch>
                              </pic:blipFill>
                              <pic:spPr>
                                <a:xfrm>
                                  <a:off x="0" y="0"/>
                                  <a:ext cx="1989455" cy="1725295"/>
                                </a:xfrm>
                                <a:prstGeom prst="rect">
                                  <a:avLst/>
                                </a:prstGeom>
                                <a:noFill/>
                                <a:ln>
                                  <a:noFill/>
                                </a:ln>
                              </pic:spPr>
                            </pic:pic>
                          </a:graphicData>
                        </a:graphic>
                      </wp:inline>
                    </w:drawing>
                  </w:r>
                </w:p>
              </w:tc>
            </w:tr>
            <w:tr w14:paraId="6A16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252002D5">
                  <w:pPr>
                    <w:pStyle w:val="29"/>
                    <w:spacing w:after="0"/>
                    <w:ind w:firstLine="0" w:firstLineChars="0"/>
                    <w:jc w:val="center"/>
                    <w:rPr>
                      <w:szCs w:val="21"/>
                    </w:rPr>
                  </w:pPr>
                  <w:r>
                    <w:rPr>
                      <w:rFonts w:hint="eastAsia"/>
                      <w:szCs w:val="21"/>
                    </w:rPr>
                    <w:t>南侧</w:t>
                  </w:r>
                  <w:r>
                    <w:rPr>
                      <w:szCs w:val="21"/>
                    </w:rPr>
                    <w:t>规划工业用地</w:t>
                  </w:r>
                </w:p>
              </w:tc>
              <w:tc>
                <w:tcPr>
                  <w:tcW w:w="3394" w:type="dxa"/>
                  <w:noWrap w:val="0"/>
                  <w:vAlign w:val="top"/>
                </w:tcPr>
                <w:p w14:paraId="6145371C">
                  <w:pPr>
                    <w:pStyle w:val="29"/>
                    <w:spacing w:after="0"/>
                    <w:ind w:firstLine="0" w:firstLineChars="0"/>
                    <w:jc w:val="center"/>
                    <w:rPr>
                      <w:szCs w:val="21"/>
                    </w:rPr>
                  </w:pPr>
                  <w:r>
                    <w:rPr>
                      <w:szCs w:val="21"/>
                    </w:rPr>
                    <w:t>西南3536制衣厂</w:t>
                  </w:r>
                </w:p>
              </w:tc>
            </w:tr>
            <w:tr w14:paraId="13AA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654831DF">
                  <w:pPr>
                    <w:pStyle w:val="29"/>
                    <w:spacing w:after="0"/>
                    <w:ind w:firstLine="0" w:firstLineChars="0"/>
                    <w:rPr>
                      <w:szCs w:val="21"/>
                    </w:rPr>
                  </w:pPr>
                  <w:r>
                    <w:rPr>
                      <w:szCs w:val="21"/>
                    </w:rPr>
                    <w:drawing>
                      <wp:inline distT="0" distB="0" distL="114300" distR="114300">
                        <wp:extent cx="2045335" cy="1492250"/>
                        <wp:effectExtent l="0" t="0" r="12065" b="12700"/>
                        <wp:docPr id="5" name="图片 28" descr="IMG_20220123_11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8" descr="IMG_20220123_112648"/>
                                <pic:cNvPicPr>
                                  <a:picLocks noChangeAspect="1"/>
                                </pic:cNvPicPr>
                              </pic:nvPicPr>
                              <pic:blipFill>
                                <a:blip r:embed="rId12"/>
                                <a:stretch>
                                  <a:fillRect/>
                                </a:stretch>
                              </pic:blipFill>
                              <pic:spPr>
                                <a:xfrm>
                                  <a:off x="0" y="0"/>
                                  <a:ext cx="2045335" cy="1492250"/>
                                </a:xfrm>
                                <a:prstGeom prst="rect">
                                  <a:avLst/>
                                </a:prstGeom>
                                <a:noFill/>
                                <a:ln>
                                  <a:noFill/>
                                </a:ln>
                              </pic:spPr>
                            </pic:pic>
                          </a:graphicData>
                        </a:graphic>
                      </wp:inline>
                    </w:drawing>
                  </w:r>
                </w:p>
              </w:tc>
              <w:tc>
                <w:tcPr>
                  <w:tcW w:w="3394" w:type="dxa"/>
                  <w:noWrap w:val="0"/>
                  <w:vAlign w:val="top"/>
                </w:tcPr>
                <w:p w14:paraId="539BC735">
                  <w:pPr>
                    <w:pStyle w:val="29"/>
                    <w:ind w:firstLine="0" w:firstLineChars="0"/>
                    <w:rPr>
                      <w:szCs w:val="21"/>
                    </w:rPr>
                  </w:pPr>
                  <w:r>
                    <w:rPr>
                      <w:szCs w:val="21"/>
                    </w:rPr>
                    <w:drawing>
                      <wp:inline distT="0" distB="0" distL="114300" distR="114300">
                        <wp:extent cx="1989455" cy="1492250"/>
                        <wp:effectExtent l="0" t="0" r="10795" b="12700"/>
                        <wp:docPr id="6" name="图片 29" descr="IMG_20220123_093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9" descr="IMG_20220123_093944"/>
                                <pic:cNvPicPr>
                                  <a:picLocks noChangeAspect="1"/>
                                </pic:cNvPicPr>
                              </pic:nvPicPr>
                              <pic:blipFill>
                                <a:blip r:embed="rId13"/>
                                <a:stretch>
                                  <a:fillRect/>
                                </a:stretch>
                              </pic:blipFill>
                              <pic:spPr>
                                <a:xfrm>
                                  <a:off x="0" y="0"/>
                                  <a:ext cx="1989455" cy="1492250"/>
                                </a:xfrm>
                                <a:prstGeom prst="rect">
                                  <a:avLst/>
                                </a:prstGeom>
                                <a:noFill/>
                                <a:ln>
                                  <a:noFill/>
                                </a:ln>
                              </pic:spPr>
                            </pic:pic>
                          </a:graphicData>
                        </a:graphic>
                      </wp:inline>
                    </w:drawing>
                  </w:r>
                </w:p>
              </w:tc>
            </w:tr>
            <w:tr w14:paraId="3E0A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051B76F6">
                  <w:pPr>
                    <w:pStyle w:val="29"/>
                    <w:spacing w:after="0"/>
                    <w:ind w:firstLine="0" w:firstLineChars="0"/>
                    <w:jc w:val="center"/>
                    <w:rPr>
                      <w:szCs w:val="21"/>
                    </w:rPr>
                  </w:pPr>
                  <w:r>
                    <w:rPr>
                      <w:rFonts w:hint="eastAsia"/>
                      <w:szCs w:val="21"/>
                    </w:rPr>
                    <w:t>项目食堂</w:t>
                  </w:r>
                </w:p>
              </w:tc>
              <w:tc>
                <w:tcPr>
                  <w:tcW w:w="3394" w:type="dxa"/>
                  <w:noWrap w:val="0"/>
                  <w:vAlign w:val="top"/>
                </w:tcPr>
                <w:p w14:paraId="0F32E606">
                  <w:pPr>
                    <w:pStyle w:val="29"/>
                    <w:spacing w:after="0"/>
                    <w:ind w:firstLine="0" w:firstLineChars="0"/>
                    <w:jc w:val="center"/>
                    <w:rPr>
                      <w:szCs w:val="21"/>
                    </w:rPr>
                  </w:pPr>
                  <w:r>
                    <w:rPr>
                      <w:rFonts w:hint="eastAsia"/>
                      <w:szCs w:val="21"/>
                    </w:rPr>
                    <w:t>厂区大门及办公住宿楼</w:t>
                  </w:r>
                </w:p>
              </w:tc>
            </w:tr>
            <w:tr w14:paraId="3E5D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228266E2">
                  <w:pPr>
                    <w:pStyle w:val="29"/>
                    <w:spacing w:after="0"/>
                    <w:ind w:firstLine="0" w:firstLineChars="0"/>
                    <w:jc w:val="center"/>
                    <w:rPr>
                      <w:szCs w:val="21"/>
                    </w:rPr>
                  </w:pPr>
                  <w:r>
                    <w:rPr>
                      <w:rFonts w:hint="eastAsia"/>
                      <w:szCs w:val="21"/>
                    </w:rPr>
                    <w:drawing>
                      <wp:inline distT="0" distB="0" distL="114300" distR="114300">
                        <wp:extent cx="1997075" cy="1497965"/>
                        <wp:effectExtent l="0" t="0" r="3175" b="6985"/>
                        <wp:docPr id="7" name="图片 5" descr="2386083ad22462884f0fb57301f15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2386083ad22462884f0fb57301f157b"/>
                                <pic:cNvPicPr>
                                  <a:picLocks noChangeAspect="1"/>
                                </pic:cNvPicPr>
                              </pic:nvPicPr>
                              <pic:blipFill>
                                <a:blip r:embed="rId14"/>
                                <a:stretch>
                                  <a:fillRect/>
                                </a:stretch>
                              </pic:blipFill>
                              <pic:spPr>
                                <a:xfrm>
                                  <a:off x="0" y="0"/>
                                  <a:ext cx="1997075" cy="1497965"/>
                                </a:xfrm>
                                <a:prstGeom prst="rect">
                                  <a:avLst/>
                                </a:prstGeom>
                                <a:noFill/>
                                <a:ln>
                                  <a:noFill/>
                                </a:ln>
                              </pic:spPr>
                            </pic:pic>
                          </a:graphicData>
                        </a:graphic>
                      </wp:inline>
                    </w:drawing>
                  </w:r>
                </w:p>
              </w:tc>
              <w:tc>
                <w:tcPr>
                  <w:tcW w:w="3394" w:type="dxa"/>
                  <w:noWrap w:val="0"/>
                  <w:vAlign w:val="top"/>
                </w:tcPr>
                <w:p w14:paraId="2E567D75">
                  <w:pPr>
                    <w:pStyle w:val="29"/>
                    <w:spacing w:after="0"/>
                    <w:ind w:firstLine="0" w:firstLineChars="0"/>
                    <w:jc w:val="center"/>
                    <w:rPr>
                      <w:szCs w:val="21"/>
                    </w:rPr>
                  </w:pPr>
                  <w:r>
                    <w:rPr>
                      <w:rFonts w:hint="eastAsia"/>
                      <w:szCs w:val="21"/>
                    </w:rPr>
                    <w:drawing>
                      <wp:inline distT="0" distB="0" distL="114300" distR="114300">
                        <wp:extent cx="2014855" cy="1509395"/>
                        <wp:effectExtent l="0" t="0" r="4445" b="14605"/>
                        <wp:docPr id="8" name="图片 7" descr="a3f2d937e54855c2f9b34e0c73467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a3f2d937e54855c2f9b34e0c73467b2"/>
                                <pic:cNvPicPr>
                                  <a:picLocks noChangeAspect="1"/>
                                </pic:cNvPicPr>
                              </pic:nvPicPr>
                              <pic:blipFill>
                                <a:blip r:embed="rId15"/>
                                <a:stretch>
                                  <a:fillRect/>
                                </a:stretch>
                              </pic:blipFill>
                              <pic:spPr>
                                <a:xfrm rot="10800000">
                                  <a:off x="0" y="0"/>
                                  <a:ext cx="2014855" cy="1509395"/>
                                </a:xfrm>
                                <a:prstGeom prst="rect">
                                  <a:avLst/>
                                </a:prstGeom>
                                <a:noFill/>
                                <a:ln>
                                  <a:noFill/>
                                </a:ln>
                              </pic:spPr>
                            </pic:pic>
                          </a:graphicData>
                        </a:graphic>
                      </wp:inline>
                    </w:drawing>
                  </w:r>
                </w:p>
              </w:tc>
            </w:tr>
            <w:tr w14:paraId="2E4D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noWrap w:val="0"/>
                  <w:vAlign w:val="top"/>
                </w:tcPr>
                <w:p w14:paraId="4DCA2D44">
                  <w:pPr>
                    <w:pStyle w:val="29"/>
                    <w:spacing w:after="0"/>
                    <w:ind w:firstLine="0" w:firstLineChars="0"/>
                    <w:jc w:val="center"/>
                    <w:rPr>
                      <w:szCs w:val="21"/>
                    </w:rPr>
                  </w:pPr>
                  <w:r>
                    <w:rPr>
                      <w:rFonts w:hint="eastAsia"/>
                      <w:szCs w:val="21"/>
                    </w:rPr>
                    <w:t>项目1号厂房</w:t>
                  </w:r>
                </w:p>
              </w:tc>
              <w:tc>
                <w:tcPr>
                  <w:tcW w:w="3394" w:type="dxa"/>
                  <w:noWrap w:val="0"/>
                  <w:vAlign w:val="top"/>
                </w:tcPr>
                <w:p w14:paraId="30D629D8">
                  <w:pPr>
                    <w:pStyle w:val="29"/>
                    <w:spacing w:after="0"/>
                    <w:ind w:firstLine="0" w:firstLineChars="0"/>
                    <w:jc w:val="center"/>
                    <w:rPr>
                      <w:szCs w:val="21"/>
                    </w:rPr>
                  </w:pPr>
                  <w:r>
                    <w:rPr>
                      <w:rFonts w:hint="eastAsia"/>
                      <w:szCs w:val="21"/>
                    </w:rPr>
                    <w:t>项目2号厂房</w:t>
                  </w:r>
                </w:p>
              </w:tc>
            </w:tr>
          </w:tbl>
          <w:p w14:paraId="739234E1">
            <w:pPr>
              <w:keepNext w:val="0"/>
              <w:keepLines w:val="0"/>
              <w:pageBreakBefore w:val="0"/>
              <w:widowControl w:val="0"/>
              <w:kinsoku/>
              <w:wordWrap/>
              <w:overflowPunct/>
              <w:topLinePunct w:val="0"/>
              <w:autoSpaceDE w:val="0"/>
              <w:autoSpaceDN w:val="0"/>
              <w:bidi w:val="0"/>
              <w:adjustRightInd/>
              <w:snapToGrid/>
              <w:spacing w:before="157" w:beforeLines="50" w:line="360" w:lineRule="auto"/>
              <w:ind w:firstLine="482" w:firstLineChars="200"/>
              <w:textAlignment w:val="auto"/>
              <w:rPr>
                <w:rFonts w:hint="eastAsia"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（2）选址合理性分析</w:t>
            </w:r>
          </w:p>
          <w:p w14:paraId="0AC2D50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Style w:val="89"/>
                <w:rFonts w:ascii="Times New Roman" w:hAnsi="Times New Roman" w:eastAsia="宋体" w:cs="Times New Roman"/>
                <w:lang w:val="en-US" w:eastAsia="zh-CN" w:bidi="ar-SA"/>
              </w:rPr>
            </w:pPr>
            <w:r>
              <w:rPr>
                <w:rStyle w:val="89"/>
                <w:rFonts w:hint="eastAsia" w:ascii="Times New Roman" w:hAnsi="Times New Roman" w:eastAsia="宋体" w:cs="Times New Roman"/>
                <w:lang w:val="en-US" w:eastAsia="zh-CN" w:bidi="ar-SA"/>
              </w:rPr>
              <w:t>本项目周边地表水体为巴河，位于本项目西侧169m处，巴河水体功能均为灌溉、行洪，不涉及集中式饮用水源。本项目冷却塔定期排污水回用脱硫塔补充用水，不外排；脱硫废水经沉淀循环水池处理后回用脱硫塔补充用水，不外排。生活污水经厂区配套预处理设施处理后达到《污水综合排放标准》（GB8978-1996）三级标准及《污水排入城镇下水道水质标准》（GB/T31962-2015）B级标准后，排入园区截污管网，经星光工业园区污水处理厂处理达《城镇污水处理厂污染物排放标准》（GB18918-2002）中一级A标后排入巴河。因此，本项目对巴河影响较小。</w:t>
            </w:r>
          </w:p>
          <w:p w14:paraId="6121CA33">
            <w:pPr>
              <w:pStyle w:val="88"/>
              <w:spacing w:line="360" w:lineRule="auto"/>
              <w:ind w:firstLine="480"/>
            </w:pPr>
            <w:r>
              <w:rPr>
                <w:rStyle w:val="89"/>
              </w:rPr>
              <w:t>项目所在地地势较为平坦，无不良地质情况，适宜项目建设；区域供水、供电、排水、道路等基础设施良好，利于</w:t>
            </w:r>
            <w:r>
              <w:t>项目建设。其次，项目周边500米范围内无珍稀动植物、文物古迹、自然保护区、不涉及</w:t>
            </w:r>
            <w:r>
              <w:rPr>
                <w:rFonts w:hint="eastAsia"/>
                <w:lang w:val="en-US" w:eastAsia="zh-CN"/>
              </w:rPr>
              <w:t>饮用水源保护区</w:t>
            </w:r>
            <w:r>
              <w:t>等敏感点，</w:t>
            </w:r>
            <w:r>
              <w:rPr>
                <w:rFonts w:hint="eastAsia"/>
              </w:rPr>
              <w:t>项目</w:t>
            </w:r>
            <w:r>
              <w:t>周边</w:t>
            </w:r>
            <w:r>
              <w:rPr>
                <w:rFonts w:hint="eastAsia"/>
              </w:rPr>
              <w:t>现状</w:t>
            </w:r>
            <w:r>
              <w:t>主要为工业企业和</w:t>
            </w:r>
            <w:r>
              <w:rPr>
                <w:rFonts w:hint="eastAsia"/>
              </w:rPr>
              <w:t>空地及规划工业用地</w:t>
            </w:r>
            <w:r>
              <w:t>，该项目无明显环境制约因素。</w:t>
            </w:r>
          </w:p>
          <w:p w14:paraId="1D5D387F">
            <w:pPr>
              <w:overflowPunct w:val="0"/>
              <w:autoSpaceDE/>
              <w:autoSpaceDN/>
              <w:spacing w:beforeLines="0" w:line="360" w:lineRule="auto"/>
              <w:ind w:firstLine="480" w:firstLineChars="200"/>
              <w:rPr>
                <w:rStyle w:val="89"/>
                <w:rFonts w:ascii="Times New Roman" w:hAnsi="Times New Roman" w:eastAsia="宋体" w:cs="Times New Roman"/>
              </w:rPr>
            </w:pPr>
            <w:r>
              <w:rPr>
                <w:rStyle w:val="89"/>
                <w:rFonts w:hint="eastAsia" w:ascii="Times New Roman" w:hAnsi="Times New Roman" w:eastAsia="宋体" w:cs="Times New Roman"/>
              </w:rPr>
              <w:t>本项目对产生的废气采取了有效处理达标后排放，项目废气均实现达标排放，</w:t>
            </w:r>
            <w:r>
              <w:rPr>
                <w:rStyle w:val="89"/>
                <w:rFonts w:hint="eastAsia" w:ascii="Times New Roman" w:hAnsi="Times New Roman" w:eastAsia="宋体" w:cs="Times New Roman"/>
                <w:lang w:val="en-US" w:eastAsia="zh-CN"/>
              </w:rPr>
              <w:t>现有项目已划定卫生防护距离为：</w:t>
            </w:r>
            <w:r>
              <w:rPr>
                <w:rFonts w:hint="eastAsia" w:ascii="Times New Roman" w:hAnsi="Times New Roman" w:cs="Times New Roman"/>
                <w:b w:val="0"/>
                <w:bCs/>
                <w:i w:val="0"/>
                <w:iCs w:val="0"/>
                <w:color w:val="auto"/>
                <w:sz w:val="24"/>
                <w:szCs w:val="22"/>
                <w:u w:val="none"/>
                <w:lang w:val="en-US" w:eastAsia="zh-CN"/>
              </w:rPr>
              <w:t>以1#厂房、2#厂房边界外100m，本项目建设后全厂的卫生防护距离不发生变化，</w:t>
            </w:r>
            <w:r>
              <w:rPr>
                <w:rFonts w:hint="default" w:ascii="Times New Roman" w:hAnsi="Times New Roman" w:cs="Times New Roman"/>
                <w:b w:val="0"/>
                <w:bCs/>
                <w:i w:val="0"/>
                <w:iCs w:val="0"/>
                <w:color w:val="auto"/>
                <w:sz w:val="24"/>
                <w:szCs w:val="22"/>
                <w:lang w:val="en-US" w:eastAsia="zh-CN"/>
              </w:rPr>
              <w:t>根据调查，</w:t>
            </w:r>
            <w:r>
              <w:rPr>
                <w:rFonts w:hint="default" w:ascii="Times New Roman" w:hAnsi="Times New Roman" w:cs="Times New Roman"/>
                <w:b w:val="0"/>
                <w:bCs/>
                <w:color w:val="auto"/>
                <w:sz w:val="24"/>
                <w:szCs w:val="22"/>
              </w:rPr>
              <w:t>卫生防护距离</w:t>
            </w:r>
            <w:r>
              <w:rPr>
                <w:rFonts w:hint="default" w:ascii="Times New Roman" w:hAnsi="Times New Roman" w:cs="Times New Roman"/>
                <w:b w:val="0"/>
                <w:bCs/>
                <w:color w:val="auto"/>
                <w:sz w:val="24"/>
                <w:szCs w:val="22"/>
                <w:lang w:val="en-US" w:eastAsia="zh-CN"/>
              </w:rPr>
              <w:t>范围</w:t>
            </w:r>
            <w:r>
              <w:rPr>
                <w:rFonts w:hint="default" w:ascii="Times New Roman" w:hAnsi="Times New Roman" w:cs="Times New Roman"/>
                <w:b w:val="0"/>
                <w:bCs/>
                <w:color w:val="auto"/>
                <w:sz w:val="24"/>
                <w:szCs w:val="22"/>
              </w:rPr>
              <w:t>内</w:t>
            </w:r>
            <w:r>
              <w:rPr>
                <w:rFonts w:hint="eastAsia" w:ascii="Times New Roman" w:hAnsi="Times New Roman" w:cs="Times New Roman"/>
                <w:b w:val="0"/>
                <w:bCs/>
                <w:color w:val="auto"/>
                <w:sz w:val="24"/>
                <w:szCs w:val="22"/>
                <w:lang w:val="en-US" w:eastAsia="zh-CN"/>
              </w:rPr>
              <w:t>无</w:t>
            </w:r>
            <w:r>
              <w:rPr>
                <w:rFonts w:hint="default" w:ascii="Times New Roman" w:hAnsi="Times New Roman" w:cs="Times New Roman"/>
                <w:b w:val="0"/>
                <w:bCs/>
                <w:color w:val="auto"/>
                <w:sz w:val="24"/>
                <w:szCs w:val="22"/>
                <w:lang w:val="en-US" w:eastAsia="zh-CN"/>
              </w:rPr>
              <w:t>居民区、学校、医院等环</w:t>
            </w:r>
            <w:r>
              <w:rPr>
                <w:rFonts w:hint="eastAsia"/>
                <w:b w:val="0"/>
                <w:bCs/>
                <w:color w:val="auto"/>
                <w:sz w:val="24"/>
                <w:szCs w:val="22"/>
                <w:lang w:val="en-US" w:eastAsia="zh-CN"/>
              </w:rPr>
              <w:t>境敏感</w:t>
            </w:r>
            <w:r>
              <w:rPr>
                <w:rFonts w:hint="eastAsia"/>
                <w:b w:val="0"/>
                <w:bCs/>
                <w:color w:val="auto"/>
                <w:sz w:val="24"/>
                <w:szCs w:val="24"/>
                <w:lang w:val="en-US" w:eastAsia="zh-CN"/>
              </w:rPr>
              <w:t>目标，故</w:t>
            </w:r>
            <w:r>
              <w:rPr>
                <w:rFonts w:hint="eastAsia"/>
                <w:sz w:val="24"/>
                <w:szCs w:val="24"/>
                <w:lang w:val="en-US" w:eastAsia="zh-CN"/>
              </w:rPr>
              <w:t>本项目建设后，</w:t>
            </w:r>
            <w:r>
              <w:rPr>
                <w:rStyle w:val="89"/>
                <w:rFonts w:hint="eastAsia" w:ascii="Times New Roman" w:hAnsi="Times New Roman" w:eastAsia="宋体" w:cs="Times New Roman"/>
                <w:sz w:val="24"/>
                <w:szCs w:val="24"/>
              </w:rPr>
              <w:t>对周边大气环境影响较小</w:t>
            </w:r>
            <w:r>
              <w:rPr>
                <w:rStyle w:val="89"/>
                <w:rFonts w:hint="eastAsia" w:ascii="Times New Roman" w:hAnsi="Times New Roman" w:eastAsia="宋体" w:cs="Times New Roman"/>
              </w:rPr>
              <w:t>；本项目在采取严格的噪声防治措施后，可以实现厂界</w:t>
            </w:r>
            <w:r>
              <w:rPr>
                <w:rStyle w:val="89"/>
                <w:rFonts w:hint="eastAsia" w:ascii="Times New Roman" w:hAnsi="Times New Roman" w:eastAsia="宋体" w:cs="Times New Roman"/>
                <w:lang w:val="en-US" w:eastAsia="zh-CN"/>
              </w:rPr>
              <w:t>噪声</w:t>
            </w:r>
            <w:r>
              <w:rPr>
                <w:rStyle w:val="89"/>
                <w:rFonts w:hint="eastAsia" w:ascii="Times New Roman" w:hAnsi="Times New Roman" w:eastAsia="宋体" w:cs="Times New Roman"/>
              </w:rPr>
              <w:t>达标，对周边声环境影响较小；本项目固废均分类收集处置，不外排，不会对周边环境产生不利影响。</w:t>
            </w:r>
          </w:p>
          <w:p w14:paraId="639E9EE1">
            <w:pPr>
              <w:pStyle w:val="88"/>
              <w:spacing w:line="360" w:lineRule="auto"/>
              <w:ind w:firstLine="480"/>
              <w:rPr>
                <w:rStyle w:val="89"/>
                <w:rFonts w:hint="eastAsia" w:ascii="Times New Roman" w:hAnsi="Times New Roman" w:eastAsia="宋体" w:cs="Times New Roman"/>
              </w:rPr>
            </w:pPr>
            <w:r>
              <w:rPr>
                <w:rStyle w:val="89"/>
                <w:rFonts w:hint="eastAsia" w:ascii="Times New Roman" w:hAnsi="Times New Roman" w:eastAsia="宋体" w:cs="Times New Roman"/>
              </w:rPr>
              <w:t>本</w:t>
            </w:r>
            <w:r>
              <w:rPr>
                <w:rStyle w:val="89"/>
                <w:rFonts w:hint="eastAsia" w:ascii="Times New Roman" w:hAnsi="Times New Roman" w:eastAsia="宋体" w:cs="Times New Roman"/>
                <w:lang w:val="en-US" w:eastAsia="zh-CN"/>
              </w:rPr>
              <w:t>项目</w:t>
            </w:r>
            <w:r>
              <w:rPr>
                <w:rStyle w:val="89"/>
                <w:rFonts w:hint="eastAsia" w:ascii="Times New Roman" w:hAnsi="Times New Roman" w:eastAsia="宋体" w:cs="Times New Roman"/>
              </w:rPr>
              <w:t>通过采取一系列的污染防治措施，项目在运营期不会改变周围环境功能，因此项目选址合理且可行。</w:t>
            </w:r>
          </w:p>
          <w:p w14:paraId="2FB6E361">
            <w:pPr>
              <w:pStyle w:val="10"/>
              <w:keepNext w:val="0"/>
              <w:keepLines w:val="0"/>
              <w:pageBreakBefore w:val="0"/>
              <w:kinsoku/>
              <w:wordWrap/>
              <w:overflowPunct/>
              <w:topLinePunct w:val="0"/>
              <w:autoSpaceDE/>
              <w:autoSpaceDN/>
              <w:bidi w:val="0"/>
              <w:adjustRightInd/>
              <w:spacing w:before="0" w:after="0" w:line="360" w:lineRule="auto"/>
              <w:ind w:right="0" w:firstLine="482" w:firstLineChars="200"/>
              <w:jc w:val="both"/>
              <w:textAlignment w:val="auto"/>
              <w:rPr>
                <w:rFonts w:hint="eastAsia" w:ascii="Times New Roman" w:hAnsi="Times New Roman" w:cs="Times New Roman"/>
                <w:b/>
                <w:bCs/>
                <w:color w:val="000000"/>
                <w:sz w:val="24"/>
                <w:szCs w:val="24"/>
                <w:lang w:val="en-US" w:eastAsia="zh-CN"/>
              </w:rPr>
            </w:pPr>
            <w:r>
              <w:rPr>
                <w:rFonts w:hint="eastAsia" w:ascii="Times New Roman" w:hAnsi="Times New Roman" w:cs="Times New Roman"/>
                <w:b/>
                <w:bCs/>
                <w:color w:val="000000"/>
                <w:sz w:val="24"/>
                <w:szCs w:val="24"/>
                <w:lang w:val="en-US" w:eastAsia="zh-CN"/>
              </w:rPr>
              <w:t>6、与地方生态环境保护规划要求的符合性分析</w:t>
            </w:r>
          </w:p>
          <w:p w14:paraId="14D07976">
            <w:pPr>
              <w:autoSpaceDE w:val="0"/>
              <w:autoSpaceDN w:val="0"/>
              <w:adjustRightInd w:val="0"/>
              <w:snapToGrid w:val="0"/>
              <w:spacing w:line="360" w:lineRule="auto"/>
              <w:ind w:firstLine="480" w:firstLineChars="200"/>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项目与《四川省“十四五”生态环境保护规划</w:t>
            </w:r>
            <w:r>
              <w:rPr>
                <w:rFonts w:hint="default"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巴中市“十四五”生态环境保护规划》</w:t>
            </w:r>
            <w:r>
              <w:rPr>
                <w:rFonts w:hint="default" w:ascii="Times New Roman" w:hAnsi="Times New Roman" w:cs="Times New Roman"/>
                <w:color w:val="000000"/>
                <w:sz w:val="24"/>
                <w:szCs w:val="24"/>
                <w:highlight w:val="none"/>
                <w:lang w:val="en-US" w:eastAsia="zh-CN"/>
              </w:rPr>
              <w:t>《</w:t>
            </w:r>
            <w:r>
              <w:rPr>
                <w:rFonts w:hint="eastAsia" w:ascii="Times New Roman" w:hAnsi="Times New Roman" w:eastAsia="宋体" w:cs="Times New Roman"/>
                <w:color w:val="000000"/>
                <w:sz w:val="24"/>
                <w:szCs w:val="24"/>
                <w:highlight w:val="none"/>
                <w:lang w:val="en-US" w:eastAsia="zh-CN"/>
              </w:rPr>
              <w:t>平昌县</w:t>
            </w:r>
            <w:r>
              <w:rPr>
                <w:rFonts w:hint="default" w:ascii="Times New Roman" w:hAnsi="Times New Roman" w:eastAsia="宋体" w:cs="Times New Roman"/>
                <w:color w:val="000000"/>
                <w:sz w:val="24"/>
                <w:szCs w:val="24"/>
                <w:highlight w:val="none"/>
                <w:lang w:val="en-US" w:eastAsia="zh-CN"/>
              </w:rPr>
              <w:t>“十四五”生态环境保护规划》符合性见表1-</w:t>
            </w:r>
            <w:r>
              <w:rPr>
                <w:rFonts w:hint="eastAsia" w:cs="Times New Roman"/>
                <w:color w:val="000000"/>
                <w:sz w:val="24"/>
                <w:szCs w:val="24"/>
                <w:highlight w:val="none"/>
                <w:lang w:val="en-US" w:eastAsia="zh-CN"/>
              </w:rPr>
              <w:t>7</w:t>
            </w:r>
            <w:r>
              <w:rPr>
                <w:rFonts w:hint="default" w:ascii="Times New Roman" w:hAnsi="Times New Roman" w:eastAsia="宋体" w:cs="Times New Roman"/>
                <w:color w:val="000000"/>
                <w:sz w:val="24"/>
                <w:szCs w:val="24"/>
                <w:highlight w:val="none"/>
                <w:lang w:val="en-US" w:eastAsia="zh-CN"/>
              </w:rPr>
              <w:t>所示。</w:t>
            </w:r>
          </w:p>
          <w:p w14:paraId="65356FA7">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宋体" w:cs="Times New Roman"/>
                <w:b/>
                <w:bCs/>
                <w:color w:val="000000"/>
                <w:kern w:val="0"/>
                <w:sz w:val="24"/>
                <w:lang w:val="en-US" w:eastAsia="zh-CN"/>
              </w:rPr>
            </w:pPr>
            <w:r>
              <w:rPr>
                <w:rFonts w:hint="default" w:ascii="Times New Roman" w:hAnsi="Times New Roman" w:eastAsia="宋体" w:cs="Times New Roman"/>
                <w:b/>
                <w:bCs/>
                <w:color w:val="000000"/>
                <w:kern w:val="0"/>
                <w:sz w:val="24"/>
                <w:lang w:val="en-US" w:eastAsia="zh-CN"/>
              </w:rPr>
              <w:t xml:space="preserve"> 项目与地方生态环境保护规划要求的符合性分析一览表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3677"/>
              <w:gridCol w:w="2680"/>
              <w:gridCol w:w="815"/>
            </w:tblGrid>
            <w:tr w14:paraId="26F9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1" w:type="dxa"/>
                  <w:noWrap w:val="0"/>
                  <w:vAlign w:val="center"/>
                </w:tcPr>
                <w:p w14:paraId="1558068A">
                  <w:pPr>
                    <w:pStyle w:val="85"/>
                    <w:widowControl w:val="0"/>
                    <w:spacing w:line="240" w:lineRule="auto"/>
                    <w:ind w:firstLine="0" w:firstLineChars="0"/>
                    <w:jc w:val="center"/>
                    <w:rPr>
                      <w:rFonts w:hint="default" w:ascii="Times New Roman" w:hAnsi="Times New Roman" w:eastAsia="宋体" w:cs="Times New Roman"/>
                      <w:b/>
                      <w:bCs/>
                      <w:color w:val="000000"/>
                      <w:sz w:val="21"/>
                      <w:szCs w:val="21"/>
                      <w:highlight w:val="none"/>
                      <w:vertAlign w:val="baseli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生态环境保护规划文件</w:t>
                  </w:r>
                </w:p>
              </w:tc>
              <w:tc>
                <w:tcPr>
                  <w:tcW w:w="3677" w:type="dxa"/>
                  <w:noWrap w:val="0"/>
                  <w:vAlign w:val="center"/>
                </w:tcPr>
                <w:p w14:paraId="0C496720">
                  <w:pPr>
                    <w:pStyle w:val="85"/>
                    <w:widowControl w:val="0"/>
                    <w:spacing w:line="240" w:lineRule="auto"/>
                    <w:ind w:firstLine="0" w:firstLineChars="0"/>
                    <w:jc w:val="center"/>
                    <w:rPr>
                      <w:rFonts w:hint="default" w:ascii="Times New Roman" w:hAnsi="Times New Roman" w:eastAsia="宋体" w:cs="Times New Roman"/>
                      <w:b/>
                      <w:bCs/>
                      <w:color w:val="000000"/>
                      <w:sz w:val="21"/>
                      <w:szCs w:val="21"/>
                      <w:highlight w:val="none"/>
                      <w:vertAlign w:val="baseli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规划要求</w:t>
                  </w:r>
                </w:p>
              </w:tc>
              <w:tc>
                <w:tcPr>
                  <w:tcW w:w="2680" w:type="dxa"/>
                  <w:noWrap w:val="0"/>
                  <w:vAlign w:val="center"/>
                </w:tcPr>
                <w:p w14:paraId="21BAAF92">
                  <w:pPr>
                    <w:pStyle w:val="85"/>
                    <w:widowControl w:val="0"/>
                    <w:spacing w:line="240" w:lineRule="auto"/>
                    <w:ind w:firstLine="0" w:firstLineChars="0"/>
                    <w:jc w:val="center"/>
                    <w:rPr>
                      <w:rFonts w:hint="default" w:ascii="Times New Roman" w:hAnsi="Times New Roman" w:eastAsia="宋体" w:cs="Times New Roman"/>
                      <w:b/>
                      <w:bCs/>
                      <w:color w:val="000000"/>
                      <w:sz w:val="21"/>
                      <w:szCs w:val="21"/>
                      <w:highlight w:val="none"/>
                      <w:vertAlign w:val="baseli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本项目情况</w:t>
                  </w:r>
                </w:p>
              </w:tc>
              <w:tc>
                <w:tcPr>
                  <w:tcW w:w="815" w:type="dxa"/>
                  <w:noWrap w:val="0"/>
                  <w:vAlign w:val="center"/>
                </w:tcPr>
                <w:p w14:paraId="6C898E6B">
                  <w:pPr>
                    <w:pStyle w:val="85"/>
                    <w:widowControl w:val="0"/>
                    <w:spacing w:line="240" w:lineRule="auto"/>
                    <w:ind w:firstLine="0" w:firstLineChars="0"/>
                    <w:jc w:val="center"/>
                    <w:rPr>
                      <w:rFonts w:hint="default" w:ascii="Times New Roman" w:hAnsi="Times New Roman" w:eastAsia="宋体" w:cs="Times New Roman"/>
                      <w:b/>
                      <w:bCs/>
                      <w:color w:val="000000"/>
                      <w:kern w:val="0"/>
                      <w:sz w:val="21"/>
                      <w:szCs w:val="21"/>
                      <w:highlight w:val="no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符合</w:t>
                  </w:r>
                </w:p>
                <w:p w14:paraId="2D7D5662">
                  <w:pPr>
                    <w:pStyle w:val="85"/>
                    <w:widowControl w:val="0"/>
                    <w:spacing w:line="240" w:lineRule="auto"/>
                    <w:ind w:firstLine="0" w:firstLineChars="0"/>
                    <w:jc w:val="center"/>
                    <w:rPr>
                      <w:rFonts w:hint="default" w:ascii="Times New Roman" w:hAnsi="Times New Roman" w:eastAsia="宋体" w:cs="Times New Roman"/>
                      <w:b/>
                      <w:bCs/>
                      <w:color w:val="000000"/>
                      <w:sz w:val="21"/>
                      <w:szCs w:val="21"/>
                      <w:highlight w:val="none"/>
                      <w:vertAlign w:val="baseli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性</w:t>
                  </w:r>
                </w:p>
              </w:tc>
            </w:tr>
            <w:tr w14:paraId="52DC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1" w:type="dxa"/>
                  <w:vMerge w:val="restart"/>
                  <w:noWrap w:val="0"/>
                  <w:vAlign w:val="center"/>
                </w:tcPr>
                <w:p w14:paraId="75425C18">
                  <w:pPr>
                    <w:spacing w:line="240" w:lineRule="auto"/>
                    <w:jc w:val="center"/>
                    <w:rPr>
                      <w:rFonts w:hint="default" w:ascii="Times New Roman" w:hAnsi="Times New Roman" w:eastAsia="宋体" w:cs="Times New Roman"/>
                      <w:b/>
                      <w:bCs/>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lang w:val="en-US" w:eastAsia="zh-CN" w:bidi="ar"/>
                    </w:rPr>
                    <w:t>《四川省“十四五”生态环境保护规划》</w:t>
                  </w:r>
                </w:p>
              </w:tc>
              <w:tc>
                <w:tcPr>
                  <w:tcW w:w="3677" w:type="dxa"/>
                  <w:noWrap w:val="0"/>
                  <w:vAlign w:val="center"/>
                </w:tcPr>
                <w:p w14:paraId="529274F0">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三、（一）构建绿色空间格局。</w:t>
                  </w:r>
                </w:p>
                <w:p w14:paraId="4CEE0765">
                  <w:pPr>
                    <w:pStyle w:val="11"/>
                    <w:spacing w:line="240" w:lineRule="auto"/>
                    <w:ind w:left="0" w:leftChars="0" w:firstLine="0" w:firstLineChars="0"/>
                    <w:jc w:val="both"/>
                    <w:rPr>
                      <w:rFonts w:hint="default" w:ascii="Times New Roman" w:hAnsi="Times New Roman" w:cs="Times New Roman"/>
                      <w:color w:val="000000"/>
                      <w:lang w:val="en-US" w:eastAsia="zh-CN"/>
                    </w:rPr>
                  </w:pPr>
                  <w:r>
                    <w:rPr>
                      <w:rFonts w:hint="default" w:ascii="Times New Roman" w:hAnsi="Times New Roman" w:eastAsia="宋体" w:cs="Times New Roman"/>
                      <w:color w:val="000000"/>
                      <w:sz w:val="21"/>
                      <w:szCs w:val="21"/>
                      <w:highlight w:val="none"/>
                      <w:lang w:val="en-US" w:eastAsia="zh-CN"/>
                    </w:rPr>
                    <w:t>推进长江经济带产业布局优化和绿色转型发展，禁止在长江干支流岸线一公里范围内新建、扩建化工园区和化工项目。在黄河流域生态敏感脆弱区禁止新建对生态系统有严重影响的高耗水、高污染或高耗能项目。</w:t>
                  </w:r>
                </w:p>
              </w:tc>
              <w:tc>
                <w:tcPr>
                  <w:tcW w:w="2680" w:type="dxa"/>
                  <w:noWrap w:val="0"/>
                  <w:vAlign w:val="center"/>
                </w:tcPr>
                <w:p w14:paraId="674D4799">
                  <w:pPr>
                    <w:keepNext w:val="0"/>
                    <w:keepLines w:val="0"/>
                    <w:widowControl/>
                    <w:suppressLineNumbers w:val="0"/>
                    <w:spacing w:line="240" w:lineRule="auto"/>
                    <w:jc w:val="center"/>
                    <w:rPr>
                      <w:rFonts w:hint="default" w:ascii="Times New Roman" w:hAnsi="Times New Roman" w:eastAsia="宋体" w:cs="Times New Roman"/>
                      <w:color w:val="000000"/>
                      <w:spacing w:val="19"/>
                      <w:sz w:val="21"/>
                      <w:szCs w:val="21"/>
                      <w:highlight w:val="none"/>
                      <w:lang w:val="en-US" w:eastAsia="zh-CN"/>
                    </w:rPr>
                  </w:pPr>
                  <w:r>
                    <w:rPr>
                      <w:rFonts w:hint="default" w:ascii="Times New Roman" w:hAnsi="Times New Roman" w:eastAsia="宋体" w:cs="Times New Roman"/>
                      <w:color w:val="000000"/>
                      <w:spacing w:val="19"/>
                      <w:sz w:val="21"/>
                      <w:szCs w:val="21"/>
                      <w:highlight w:val="none"/>
                      <w:lang w:val="en-US" w:eastAsia="zh-CN"/>
                    </w:rPr>
                    <w:t>本项目位于四川巴中经济开发区星光工业园</w:t>
                  </w:r>
                  <w:r>
                    <w:rPr>
                      <w:rFonts w:hint="default" w:ascii="Times New Roman" w:hAnsi="Times New Roman" w:eastAsia="宋体" w:cs="Times New Roman"/>
                      <w:color w:val="000000"/>
                      <w:spacing w:val="19"/>
                      <w:sz w:val="21"/>
                      <w:szCs w:val="21"/>
                      <w:highlight w:val="none"/>
                      <w:lang w:eastAsia="zh-CN"/>
                    </w:rPr>
                    <w:t>，项目为石墨及碳素制品制造（C3091），不属于化工园区和化工项目，</w:t>
                  </w:r>
                  <w:r>
                    <w:rPr>
                      <w:rFonts w:hint="default" w:ascii="Times New Roman" w:hAnsi="Times New Roman" w:eastAsia="宋体" w:cs="Times New Roman"/>
                      <w:color w:val="auto"/>
                      <w:spacing w:val="19"/>
                      <w:sz w:val="21"/>
                      <w:szCs w:val="21"/>
                      <w:highlight w:val="none"/>
                      <w:lang w:eastAsia="zh-CN"/>
                    </w:rPr>
                    <w:t>根据《平昌县经济和信息化局关于</w:t>
                  </w:r>
                  <w:r>
                    <w:rPr>
                      <w:rFonts w:hint="default" w:ascii="Times New Roman" w:hAnsi="Times New Roman" w:eastAsia="宋体" w:cs="Times New Roman"/>
                      <w:color w:val="auto"/>
                      <w:spacing w:val="19"/>
                      <w:sz w:val="21"/>
                      <w:szCs w:val="21"/>
                      <w:highlight w:val="none"/>
                      <w:lang w:val="en-US" w:eastAsia="zh-CN"/>
                    </w:rPr>
                    <w:t>本</w:t>
                  </w:r>
                  <w:r>
                    <w:rPr>
                      <w:rFonts w:hint="default" w:ascii="Times New Roman" w:hAnsi="Times New Roman" w:eastAsia="宋体" w:cs="Times New Roman"/>
                      <w:color w:val="auto"/>
                      <w:spacing w:val="19"/>
                      <w:sz w:val="21"/>
                      <w:szCs w:val="21"/>
                      <w:highlight w:val="none"/>
                      <w:lang w:eastAsia="zh-CN"/>
                    </w:rPr>
                    <w:t>项目</w:t>
                  </w:r>
                  <w:r>
                    <w:rPr>
                      <w:rFonts w:hint="default" w:ascii="Times New Roman" w:hAnsi="Times New Roman" w:eastAsia="宋体" w:cs="Times New Roman"/>
                      <w:color w:val="auto"/>
                      <w:spacing w:val="19"/>
                      <w:sz w:val="21"/>
                      <w:szCs w:val="21"/>
                      <w:highlight w:val="none"/>
                      <w:lang w:val="en-US" w:eastAsia="zh-CN"/>
                    </w:rPr>
                    <w:t>情况的说明</w:t>
                  </w:r>
                  <w:r>
                    <w:rPr>
                      <w:rFonts w:hint="default" w:ascii="Times New Roman" w:hAnsi="Times New Roman" w:eastAsia="宋体" w:cs="Times New Roman"/>
                      <w:color w:val="auto"/>
                      <w:spacing w:val="19"/>
                      <w:sz w:val="21"/>
                      <w:szCs w:val="21"/>
                      <w:highlight w:val="none"/>
                      <w:lang w:eastAsia="zh-CN"/>
                    </w:rPr>
                    <w:t>》，明确该项目</w:t>
                  </w:r>
                  <w:r>
                    <w:rPr>
                      <w:rFonts w:hint="default" w:ascii="Times New Roman" w:hAnsi="Times New Roman" w:eastAsia="宋体" w:cs="Times New Roman"/>
                      <w:color w:val="auto"/>
                      <w:spacing w:val="19"/>
                      <w:sz w:val="21"/>
                      <w:szCs w:val="21"/>
                      <w:highlight w:val="none"/>
                      <w:lang w:val="en-US" w:eastAsia="zh-CN"/>
                    </w:rPr>
                    <w:t>预碳化</w:t>
                  </w:r>
                  <w:r>
                    <w:rPr>
                      <w:rFonts w:hint="default" w:ascii="Times New Roman" w:hAnsi="Times New Roman" w:eastAsia="宋体" w:cs="Times New Roman"/>
                      <w:color w:val="auto"/>
                      <w:spacing w:val="19"/>
                      <w:sz w:val="21"/>
                      <w:szCs w:val="21"/>
                      <w:highlight w:val="none"/>
                      <w:lang w:eastAsia="zh-CN"/>
                    </w:rPr>
                    <w:t>在</w:t>
                  </w:r>
                  <w:r>
                    <w:rPr>
                      <w:rFonts w:hint="default" w:ascii="Times New Roman" w:hAnsi="Times New Roman" w:eastAsia="宋体" w:cs="Times New Roman"/>
                      <w:color w:val="000000"/>
                      <w:spacing w:val="19"/>
                      <w:sz w:val="21"/>
                      <w:szCs w:val="21"/>
                      <w:highlight w:val="none"/>
                      <w:lang w:eastAsia="zh-CN"/>
                    </w:rPr>
                    <w:t>工艺原理、过程控制及产品特性方面均符合“石墨及碳素制品制造”项目使用天然气，不涉及“焙烧”工艺。</w:t>
                  </w:r>
                </w:p>
              </w:tc>
              <w:tc>
                <w:tcPr>
                  <w:tcW w:w="815" w:type="dxa"/>
                  <w:noWrap w:val="0"/>
                  <w:vAlign w:val="center"/>
                </w:tcPr>
                <w:p w14:paraId="694B5DB2">
                  <w:pPr>
                    <w:keepNext w:val="0"/>
                    <w:keepLines w:val="0"/>
                    <w:widowControl/>
                    <w:suppressLineNumbers w:val="0"/>
                    <w:spacing w:line="240" w:lineRule="auto"/>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符合</w:t>
                  </w:r>
                </w:p>
              </w:tc>
            </w:tr>
            <w:tr w14:paraId="60A6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1" w:type="dxa"/>
                  <w:vMerge w:val="continue"/>
                  <w:noWrap w:val="0"/>
                  <w:vAlign w:val="top"/>
                </w:tcPr>
                <w:p w14:paraId="50E10BCE">
                  <w:pPr>
                    <w:spacing w:line="240" w:lineRule="auto"/>
                    <w:jc w:val="center"/>
                    <w:rPr>
                      <w:rFonts w:hint="default" w:ascii="Times New Roman" w:hAnsi="Times New Roman" w:eastAsia="宋体" w:cs="Times New Roman"/>
                      <w:color w:val="000000"/>
                      <w:kern w:val="0"/>
                      <w:sz w:val="21"/>
                      <w:szCs w:val="21"/>
                      <w:lang w:val="en-US" w:eastAsia="zh-CN" w:bidi="ar"/>
                    </w:rPr>
                  </w:pPr>
                </w:p>
              </w:tc>
              <w:tc>
                <w:tcPr>
                  <w:tcW w:w="3677" w:type="dxa"/>
                  <w:noWrap w:val="0"/>
                  <w:vAlign w:val="center"/>
                </w:tcPr>
                <w:p w14:paraId="00E841BA">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五、（一）深化工业源污染防治</w:t>
                  </w:r>
                </w:p>
                <w:p w14:paraId="48AEE79A">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加快火电、钢铁、水泥、焦化及燃煤工业锅炉超低排放改造。全面淘汰10蒸吨/小时及以下燃煤锅炉，县级及以上城市建成区原则上不再新建35蒸吨/小时以下的燃煤锅炉，65蒸吨/小时及以上燃煤锅炉（含电力）全面实现超低排放改造。严格控制VOCs排放总量，新建VOCs项目应实施等量或倍量替代。强化VOCS源头削减，以工业涂装、家具制造、包装印刷等行业为重点，大力推进低（无）VOCs含量原辅材料替代。</w:t>
                  </w:r>
                </w:p>
                <w:p w14:paraId="79E06D9A">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禁止在居民区、学校、医院、疗养 院和养老院等单位周边新（改、扩） 建可能造成土壤污染的建设项目， 禁止在永久基本农田集中区域新建可能造成土壤污染的建设项目。</w:t>
                  </w:r>
                </w:p>
                <w:p w14:paraId="6B560A6E">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严格涉重金属企业和园区环境准入管理，新（改、扩）建涉重金属重点行业建设项目实施等量替代或减量替代。持续调整产业结构并优化布局，加快推进环境敏感区和城市建成区涉重金属企业搬迁和关闭。推进铅酸电池、电镀、有色金属冶炼等行业园区的建设，引导涉重金属企业入园，推进园区环保基础设施建设。开展涉铊企业排查整治行动。加强涉重金属企业监管，将涉重金属行业企业纳入大气、水污染物重点排污单位名录。……</w:t>
                  </w:r>
                </w:p>
                <w:p w14:paraId="597E45B1">
                  <w:pPr>
                    <w:spacing w:line="240" w:lineRule="auto"/>
                    <w:jc w:val="both"/>
                    <w:rPr>
                      <w:rFonts w:hint="default" w:ascii="Times New Roman" w:hAnsi="Times New Roman" w:cs="Times New Roman"/>
                      <w:color w:val="000000"/>
                      <w:lang w:val="en-US" w:eastAsia="zh-CN"/>
                    </w:rPr>
                  </w:pPr>
                  <w:r>
                    <w:rPr>
                      <w:rFonts w:hint="default" w:ascii="Times New Roman" w:hAnsi="Times New Roman" w:eastAsia="宋体" w:cs="Times New Roman"/>
                      <w:color w:val="000000"/>
                      <w:sz w:val="21"/>
                      <w:szCs w:val="21"/>
                      <w:highlight w:val="none"/>
                      <w:lang w:val="en-US" w:eastAsia="zh-CN"/>
                    </w:rPr>
                    <w:t>加强重点行业重金属污染治理。强化清洁生产水平和污染物排放强度等指标约束，以优化布局、结构调整、升级改造和深度治理等为主要手段，推动实施一批重金属减排工程，持续减少重金属污染物排放。加大有色金属冶炼、无机酸制造等行业生产工艺提升改造力度，加快锌冶炼企业竖罐炼锌设备替代改造，积极推进铜冶炼企业开展转炉吹炼工艺提升改造实施铅、锌、铜冶炼行业企业提标改造，耕地周边企业严格执行颗粒物等重点大气污染物特别排放限值。加强有色、钢铁、硫酸、磷肥等行业企业废水总铊治理。</w:t>
                  </w:r>
                </w:p>
              </w:tc>
              <w:tc>
                <w:tcPr>
                  <w:tcW w:w="2680" w:type="dxa"/>
                  <w:noWrap w:val="0"/>
                  <w:vAlign w:val="center"/>
                </w:tcPr>
                <w:p w14:paraId="4603CFAA">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1.不涉及使用锅炉。</w:t>
                  </w:r>
                </w:p>
                <w:p w14:paraId="3B5EA45F">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2.项目为石墨及碳素制品制造（C3091），不属于工业涂装、家具制造、包装印刷等行业</w:t>
                  </w:r>
                </w:p>
                <w:p w14:paraId="0E1E7490">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3.产生的废气污染物均设置有相关处理措施。</w:t>
                  </w:r>
                </w:p>
                <w:p w14:paraId="49B1CCFB">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4.本项目周边无居民区、学校、医院、疗养 院和养老院等，项目用地性质为工业用地，不涉及基本农田。</w:t>
                  </w:r>
                </w:p>
                <w:p w14:paraId="1386C2B0">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5.不属于涉重企业。</w:t>
                  </w:r>
                </w:p>
                <w:p w14:paraId="7CE862E5">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6.不属于水污染重点排污单位名录。</w:t>
                  </w:r>
                </w:p>
                <w:p w14:paraId="6F60AED4">
                  <w:pPr>
                    <w:spacing w:line="240" w:lineRule="auto"/>
                    <w:jc w:val="both"/>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sz w:val="21"/>
                      <w:szCs w:val="21"/>
                      <w:highlight w:val="none"/>
                      <w:lang w:val="en-US" w:eastAsia="zh-CN"/>
                    </w:rPr>
                    <w:t>7.</w:t>
                  </w:r>
                  <w:r>
                    <w:rPr>
                      <w:rFonts w:hint="default" w:ascii="Times New Roman" w:hAnsi="Times New Roman" w:cs="Times New Roman"/>
                      <w:b w:val="0"/>
                      <w:bCs w:val="0"/>
                      <w:color w:val="000000"/>
                      <w:sz w:val="21"/>
                      <w:szCs w:val="21"/>
                      <w:vertAlign w:val="baseline"/>
                    </w:rPr>
                    <w:t>本</w:t>
                  </w:r>
                  <w:r>
                    <w:rPr>
                      <w:rFonts w:hint="default" w:ascii="Times New Roman" w:hAnsi="Times New Roman" w:cs="Times New Roman"/>
                      <w:b w:val="0"/>
                      <w:bCs w:val="0"/>
                      <w:color w:val="000000"/>
                      <w:sz w:val="21"/>
                      <w:szCs w:val="21"/>
                      <w:vertAlign w:val="baseline"/>
                      <w:lang w:val="en-US" w:eastAsia="zh-CN"/>
                    </w:rPr>
                    <w:t>项目为技改扩能，不属于新建项目，企业已下发的VOC</w:t>
                  </w:r>
                  <w:r>
                    <w:rPr>
                      <w:rFonts w:hint="default" w:ascii="Times New Roman" w:hAnsi="Times New Roman" w:cs="Times New Roman"/>
                      <w:b w:val="0"/>
                      <w:bCs w:val="0"/>
                      <w:color w:val="000000"/>
                      <w:sz w:val="21"/>
                      <w:szCs w:val="21"/>
                      <w:vertAlign w:val="subscript"/>
                      <w:lang w:val="en-US" w:eastAsia="zh-CN"/>
                    </w:rPr>
                    <w:t>S</w:t>
                  </w:r>
                  <w:r>
                    <w:rPr>
                      <w:rFonts w:hint="default" w:ascii="Times New Roman" w:hAnsi="Times New Roman" w:cs="Times New Roman"/>
                      <w:b w:val="0"/>
                      <w:bCs w:val="0"/>
                      <w:color w:val="000000"/>
                      <w:sz w:val="21"/>
                      <w:szCs w:val="21"/>
                      <w:vertAlign w:val="baseline"/>
                      <w:lang w:val="en-US" w:eastAsia="zh-CN"/>
                    </w:rPr>
                    <w:t>总量能够满足本项目需求。</w:t>
                  </w:r>
                </w:p>
              </w:tc>
              <w:tc>
                <w:tcPr>
                  <w:tcW w:w="815" w:type="dxa"/>
                  <w:noWrap w:val="0"/>
                  <w:vAlign w:val="center"/>
                </w:tcPr>
                <w:p w14:paraId="74E09940">
                  <w:pPr>
                    <w:spacing w:line="240" w:lineRule="auto"/>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符合</w:t>
                  </w:r>
                </w:p>
              </w:tc>
            </w:tr>
            <w:tr w14:paraId="1410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1" w:type="dxa"/>
                  <w:vMerge w:val="continue"/>
                  <w:noWrap w:val="0"/>
                  <w:vAlign w:val="top"/>
                </w:tcPr>
                <w:p w14:paraId="011BC6ED">
                  <w:pPr>
                    <w:spacing w:line="240" w:lineRule="auto"/>
                    <w:jc w:val="center"/>
                    <w:rPr>
                      <w:rFonts w:hint="default" w:ascii="Times New Roman" w:hAnsi="Times New Roman" w:eastAsia="宋体" w:cs="Times New Roman"/>
                      <w:color w:val="000000"/>
                      <w:kern w:val="0"/>
                      <w:sz w:val="21"/>
                      <w:szCs w:val="21"/>
                      <w:lang w:val="en-US" w:eastAsia="zh-CN" w:bidi="ar"/>
                    </w:rPr>
                  </w:pPr>
                </w:p>
              </w:tc>
              <w:tc>
                <w:tcPr>
                  <w:tcW w:w="3677" w:type="dxa"/>
                  <w:noWrap w:val="0"/>
                  <w:vAlign w:val="center"/>
                </w:tcPr>
                <w:p w14:paraId="4A864666">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六、（二）强化水污染环境治理</w:t>
                  </w:r>
                </w:p>
                <w:p w14:paraId="42FC6720">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sz w:val="21"/>
                      <w:szCs w:val="21"/>
                      <w:highlight w:val="none"/>
                      <w:lang w:val="en-US" w:eastAsia="zh-CN"/>
                    </w:rPr>
                    <w:t>强化工业污水综合整治。深入实施工业企业污水处理设施升级改造，重点开展电子信息、造纸、印染、化工、酿造等行业废水专项治理，全面实现工业废水达标排放。对涉及重金属、高盐和高浓度难降解废水的企业，强化分质、分类预处理，提高企业与末端处理设施的联动监控能力，确保末端污水处理设施安全稳定运行。</w:t>
                  </w:r>
                </w:p>
              </w:tc>
              <w:tc>
                <w:tcPr>
                  <w:tcW w:w="2680" w:type="dxa"/>
                  <w:noWrap w:val="0"/>
                  <w:vAlign w:val="center"/>
                </w:tcPr>
                <w:p w14:paraId="346A7816">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color w:val="000000"/>
                      <w:kern w:val="0"/>
                      <w:sz w:val="21"/>
                      <w:szCs w:val="21"/>
                      <w:highlight w:val="none"/>
                      <w:vertAlign w:val="baseline"/>
                      <w:lang w:val="en-US" w:eastAsia="zh-CN"/>
                    </w:rPr>
                    <w:t>冷却塔定期排污水经沉淀池处理后回用脱硫塔补充用水，不外排；脱硫废水经沉淀</w:t>
                  </w:r>
                  <w:r>
                    <w:rPr>
                      <w:rFonts w:hint="eastAsia" w:ascii="Times New Roman" w:hAnsi="Times New Roman" w:cs="Times New Roman"/>
                      <w:color w:val="000000"/>
                      <w:kern w:val="0"/>
                      <w:sz w:val="21"/>
                      <w:szCs w:val="21"/>
                      <w:highlight w:val="none"/>
                      <w:vertAlign w:val="baseline"/>
                      <w:lang w:val="en-US" w:eastAsia="zh-CN"/>
                    </w:rPr>
                    <w:t>循环</w:t>
                  </w:r>
                  <w:r>
                    <w:rPr>
                      <w:rFonts w:hint="default" w:ascii="Times New Roman" w:hAnsi="Times New Roman" w:cs="Times New Roman"/>
                      <w:color w:val="000000"/>
                      <w:kern w:val="0"/>
                      <w:sz w:val="21"/>
                      <w:szCs w:val="21"/>
                      <w:highlight w:val="none"/>
                      <w:vertAlign w:val="baseline"/>
                      <w:lang w:val="en-US" w:eastAsia="zh-CN"/>
                    </w:rPr>
                    <w:t>池处理后回用脱硫塔补充用水，不外排。生活污水经厂区配套预处理设施处理后排入园区管网，最终进入星光工业园区污水处理厂处理达标后排入巴河。</w:t>
                  </w:r>
                </w:p>
              </w:tc>
              <w:tc>
                <w:tcPr>
                  <w:tcW w:w="815" w:type="dxa"/>
                  <w:noWrap w:val="0"/>
                  <w:vAlign w:val="center"/>
                </w:tcPr>
                <w:p w14:paraId="0A524C5A">
                  <w:pPr>
                    <w:spacing w:line="240" w:lineRule="auto"/>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highlight w:val="none"/>
                      <w:lang w:val="en-US" w:eastAsia="zh-CN" w:bidi="ar-SA"/>
                    </w:rPr>
                    <w:t>符合</w:t>
                  </w:r>
                </w:p>
              </w:tc>
            </w:tr>
            <w:tr w14:paraId="44DF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1" w:type="dxa"/>
                  <w:vMerge w:val="continue"/>
                  <w:noWrap w:val="0"/>
                  <w:vAlign w:val="top"/>
                </w:tcPr>
                <w:p w14:paraId="78FBBB66">
                  <w:pPr>
                    <w:spacing w:line="240" w:lineRule="auto"/>
                    <w:jc w:val="center"/>
                    <w:rPr>
                      <w:rFonts w:hint="default" w:ascii="Times New Roman" w:hAnsi="Times New Roman" w:eastAsia="宋体" w:cs="Times New Roman"/>
                      <w:color w:val="000000"/>
                      <w:kern w:val="0"/>
                      <w:sz w:val="21"/>
                      <w:szCs w:val="21"/>
                      <w:lang w:val="en-US" w:eastAsia="zh-CN" w:bidi="ar"/>
                    </w:rPr>
                  </w:pPr>
                </w:p>
              </w:tc>
              <w:tc>
                <w:tcPr>
                  <w:tcW w:w="3677" w:type="dxa"/>
                  <w:noWrap w:val="0"/>
                  <w:vAlign w:val="center"/>
                </w:tcPr>
                <w:p w14:paraId="7C62BB94">
                  <w:pPr>
                    <w:spacing w:line="240" w:lineRule="auto"/>
                    <w:jc w:val="both"/>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七、（一）推进土壤污染源头防控</w:t>
                  </w:r>
                </w:p>
                <w:p w14:paraId="248AAB02">
                  <w:pPr>
                    <w:pStyle w:val="11"/>
                    <w:spacing w:line="240" w:lineRule="auto"/>
                    <w:ind w:left="0" w:leftChars="0" w:firstLine="0" w:firstLineChars="0"/>
                    <w:jc w:val="both"/>
                    <w:rPr>
                      <w:rFonts w:hint="default" w:ascii="Times New Roman" w:hAnsi="Times New Roman" w:cs="Times New Roman"/>
                      <w:color w:val="000000"/>
                      <w:lang w:val="en-US" w:eastAsia="zh-CN"/>
                    </w:rPr>
                  </w:pPr>
                  <w:r>
                    <w:rPr>
                      <w:rFonts w:hint="default" w:ascii="Times New Roman" w:hAnsi="Times New Roman" w:eastAsia="宋体" w:cs="Times New Roman"/>
                      <w:color w:val="000000"/>
                      <w:spacing w:val="9"/>
                      <w:sz w:val="21"/>
                      <w:szCs w:val="21"/>
                      <w:highlight w:val="none"/>
                    </w:rPr>
                    <w:t>加</w:t>
                  </w:r>
                  <w:r>
                    <w:rPr>
                      <w:rFonts w:hint="default" w:ascii="Times New Roman" w:hAnsi="Times New Roman" w:eastAsia="宋体" w:cs="Times New Roman"/>
                      <w:color w:val="000000"/>
                      <w:spacing w:val="6"/>
                      <w:sz w:val="21"/>
                      <w:szCs w:val="21"/>
                      <w:highlight w:val="none"/>
                    </w:rPr>
                    <w:t>强空间布局管控。强化规划环评刚性约</w:t>
                  </w:r>
                  <w:r>
                    <w:rPr>
                      <w:rFonts w:hint="default" w:ascii="Times New Roman" w:hAnsi="Times New Roman" w:eastAsia="宋体" w:cs="Times New Roman"/>
                      <w:color w:val="000000"/>
                      <w:spacing w:val="14"/>
                      <w:sz w:val="21"/>
                      <w:szCs w:val="21"/>
                      <w:highlight w:val="none"/>
                    </w:rPr>
                    <w:t>束</w:t>
                  </w:r>
                  <w:r>
                    <w:rPr>
                      <w:rFonts w:hint="default" w:ascii="Times New Roman" w:hAnsi="Times New Roman" w:eastAsia="宋体" w:cs="Times New Roman"/>
                      <w:color w:val="000000"/>
                      <w:spacing w:val="12"/>
                      <w:sz w:val="21"/>
                      <w:szCs w:val="21"/>
                      <w:highlight w:val="none"/>
                    </w:rPr>
                    <w:t>，</w:t>
                  </w:r>
                  <w:r>
                    <w:rPr>
                      <w:rFonts w:hint="default" w:ascii="Times New Roman" w:hAnsi="Times New Roman" w:eastAsia="宋体" w:cs="Times New Roman"/>
                      <w:color w:val="000000"/>
                      <w:spacing w:val="7"/>
                      <w:sz w:val="21"/>
                      <w:szCs w:val="21"/>
                      <w:highlight w:val="none"/>
                    </w:rPr>
                    <w:t>严格空间管控，合理规划土地用途，</w:t>
                  </w:r>
                  <w:r>
                    <w:rPr>
                      <w:rFonts w:hint="default" w:ascii="Times New Roman" w:hAnsi="Times New Roman" w:eastAsia="宋体" w:cs="Times New Roman"/>
                      <w:color w:val="000000"/>
                      <w:spacing w:val="10"/>
                      <w:sz w:val="21"/>
                      <w:szCs w:val="21"/>
                      <w:highlight w:val="none"/>
                    </w:rPr>
                    <w:t>强</w:t>
                  </w:r>
                  <w:r>
                    <w:rPr>
                      <w:rFonts w:hint="default" w:ascii="Times New Roman" w:hAnsi="Times New Roman" w:eastAsia="宋体" w:cs="Times New Roman"/>
                      <w:color w:val="000000"/>
                      <w:spacing w:val="6"/>
                      <w:sz w:val="21"/>
                      <w:szCs w:val="21"/>
                      <w:highlight w:val="none"/>
                    </w:rPr>
                    <w:t>化涉及土壤污染建设项目布局论证，鼓</w:t>
                  </w:r>
                  <w:r>
                    <w:rPr>
                      <w:rFonts w:hint="default" w:ascii="Times New Roman" w:hAnsi="Times New Roman" w:eastAsia="宋体" w:cs="Times New Roman"/>
                      <w:color w:val="000000"/>
                      <w:spacing w:val="8"/>
                      <w:sz w:val="21"/>
                      <w:szCs w:val="21"/>
                      <w:highlight w:val="none"/>
                    </w:rPr>
                    <w:t>励</w:t>
                  </w:r>
                  <w:r>
                    <w:rPr>
                      <w:rFonts w:hint="default" w:ascii="Times New Roman" w:hAnsi="Times New Roman" w:eastAsia="宋体" w:cs="Times New Roman"/>
                      <w:color w:val="000000"/>
                      <w:spacing w:val="6"/>
                      <w:sz w:val="21"/>
                      <w:szCs w:val="21"/>
                      <w:highlight w:val="none"/>
                    </w:rPr>
                    <w:t>土壤污染重点工业企业集聚发展，探索</w:t>
                  </w:r>
                  <w:r>
                    <w:rPr>
                      <w:rFonts w:hint="default" w:ascii="Times New Roman" w:hAnsi="Times New Roman" w:eastAsia="宋体" w:cs="Times New Roman"/>
                      <w:color w:val="000000"/>
                      <w:spacing w:val="14"/>
                      <w:sz w:val="21"/>
                      <w:szCs w:val="21"/>
                      <w:highlight w:val="none"/>
                    </w:rPr>
                    <w:t>土</w:t>
                  </w:r>
                  <w:r>
                    <w:rPr>
                      <w:rFonts w:hint="default" w:ascii="Times New Roman" w:hAnsi="Times New Roman" w:eastAsia="宋体" w:cs="Times New Roman"/>
                      <w:color w:val="000000"/>
                      <w:spacing w:val="12"/>
                      <w:sz w:val="21"/>
                      <w:szCs w:val="21"/>
                      <w:highlight w:val="none"/>
                    </w:rPr>
                    <w:t>壤</w:t>
                  </w:r>
                  <w:r>
                    <w:rPr>
                      <w:rFonts w:hint="default" w:ascii="Times New Roman" w:hAnsi="Times New Roman" w:eastAsia="宋体" w:cs="Times New Roman"/>
                      <w:color w:val="000000"/>
                      <w:spacing w:val="7"/>
                      <w:sz w:val="21"/>
                      <w:szCs w:val="21"/>
                      <w:highlight w:val="none"/>
                    </w:rPr>
                    <w:t>环境承载能力分析。禁止在居民区、</w:t>
                  </w:r>
                  <w:r>
                    <w:rPr>
                      <w:rFonts w:hint="default" w:ascii="Times New Roman" w:hAnsi="Times New Roman" w:eastAsia="宋体" w:cs="Times New Roman"/>
                      <w:color w:val="000000"/>
                      <w:spacing w:val="8"/>
                      <w:sz w:val="21"/>
                      <w:szCs w:val="21"/>
                      <w:highlight w:val="none"/>
                    </w:rPr>
                    <w:t>学</w:t>
                  </w:r>
                  <w:r>
                    <w:rPr>
                      <w:rFonts w:hint="default" w:ascii="Times New Roman" w:hAnsi="Times New Roman" w:eastAsia="宋体" w:cs="Times New Roman"/>
                      <w:color w:val="000000"/>
                      <w:spacing w:val="6"/>
                      <w:sz w:val="21"/>
                      <w:szCs w:val="21"/>
                      <w:highlight w:val="none"/>
                    </w:rPr>
                    <w:t>校、医院、疗养院和养老院等单位周边</w:t>
                  </w:r>
                  <w:r>
                    <w:rPr>
                      <w:rFonts w:hint="default" w:ascii="Times New Roman" w:hAnsi="Times New Roman" w:eastAsia="宋体" w:cs="Times New Roman"/>
                      <w:color w:val="000000"/>
                      <w:spacing w:val="10"/>
                      <w:sz w:val="21"/>
                      <w:szCs w:val="21"/>
                      <w:highlight w:val="none"/>
                    </w:rPr>
                    <w:t>新</w:t>
                  </w:r>
                  <w:r>
                    <w:rPr>
                      <w:rFonts w:hint="default" w:ascii="Times New Roman" w:hAnsi="Times New Roman" w:eastAsia="宋体" w:cs="Times New Roman"/>
                      <w:color w:val="000000"/>
                      <w:spacing w:val="10"/>
                      <w:sz w:val="21"/>
                      <w:szCs w:val="21"/>
                      <w:highlight w:val="none"/>
                      <w:lang w:eastAsia="zh-CN"/>
                    </w:rPr>
                    <w:t>（</w:t>
                  </w:r>
                  <w:r>
                    <w:rPr>
                      <w:rFonts w:hint="default" w:ascii="Times New Roman" w:hAnsi="Times New Roman" w:eastAsia="宋体" w:cs="Times New Roman"/>
                      <w:color w:val="000000"/>
                      <w:spacing w:val="5"/>
                      <w:sz w:val="21"/>
                      <w:szCs w:val="21"/>
                      <w:highlight w:val="none"/>
                    </w:rPr>
                    <w:t>改、扩</w:t>
                  </w:r>
                  <w:r>
                    <w:rPr>
                      <w:rFonts w:hint="default" w:ascii="Times New Roman" w:hAnsi="Times New Roman" w:eastAsia="宋体" w:cs="Times New Roman"/>
                      <w:color w:val="000000"/>
                      <w:spacing w:val="5"/>
                      <w:sz w:val="21"/>
                      <w:szCs w:val="21"/>
                      <w:highlight w:val="none"/>
                      <w:lang w:eastAsia="zh-CN"/>
                    </w:rPr>
                    <w:t>）</w:t>
                  </w:r>
                  <w:r>
                    <w:rPr>
                      <w:rFonts w:hint="default" w:ascii="Times New Roman" w:hAnsi="Times New Roman" w:eastAsia="宋体" w:cs="Times New Roman"/>
                      <w:color w:val="000000"/>
                      <w:spacing w:val="5"/>
                      <w:sz w:val="21"/>
                      <w:szCs w:val="21"/>
                      <w:highlight w:val="none"/>
                    </w:rPr>
                    <w:t>建可能造成土壤污染的建设</w:t>
                  </w:r>
                  <w:r>
                    <w:rPr>
                      <w:rFonts w:hint="default" w:ascii="Times New Roman" w:hAnsi="Times New Roman" w:eastAsia="宋体" w:cs="Times New Roman"/>
                      <w:color w:val="000000"/>
                      <w:spacing w:val="10"/>
                      <w:sz w:val="21"/>
                      <w:szCs w:val="21"/>
                      <w:highlight w:val="none"/>
                    </w:rPr>
                    <w:t>项</w:t>
                  </w:r>
                  <w:r>
                    <w:rPr>
                      <w:rFonts w:hint="default" w:ascii="Times New Roman" w:hAnsi="Times New Roman" w:eastAsia="宋体" w:cs="Times New Roman"/>
                      <w:color w:val="000000"/>
                      <w:spacing w:val="6"/>
                      <w:sz w:val="21"/>
                      <w:szCs w:val="21"/>
                      <w:highlight w:val="none"/>
                    </w:rPr>
                    <w:t>目，禁止在永久基本农田集中区域新建</w:t>
                  </w:r>
                  <w:r>
                    <w:rPr>
                      <w:rFonts w:hint="default" w:ascii="Times New Roman" w:hAnsi="Times New Roman" w:eastAsia="宋体" w:cs="Times New Roman"/>
                      <w:color w:val="000000"/>
                      <w:spacing w:val="16"/>
                      <w:sz w:val="21"/>
                      <w:szCs w:val="21"/>
                      <w:highlight w:val="none"/>
                    </w:rPr>
                    <w:t>可</w:t>
                  </w:r>
                  <w:r>
                    <w:rPr>
                      <w:rFonts w:hint="default" w:ascii="Times New Roman" w:hAnsi="Times New Roman" w:eastAsia="宋体" w:cs="Times New Roman"/>
                      <w:color w:val="000000"/>
                      <w:spacing w:val="9"/>
                      <w:sz w:val="21"/>
                      <w:szCs w:val="21"/>
                      <w:highlight w:val="none"/>
                    </w:rPr>
                    <w:t>能</w:t>
                  </w:r>
                  <w:r>
                    <w:rPr>
                      <w:rFonts w:hint="default" w:ascii="Times New Roman" w:hAnsi="Times New Roman" w:eastAsia="宋体" w:cs="Times New Roman"/>
                      <w:color w:val="000000"/>
                      <w:spacing w:val="8"/>
                      <w:sz w:val="21"/>
                      <w:szCs w:val="21"/>
                      <w:highlight w:val="none"/>
                    </w:rPr>
                    <w:t>造成土壤污染的建设项目。</w:t>
                  </w:r>
                </w:p>
              </w:tc>
              <w:tc>
                <w:tcPr>
                  <w:tcW w:w="2680" w:type="dxa"/>
                  <w:noWrap w:val="0"/>
                  <w:vAlign w:val="center"/>
                </w:tcPr>
                <w:p w14:paraId="74C4FD2B">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spacing w:val="13"/>
                      <w:sz w:val="21"/>
                      <w:szCs w:val="21"/>
                      <w:highlight w:val="none"/>
                    </w:rPr>
                    <w:t>位于</w:t>
                  </w:r>
                  <w:r>
                    <w:rPr>
                      <w:rFonts w:hint="default" w:ascii="Times New Roman" w:hAnsi="Times New Roman" w:eastAsia="宋体" w:cs="Times New Roman"/>
                      <w:color w:val="000000"/>
                      <w:spacing w:val="19"/>
                      <w:sz w:val="21"/>
                      <w:szCs w:val="21"/>
                      <w:highlight w:val="none"/>
                      <w:lang w:val="en-US" w:eastAsia="zh-CN"/>
                    </w:rPr>
                    <w:t>四川巴中经济开发区星光工业园</w:t>
                  </w:r>
                  <w:r>
                    <w:rPr>
                      <w:rFonts w:hint="default" w:ascii="Times New Roman" w:hAnsi="Times New Roman" w:eastAsia="宋体" w:cs="Times New Roman"/>
                      <w:color w:val="000000"/>
                      <w:spacing w:val="4"/>
                      <w:sz w:val="21"/>
                      <w:szCs w:val="21"/>
                      <w:highlight w:val="none"/>
                    </w:rPr>
                    <w:t>，用地性质为工</w:t>
                  </w:r>
                  <w:r>
                    <w:rPr>
                      <w:rFonts w:hint="default" w:ascii="Times New Roman" w:hAnsi="Times New Roman" w:eastAsia="宋体" w:cs="Times New Roman"/>
                      <w:color w:val="000000"/>
                      <w:spacing w:val="3"/>
                      <w:sz w:val="21"/>
                      <w:szCs w:val="21"/>
                      <w:highlight w:val="none"/>
                    </w:rPr>
                    <w:t>业</w:t>
                  </w:r>
                  <w:r>
                    <w:rPr>
                      <w:rFonts w:hint="default" w:ascii="Times New Roman" w:hAnsi="Times New Roman" w:eastAsia="宋体" w:cs="Times New Roman"/>
                      <w:color w:val="000000"/>
                      <w:spacing w:val="6"/>
                      <w:sz w:val="21"/>
                      <w:szCs w:val="21"/>
                      <w:highlight w:val="none"/>
                    </w:rPr>
                    <w:t>用地</w:t>
                  </w:r>
                  <w:r>
                    <w:rPr>
                      <w:rFonts w:hint="default" w:ascii="Times New Roman" w:hAnsi="Times New Roman" w:cs="Times New Roman"/>
                      <w:color w:val="000000"/>
                      <w:spacing w:val="4"/>
                      <w:sz w:val="21"/>
                      <w:szCs w:val="21"/>
                      <w:highlight w:val="none"/>
                      <w:lang w:eastAsia="zh-CN"/>
                    </w:rPr>
                    <w:t>，</w:t>
                  </w:r>
                  <w:r>
                    <w:rPr>
                      <w:rFonts w:hint="default" w:ascii="Times New Roman" w:hAnsi="Times New Roman" w:eastAsia="宋体" w:cs="Times New Roman"/>
                      <w:color w:val="000000"/>
                      <w:spacing w:val="3"/>
                      <w:sz w:val="21"/>
                      <w:szCs w:val="21"/>
                      <w:highlight w:val="none"/>
                    </w:rPr>
                    <w:t>不涉及永久基本农</w:t>
                  </w:r>
                  <w:r>
                    <w:rPr>
                      <w:rFonts w:hint="default" w:ascii="Times New Roman" w:hAnsi="Times New Roman" w:eastAsia="宋体" w:cs="Times New Roman"/>
                      <w:color w:val="000000"/>
                      <w:spacing w:val="4"/>
                      <w:sz w:val="21"/>
                      <w:szCs w:val="21"/>
                      <w:highlight w:val="none"/>
                    </w:rPr>
                    <w:t>田</w:t>
                  </w:r>
                  <w:r>
                    <w:rPr>
                      <w:rFonts w:hint="default" w:ascii="Times New Roman" w:hAnsi="Times New Roman" w:cs="Times New Roman"/>
                      <w:color w:val="000000"/>
                      <w:spacing w:val="3"/>
                      <w:sz w:val="21"/>
                      <w:szCs w:val="21"/>
                      <w:highlight w:val="none"/>
                      <w:lang w:eastAsia="zh-CN"/>
                    </w:rPr>
                    <w:t>。</w:t>
                  </w:r>
                  <w:r>
                    <w:rPr>
                      <w:rFonts w:hint="default" w:ascii="Times New Roman" w:hAnsi="Times New Roman" w:cs="Times New Roman"/>
                      <w:color w:val="000000"/>
                      <w:spacing w:val="3"/>
                      <w:sz w:val="21"/>
                      <w:szCs w:val="21"/>
                      <w:highlight w:val="none"/>
                      <w:lang w:val="en-US" w:eastAsia="zh-CN"/>
                    </w:rPr>
                    <w:t>不属于可能造成土壤污染的建设项目，不涉及重金属，且已按照相关要求进行分区防渗。</w:t>
                  </w:r>
                </w:p>
              </w:tc>
              <w:tc>
                <w:tcPr>
                  <w:tcW w:w="815" w:type="dxa"/>
                  <w:noWrap w:val="0"/>
                  <w:vAlign w:val="center"/>
                </w:tcPr>
                <w:p w14:paraId="6096ABD3">
                  <w:pPr>
                    <w:spacing w:line="240" w:lineRule="auto"/>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highlight w:val="none"/>
                      <w:lang w:val="en-US" w:eastAsia="zh-CN" w:bidi="ar-SA"/>
                    </w:rPr>
                    <w:t>符合</w:t>
                  </w:r>
                </w:p>
              </w:tc>
            </w:tr>
            <w:tr w14:paraId="0428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111" w:type="dxa"/>
                  <w:vMerge w:val="restart"/>
                  <w:noWrap w:val="0"/>
                  <w:vAlign w:val="center"/>
                </w:tcPr>
                <w:p w14:paraId="4E0810DB">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sz w:val="21"/>
                      <w:szCs w:val="21"/>
                      <w:highlight w:val="none"/>
                      <w:lang w:val="en-US" w:eastAsia="zh-CN"/>
                    </w:rPr>
                    <w:t>巴中市“十四五”生态环境保护规划</w:t>
                  </w:r>
                </w:p>
              </w:tc>
              <w:tc>
                <w:tcPr>
                  <w:tcW w:w="3677" w:type="dxa"/>
                  <w:noWrap w:val="0"/>
                  <w:vAlign w:val="center"/>
                </w:tcPr>
                <w:p w14:paraId="55498CB5">
                  <w:pPr>
                    <w:spacing w:before="65" w:line="240" w:lineRule="auto"/>
                    <w:jc w:val="both"/>
                    <w:rPr>
                      <w:rFonts w:hint="default" w:ascii="Times New Roman" w:hAnsi="Times New Roman" w:eastAsia="宋体" w:cs="Times New Roman"/>
                      <w:color w:val="000000"/>
                      <w:spacing w:val="4"/>
                      <w:sz w:val="21"/>
                      <w:szCs w:val="21"/>
                      <w:highlight w:val="none"/>
                    </w:rPr>
                  </w:pPr>
                  <w:r>
                    <w:rPr>
                      <w:rFonts w:hint="default" w:ascii="Times New Roman" w:hAnsi="Times New Roman" w:eastAsia="宋体" w:cs="Times New Roman"/>
                      <w:color w:val="000000"/>
                      <w:spacing w:val="7"/>
                      <w:sz w:val="21"/>
                      <w:szCs w:val="21"/>
                      <w:highlight w:val="none"/>
                    </w:rPr>
                    <w:t>第三</w:t>
                  </w:r>
                  <w:r>
                    <w:rPr>
                      <w:rFonts w:hint="default" w:ascii="Times New Roman" w:hAnsi="Times New Roman" w:eastAsia="宋体" w:cs="Times New Roman"/>
                      <w:color w:val="000000"/>
                      <w:spacing w:val="6"/>
                      <w:sz w:val="21"/>
                      <w:szCs w:val="21"/>
                      <w:highlight w:val="none"/>
                    </w:rPr>
                    <w:t>章</w:t>
                  </w:r>
                  <w:r>
                    <w:rPr>
                      <w:rFonts w:hint="default" w:ascii="Times New Roman" w:hAnsi="Times New Roman" w:eastAsia="宋体" w:cs="Times New Roman"/>
                      <w:color w:val="000000"/>
                      <w:spacing w:val="7"/>
                      <w:sz w:val="21"/>
                      <w:szCs w:val="21"/>
                      <w:highlight w:val="none"/>
                    </w:rPr>
                    <w:t>第一</w:t>
                  </w:r>
                  <w:r>
                    <w:rPr>
                      <w:rFonts w:hint="default" w:ascii="Times New Roman" w:hAnsi="Times New Roman" w:eastAsia="宋体" w:cs="Times New Roman"/>
                      <w:color w:val="000000"/>
                      <w:spacing w:val="6"/>
                      <w:sz w:val="21"/>
                      <w:szCs w:val="21"/>
                      <w:highlight w:val="none"/>
                    </w:rPr>
                    <w:t>节构建绿色发展</w:t>
                  </w:r>
                  <w:r>
                    <w:rPr>
                      <w:rFonts w:hint="default" w:ascii="Times New Roman" w:hAnsi="Times New Roman" w:eastAsia="宋体" w:cs="Times New Roman"/>
                      <w:color w:val="000000"/>
                      <w:spacing w:val="5"/>
                      <w:sz w:val="21"/>
                      <w:szCs w:val="21"/>
                      <w:highlight w:val="none"/>
                    </w:rPr>
                    <w:t>格</w:t>
                  </w:r>
                  <w:r>
                    <w:rPr>
                      <w:rFonts w:hint="default" w:ascii="Times New Roman" w:hAnsi="Times New Roman" w:eastAsia="宋体" w:cs="Times New Roman"/>
                      <w:color w:val="000000"/>
                      <w:spacing w:val="4"/>
                      <w:sz w:val="21"/>
                      <w:szCs w:val="21"/>
                      <w:highlight w:val="none"/>
                    </w:rPr>
                    <w:t>局</w:t>
                  </w:r>
                </w:p>
                <w:p w14:paraId="07FEAFD9">
                  <w:pPr>
                    <w:pStyle w:val="11"/>
                    <w:spacing w:line="240" w:lineRule="auto"/>
                    <w:ind w:left="0" w:leftChars="0" w:firstLine="0" w:firstLineChars="0"/>
                    <w:jc w:val="both"/>
                    <w:rPr>
                      <w:rFonts w:hint="default" w:ascii="Times New Roman" w:hAnsi="Times New Roman" w:cs="Times New Roman"/>
                      <w:color w:val="000000"/>
                      <w:lang w:val="en-US" w:eastAsia="zh-CN"/>
                    </w:rPr>
                  </w:pPr>
                  <w:r>
                    <w:rPr>
                      <w:rFonts w:hint="default" w:ascii="Times New Roman" w:hAnsi="Times New Roman" w:eastAsia="宋体" w:cs="Times New Roman"/>
                      <w:color w:val="000000"/>
                      <w:spacing w:val="6"/>
                      <w:sz w:val="21"/>
                      <w:szCs w:val="21"/>
                      <w:highlight w:val="none"/>
                    </w:rPr>
                    <w:t>健全生态空间管控体系。立足于区域自然生态特点和资源禀赋，加强与国土空间规划、行业发展规划、招商引资政策的衔接，统筹生产、生活、生态空间布局，全面建成以“三线一单”为核心的管控体系，推动构建城市城镇发展区、国家级农产品主产区、</w:t>
                  </w:r>
                  <w:r>
                    <w:rPr>
                      <w:rFonts w:hint="default" w:ascii="Times New Roman" w:hAnsi="Times New Roman" w:eastAsia="宋体" w:cs="Times New Roman"/>
                      <w:color w:val="000000"/>
                      <w:spacing w:val="6"/>
                      <w:sz w:val="21"/>
                      <w:szCs w:val="21"/>
                      <w:highlight w:val="none"/>
                      <w:lang w:eastAsia="zh-CN"/>
                    </w:rPr>
                    <w:t>国家重点生态功能区</w:t>
                  </w:r>
                  <w:r>
                    <w:rPr>
                      <w:rFonts w:hint="default" w:ascii="Times New Roman" w:hAnsi="Times New Roman" w:eastAsia="宋体" w:cs="Times New Roman"/>
                      <w:color w:val="000000"/>
                      <w:spacing w:val="6"/>
                      <w:sz w:val="21"/>
                      <w:szCs w:val="21"/>
                      <w:highlight w:val="none"/>
                    </w:rPr>
                    <w:t>三大国土空间，构建“一屏三廊四区”的生态空间</w:t>
                  </w:r>
                  <w:r>
                    <w:rPr>
                      <w:rFonts w:hint="default" w:ascii="Times New Roman" w:hAnsi="Times New Roman" w:eastAsia="宋体" w:cs="Times New Roman"/>
                      <w:color w:val="000000"/>
                      <w:spacing w:val="6"/>
                      <w:sz w:val="21"/>
                      <w:szCs w:val="21"/>
                      <w:highlight w:val="none"/>
                      <w:lang w:eastAsia="zh-CN"/>
                    </w:rPr>
                    <w:t>（</w:t>
                  </w:r>
                  <w:r>
                    <w:rPr>
                      <w:rFonts w:hint="default" w:ascii="Times New Roman" w:hAnsi="Times New Roman" w:eastAsia="宋体" w:cs="Times New Roman"/>
                      <w:color w:val="000000"/>
                      <w:spacing w:val="6"/>
                      <w:sz w:val="21"/>
                      <w:szCs w:val="21"/>
                      <w:highlight w:val="none"/>
                    </w:rPr>
                    <w:t>大巴山系米仓山生态屏障；</w:t>
                  </w:r>
                  <w:r>
                    <w:rPr>
                      <w:rFonts w:hint="default" w:ascii="Times New Roman" w:hAnsi="Times New Roman" w:cs="Times New Roman"/>
                      <w:color w:val="000000"/>
                      <w:spacing w:val="6"/>
                      <w:sz w:val="21"/>
                      <w:szCs w:val="21"/>
                      <w:highlight w:val="none"/>
                      <w:lang w:eastAsia="zh-CN"/>
                    </w:rPr>
                    <w:t>巴河</w:t>
                  </w:r>
                  <w:r>
                    <w:rPr>
                      <w:rFonts w:hint="default" w:ascii="Times New Roman" w:hAnsi="Times New Roman" w:eastAsia="宋体" w:cs="Times New Roman"/>
                      <w:color w:val="000000"/>
                      <w:spacing w:val="6"/>
                      <w:sz w:val="21"/>
                      <w:szCs w:val="21"/>
                      <w:highlight w:val="none"/>
                    </w:rPr>
                    <w:t>、</w:t>
                  </w:r>
                  <w:r>
                    <w:rPr>
                      <w:rFonts w:hint="default" w:ascii="Times New Roman" w:hAnsi="Times New Roman" w:cs="Times New Roman"/>
                      <w:color w:val="000000"/>
                      <w:spacing w:val="6"/>
                      <w:sz w:val="21"/>
                      <w:szCs w:val="21"/>
                      <w:highlight w:val="none"/>
                      <w:lang w:eastAsia="zh-CN"/>
                    </w:rPr>
                    <w:t>巴河</w:t>
                  </w:r>
                  <w:r>
                    <w:rPr>
                      <w:rFonts w:hint="default" w:ascii="Times New Roman" w:hAnsi="Times New Roman" w:eastAsia="宋体" w:cs="Times New Roman"/>
                      <w:color w:val="000000"/>
                      <w:spacing w:val="6"/>
                      <w:sz w:val="21"/>
                      <w:szCs w:val="21"/>
                      <w:highlight w:val="none"/>
                    </w:rPr>
                    <w:t>、</w:t>
                  </w:r>
                  <w:r>
                    <w:rPr>
                      <w:rFonts w:hint="default" w:ascii="Times New Roman" w:hAnsi="Times New Roman" w:eastAsia="宋体" w:cs="Times New Roman"/>
                      <w:color w:val="000000"/>
                      <w:spacing w:val="6"/>
                      <w:sz w:val="21"/>
                      <w:szCs w:val="21"/>
                      <w:highlight w:val="none"/>
                      <w:lang w:eastAsia="zh-CN"/>
                    </w:rPr>
                    <w:t>巴河</w:t>
                  </w:r>
                  <w:r>
                    <w:rPr>
                      <w:rFonts w:hint="default" w:ascii="Times New Roman" w:hAnsi="Times New Roman" w:eastAsia="宋体" w:cs="Times New Roman"/>
                      <w:color w:val="000000"/>
                      <w:spacing w:val="6"/>
                      <w:sz w:val="21"/>
                      <w:szCs w:val="21"/>
                      <w:highlight w:val="none"/>
                    </w:rPr>
                    <w:t>三条生态廊道；光雾山、诺水河、五台山、驷马河湿地四个生物多样性保护区</w:t>
                  </w:r>
                  <w:r>
                    <w:rPr>
                      <w:rFonts w:hint="default" w:ascii="Times New Roman" w:hAnsi="Times New Roman" w:eastAsia="宋体" w:cs="Times New Roman"/>
                      <w:color w:val="000000"/>
                      <w:spacing w:val="6"/>
                      <w:sz w:val="21"/>
                      <w:szCs w:val="21"/>
                      <w:highlight w:val="none"/>
                      <w:lang w:eastAsia="zh-CN"/>
                    </w:rPr>
                    <w:t>）</w:t>
                  </w:r>
                  <w:r>
                    <w:rPr>
                      <w:rFonts w:hint="default" w:ascii="Times New Roman" w:hAnsi="Times New Roman" w:eastAsia="宋体" w:cs="Times New Roman"/>
                      <w:color w:val="000000"/>
                      <w:spacing w:val="6"/>
                      <w:sz w:val="21"/>
                      <w:szCs w:val="21"/>
                      <w:highlight w:val="none"/>
                    </w:rPr>
                    <w:t>和生态红线保护区、农田保护集中区、城镇发展区、生态控制区、农业发展区的“五区”发展空间。有效解决空间规划重叠、管控标准冲突、监管职责交叉等问题。</w:t>
                  </w:r>
                </w:p>
              </w:tc>
              <w:tc>
                <w:tcPr>
                  <w:tcW w:w="2680" w:type="dxa"/>
                  <w:noWrap w:val="0"/>
                  <w:vAlign w:val="center"/>
                </w:tcPr>
                <w:p w14:paraId="3917DFF9">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spacing w:val="16"/>
                      <w:sz w:val="21"/>
                      <w:szCs w:val="21"/>
                      <w:highlight w:val="none"/>
                    </w:rPr>
                    <w:t>位于</w:t>
                  </w:r>
                  <w:r>
                    <w:rPr>
                      <w:rFonts w:hint="default" w:ascii="Times New Roman" w:hAnsi="Times New Roman" w:eastAsia="宋体" w:cs="Times New Roman"/>
                      <w:color w:val="000000"/>
                      <w:spacing w:val="19"/>
                      <w:sz w:val="21"/>
                      <w:szCs w:val="21"/>
                      <w:highlight w:val="none"/>
                      <w:lang w:val="en-US" w:eastAsia="zh-CN"/>
                    </w:rPr>
                    <w:t>四川巴中经济开发区星光工业园</w:t>
                  </w:r>
                  <w:r>
                    <w:rPr>
                      <w:rFonts w:hint="default" w:ascii="Times New Roman" w:hAnsi="Times New Roman" w:eastAsia="宋体" w:cs="Times New Roman"/>
                      <w:color w:val="000000"/>
                      <w:spacing w:val="16"/>
                      <w:sz w:val="21"/>
                      <w:szCs w:val="21"/>
                      <w:highlight w:val="none"/>
                    </w:rPr>
                    <w:t>，与《</w:t>
                  </w:r>
                  <w:r>
                    <w:rPr>
                      <w:rFonts w:hint="default" w:ascii="Times New Roman" w:hAnsi="Times New Roman" w:eastAsia="宋体" w:cs="Times New Roman"/>
                      <w:color w:val="000000"/>
                      <w:spacing w:val="16"/>
                      <w:sz w:val="21"/>
                      <w:szCs w:val="21"/>
                      <w:highlight w:val="none"/>
                      <w:lang w:val="en-US" w:eastAsia="zh-CN"/>
                    </w:rPr>
                    <w:t>平昌经济开发区星光工业园区总体规划修编（2017-2030）</w:t>
                  </w:r>
                  <w:r>
                    <w:rPr>
                      <w:rFonts w:hint="default" w:ascii="Times New Roman" w:hAnsi="Times New Roman" w:eastAsia="宋体" w:cs="Times New Roman"/>
                      <w:color w:val="000000"/>
                      <w:spacing w:val="16"/>
                      <w:sz w:val="21"/>
                      <w:szCs w:val="21"/>
                      <w:highlight w:val="none"/>
                    </w:rPr>
                    <w:t>》</w:t>
                  </w:r>
                  <w:r>
                    <w:rPr>
                      <w:rFonts w:hint="default" w:ascii="Times New Roman" w:hAnsi="Times New Roman" w:eastAsia="宋体" w:cs="Times New Roman"/>
                      <w:color w:val="000000"/>
                      <w:spacing w:val="16"/>
                      <w:sz w:val="21"/>
                      <w:szCs w:val="21"/>
                      <w:highlight w:val="none"/>
                      <w:lang w:eastAsia="zh-CN"/>
                    </w:rPr>
                    <w:t>以及规划环评</w:t>
                  </w:r>
                  <w:r>
                    <w:rPr>
                      <w:rFonts w:hint="default" w:ascii="Times New Roman" w:hAnsi="Times New Roman" w:eastAsia="宋体" w:cs="Times New Roman"/>
                      <w:color w:val="000000"/>
                      <w:spacing w:val="16"/>
                      <w:sz w:val="21"/>
                      <w:szCs w:val="21"/>
                      <w:highlight w:val="none"/>
                    </w:rPr>
                    <w:t>、巴中市</w:t>
                  </w:r>
                  <w:r>
                    <w:rPr>
                      <w:rFonts w:hint="default" w:ascii="Times New Roman" w:hAnsi="Times New Roman" w:eastAsia="宋体" w:cs="Times New Roman"/>
                      <w:color w:val="000000"/>
                      <w:spacing w:val="16"/>
                      <w:sz w:val="21"/>
                      <w:szCs w:val="21"/>
                      <w:highlight w:val="none"/>
                      <w:lang w:eastAsia="zh-CN"/>
                    </w:rPr>
                    <w:t>生态环境分区管控要求</w:t>
                  </w:r>
                  <w:r>
                    <w:rPr>
                      <w:rFonts w:hint="default" w:ascii="Times New Roman" w:hAnsi="Times New Roman" w:eastAsia="宋体" w:cs="Times New Roman"/>
                      <w:color w:val="000000"/>
                      <w:spacing w:val="16"/>
                      <w:sz w:val="21"/>
                      <w:szCs w:val="21"/>
                      <w:highlight w:val="none"/>
                    </w:rPr>
                    <w:t>相符，用地性质规划为工业用地，符合空间管控体系要求</w:t>
                  </w:r>
                  <w:r>
                    <w:rPr>
                      <w:rFonts w:hint="default" w:ascii="Times New Roman" w:hAnsi="Times New Roman" w:eastAsia="宋体" w:cs="Times New Roman"/>
                      <w:color w:val="000000"/>
                      <w:spacing w:val="16"/>
                      <w:sz w:val="21"/>
                      <w:szCs w:val="21"/>
                      <w:highlight w:val="none"/>
                      <w:lang w:eastAsia="zh-CN"/>
                    </w:rPr>
                    <w:t>。</w:t>
                  </w:r>
                </w:p>
              </w:tc>
              <w:tc>
                <w:tcPr>
                  <w:tcW w:w="815" w:type="dxa"/>
                  <w:noWrap w:val="0"/>
                  <w:vAlign w:val="center"/>
                </w:tcPr>
                <w:p w14:paraId="57DCB6C5">
                  <w:pPr>
                    <w:spacing w:line="240" w:lineRule="auto"/>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highlight w:val="none"/>
                      <w:lang w:val="en-US" w:eastAsia="zh-CN" w:bidi="ar-SA"/>
                    </w:rPr>
                    <w:t>符合</w:t>
                  </w:r>
                </w:p>
              </w:tc>
            </w:tr>
            <w:tr w14:paraId="00F1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11" w:type="dxa"/>
                  <w:vMerge w:val="continue"/>
                  <w:noWrap w:val="0"/>
                  <w:vAlign w:val="center"/>
                </w:tcPr>
                <w:p w14:paraId="248F096E">
                  <w:pPr>
                    <w:spacing w:line="240" w:lineRule="auto"/>
                    <w:jc w:val="both"/>
                    <w:rPr>
                      <w:rFonts w:hint="default" w:ascii="Times New Roman" w:hAnsi="Times New Roman" w:eastAsia="宋体" w:cs="Times New Roman"/>
                      <w:color w:val="000000"/>
                      <w:sz w:val="21"/>
                      <w:szCs w:val="21"/>
                      <w:highlight w:val="none"/>
                      <w:lang w:val="en-US" w:eastAsia="zh-CN"/>
                    </w:rPr>
                  </w:pPr>
                </w:p>
              </w:tc>
              <w:tc>
                <w:tcPr>
                  <w:tcW w:w="3677" w:type="dxa"/>
                  <w:noWrap w:val="0"/>
                  <w:vAlign w:val="center"/>
                </w:tcPr>
                <w:p w14:paraId="79AC60E3">
                  <w:pPr>
                    <w:spacing w:before="65" w:line="240" w:lineRule="auto"/>
                    <w:jc w:val="both"/>
                    <w:rPr>
                      <w:rFonts w:hint="default" w:ascii="Times New Roman" w:hAnsi="Times New Roman" w:eastAsia="宋体" w:cs="Times New Roman"/>
                      <w:color w:val="000000"/>
                      <w:spacing w:val="7"/>
                      <w:sz w:val="21"/>
                      <w:szCs w:val="21"/>
                      <w:highlight w:val="none"/>
                    </w:rPr>
                  </w:pPr>
                  <w:r>
                    <w:rPr>
                      <w:rFonts w:hint="default" w:ascii="Times New Roman" w:hAnsi="Times New Roman" w:eastAsia="宋体" w:cs="Times New Roman"/>
                      <w:color w:val="000000"/>
                      <w:spacing w:val="7"/>
                      <w:sz w:val="21"/>
                      <w:szCs w:val="21"/>
                      <w:highlight w:val="none"/>
                    </w:rPr>
                    <w:t>第五章第一节深化工业污染治理</w:t>
                  </w:r>
                </w:p>
                <w:p w14:paraId="1777E744">
                  <w:pPr>
                    <w:spacing w:before="65" w:line="240" w:lineRule="auto"/>
                    <w:jc w:val="both"/>
                    <w:rPr>
                      <w:rFonts w:hint="default" w:ascii="Times New Roman" w:hAnsi="Times New Roman" w:eastAsia="宋体" w:cs="Times New Roman"/>
                      <w:color w:val="000000"/>
                      <w:spacing w:val="7"/>
                      <w:sz w:val="21"/>
                      <w:szCs w:val="21"/>
                      <w:highlight w:val="none"/>
                      <w:lang w:val="en-US" w:eastAsia="zh-CN"/>
                    </w:rPr>
                  </w:pPr>
                  <w:r>
                    <w:rPr>
                      <w:rFonts w:hint="default" w:ascii="Times New Roman" w:hAnsi="Times New Roman" w:eastAsia="宋体" w:cs="Times New Roman"/>
                      <w:color w:val="000000"/>
                      <w:spacing w:val="7"/>
                      <w:sz w:val="21"/>
                      <w:szCs w:val="21"/>
                      <w:highlight w:val="none"/>
                    </w:rPr>
                    <w:t>强化重点污染源治理。严格控制挥发性有机物（VOCs）排放。实施VOCs排放总量控制制度，制定VOCs专项整治方案；加强油气储运过程中油气回收治理检查力度，确保油气回收装置正常稳定运行；推广使用低（无）VOCs含量涂料、油墨和胶黏剂等；推行重点监管企业“一企一策”，建立管理台账；加强对辖区内小、微VOCs排放企业监管，探索实行第三方监督帮扶服务。</w:t>
                  </w:r>
                </w:p>
              </w:tc>
              <w:tc>
                <w:tcPr>
                  <w:tcW w:w="2680" w:type="dxa"/>
                  <w:noWrap w:val="0"/>
                  <w:vAlign w:val="center"/>
                </w:tcPr>
                <w:p w14:paraId="230E8595">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color w:val="000000"/>
                      <w:spacing w:val="19"/>
                      <w:sz w:val="21"/>
                      <w:szCs w:val="21"/>
                      <w:highlight w:val="none"/>
                      <w:lang w:eastAsia="zh-CN"/>
                    </w:rPr>
                    <w:t>项目为石墨及碳素制品制造（C3091）项目，不涉及</w:t>
                  </w:r>
                  <w:r>
                    <w:rPr>
                      <w:rFonts w:hint="default" w:ascii="Times New Roman" w:hAnsi="Times New Roman" w:eastAsia="宋体" w:cs="Times New Roman"/>
                      <w:color w:val="000000"/>
                      <w:spacing w:val="7"/>
                      <w:sz w:val="21"/>
                      <w:szCs w:val="21"/>
                      <w:highlight w:val="none"/>
                    </w:rPr>
                    <w:t>涂料、油墨和胶黏剂</w:t>
                  </w:r>
                  <w:r>
                    <w:rPr>
                      <w:rFonts w:hint="default" w:ascii="Times New Roman" w:hAnsi="Times New Roman" w:eastAsia="宋体" w:cs="Times New Roman"/>
                      <w:color w:val="000000"/>
                      <w:spacing w:val="7"/>
                      <w:sz w:val="21"/>
                      <w:szCs w:val="21"/>
                      <w:highlight w:val="none"/>
                      <w:lang w:eastAsia="zh-CN"/>
                    </w:rPr>
                    <w:t>等使用，</w:t>
                  </w:r>
                  <w:r>
                    <w:rPr>
                      <w:rFonts w:hint="default" w:ascii="Times New Roman" w:hAnsi="Times New Roman" w:cs="Times New Roman"/>
                      <w:color w:val="000000"/>
                      <w:spacing w:val="19"/>
                      <w:sz w:val="21"/>
                      <w:szCs w:val="21"/>
                      <w:highlight w:val="none"/>
                      <w:lang w:val="en-US" w:eastAsia="zh-CN"/>
                    </w:rPr>
                    <w:t>项目VOCs排放执行总量控制</w:t>
                  </w:r>
                  <w:r>
                    <w:rPr>
                      <w:rFonts w:hint="default" w:ascii="Times New Roman" w:hAnsi="Times New Roman" w:eastAsia="宋体" w:cs="Times New Roman"/>
                      <w:color w:val="000000"/>
                      <w:spacing w:val="0"/>
                      <w:w w:val="100"/>
                      <w:position w:val="0"/>
                      <w:sz w:val="21"/>
                      <w:szCs w:val="21"/>
                      <w:highlight w:val="none"/>
                      <w:lang w:eastAsia="zh-CN"/>
                    </w:rPr>
                    <w:t>。</w:t>
                  </w:r>
                </w:p>
              </w:tc>
              <w:tc>
                <w:tcPr>
                  <w:tcW w:w="815" w:type="dxa"/>
                  <w:noWrap w:val="0"/>
                  <w:vAlign w:val="center"/>
                </w:tcPr>
                <w:p w14:paraId="038F1FCE">
                  <w:pPr>
                    <w:spacing w:line="240" w:lineRule="auto"/>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highlight w:val="none"/>
                      <w:lang w:val="en-US" w:eastAsia="zh-CN" w:bidi="ar-SA"/>
                    </w:rPr>
                    <w:t>符合</w:t>
                  </w:r>
                </w:p>
              </w:tc>
            </w:tr>
            <w:tr w14:paraId="0F7E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111" w:type="dxa"/>
                  <w:vMerge w:val="continue"/>
                  <w:noWrap w:val="0"/>
                  <w:vAlign w:val="center"/>
                </w:tcPr>
                <w:p w14:paraId="25557153">
                  <w:pPr>
                    <w:spacing w:line="240" w:lineRule="auto"/>
                    <w:jc w:val="both"/>
                    <w:rPr>
                      <w:rFonts w:hint="default" w:ascii="Times New Roman" w:hAnsi="Times New Roman" w:eastAsia="宋体" w:cs="Times New Roman"/>
                      <w:color w:val="000000"/>
                      <w:sz w:val="21"/>
                      <w:szCs w:val="21"/>
                      <w:highlight w:val="none"/>
                      <w:lang w:val="en-US" w:eastAsia="zh-CN"/>
                    </w:rPr>
                  </w:pPr>
                </w:p>
              </w:tc>
              <w:tc>
                <w:tcPr>
                  <w:tcW w:w="3677" w:type="dxa"/>
                  <w:noWrap w:val="0"/>
                  <w:vAlign w:val="center"/>
                </w:tcPr>
                <w:p w14:paraId="69F04330">
                  <w:pPr>
                    <w:spacing w:before="65" w:line="240" w:lineRule="auto"/>
                    <w:jc w:val="both"/>
                    <w:rPr>
                      <w:rFonts w:hint="default" w:ascii="Times New Roman" w:hAnsi="Times New Roman" w:eastAsia="宋体" w:cs="Times New Roman"/>
                      <w:color w:val="000000"/>
                      <w:spacing w:val="7"/>
                      <w:sz w:val="21"/>
                      <w:szCs w:val="21"/>
                      <w:highlight w:val="none"/>
                    </w:rPr>
                  </w:pPr>
                  <w:r>
                    <w:rPr>
                      <w:rFonts w:hint="default" w:ascii="Times New Roman" w:hAnsi="Times New Roman" w:eastAsia="宋体" w:cs="Times New Roman"/>
                      <w:color w:val="000000"/>
                      <w:spacing w:val="7"/>
                      <w:sz w:val="21"/>
                      <w:szCs w:val="21"/>
                      <w:highlight w:val="none"/>
                    </w:rPr>
                    <w:t>第六章第二节强化水环境综合治理</w:t>
                  </w:r>
                </w:p>
                <w:p w14:paraId="294CD4AD">
                  <w:pPr>
                    <w:spacing w:before="65" w:line="240" w:lineRule="auto"/>
                    <w:jc w:val="both"/>
                    <w:rPr>
                      <w:rFonts w:hint="default" w:ascii="Times New Roman" w:hAnsi="Times New Roman" w:eastAsia="宋体" w:cs="Times New Roman"/>
                      <w:color w:val="000000"/>
                      <w:spacing w:val="7"/>
                      <w:sz w:val="21"/>
                      <w:szCs w:val="21"/>
                      <w:highlight w:val="none"/>
                      <w:lang w:val="en-US" w:eastAsia="zh-CN"/>
                    </w:rPr>
                  </w:pPr>
                  <w:r>
                    <w:rPr>
                      <w:rFonts w:hint="default" w:ascii="Times New Roman" w:hAnsi="Times New Roman" w:eastAsia="宋体" w:cs="Times New Roman"/>
                      <w:color w:val="000000"/>
                      <w:spacing w:val="7"/>
                      <w:sz w:val="21"/>
                      <w:szCs w:val="21"/>
                      <w:highlight w:val="none"/>
                    </w:rPr>
                    <w:t>加强工业园区基础设施建设，强化工业企业污水处理设施监督管理，严格工业企业废水排放标准，以排污许可为核心，持续开展工业企业污染源监督、检查。</w:t>
                  </w:r>
                </w:p>
              </w:tc>
              <w:tc>
                <w:tcPr>
                  <w:tcW w:w="2680" w:type="dxa"/>
                  <w:noWrap w:val="0"/>
                  <w:vAlign w:val="center"/>
                </w:tcPr>
                <w:p w14:paraId="0A5102FF">
                  <w:pPr>
                    <w:spacing w:line="24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spacing w:val="16"/>
                      <w:sz w:val="21"/>
                      <w:szCs w:val="21"/>
                      <w:highlight w:val="none"/>
                    </w:rPr>
                    <w:t>位于</w:t>
                  </w:r>
                  <w:r>
                    <w:rPr>
                      <w:rFonts w:hint="default" w:ascii="Times New Roman" w:hAnsi="Times New Roman" w:eastAsia="宋体" w:cs="Times New Roman"/>
                      <w:color w:val="000000"/>
                      <w:spacing w:val="19"/>
                      <w:sz w:val="21"/>
                      <w:szCs w:val="21"/>
                      <w:highlight w:val="none"/>
                      <w:lang w:val="en-US" w:eastAsia="zh-CN"/>
                    </w:rPr>
                    <w:t>四川巴中经济开发区星光工业园</w:t>
                  </w:r>
                  <w:r>
                    <w:rPr>
                      <w:rFonts w:hint="default" w:ascii="Times New Roman" w:hAnsi="Times New Roman" w:eastAsia="宋体" w:cs="Times New Roman"/>
                      <w:color w:val="000000"/>
                      <w:spacing w:val="6"/>
                      <w:sz w:val="21"/>
                      <w:szCs w:val="21"/>
                      <w:highlight w:val="none"/>
                    </w:rPr>
                    <w:t>，园区</w:t>
                  </w:r>
                  <w:r>
                    <w:rPr>
                      <w:rFonts w:hint="default" w:ascii="Times New Roman" w:hAnsi="Times New Roman" w:cs="Times New Roman"/>
                      <w:color w:val="000000"/>
                      <w:spacing w:val="6"/>
                      <w:sz w:val="21"/>
                      <w:szCs w:val="21"/>
                      <w:highlight w:val="none"/>
                      <w:lang w:eastAsia="zh-CN"/>
                    </w:rPr>
                    <w:t>内污水管网</w:t>
                  </w:r>
                  <w:r>
                    <w:rPr>
                      <w:rFonts w:hint="default" w:ascii="Times New Roman" w:hAnsi="Times New Roman" w:cs="Times New Roman"/>
                      <w:color w:val="000000"/>
                      <w:spacing w:val="6"/>
                      <w:sz w:val="21"/>
                      <w:szCs w:val="21"/>
                      <w:highlight w:val="none"/>
                      <w:lang w:val="en-US" w:eastAsia="zh-CN"/>
                    </w:rPr>
                    <w:t>已建成，本</w:t>
                  </w:r>
                  <w:r>
                    <w:rPr>
                      <w:rFonts w:hint="default" w:ascii="Times New Roman" w:hAnsi="Times New Roman" w:eastAsia="宋体" w:cs="Times New Roman"/>
                      <w:color w:val="000000"/>
                      <w:spacing w:val="17"/>
                      <w:sz w:val="21"/>
                      <w:szCs w:val="21"/>
                      <w:highlight w:val="none"/>
                    </w:rPr>
                    <w:t>项目冷却塔定期排污水经沉淀池处理后回用脱硫塔补充用水，不外排；脱硫废水经沉淀</w:t>
                  </w:r>
                  <w:r>
                    <w:rPr>
                      <w:rFonts w:hint="eastAsia" w:ascii="Times New Roman" w:hAnsi="Times New Roman" w:eastAsia="宋体" w:cs="Times New Roman"/>
                      <w:color w:val="000000"/>
                      <w:spacing w:val="17"/>
                      <w:sz w:val="21"/>
                      <w:szCs w:val="21"/>
                      <w:highlight w:val="none"/>
                      <w:lang w:val="en-US" w:eastAsia="zh-CN"/>
                    </w:rPr>
                    <w:t>循环水</w:t>
                  </w:r>
                  <w:r>
                    <w:rPr>
                      <w:rFonts w:hint="default" w:ascii="Times New Roman" w:hAnsi="Times New Roman" w:eastAsia="宋体" w:cs="Times New Roman"/>
                      <w:color w:val="000000"/>
                      <w:spacing w:val="17"/>
                      <w:sz w:val="21"/>
                      <w:szCs w:val="21"/>
                      <w:highlight w:val="none"/>
                    </w:rPr>
                    <w:t>池处理后回用脱硫塔补充用水，不外排。生活污水经厂区配套预处理设施处理后排入园区管网，最终进入</w:t>
                  </w:r>
                  <w:r>
                    <w:rPr>
                      <w:rFonts w:hint="default" w:ascii="Times New Roman" w:hAnsi="Times New Roman" w:eastAsia="宋体" w:cs="Times New Roman"/>
                      <w:color w:val="000000"/>
                      <w:spacing w:val="17"/>
                      <w:sz w:val="21"/>
                      <w:szCs w:val="21"/>
                      <w:highlight w:val="none"/>
                      <w:lang w:eastAsia="zh-CN"/>
                    </w:rPr>
                    <w:t>星光工业园区污水处理厂</w:t>
                  </w:r>
                  <w:r>
                    <w:rPr>
                      <w:rFonts w:hint="default" w:ascii="Times New Roman" w:hAnsi="Times New Roman" w:eastAsia="宋体" w:cs="Times New Roman"/>
                      <w:color w:val="000000"/>
                      <w:spacing w:val="17"/>
                      <w:sz w:val="21"/>
                      <w:szCs w:val="21"/>
                      <w:highlight w:val="none"/>
                    </w:rPr>
                    <w:t>处理达标后排入</w:t>
                  </w:r>
                  <w:r>
                    <w:rPr>
                      <w:rFonts w:hint="default" w:ascii="Times New Roman" w:hAnsi="Times New Roman" w:eastAsia="宋体" w:cs="Times New Roman"/>
                      <w:color w:val="000000"/>
                      <w:spacing w:val="17"/>
                      <w:sz w:val="21"/>
                      <w:szCs w:val="21"/>
                      <w:highlight w:val="none"/>
                      <w:lang w:eastAsia="zh-CN"/>
                    </w:rPr>
                    <w:t>巴河</w:t>
                  </w:r>
                  <w:r>
                    <w:rPr>
                      <w:rFonts w:hint="default" w:ascii="Times New Roman" w:hAnsi="Times New Roman" w:eastAsia="宋体" w:cs="Times New Roman"/>
                      <w:color w:val="000000"/>
                      <w:spacing w:val="17"/>
                      <w:sz w:val="21"/>
                      <w:szCs w:val="21"/>
                      <w:highlight w:val="none"/>
                    </w:rPr>
                    <w:t>。</w:t>
                  </w:r>
                </w:p>
              </w:tc>
              <w:tc>
                <w:tcPr>
                  <w:tcW w:w="815" w:type="dxa"/>
                  <w:noWrap w:val="0"/>
                  <w:vAlign w:val="center"/>
                </w:tcPr>
                <w:p w14:paraId="52FA4DE2">
                  <w:pPr>
                    <w:spacing w:line="240" w:lineRule="auto"/>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highlight w:val="none"/>
                      <w:lang w:val="en-US" w:eastAsia="zh-CN" w:bidi="ar-SA"/>
                    </w:rPr>
                    <w:t>符合</w:t>
                  </w:r>
                </w:p>
              </w:tc>
            </w:tr>
            <w:tr w14:paraId="0392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111" w:type="dxa"/>
                  <w:vMerge w:val="restart"/>
                  <w:noWrap w:val="0"/>
                  <w:vAlign w:val="center"/>
                </w:tcPr>
                <w:p w14:paraId="087F4179">
                  <w:pPr>
                    <w:spacing w:line="240" w:lineRule="auto"/>
                    <w:jc w:val="both"/>
                    <w:rPr>
                      <w:rFonts w:hint="default" w:ascii="Times New Roman" w:hAnsi="Times New Roman" w:eastAsia="宋体" w:cs="Times New Roman"/>
                      <w:color w:val="000000"/>
                      <w:spacing w:val="17"/>
                      <w:sz w:val="21"/>
                      <w:szCs w:val="21"/>
                      <w:highlight w:val="none"/>
                      <w:lang w:val="en-US" w:eastAsia="zh-CN"/>
                    </w:rPr>
                  </w:pPr>
                  <w:r>
                    <w:rPr>
                      <w:rFonts w:hint="default" w:ascii="Times New Roman" w:hAnsi="Times New Roman" w:eastAsia="宋体" w:cs="Times New Roman"/>
                      <w:color w:val="000000"/>
                      <w:spacing w:val="17"/>
                      <w:sz w:val="21"/>
                      <w:szCs w:val="21"/>
                      <w:highlight w:val="none"/>
                    </w:rPr>
                    <w:t>《平昌县“十四五”生态环境保护规划》</w:t>
                  </w:r>
                </w:p>
              </w:tc>
              <w:tc>
                <w:tcPr>
                  <w:tcW w:w="3677" w:type="dxa"/>
                  <w:noWrap w:val="0"/>
                  <w:vAlign w:val="top"/>
                </w:tcPr>
                <w:p w14:paraId="506D6B21">
                  <w:pPr>
                    <w:spacing w:before="65" w:line="240" w:lineRule="auto"/>
                    <w:jc w:val="both"/>
                    <w:rPr>
                      <w:rFonts w:hint="default" w:ascii="Times New Roman" w:hAnsi="Times New Roman" w:eastAsia="宋体" w:cs="Times New Roman"/>
                      <w:color w:val="000000"/>
                      <w:spacing w:val="7"/>
                      <w:kern w:val="2"/>
                      <w:sz w:val="21"/>
                      <w:szCs w:val="21"/>
                      <w:highlight w:val="none"/>
                      <w:lang w:val="en-US" w:eastAsia="zh-CN" w:bidi="ar-SA"/>
                    </w:rPr>
                  </w:pPr>
                  <w:r>
                    <w:rPr>
                      <w:rFonts w:hint="default" w:ascii="Times New Roman" w:hAnsi="Times New Roman" w:eastAsia="宋体" w:cs="Times New Roman"/>
                      <w:color w:val="000000"/>
                      <w:spacing w:val="7"/>
                      <w:sz w:val="21"/>
                      <w:szCs w:val="21"/>
                      <w:highlight w:val="none"/>
                    </w:rPr>
                    <w:t>强化工业污水综合整治。严格执行工业企业废水排放标准，以排污许可为核心，持续开展工业企业污染源监督检查。强化白酒、食品、农副产品加工行业废水治理。完善经开区及企业雨污分流系统，推动初期雨水收集处理，实施入园白酒企业“一企一管、明管输送、实时监测，推进星光工业园污水处理厂污水管网排查整治。</w:t>
                  </w:r>
                </w:p>
              </w:tc>
              <w:tc>
                <w:tcPr>
                  <w:tcW w:w="2680" w:type="dxa"/>
                  <w:noWrap w:val="0"/>
                  <w:vAlign w:val="top"/>
                </w:tcPr>
                <w:p w14:paraId="0AF7135E">
                  <w:pPr>
                    <w:spacing w:before="65" w:line="240" w:lineRule="auto"/>
                    <w:jc w:val="both"/>
                    <w:rPr>
                      <w:rFonts w:hint="default" w:ascii="Times New Roman" w:hAnsi="Times New Roman" w:eastAsia="宋体" w:cs="Times New Roman"/>
                      <w:color w:val="000000"/>
                      <w:spacing w:val="7"/>
                      <w:kern w:val="2"/>
                      <w:sz w:val="21"/>
                      <w:szCs w:val="21"/>
                      <w:highlight w:val="none"/>
                      <w:lang w:val="en-US" w:eastAsia="zh-CN" w:bidi="ar-SA"/>
                    </w:rPr>
                  </w:pPr>
                  <w:r>
                    <w:rPr>
                      <w:rFonts w:hint="default" w:ascii="Times New Roman" w:hAnsi="Times New Roman" w:eastAsia="宋体" w:cs="Times New Roman"/>
                      <w:color w:val="000000"/>
                      <w:spacing w:val="7"/>
                      <w:sz w:val="21"/>
                      <w:szCs w:val="21"/>
                      <w:highlight w:val="none"/>
                    </w:rPr>
                    <w:t>本项目不属于白酒、食品、农副产品加工行业。</w:t>
                  </w:r>
                  <w:r>
                    <w:rPr>
                      <w:rFonts w:hint="default" w:ascii="Times New Roman" w:hAnsi="Times New Roman" w:eastAsia="宋体" w:cs="Times New Roman"/>
                      <w:color w:val="000000"/>
                      <w:spacing w:val="7"/>
                      <w:sz w:val="21"/>
                      <w:szCs w:val="21"/>
                      <w:highlight w:val="none"/>
                      <w:lang w:val="en-US" w:eastAsia="zh-CN"/>
                    </w:rPr>
                    <w:t>项目</w:t>
                  </w:r>
                  <w:r>
                    <w:rPr>
                      <w:rFonts w:hint="default" w:ascii="Times New Roman" w:hAnsi="Times New Roman" w:cs="Times New Roman"/>
                      <w:color w:val="000000"/>
                      <w:kern w:val="0"/>
                      <w:sz w:val="21"/>
                      <w:szCs w:val="21"/>
                      <w:highlight w:val="none"/>
                      <w:vertAlign w:val="baseline"/>
                      <w:lang w:val="en-US" w:eastAsia="zh-CN"/>
                    </w:rPr>
                    <w:t>冷却塔定期排污水经沉淀池处理后回用脱硫塔补充用水，不外排；脱硫废水经沉淀</w:t>
                  </w:r>
                  <w:r>
                    <w:rPr>
                      <w:rFonts w:hint="eastAsia" w:ascii="Times New Roman" w:hAnsi="Times New Roman" w:cs="Times New Roman"/>
                      <w:color w:val="000000"/>
                      <w:kern w:val="0"/>
                      <w:sz w:val="21"/>
                      <w:szCs w:val="21"/>
                      <w:highlight w:val="none"/>
                      <w:vertAlign w:val="baseline"/>
                      <w:lang w:val="en-US" w:eastAsia="zh-CN"/>
                    </w:rPr>
                    <w:t>循环水池</w:t>
                  </w:r>
                  <w:r>
                    <w:rPr>
                      <w:rFonts w:hint="default" w:ascii="Times New Roman" w:hAnsi="Times New Roman" w:cs="Times New Roman"/>
                      <w:color w:val="000000"/>
                      <w:kern w:val="0"/>
                      <w:sz w:val="21"/>
                      <w:szCs w:val="21"/>
                      <w:highlight w:val="none"/>
                      <w:vertAlign w:val="baseline"/>
                      <w:lang w:val="en-US" w:eastAsia="zh-CN"/>
                    </w:rPr>
                    <w:t>处理后回用脱硫塔补充用水，不外排。生活污水经厂区配套预处理设施处理后排入园区管网，最终进入星光工业园区污水处理厂处理达标后排入巴河。</w:t>
                  </w:r>
                </w:p>
              </w:tc>
              <w:tc>
                <w:tcPr>
                  <w:tcW w:w="815" w:type="dxa"/>
                  <w:noWrap w:val="0"/>
                  <w:vAlign w:val="center"/>
                </w:tcPr>
                <w:p w14:paraId="53D10039">
                  <w:pPr>
                    <w:spacing w:line="240" w:lineRule="auto"/>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符合</w:t>
                  </w:r>
                </w:p>
              </w:tc>
            </w:tr>
            <w:tr w14:paraId="336B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111" w:type="dxa"/>
                  <w:vMerge w:val="continue"/>
                  <w:noWrap w:val="0"/>
                  <w:vAlign w:val="top"/>
                </w:tcPr>
                <w:p w14:paraId="2393EB78">
                  <w:pPr>
                    <w:spacing w:line="240" w:lineRule="auto"/>
                    <w:jc w:val="both"/>
                    <w:rPr>
                      <w:rFonts w:hint="default" w:ascii="Times New Roman" w:hAnsi="Times New Roman" w:eastAsia="宋体" w:cs="Times New Roman"/>
                      <w:color w:val="000000"/>
                      <w:spacing w:val="17"/>
                      <w:sz w:val="21"/>
                      <w:szCs w:val="21"/>
                      <w:highlight w:val="none"/>
                    </w:rPr>
                  </w:pPr>
                </w:p>
              </w:tc>
              <w:tc>
                <w:tcPr>
                  <w:tcW w:w="3677" w:type="dxa"/>
                  <w:noWrap w:val="0"/>
                  <w:vAlign w:val="top"/>
                </w:tcPr>
                <w:p w14:paraId="79535972">
                  <w:pPr>
                    <w:spacing w:before="65" w:line="240" w:lineRule="auto"/>
                    <w:jc w:val="both"/>
                    <w:rPr>
                      <w:rFonts w:hint="default" w:ascii="Times New Roman" w:hAnsi="Times New Roman" w:eastAsia="宋体" w:cs="Times New Roman"/>
                      <w:color w:val="000000"/>
                      <w:spacing w:val="7"/>
                      <w:kern w:val="2"/>
                      <w:sz w:val="21"/>
                      <w:szCs w:val="21"/>
                      <w:highlight w:val="none"/>
                      <w:lang w:val="en-US" w:eastAsia="zh-CN" w:bidi="ar-SA"/>
                    </w:rPr>
                  </w:pPr>
                  <w:r>
                    <w:rPr>
                      <w:rFonts w:hint="default" w:ascii="Times New Roman" w:hAnsi="Times New Roman" w:eastAsia="宋体" w:cs="Times New Roman"/>
                      <w:color w:val="000000"/>
                      <w:spacing w:val="7"/>
                      <w:sz w:val="21"/>
                      <w:szCs w:val="21"/>
                      <w:highlight w:val="none"/>
                    </w:rPr>
                    <w:t>加强建设用地风险管控。开展土壤污染状况调查，全面掌握辖区土壤污染现状，建立土壤污染风险源清单。加强危险废物规范化管理。严格转移审批，严格执行危险废物转移联单制度。切实强化储运过程风险防控，落实储运过程污染防治措施，严控长距离运输，防止二次污染。防范建设用地新增污染。排放重点污染物的建设项目，在开展环境影响评价时，增加土壤环境影响评价专篇(章),提出和实施防范土壤污染具体措施。</w:t>
                  </w:r>
                </w:p>
              </w:tc>
              <w:tc>
                <w:tcPr>
                  <w:tcW w:w="2680" w:type="dxa"/>
                  <w:noWrap w:val="0"/>
                  <w:vAlign w:val="top"/>
                </w:tcPr>
                <w:p w14:paraId="3694BAE1">
                  <w:pPr>
                    <w:spacing w:before="65" w:line="240" w:lineRule="auto"/>
                    <w:jc w:val="both"/>
                    <w:rPr>
                      <w:rFonts w:hint="default" w:ascii="Times New Roman" w:hAnsi="Times New Roman" w:eastAsia="宋体" w:cs="Times New Roman"/>
                      <w:color w:val="000000"/>
                      <w:spacing w:val="7"/>
                      <w:kern w:val="2"/>
                      <w:sz w:val="21"/>
                      <w:szCs w:val="21"/>
                      <w:highlight w:val="none"/>
                      <w:lang w:val="en-US" w:eastAsia="zh-CN" w:bidi="ar-SA"/>
                    </w:rPr>
                  </w:pPr>
                  <w:r>
                    <w:rPr>
                      <w:rFonts w:hint="default" w:ascii="Times New Roman" w:hAnsi="Times New Roman" w:eastAsia="宋体" w:cs="Times New Roman"/>
                      <w:color w:val="000000"/>
                      <w:spacing w:val="7"/>
                      <w:sz w:val="21"/>
                      <w:szCs w:val="21"/>
                      <w:highlight w:val="none"/>
                    </w:rPr>
                    <w:t>本项目危险废物暂存于危废暂存间，按照《危险废物转移管理办法》要求，定期交由资质单位处置，做好台账记录；根据《危险废物贮存污染控制标准 》 (GB·18597-2023)要求，做好“六防”措施；提出了防范土壤污染的具体措施。本项目拟根据要求实行分区防渗措施，分区防渗措施与主体工程同时设计、同时施工，并将同时投产使用。</w:t>
                  </w:r>
                </w:p>
              </w:tc>
              <w:tc>
                <w:tcPr>
                  <w:tcW w:w="815" w:type="dxa"/>
                  <w:noWrap w:val="0"/>
                  <w:vAlign w:val="center"/>
                </w:tcPr>
                <w:p w14:paraId="0DFAA9A8">
                  <w:pPr>
                    <w:spacing w:line="240" w:lineRule="auto"/>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符合</w:t>
                  </w:r>
                </w:p>
              </w:tc>
            </w:tr>
            <w:tr w14:paraId="797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111" w:type="dxa"/>
                  <w:vMerge w:val="continue"/>
                  <w:noWrap w:val="0"/>
                  <w:vAlign w:val="top"/>
                </w:tcPr>
                <w:p w14:paraId="462ADA08">
                  <w:pPr>
                    <w:spacing w:line="240" w:lineRule="auto"/>
                    <w:jc w:val="both"/>
                    <w:rPr>
                      <w:rFonts w:hint="default" w:ascii="Times New Roman" w:hAnsi="Times New Roman" w:eastAsia="宋体" w:cs="Times New Roman"/>
                      <w:color w:val="000000"/>
                      <w:spacing w:val="17"/>
                      <w:sz w:val="21"/>
                      <w:szCs w:val="21"/>
                      <w:highlight w:val="none"/>
                    </w:rPr>
                  </w:pPr>
                </w:p>
              </w:tc>
              <w:tc>
                <w:tcPr>
                  <w:tcW w:w="3677" w:type="dxa"/>
                  <w:noWrap w:val="0"/>
                  <w:vAlign w:val="top"/>
                </w:tcPr>
                <w:p w14:paraId="0A4BF4D2">
                  <w:pPr>
                    <w:spacing w:before="65" w:line="240" w:lineRule="auto"/>
                    <w:jc w:val="both"/>
                    <w:rPr>
                      <w:rFonts w:hint="default" w:ascii="Times New Roman" w:hAnsi="Times New Roman" w:eastAsia="宋体" w:cs="Times New Roman"/>
                      <w:color w:val="000000"/>
                      <w:spacing w:val="7"/>
                      <w:sz w:val="21"/>
                      <w:szCs w:val="21"/>
                      <w:highlight w:val="none"/>
                    </w:rPr>
                  </w:pPr>
                  <w:r>
                    <w:rPr>
                      <w:rFonts w:hint="default" w:ascii="Times New Roman" w:hAnsi="Times New Roman" w:eastAsia="宋体" w:cs="Times New Roman"/>
                      <w:color w:val="000000"/>
                      <w:spacing w:val="7"/>
                      <w:sz w:val="21"/>
                      <w:szCs w:val="21"/>
                      <w:highlight w:val="none"/>
                    </w:rPr>
                    <w:t>确保危险废物安全处理处置。强化危险废物日常监管，落实危险废物申报登记和管理计划备案制度，建立危险废物管理台账，完善危险废物产生单位内部管理制度。对危险废物的产生、收集、贮存、包装、运输及处理处置实施全过程、全方位跟踪管理，确保到2025年危险废物利用处置率保持在100%。</w:t>
                  </w:r>
                </w:p>
              </w:tc>
              <w:tc>
                <w:tcPr>
                  <w:tcW w:w="2680" w:type="dxa"/>
                  <w:noWrap w:val="0"/>
                  <w:vAlign w:val="top"/>
                </w:tcPr>
                <w:p w14:paraId="7A986DED">
                  <w:pPr>
                    <w:spacing w:before="65" w:line="240" w:lineRule="auto"/>
                    <w:jc w:val="both"/>
                    <w:rPr>
                      <w:rFonts w:hint="default" w:ascii="Times New Roman" w:hAnsi="Times New Roman" w:eastAsia="宋体" w:cs="Times New Roman"/>
                      <w:color w:val="000000"/>
                      <w:spacing w:val="7"/>
                      <w:sz w:val="21"/>
                      <w:szCs w:val="21"/>
                      <w:highlight w:val="none"/>
                    </w:rPr>
                  </w:pPr>
                  <w:r>
                    <w:rPr>
                      <w:rFonts w:hint="default" w:ascii="Times New Roman" w:hAnsi="Times New Roman" w:eastAsia="宋体" w:cs="Times New Roman"/>
                      <w:color w:val="000000"/>
                      <w:spacing w:val="7"/>
                      <w:sz w:val="21"/>
                      <w:szCs w:val="21"/>
                      <w:highlight w:val="none"/>
                    </w:rPr>
                    <w:t>本项目设置</w:t>
                  </w:r>
                  <w:r>
                    <w:rPr>
                      <w:rFonts w:hint="default" w:ascii="Times New Roman" w:hAnsi="Times New Roman" w:eastAsia="宋体" w:cs="Times New Roman"/>
                      <w:color w:val="000000"/>
                      <w:spacing w:val="7"/>
                      <w:sz w:val="21"/>
                      <w:szCs w:val="21"/>
                      <w:highlight w:val="none"/>
                      <w:lang w:eastAsia="zh-CN"/>
                    </w:rPr>
                    <w:t>了</w:t>
                  </w:r>
                  <w:r>
                    <w:rPr>
                      <w:rFonts w:hint="default" w:ascii="Times New Roman" w:hAnsi="Times New Roman" w:eastAsia="宋体" w:cs="Times New Roman"/>
                      <w:color w:val="000000"/>
                      <w:spacing w:val="7"/>
                      <w:sz w:val="21"/>
                      <w:szCs w:val="21"/>
                      <w:highlight w:val="none"/>
                    </w:rPr>
                    <w:t>危废暂存间，项目产生的危废统一收集后暂存于危废暂存间。与具有相应危废处置资质的单位签订危废协议，严格按照相应管理办法落实危废暂存、转运、处置的要求。</w:t>
                  </w:r>
                </w:p>
              </w:tc>
              <w:tc>
                <w:tcPr>
                  <w:tcW w:w="815" w:type="dxa"/>
                  <w:noWrap w:val="0"/>
                  <w:vAlign w:val="center"/>
                </w:tcPr>
                <w:p w14:paraId="08294F58">
                  <w:pPr>
                    <w:spacing w:line="240" w:lineRule="auto"/>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符合</w:t>
                  </w:r>
                </w:p>
              </w:tc>
            </w:tr>
          </w:tbl>
          <w:p w14:paraId="2FFE9154">
            <w:pPr>
              <w:keepNext w:val="0"/>
              <w:keepLines w:val="0"/>
              <w:pageBreakBefore w:val="0"/>
              <w:widowControl w:val="0"/>
              <w:kinsoku/>
              <w:wordWrap/>
              <w:overflowPunct/>
              <w:topLinePunct w:val="0"/>
              <w:autoSpaceDE/>
              <w:autoSpaceDN/>
              <w:bidi w:val="0"/>
              <w:adjustRightInd/>
              <w:snapToGrid/>
              <w:spacing w:before="157" w:beforeLines="50" w:line="360" w:lineRule="auto"/>
              <w:ind w:right="0" w:firstLine="482" w:firstLineChars="200"/>
              <w:jc w:val="both"/>
              <w:textAlignment w:val="auto"/>
              <w:rPr>
                <w:rFonts w:hint="eastAsia"/>
                <w:b/>
                <w:bCs/>
                <w:color w:val="000000"/>
                <w:sz w:val="24"/>
                <w:szCs w:val="24"/>
                <w:lang w:val="en-US" w:eastAsia="zh-CN"/>
              </w:rPr>
            </w:pPr>
            <w:r>
              <w:rPr>
                <w:rFonts w:hint="eastAsia"/>
                <w:b/>
                <w:bCs/>
                <w:color w:val="000000"/>
                <w:sz w:val="24"/>
                <w:szCs w:val="24"/>
                <w:lang w:val="en-US" w:eastAsia="zh-CN"/>
              </w:rPr>
              <w:t>7、与现行污染防治政策及规划的符合性分析</w:t>
            </w:r>
          </w:p>
          <w:p w14:paraId="3E885E93">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eastAsia" w:ascii="Times New Roman" w:hAnsi="Times New Roman" w:eastAsia="宋体" w:cs="Times New Roman"/>
                <w:b/>
                <w:bCs/>
                <w:color w:val="000000"/>
                <w:kern w:val="0"/>
                <w:sz w:val="24"/>
                <w:lang w:val="en-US" w:eastAsia="zh-CN"/>
              </w:rPr>
            </w:pPr>
            <w:r>
              <w:rPr>
                <w:rFonts w:hint="eastAsia" w:ascii="Times New Roman" w:hAnsi="Times New Roman" w:eastAsia="宋体" w:cs="Times New Roman"/>
                <w:b/>
                <w:bCs/>
                <w:color w:val="000000"/>
                <w:kern w:val="0"/>
                <w:sz w:val="24"/>
                <w:lang w:val="en-US" w:eastAsia="zh-CN"/>
              </w:rPr>
              <w:t xml:space="preserve">  项目与污染防治政策及规划的符合性分析</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1544"/>
              <w:gridCol w:w="2495"/>
              <w:gridCol w:w="1884"/>
              <w:gridCol w:w="916"/>
            </w:tblGrid>
            <w:tr w14:paraId="69B4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noWrap w:val="0"/>
                  <w:vAlign w:val="center"/>
                </w:tcPr>
                <w:p w14:paraId="5AFF34F6">
                  <w:pPr>
                    <w:jc w:val="center"/>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名称</w:t>
                  </w:r>
                </w:p>
              </w:tc>
              <w:tc>
                <w:tcPr>
                  <w:tcW w:w="4039" w:type="dxa"/>
                  <w:gridSpan w:val="2"/>
                  <w:noWrap w:val="0"/>
                  <w:vAlign w:val="center"/>
                </w:tcPr>
                <w:p w14:paraId="431885BC">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文件相关要求</w:t>
                  </w:r>
                </w:p>
              </w:tc>
              <w:tc>
                <w:tcPr>
                  <w:tcW w:w="1884" w:type="dxa"/>
                  <w:noWrap w:val="0"/>
                  <w:vAlign w:val="center"/>
                </w:tcPr>
                <w:p w14:paraId="23CF2663">
                  <w:pPr>
                    <w:jc w:val="center"/>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本项目情况</w:t>
                  </w:r>
                </w:p>
              </w:tc>
              <w:tc>
                <w:tcPr>
                  <w:tcW w:w="916" w:type="dxa"/>
                  <w:noWrap w:val="0"/>
                  <w:vAlign w:val="center"/>
                </w:tcPr>
                <w:p w14:paraId="0582CCAB">
                  <w:pPr>
                    <w:jc w:val="center"/>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符合性分析</w:t>
                  </w:r>
                </w:p>
              </w:tc>
            </w:tr>
            <w:tr w14:paraId="082F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2" w:type="dxa"/>
                  <w:gridSpan w:val="5"/>
                  <w:noWrap w:val="0"/>
                  <w:vAlign w:val="center"/>
                </w:tcPr>
                <w:p w14:paraId="676B9F04">
                  <w:pPr>
                    <w:jc w:val="left"/>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一、大气污染防治相关政策</w:t>
                  </w:r>
                </w:p>
              </w:tc>
            </w:tr>
            <w:tr w14:paraId="0726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noWrap w:val="0"/>
                  <w:vAlign w:val="center"/>
                </w:tcPr>
                <w:p w14:paraId="7DEAA02F">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《国务院关于印发&lt; 空 气 质量持续改善行动计</w:t>
                  </w:r>
                </w:p>
                <w:p w14:paraId="625747E5">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划 &gt; 的 通</w:t>
                  </w:r>
                </w:p>
                <w:p w14:paraId="593EC370">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知》（国发〔2023〕</w:t>
                  </w:r>
                </w:p>
                <w:p w14:paraId="383B612C">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24 号）</w:t>
                  </w:r>
                </w:p>
              </w:tc>
              <w:tc>
                <w:tcPr>
                  <w:tcW w:w="4039" w:type="dxa"/>
                  <w:gridSpan w:val="2"/>
                  <w:noWrap w:val="0"/>
                  <w:vAlign w:val="center"/>
                </w:tcPr>
                <w:p w14:paraId="34334ADC">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二）重点区域</w:t>
                  </w:r>
                </w:p>
                <w:p w14:paraId="0EF409F8">
                  <w:pPr>
                    <w:jc w:val="both"/>
                    <w:rPr>
                      <w:rFonts w:hint="default" w:ascii="Times New Roman" w:hAnsi="Times New Roman" w:cs="Times New Roman"/>
                      <w:b w:val="0"/>
                      <w:bCs w:val="0"/>
                      <w:color w:val="000000"/>
                      <w:kern w:val="2"/>
                      <w:sz w:val="21"/>
                      <w:szCs w:val="21"/>
                      <w:vertAlign w:val="baseline"/>
                      <w:lang w:val="en-US" w:eastAsia="zh-CN" w:bidi="ar-SA"/>
                    </w:rPr>
                  </w:pPr>
                  <w:r>
                    <w:rPr>
                      <w:rFonts w:hint="default" w:ascii="Times New Roman" w:hAnsi="Times New Roman" w:cs="Times New Roman"/>
                      <w:b w:val="0"/>
                      <w:bCs w:val="0"/>
                      <w:color w:val="000000"/>
                      <w:sz w:val="21"/>
                      <w:szCs w:val="21"/>
                      <w:vertAlign w:val="baseline"/>
                    </w:rPr>
                    <w:t>京津冀及周边地区、长三角地区、汾渭平原</w:t>
                  </w:r>
                </w:p>
              </w:tc>
              <w:tc>
                <w:tcPr>
                  <w:tcW w:w="1884" w:type="dxa"/>
                  <w:noWrap w:val="0"/>
                  <w:vAlign w:val="center"/>
                </w:tcPr>
                <w:p w14:paraId="0D7F78B5">
                  <w:pPr>
                    <w:jc w:val="both"/>
                    <w:rPr>
                      <w:rFonts w:hint="default" w:ascii="Times New Roman" w:hAnsi="Times New Roman" w:eastAsia="宋体" w:cs="Times New Roman"/>
                      <w:b w:val="0"/>
                      <w:bCs w:val="0"/>
                      <w:color w:val="000000"/>
                      <w:kern w:val="2"/>
                      <w:sz w:val="21"/>
                      <w:szCs w:val="21"/>
                      <w:vertAlign w:val="baseline"/>
                      <w:lang w:val="en-US" w:eastAsia="zh-CN" w:bidi="ar-SA"/>
                    </w:rPr>
                  </w:pPr>
                  <w:r>
                    <w:rPr>
                      <w:rFonts w:hint="eastAsia" w:ascii="Times New Roman" w:hAnsi="Times New Roman" w:eastAsia="宋体" w:cs="Times New Roman"/>
                      <w:b w:val="0"/>
                      <w:bCs w:val="0"/>
                      <w:color w:val="000000"/>
                      <w:sz w:val="21"/>
                      <w:szCs w:val="21"/>
                      <w:vertAlign w:val="baseline"/>
                      <w:lang w:val="en-US" w:eastAsia="zh-CN"/>
                    </w:rPr>
                    <w:t>本项目位于巴中市平昌经济开发区，不属于重点区域</w:t>
                  </w:r>
                </w:p>
              </w:tc>
              <w:tc>
                <w:tcPr>
                  <w:tcW w:w="916" w:type="dxa"/>
                  <w:noWrap w:val="0"/>
                  <w:vAlign w:val="center"/>
                </w:tcPr>
                <w:p w14:paraId="014D0515">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3DE9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30FFEEA3">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1196C1F5">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坚决遏制高耗能、高排放、低水平项目盲</w:t>
                  </w:r>
                </w:p>
                <w:p w14:paraId="61A03038">
                  <w:pPr>
                    <w:jc w:val="both"/>
                    <w:rPr>
                      <w:rFonts w:hint="default" w:ascii="Times New Roman" w:hAnsi="Times New Roman" w:cs="Times New Roman"/>
                      <w:b w:val="0"/>
                      <w:bCs w:val="0"/>
                      <w:color w:val="000000"/>
                      <w:kern w:val="2"/>
                      <w:sz w:val="21"/>
                      <w:szCs w:val="21"/>
                      <w:vertAlign w:val="baseline"/>
                      <w:lang w:val="en-US" w:eastAsia="zh-CN" w:bidi="ar-SA"/>
                    </w:rPr>
                  </w:pPr>
                  <w:r>
                    <w:rPr>
                      <w:rFonts w:hint="default" w:ascii="Times New Roman" w:hAnsi="Times New Roman" w:cs="Times New Roman"/>
                      <w:b w:val="0"/>
                      <w:bCs w:val="0"/>
                      <w:color w:val="000000"/>
                      <w:sz w:val="21"/>
                      <w:szCs w:val="21"/>
                      <w:vertAlign w:val="baseline"/>
                    </w:rPr>
                    <w:t>目上马。新改扩建项目严格落实国家产业规划、产业政策、生态环境分区管控方案、规划环评、项目环评、节能审查、产能置换、重点污染物总量控制、污染物排放区域削减、碳排放达峰目标等相关要求，原则上采用清洁运输方式...</w:t>
                  </w:r>
                </w:p>
              </w:tc>
              <w:tc>
                <w:tcPr>
                  <w:tcW w:w="1884" w:type="dxa"/>
                  <w:noWrap w:val="0"/>
                  <w:vAlign w:val="center"/>
                </w:tcPr>
                <w:p w14:paraId="4329B24A">
                  <w:pPr>
                    <w:jc w:val="both"/>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vertAlign w:val="baseline"/>
                      <w:lang w:val="en-US" w:eastAsia="zh-CN"/>
                    </w:rPr>
                    <w:t>本项目不属于“高排放、低水平项目”项目，符合国家现行产业政策、符合生态环境分区管控要求、符合园区规划及规划环评要求、主要污染物总量控制指标由地方环保部门调剂解决，符合国家、地方相关碳排放管理管控要求</w:t>
                  </w:r>
                </w:p>
              </w:tc>
              <w:tc>
                <w:tcPr>
                  <w:tcW w:w="916" w:type="dxa"/>
                  <w:noWrap w:val="0"/>
                  <w:vAlign w:val="center"/>
                </w:tcPr>
                <w:p w14:paraId="6E928555">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4CE2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5672C992">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1BDE95C2">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加快退出重点行业落后产能。修订《产业</w:t>
                  </w:r>
                </w:p>
                <w:p w14:paraId="6522E1F6">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结构调整指导目录》，研究将污染物或温室气体排放明显高出行业先进水平、能效和清洁生产水平低的工艺和装备纳入淘汰类和限制类名单。重点区域进一步提高落后产能能耗、环保、质量、安全、技术等要求，逐步退出限制类涉气行业工国家、地方空气质量持续改善行动计划相关要求</w:t>
                  </w:r>
                </w:p>
              </w:tc>
              <w:tc>
                <w:tcPr>
                  <w:tcW w:w="1884" w:type="dxa"/>
                  <w:noWrap w:val="0"/>
                  <w:vAlign w:val="center"/>
                </w:tcPr>
                <w:p w14:paraId="6264B662">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本项目不属于重点行业落后产能，不涉及限制、淘汰类工艺、装备，符合国家现行产业政策</w:t>
                  </w:r>
                </w:p>
              </w:tc>
              <w:tc>
                <w:tcPr>
                  <w:tcW w:w="916" w:type="dxa"/>
                  <w:noWrap w:val="0"/>
                  <w:vAlign w:val="center"/>
                </w:tcPr>
                <w:p w14:paraId="77AB1FCE">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7FB4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5FCA9E9A">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4D039927">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优化含 VOCs 原辅材料和产品结构。严格</w:t>
                  </w:r>
                </w:p>
                <w:p w14:paraId="623D4FAE">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控制生产和使用高VOCs含量涂料、油墨、胶粘剂、清洗剂等建设项目，提高低（无）VOCs 含量产品比重。...在生产、销售、进口、使用等环节严格执行VOCs含量限值标准。</w:t>
                  </w:r>
                </w:p>
              </w:tc>
              <w:tc>
                <w:tcPr>
                  <w:tcW w:w="1884" w:type="dxa"/>
                  <w:noWrap w:val="0"/>
                  <w:vAlign w:val="center"/>
                </w:tcPr>
                <w:p w14:paraId="6E6D360D">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本项目不涉及</w:t>
                  </w:r>
                  <w:r>
                    <w:rPr>
                      <w:rFonts w:hint="default" w:ascii="Times New Roman" w:hAnsi="Times New Roman" w:cs="Times New Roman"/>
                      <w:b w:val="0"/>
                      <w:bCs w:val="0"/>
                      <w:color w:val="000000"/>
                      <w:sz w:val="21"/>
                      <w:szCs w:val="21"/>
                      <w:vertAlign w:val="baseline"/>
                    </w:rPr>
                    <w:t>高VOCs含量涂料、油墨、胶粘剂、清洗剂等</w:t>
                  </w:r>
                  <w:r>
                    <w:rPr>
                      <w:rFonts w:hint="eastAsia" w:ascii="Times New Roman" w:hAnsi="Times New Roman" w:cs="Times New Roman"/>
                      <w:b w:val="0"/>
                      <w:bCs w:val="0"/>
                      <w:color w:val="000000"/>
                      <w:sz w:val="21"/>
                      <w:szCs w:val="21"/>
                      <w:vertAlign w:val="baseline"/>
                      <w:lang w:eastAsia="zh-CN"/>
                    </w:rPr>
                    <w:t>，原辅料均需满足国家、地方及行业相关原辅材料、产品质量要求</w:t>
                  </w:r>
                </w:p>
              </w:tc>
              <w:tc>
                <w:tcPr>
                  <w:tcW w:w="916" w:type="dxa"/>
                  <w:noWrap w:val="0"/>
                  <w:vAlign w:val="center"/>
                </w:tcPr>
                <w:p w14:paraId="2F569814">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06D8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132366A9">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37858111">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推动绿色环保产业健康发展。加大政策支</w:t>
                  </w:r>
                </w:p>
                <w:p w14:paraId="2C91F699">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持力度，在低（无）VOCs 含量原辅材料生产和使用、VOCs 污染治理、超低排放、环境和大气成分监测等领域支持培育一批龙头企业。多措并举治理环保领域低价低质中标乱象，营造公平竞争环境，推动产业健康有序发展</w:t>
                  </w:r>
                </w:p>
              </w:tc>
              <w:tc>
                <w:tcPr>
                  <w:tcW w:w="1884" w:type="dxa"/>
                  <w:noWrap w:val="0"/>
                  <w:vAlign w:val="center"/>
                </w:tcPr>
                <w:p w14:paraId="2568BBE0">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本项目VOCs经隧道窑炉内循环燃烧后经33m排气筒排放。</w:t>
                  </w:r>
                </w:p>
              </w:tc>
              <w:tc>
                <w:tcPr>
                  <w:tcW w:w="916" w:type="dxa"/>
                  <w:noWrap w:val="0"/>
                  <w:vAlign w:val="center"/>
                </w:tcPr>
                <w:p w14:paraId="352E2B65">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51B8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4EFEB174">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04EC578A">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实施工业炉窑清洁能源替代。有序推进以电代煤，积极稳妥推进以气代煤。...新改扩建加热炉、热处理炉、干燥炉、熔化炉原则上采用清洁低碳能源...。</w:t>
                  </w:r>
                </w:p>
              </w:tc>
              <w:tc>
                <w:tcPr>
                  <w:tcW w:w="1884" w:type="dxa"/>
                  <w:noWrap w:val="0"/>
                  <w:vAlign w:val="center"/>
                </w:tcPr>
                <w:p w14:paraId="351911E5">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本项目主要能源结构为电、天然气，不涉及高污染燃料使用；同时，优选工艺路线、生</w:t>
                  </w:r>
                </w:p>
                <w:p w14:paraId="4938CD8E">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产设备等，清洁生产水平需满足国家、地方及行业相关要求</w:t>
                  </w:r>
                </w:p>
              </w:tc>
              <w:tc>
                <w:tcPr>
                  <w:tcW w:w="916" w:type="dxa"/>
                  <w:noWrap w:val="0"/>
                  <w:vAlign w:val="center"/>
                </w:tcPr>
                <w:p w14:paraId="1015B781">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4289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noWrap w:val="0"/>
                  <w:vAlign w:val="center"/>
                </w:tcPr>
                <w:p w14:paraId="17C807AA">
                  <w:pP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《国务院关于印发大气污染防治行动计划的通知》（国发〔2013〕37号）</w:t>
                  </w:r>
                </w:p>
              </w:tc>
              <w:tc>
                <w:tcPr>
                  <w:tcW w:w="4039" w:type="dxa"/>
                  <w:gridSpan w:val="2"/>
                  <w:noWrap w:val="0"/>
                  <w:vAlign w:val="center"/>
                </w:tcPr>
                <w:p w14:paraId="22C90C85">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加强工业企业大气污染综合治理。全面整治燃煤小锅炉。加快推进集中供热、“煤改气”、“煤改电”工程建设，到</w:t>
                  </w:r>
                  <w:r>
                    <w:rPr>
                      <w:rFonts w:hint="default" w:ascii="Times New Roman" w:hAnsi="Times New Roman" w:eastAsia="宋体" w:cs="Times New Roman"/>
                      <w:b w:val="0"/>
                      <w:bCs w:val="0"/>
                      <w:color w:val="000000"/>
                      <w:sz w:val="21"/>
                      <w:szCs w:val="21"/>
                      <w:vertAlign w:val="baseline"/>
                      <w:lang w:val="en-US" w:eastAsia="zh-CN"/>
                    </w:rPr>
                    <w:t>2017</w:t>
                  </w:r>
                  <w:r>
                    <w:rPr>
                      <w:rFonts w:hint="eastAsia" w:ascii="Times New Roman" w:hAnsi="Times New Roman" w:eastAsia="宋体" w:cs="Times New Roman"/>
                      <w:b w:val="0"/>
                      <w:bCs w:val="0"/>
                      <w:color w:val="000000"/>
                      <w:sz w:val="21"/>
                      <w:szCs w:val="21"/>
                      <w:vertAlign w:val="baseline"/>
                      <w:lang w:val="en-US" w:eastAsia="zh-CN"/>
                    </w:rPr>
                    <w:t>年，除必要保留的以外，地级及以上城市建成区基本淘汰每小时</w:t>
                  </w:r>
                  <w:r>
                    <w:rPr>
                      <w:rFonts w:hint="default" w:ascii="Times New Roman" w:hAnsi="Times New Roman" w:eastAsia="宋体" w:cs="Times New Roman"/>
                      <w:b w:val="0"/>
                      <w:bCs w:val="0"/>
                      <w:color w:val="000000"/>
                      <w:sz w:val="21"/>
                      <w:szCs w:val="21"/>
                      <w:vertAlign w:val="baseline"/>
                      <w:lang w:val="en-US" w:eastAsia="zh-CN"/>
                    </w:rPr>
                    <w:t>10</w:t>
                  </w:r>
                  <w:r>
                    <w:rPr>
                      <w:rFonts w:hint="eastAsia" w:ascii="Times New Roman" w:hAnsi="Times New Roman" w:eastAsia="宋体" w:cs="Times New Roman"/>
                      <w:b w:val="0"/>
                      <w:bCs w:val="0"/>
                      <w:color w:val="000000"/>
                      <w:sz w:val="21"/>
                      <w:szCs w:val="21"/>
                      <w:vertAlign w:val="baseline"/>
                      <w:lang w:val="en-US" w:eastAsia="zh-CN"/>
                    </w:rPr>
                    <w:t>蒸吨及以下的燃煤锅炉，禁止新建每小时</w:t>
                  </w:r>
                  <w:r>
                    <w:rPr>
                      <w:rFonts w:hint="default" w:ascii="Times New Roman" w:hAnsi="Times New Roman" w:eastAsia="宋体" w:cs="Times New Roman"/>
                      <w:b w:val="0"/>
                      <w:bCs w:val="0"/>
                      <w:color w:val="000000"/>
                      <w:sz w:val="21"/>
                      <w:szCs w:val="21"/>
                      <w:vertAlign w:val="baseline"/>
                      <w:lang w:val="en-US" w:eastAsia="zh-CN"/>
                    </w:rPr>
                    <w:t>20</w:t>
                  </w:r>
                  <w:r>
                    <w:rPr>
                      <w:rFonts w:hint="eastAsia" w:ascii="Times New Roman" w:hAnsi="Times New Roman" w:eastAsia="宋体" w:cs="Times New Roman"/>
                      <w:b w:val="0"/>
                      <w:bCs w:val="0"/>
                      <w:color w:val="000000"/>
                      <w:sz w:val="21"/>
                      <w:szCs w:val="21"/>
                      <w:vertAlign w:val="baseline"/>
                      <w:lang w:val="en-US" w:eastAsia="zh-CN"/>
                    </w:rPr>
                    <w:t>蒸吨以下的燃煤锅炉；其他地区原则上不再新建每小时</w:t>
                  </w:r>
                  <w:r>
                    <w:rPr>
                      <w:rFonts w:hint="default" w:ascii="Times New Roman" w:hAnsi="Times New Roman" w:eastAsia="宋体" w:cs="Times New Roman"/>
                      <w:b w:val="0"/>
                      <w:bCs w:val="0"/>
                      <w:color w:val="000000"/>
                      <w:sz w:val="21"/>
                      <w:szCs w:val="21"/>
                      <w:vertAlign w:val="baseline"/>
                      <w:lang w:val="en-US" w:eastAsia="zh-CN"/>
                    </w:rPr>
                    <w:t>10</w:t>
                  </w:r>
                  <w:r>
                    <w:rPr>
                      <w:rFonts w:hint="eastAsia" w:ascii="Times New Roman" w:hAnsi="Times New Roman" w:eastAsia="宋体" w:cs="Times New Roman"/>
                      <w:b w:val="0"/>
                      <w:bCs w:val="0"/>
                      <w:color w:val="000000"/>
                      <w:sz w:val="21"/>
                      <w:szCs w:val="21"/>
                      <w:vertAlign w:val="baseline"/>
                      <w:lang w:val="en-US" w:eastAsia="zh-CN"/>
                    </w:rPr>
                    <w:t>蒸吨以下的燃煤锅炉。在供热供气管网不能覆盖的地区，改用电、新能源或洁净煤，推广应用高效节能环保型锅炉。在化工、造纸、印染、制革、制药等产业集聚区，通过集中建设热电联产机组逐步淘汰分散燃煤锅炉。</w:t>
                  </w:r>
                </w:p>
              </w:tc>
              <w:tc>
                <w:tcPr>
                  <w:tcW w:w="1884" w:type="dxa"/>
                  <w:noWrap w:val="0"/>
                  <w:vAlign w:val="center"/>
                </w:tcPr>
                <w:p w14:paraId="5B46C04C">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本项目不涉及燃煤锅炉</w:t>
                  </w:r>
                </w:p>
              </w:tc>
              <w:tc>
                <w:tcPr>
                  <w:tcW w:w="916" w:type="dxa"/>
                  <w:noWrap w:val="0"/>
                  <w:vAlign w:val="center"/>
                </w:tcPr>
                <w:p w14:paraId="0BE624D9">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09EC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1604DCBF">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03C0CCA7">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 xml:space="preserve">推进挥发性有机物污染治理。在石化、有机化工、表面涂装、包装印刷等行业实施挥发性有机物综合整治，在石化行业开展“泄漏检测与修复”技术改造。限时完成加油站、储油库、油罐车的油气回收治理，在原油成品油码头积极开展油气回收治理。完善涂料、胶粘剂等产品挥发性有机物限值标准，推广使用水性涂料，鼓励生产、销售和使用低毒、低挥发性有机溶剂。 </w:t>
                  </w:r>
                </w:p>
              </w:tc>
              <w:tc>
                <w:tcPr>
                  <w:tcW w:w="1884" w:type="dxa"/>
                  <w:noWrap w:val="0"/>
                  <w:vAlign w:val="center"/>
                </w:tcPr>
                <w:p w14:paraId="706561AD">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本项目不属于石化、有机化工、便面涂装、包装印刷行业、不涉及涂料、胶粘剂的使用与生产，不涉及有机溶剂</w:t>
                  </w:r>
                </w:p>
              </w:tc>
              <w:tc>
                <w:tcPr>
                  <w:tcW w:w="916" w:type="dxa"/>
                  <w:noWrap w:val="0"/>
                  <w:vAlign w:val="center"/>
                </w:tcPr>
                <w:p w14:paraId="052F1ACE">
                  <w:pPr>
                    <w:jc w:val="center"/>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0CA4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01DE7F2C">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24A82B0C">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严控“两高”行业新增产能。修订高耗能、高污染和资源性行业准入条件，明确资源能源节约和污染物排放等指标。有条件的地区要制定符合当地功能定位、严于国家要求的产业准入目录。严格控制“两高”行业新增产能，新、改、扩建项目要实行产能等量或减量置换。</w:t>
                  </w:r>
                </w:p>
              </w:tc>
              <w:tc>
                <w:tcPr>
                  <w:tcW w:w="1884" w:type="dxa"/>
                  <w:noWrap w:val="0"/>
                  <w:vAlign w:val="center"/>
                </w:tcPr>
                <w:p w14:paraId="29AFFC52">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本项目不属于“两高”行业</w:t>
                  </w:r>
                </w:p>
              </w:tc>
              <w:tc>
                <w:tcPr>
                  <w:tcW w:w="916" w:type="dxa"/>
                  <w:noWrap w:val="0"/>
                  <w:vAlign w:val="center"/>
                </w:tcPr>
                <w:p w14:paraId="5C617742">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4062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4279E08B">
                  <w:pPr>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3A75BF91">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全面推行清洁生产。对钢铁、水泥、化工、石化、有色金属冶炼等重点行业进行清洁生产审核，针对节能减排关键领域和薄弱环节，采用先进适用的技术、工艺和装备，实施清洁生产技术改造；到2017年，重点行业排污强度比2012年下降30%以上。推进非有机溶剂型涂料和农药等产品创新，减少生产和使用过程中挥发性有机物排放。积极开发缓释肥料新品种，减少化肥施用过程中氨的排</w:t>
                  </w:r>
                </w:p>
              </w:tc>
              <w:tc>
                <w:tcPr>
                  <w:tcW w:w="1884" w:type="dxa"/>
                  <w:noWrap w:val="0"/>
                  <w:vAlign w:val="center"/>
                </w:tcPr>
                <w:p w14:paraId="5615F684">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本项目不属于钢铁、水泥、化工、有色金属行业，本项目清洁生产水平满足国家、地方及行业相关要求。</w:t>
                  </w:r>
                </w:p>
              </w:tc>
              <w:tc>
                <w:tcPr>
                  <w:tcW w:w="916" w:type="dxa"/>
                  <w:noWrap w:val="0"/>
                  <w:vAlign w:val="center"/>
                </w:tcPr>
                <w:p w14:paraId="142BD4EF">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0D95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noWrap w:val="0"/>
                  <w:vAlign w:val="center"/>
                </w:tcPr>
                <w:p w14:paraId="45FB4D7A">
                  <w:pPr>
                    <w:rPr>
                      <w:rFonts w:hint="default" w:ascii="Times New Roman" w:hAnsi="Times New Roman" w:cs="Times New Roman"/>
                      <w:b w:val="0"/>
                      <w:bCs w:val="0"/>
                      <w:color w:val="000000"/>
                      <w:sz w:val="21"/>
                      <w:szCs w:val="21"/>
                      <w:vertAlign w:val="baseline"/>
                    </w:rPr>
                  </w:pPr>
                  <w:r>
                    <w:rPr>
                      <w:rFonts w:hint="default" w:ascii="Times New Roman" w:hAnsi="Times New Roman" w:eastAsia="宋体" w:cs="Times New Roman"/>
                      <w:sz w:val="21"/>
                      <w:szCs w:val="21"/>
                    </w:rPr>
                    <w:t>《四川省深入打好重污染天气消除、臭氧污染防治和柴油货车污染治理攻坚战实施方案》</w:t>
                  </w:r>
                </w:p>
              </w:tc>
              <w:tc>
                <w:tcPr>
                  <w:tcW w:w="4039" w:type="dxa"/>
                  <w:gridSpan w:val="2"/>
                  <w:noWrap w:val="0"/>
                  <w:vAlign w:val="center"/>
                </w:tcPr>
                <w:p w14:paraId="773C164E">
                  <w:pPr>
                    <w:jc w:val="both"/>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坚决遏制高耗能、高排放、低水平项目盲目发展，严格落实国家和四川省产业规划、产业政策、“三线一单”、规划环评，以及产能置换、煤炭消费减量替代、区域污染物削减等要求，坚决叫停不符合要求的高耗能、高排放、低水平项目。钢铁、水泥、平板玻璃等行业新增产能严格执行产能置换政策。依法依规退出重点行业落后产能，促使一批能耗、环保、安全、技术达不到标准和生产不合格产品或淘汰产能依法依规关停退出</w:t>
                  </w:r>
                  <w:r>
                    <w:rPr>
                      <w:rFonts w:hint="eastAsia" w:ascii="Times New Roman" w:hAnsi="Times New Roman" w:eastAsia="宋体" w:cs="Times New Roman"/>
                      <w:b w:val="0"/>
                      <w:bCs w:val="0"/>
                      <w:color w:val="000000"/>
                      <w:sz w:val="21"/>
                      <w:szCs w:val="21"/>
                      <w:vertAlign w:val="baseline"/>
                      <w:lang w:val="en-US" w:eastAsia="zh-CN"/>
                    </w:rPr>
                    <w:t>......</w:t>
                  </w:r>
                </w:p>
              </w:tc>
              <w:tc>
                <w:tcPr>
                  <w:tcW w:w="1884" w:type="dxa"/>
                  <w:noWrap w:val="0"/>
                  <w:vAlign w:val="center"/>
                </w:tcPr>
                <w:p w14:paraId="7B5C6C20">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本项目不属于高耗能、高排放、低水平项目，本项目符合国家产业政策</w:t>
                  </w:r>
                  <w:r>
                    <w:rPr>
                      <w:rFonts w:hint="default" w:ascii="Times New Roman" w:hAnsi="Times New Roman" w:eastAsia="宋体" w:cs="Times New Roman"/>
                      <w:b w:val="0"/>
                      <w:bCs w:val="0"/>
                      <w:color w:val="000000"/>
                      <w:sz w:val="21"/>
                      <w:szCs w:val="21"/>
                      <w:vertAlign w:val="baseline"/>
                      <w:lang w:val="en-US" w:eastAsia="zh-CN"/>
                    </w:rPr>
                    <w:t>“三线一单”、规划环评</w:t>
                  </w:r>
                  <w:r>
                    <w:rPr>
                      <w:rFonts w:hint="eastAsia" w:ascii="Times New Roman" w:hAnsi="Times New Roman" w:eastAsia="宋体" w:cs="Times New Roman"/>
                      <w:b w:val="0"/>
                      <w:bCs w:val="0"/>
                      <w:color w:val="000000"/>
                      <w:sz w:val="21"/>
                      <w:szCs w:val="21"/>
                      <w:vertAlign w:val="baseline"/>
                      <w:lang w:val="en-US" w:eastAsia="zh-CN"/>
                    </w:rPr>
                    <w:t>。不属于</w:t>
                  </w:r>
                  <w:r>
                    <w:rPr>
                      <w:rFonts w:hint="default" w:ascii="Times New Roman" w:hAnsi="Times New Roman" w:eastAsia="宋体" w:cs="Times New Roman"/>
                      <w:b w:val="0"/>
                      <w:bCs w:val="0"/>
                      <w:color w:val="000000"/>
                      <w:sz w:val="21"/>
                      <w:szCs w:val="21"/>
                      <w:vertAlign w:val="baseline"/>
                      <w:lang w:val="en-US" w:eastAsia="zh-CN"/>
                    </w:rPr>
                    <w:t>钢铁、水泥、平板玻璃</w:t>
                  </w:r>
                  <w:r>
                    <w:rPr>
                      <w:rFonts w:hint="eastAsia" w:ascii="Times New Roman" w:hAnsi="Times New Roman" w:eastAsia="宋体" w:cs="Times New Roman"/>
                      <w:b w:val="0"/>
                      <w:bCs w:val="0"/>
                      <w:color w:val="000000"/>
                      <w:sz w:val="21"/>
                      <w:szCs w:val="21"/>
                      <w:vertAlign w:val="baseline"/>
                      <w:lang w:val="en-US" w:eastAsia="zh-CN"/>
                    </w:rPr>
                    <w:t>行业。</w:t>
                  </w:r>
                </w:p>
              </w:tc>
              <w:tc>
                <w:tcPr>
                  <w:tcW w:w="916" w:type="dxa"/>
                  <w:noWrap w:val="0"/>
                  <w:vAlign w:val="center"/>
                </w:tcPr>
                <w:p w14:paraId="2417AF4B">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16F1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3A41AD92">
                  <w:pPr>
                    <w:rPr>
                      <w:rFonts w:hint="default" w:ascii="Times New Roman" w:hAnsi="Times New Roman" w:eastAsia="宋体" w:cs="Times New Roman"/>
                      <w:sz w:val="21"/>
                      <w:szCs w:val="21"/>
                    </w:rPr>
                  </w:pPr>
                </w:p>
              </w:tc>
              <w:tc>
                <w:tcPr>
                  <w:tcW w:w="4039" w:type="dxa"/>
                  <w:gridSpan w:val="2"/>
                  <w:noWrap w:val="0"/>
                  <w:vAlign w:val="center"/>
                </w:tcPr>
                <w:p w14:paraId="7C6D73E3">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大力发展新能源和清洁能源，非化石能源逐步成为能源消费增量主体。严控煤炭消费增长，继续实施煤炭消费总量控制，推动煤炭清洁高效利用。到2025年，全省非化石能源消费比重达到41.5%，实现全省煤炭消费量达峰......稳妥有序引导以气代煤</w:t>
                  </w:r>
                </w:p>
              </w:tc>
              <w:tc>
                <w:tcPr>
                  <w:tcW w:w="1884" w:type="dxa"/>
                  <w:noWrap w:val="0"/>
                  <w:vAlign w:val="center"/>
                </w:tcPr>
                <w:p w14:paraId="26789F84">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本项目主要能源结构为电、天然气，不涉及高污染燃料使用。</w:t>
                  </w:r>
                </w:p>
              </w:tc>
              <w:tc>
                <w:tcPr>
                  <w:tcW w:w="916" w:type="dxa"/>
                  <w:noWrap w:val="0"/>
                  <w:vAlign w:val="center"/>
                </w:tcPr>
                <w:p w14:paraId="5C266511">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41DE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7A10E242">
                  <w:pPr>
                    <w:rPr>
                      <w:rFonts w:hint="default" w:ascii="Times New Roman" w:hAnsi="Times New Roman" w:eastAsia="宋体" w:cs="Times New Roman"/>
                      <w:sz w:val="21"/>
                      <w:szCs w:val="21"/>
                    </w:rPr>
                  </w:pPr>
                </w:p>
              </w:tc>
              <w:tc>
                <w:tcPr>
                  <w:tcW w:w="4039" w:type="dxa"/>
                  <w:gridSpan w:val="2"/>
                  <w:noWrap w:val="0"/>
                  <w:vAlign w:val="center"/>
                </w:tcPr>
                <w:p w14:paraId="29FBE706">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加快推进火电、钢铁、铸造（含烧结、球团、高炉工序）、水泥、焦化行业燃煤锅炉和工业炉窑超低排放改造及深度治理。稳步实施陶瓷、玻璃、铁合金、有色、砖瓦等行业企业深度治理，推进工业炉窑煤改电（气）和低氮燃烧改造。2025年底前，全省现有钢铁行业80%以上产能完成超低排放改造。全面加强钢铁、建材、有色、焦化、铸造重点行业无组织排放治理。</w:t>
                  </w:r>
                </w:p>
              </w:tc>
              <w:tc>
                <w:tcPr>
                  <w:tcW w:w="1884" w:type="dxa"/>
                  <w:noWrap w:val="0"/>
                  <w:vAlign w:val="center"/>
                </w:tcPr>
                <w:p w14:paraId="5CED35BB">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本项目不属于火电、钢铁、铸造（含烧结、球团、高炉工序）、水泥、焦化、建材、有色、铸造行业。本项目各项污染物均能够达标排放</w:t>
                  </w:r>
                </w:p>
              </w:tc>
              <w:tc>
                <w:tcPr>
                  <w:tcW w:w="916" w:type="dxa"/>
                  <w:noWrap w:val="0"/>
                  <w:vAlign w:val="center"/>
                </w:tcPr>
                <w:p w14:paraId="73AC88E7">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74BA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68322B72">
                  <w:pPr>
                    <w:rPr>
                      <w:rFonts w:hint="default" w:ascii="Times New Roman" w:hAnsi="Times New Roman" w:eastAsia="宋体" w:cs="Times New Roman"/>
                      <w:sz w:val="21"/>
                      <w:szCs w:val="21"/>
                    </w:rPr>
                  </w:pPr>
                </w:p>
              </w:tc>
              <w:tc>
                <w:tcPr>
                  <w:tcW w:w="4039" w:type="dxa"/>
                  <w:gridSpan w:val="2"/>
                  <w:noWrap w:val="0"/>
                  <w:vAlign w:val="center"/>
                </w:tcPr>
                <w:p w14:paraId="4612B0CB">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加快实施低VOCs含量原辅材料替代。各地制定溶剂型涂料、油墨、胶粘剂、清洗剂使用企业低VOCs含量原辅材料替代计划。全面推进汽车整车制造底漆、中涂、色漆使用低VOCs含量涂料；在木质家具、汽车零部件、工程机械、钢结构等技术成熟的工艺环节，大力推广使用低VOCs含量涂料，重点地区、中央驻川企业、省属企业加大使用比例......完善VOCs产品标准体系，建立低VOCs含量产品标识制度。</w:t>
                  </w:r>
                </w:p>
              </w:tc>
              <w:tc>
                <w:tcPr>
                  <w:tcW w:w="1884" w:type="dxa"/>
                  <w:noWrap w:val="0"/>
                  <w:vAlign w:val="center"/>
                </w:tcPr>
                <w:p w14:paraId="4754F63E">
                  <w:pPr>
                    <w:jc w:val="both"/>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本项目原辅料不涉及涂料、油墨、粘胶剂、清洗机、底漆、中漆、色漆</w:t>
                  </w:r>
                </w:p>
              </w:tc>
              <w:tc>
                <w:tcPr>
                  <w:tcW w:w="916" w:type="dxa"/>
                  <w:noWrap w:val="0"/>
                  <w:vAlign w:val="center"/>
                </w:tcPr>
                <w:p w14:paraId="62ACC77A">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39F8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166F10A1">
                  <w:pPr>
                    <w:rPr>
                      <w:rFonts w:hint="default" w:ascii="Times New Roman" w:hAnsi="Times New Roman" w:eastAsia="宋体" w:cs="Times New Roman"/>
                      <w:sz w:val="21"/>
                      <w:szCs w:val="21"/>
                    </w:rPr>
                  </w:pPr>
                </w:p>
              </w:tc>
              <w:tc>
                <w:tcPr>
                  <w:tcW w:w="4039" w:type="dxa"/>
                  <w:gridSpan w:val="2"/>
                  <w:noWrap w:val="0"/>
                  <w:vAlign w:val="center"/>
                </w:tcPr>
                <w:p w14:paraId="29060CC4">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各地进一步全面摸排VOCs治理设施情况，建立台账，分析治理技术、处理能力与VOCs废气排放特征、组分等匹配性，对采用单一低温等离子、光氧化、光催化以及非水溶性VOCs废气采用单一喷淋吸收等治理技术且无法稳定达标的，加快推进升级改造，督促企业严把工程质量，确保达标排放。对确需一定整改周期的，最迟在相关设备下次停车（工）大修期间完成整治。</w:t>
                  </w:r>
                </w:p>
              </w:tc>
              <w:tc>
                <w:tcPr>
                  <w:tcW w:w="1884" w:type="dxa"/>
                  <w:noWrap w:val="0"/>
                  <w:vAlign w:val="center"/>
                </w:tcPr>
                <w:p w14:paraId="454FE34F">
                  <w:pPr>
                    <w:jc w:val="both"/>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VOC</w:t>
                  </w:r>
                  <w:r>
                    <w:rPr>
                      <w:rFonts w:hint="eastAsia" w:ascii="Times New Roman" w:hAnsi="Times New Roman" w:eastAsia="宋体" w:cs="Times New Roman"/>
                      <w:b w:val="0"/>
                      <w:bCs w:val="0"/>
                      <w:color w:val="000000"/>
                      <w:sz w:val="21"/>
                      <w:szCs w:val="21"/>
                      <w:vertAlign w:val="subscript"/>
                      <w:lang w:val="en-US" w:eastAsia="zh-CN"/>
                    </w:rPr>
                    <w:t>S</w:t>
                  </w:r>
                  <w:r>
                    <w:rPr>
                      <w:rFonts w:hint="eastAsia" w:ascii="Times New Roman" w:hAnsi="Times New Roman" w:eastAsia="宋体" w:cs="Times New Roman"/>
                      <w:b w:val="0"/>
                      <w:bCs w:val="0"/>
                      <w:color w:val="000000"/>
                      <w:sz w:val="21"/>
                      <w:szCs w:val="21"/>
                      <w:vertAlign w:val="baseline"/>
                      <w:lang w:val="en-US" w:eastAsia="zh-CN"/>
                    </w:rPr>
                    <w:t>产经窑内循环燃烧后达标排放</w:t>
                  </w:r>
                </w:p>
              </w:tc>
              <w:tc>
                <w:tcPr>
                  <w:tcW w:w="916" w:type="dxa"/>
                  <w:noWrap w:val="0"/>
                  <w:vAlign w:val="center"/>
                </w:tcPr>
                <w:p w14:paraId="3438D50E">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符合</w:t>
                  </w:r>
                </w:p>
              </w:tc>
            </w:tr>
            <w:tr w14:paraId="619D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noWrap w:val="0"/>
                  <w:vAlign w:val="center"/>
                </w:tcPr>
                <w:p w14:paraId="4E571D5C">
                  <w:pP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《四川省打赢蓝天保卫战等九个实施方案》（川</w:t>
                  </w:r>
                </w:p>
                <w:p w14:paraId="21600B0A">
                  <w:pPr>
                    <w:rPr>
                      <w:rFonts w:hint="default" w:ascii="Times New Roman" w:hAnsi="Times New Roman" w:cs="Times New Roman"/>
                      <w:b w:val="0"/>
                      <w:bCs w:val="0"/>
                      <w:color w:val="000000"/>
                      <w:kern w:val="2"/>
                      <w:sz w:val="21"/>
                      <w:szCs w:val="21"/>
                      <w:vertAlign w:val="baseline"/>
                      <w:lang w:val="en-US" w:eastAsia="zh-CN" w:bidi="ar-SA"/>
                    </w:rPr>
                  </w:pPr>
                  <w:r>
                    <w:rPr>
                      <w:rFonts w:hint="default" w:ascii="Times New Roman" w:hAnsi="Times New Roman" w:cs="Times New Roman"/>
                      <w:color w:val="000000"/>
                      <w:sz w:val="21"/>
                      <w:szCs w:val="21"/>
                    </w:rPr>
                    <w:t>府发〔2019〕4号）</w:t>
                  </w:r>
                </w:p>
              </w:tc>
              <w:tc>
                <w:tcPr>
                  <w:tcW w:w="4039" w:type="dxa"/>
                  <w:gridSpan w:val="2"/>
                  <w:noWrap w:val="0"/>
                  <w:vAlign w:val="center"/>
                </w:tcPr>
                <w:p w14:paraId="09BCBBEE">
                  <w:pPr>
                    <w:jc w:val="both"/>
                    <w:rPr>
                      <w:rFonts w:hint="default" w:ascii="Times New Roman" w:hAnsi="Times New Roman" w:cs="Times New Roman"/>
                      <w:b w:val="0"/>
                      <w:bCs w:val="0"/>
                      <w:color w:val="000000"/>
                      <w:kern w:val="2"/>
                      <w:sz w:val="21"/>
                      <w:szCs w:val="21"/>
                      <w:vertAlign w:val="baseline"/>
                      <w:lang w:val="en-US" w:eastAsia="zh-CN" w:bidi="ar-SA"/>
                    </w:rPr>
                  </w:pPr>
                  <w:r>
                    <w:rPr>
                      <w:rFonts w:hint="default" w:ascii="Times New Roman" w:hAnsi="Times New Roman" w:cs="Times New Roman"/>
                      <w:b w:val="0"/>
                      <w:bCs w:val="0"/>
                      <w:color w:val="000000"/>
                      <w:sz w:val="21"/>
                      <w:szCs w:val="21"/>
                      <w:vertAlign w:val="baseline"/>
                    </w:rPr>
                    <w:t>严格涉及VOCs排放的建设项目环境准入，加强源头控制。提高涉及VOCs排放行业环保准入门槛，新建涉及VOCs排放的工业企业入驻园区，实行区域内VOCs排放等量或倍量削减替代。环境空气未达标的城市新增VOCs排放的建设项目，实行2倍削减替代，达标城市实行等量替代，攀枝花实行1.5倍</w:t>
                  </w:r>
                  <w:r>
                    <w:rPr>
                      <w:rFonts w:hint="default" w:ascii="Times New Roman" w:hAnsi="Times New Roman" w:cs="Times New Roman"/>
                      <w:b w:val="0"/>
                      <w:bCs w:val="0"/>
                      <w:color w:val="000000"/>
                      <w:sz w:val="21"/>
                      <w:szCs w:val="21"/>
                      <w:vertAlign w:val="baseline"/>
                      <w:lang w:eastAsia="zh-CN"/>
                    </w:rPr>
                    <w:t>削减</w:t>
                  </w:r>
                  <w:r>
                    <w:rPr>
                      <w:rFonts w:hint="default" w:ascii="Times New Roman" w:hAnsi="Times New Roman" w:cs="Times New Roman"/>
                      <w:b w:val="0"/>
                      <w:bCs w:val="0"/>
                      <w:color w:val="000000"/>
                      <w:sz w:val="21"/>
                      <w:szCs w:val="21"/>
                      <w:vertAlign w:val="baseline"/>
                    </w:rPr>
                    <w:t>替代。</w:t>
                  </w:r>
                </w:p>
              </w:tc>
              <w:tc>
                <w:tcPr>
                  <w:tcW w:w="1884" w:type="dxa"/>
                  <w:noWrap w:val="0"/>
                  <w:vAlign w:val="center"/>
                </w:tcPr>
                <w:p w14:paraId="7DBA96CA">
                  <w:pPr>
                    <w:jc w:val="both"/>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cs="Times New Roman"/>
                      <w:b w:val="0"/>
                      <w:bCs w:val="0"/>
                      <w:color w:val="000000"/>
                      <w:sz w:val="21"/>
                      <w:szCs w:val="21"/>
                      <w:vertAlign w:val="baseline"/>
                    </w:rPr>
                    <w:t>本项目为</w:t>
                  </w:r>
                  <w:r>
                    <w:rPr>
                      <w:rFonts w:hint="default" w:ascii="Times New Roman" w:hAnsi="Times New Roman" w:cs="Times New Roman"/>
                      <w:b w:val="0"/>
                      <w:bCs w:val="0"/>
                      <w:color w:val="000000"/>
                      <w:sz w:val="21"/>
                      <w:szCs w:val="21"/>
                      <w:vertAlign w:val="baseline"/>
                      <w:lang w:eastAsia="zh-CN"/>
                    </w:rPr>
                    <w:t>石墨及碳素制品制造（C3091）</w:t>
                  </w:r>
                  <w:r>
                    <w:rPr>
                      <w:rFonts w:hint="default" w:ascii="Times New Roman" w:hAnsi="Times New Roman" w:cs="Times New Roman"/>
                      <w:b w:val="0"/>
                      <w:bCs w:val="0"/>
                      <w:color w:val="000000"/>
                      <w:sz w:val="21"/>
                      <w:szCs w:val="21"/>
                      <w:vertAlign w:val="baseline"/>
                    </w:rPr>
                    <w:t>，</w:t>
                  </w:r>
                  <w:r>
                    <w:rPr>
                      <w:rFonts w:hint="eastAsia" w:ascii="Times New Roman" w:hAnsi="Times New Roman" w:cs="Times New Roman"/>
                      <w:b w:val="0"/>
                      <w:bCs w:val="0"/>
                      <w:color w:val="000000"/>
                      <w:sz w:val="21"/>
                      <w:szCs w:val="21"/>
                      <w:vertAlign w:val="baseline"/>
                      <w:lang w:val="en-US" w:eastAsia="zh-CN"/>
                    </w:rPr>
                    <w:t>项目为技改扩能，不属于新建项目，企业已下发的VOC</w:t>
                  </w:r>
                  <w:r>
                    <w:rPr>
                      <w:rFonts w:hint="eastAsia" w:ascii="Times New Roman" w:hAnsi="Times New Roman" w:cs="Times New Roman"/>
                      <w:b w:val="0"/>
                      <w:bCs w:val="0"/>
                      <w:color w:val="000000"/>
                      <w:sz w:val="21"/>
                      <w:szCs w:val="21"/>
                      <w:vertAlign w:val="subscript"/>
                      <w:lang w:val="en-US" w:eastAsia="zh-CN"/>
                    </w:rPr>
                    <w:t>S</w:t>
                  </w:r>
                  <w:r>
                    <w:rPr>
                      <w:rFonts w:hint="eastAsia" w:ascii="Times New Roman" w:hAnsi="Times New Roman" w:cs="Times New Roman"/>
                      <w:b w:val="0"/>
                      <w:bCs w:val="0"/>
                      <w:color w:val="000000"/>
                      <w:sz w:val="21"/>
                      <w:szCs w:val="21"/>
                      <w:vertAlign w:val="baseline"/>
                      <w:lang w:val="en-US" w:eastAsia="zh-CN"/>
                    </w:rPr>
                    <w:t>总量能够满足本项目需求。</w:t>
                  </w:r>
                </w:p>
              </w:tc>
              <w:tc>
                <w:tcPr>
                  <w:tcW w:w="916" w:type="dxa"/>
                  <w:noWrap w:val="0"/>
                  <w:vAlign w:val="center"/>
                </w:tcPr>
                <w:p w14:paraId="561BB321">
                  <w:pPr>
                    <w:jc w:val="center"/>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cs="Times New Roman"/>
                      <w:b w:val="0"/>
                      <w:bCs w:val="0"/>
                      <w:color w:val="000000"/>
                      <w:sz w:val="21"/>
                      <w:szCs w:val="21"/>
                      <w:vertAlign w:val="baseline"/>
                      <w:lang w:eastAsia="zh-CN"/>
                    </w:rPr>
                    <w:t>符合</w:t>
                  </w:r>
                </w:p>
              </w:tc>
            </w:tr>
            <w:tr w14:paraId="1640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7" w:hRule="atLeast"/>
                <w:jc w:val="center"/>
              </w:trPr>
              <w:tc>
                <w:tcPr>
                  <w:tcW w:w="1403" w:type="dxa"/>
                  <w:noWrap w:val="0"/>
                  <w:vAlign w:val="center"/>
                </w:tcPr>
                <w:p w14:paraId="5235F65B">
                  <w:pP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挥发性有机物（VOCs）污染防治技术政策</w:t>
                  </w:r>
                </w:p>
              </w:tc>
              <w:tc>
                <w:tcPr>
                  <w:tcW w:w="4039" w:type="dxa"/>
                  <w:gridSpan w:val="2"/>
                  <w:noWrap w:val="0"/>
                  <w:vAlign w:val="center"/>
                </w:tcPr>
                <w:p w14:paraId="24A275AB">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对生产装置排放的含VOCs工艺排气宜优先回收利用，不能（或不能完全）回收利用的经处理后达标排放；应急情况下的泄放气可导入燃烧塔（火炬），经过充分燃烧后排放；对于含中等浓度VOCs的废气，可采用吸附技术回收有机溶剂，或采用催化燃烧和热力焚烧技术净化后达标排放。当采用催化燃烧和热力焚烧技术进行净化时，应进行余热回收利用；对于含低浓度VOCs的废气，有回收价值时可采用吸附技术、吸收技术对有机溶剂回收后达标排放；不宜回收时，可采用吸附浓缩燃烧技术、生物技术、吸收技术、等离子体技术或紫外光高级氧化技术等净化后达标排放。</w:t>
                  </w:r>
                </w:p>
              </w:tc>
              <w:tc>
                <w:tcPr>
                  <w:tcW w:w="1884" w:type="dxa"/>
                  <w:noWrap w:val="0"/>
                  <w:vAlign w:val="center"/>
                </w:tcPr>
                <w:p w14:paraId="5268FCBC">
                  <w:pPr>
                    <w:jc w:val="both"/>
                    <w:rPr>
                      <w:rFonts w:hint="default"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val="en-US" w:eastAsia="zh-CN"/>
                    </w:rPr>
                    <w:t>本项目VOCs产生量较小，预</w:t>
                  </w:r>
                  <w:r>
                    <w:rPr>
                      <w:rFonts w:hint="default" w:ascii="Times New Roman" w:hAnsi="Times New Roman" w:cs="Times New Roman"/>
                      <w:b w:val="0"/>
                      <w:bCs w:val="0"/>
                      <w:color w:val="000000"/>
                      <w:sz w:val="21"/>
                      <w:szCs w:val="21"/>
                      <w:vertAlign w:val="baseline"/>
                    </w:rPr>
                    <w:t>碳化废气</w:t>
                  </w:r>
                  <w:r>
                    <w:rPr>
                      <w:rFonts w:hint="eastAsia" w:ascii="Times New Roman" w:hAnsi="Times New Roman" w:cs="Times New Roman"/>
                      <w:b w:val="0"/>
                      <w:bCs w:val="0"/>
                      <w:color w:val="000000"/>
                      <w:sz w:val="21"/>
                      <w:szCs w:val="21"/>
                      <w:vertAlign w:val="baseline"/>
                      <w:lang w:val="en-US" w:eastAsia="zh-CN"/>
                    </w:rPr>
                    <w:t>中VOCs</w:t>
                  </w:r>
                  <w:r>
                    <w:rPr>
                      <w:rFonts w:hint="default" w:ascii="Times New Roman" w:hAnsi="Times New Roman" w:cs="Times New Roman"/>
                      <w:b w:val="0"/>
                      <w:bCs w:val="0"/>
                      <w:color w:val="000000"/>
                      <w:sz w:val="21"/>
                      <w:szCs w:val="21"/>
                      <w:vertAlign w:val="baseline"/>
                    </w:rPr>
                    <w:t>采用窑内内循环燃烧后经隧道窑自带的抽风装置送至“降温塔+脱硫塔（双碱法脱硫）</w:t>
                  </w:r>
                  <w:r>
                    <w:rPr>
                      <w:rFonts w:hint="eastAsia" w:ascii="Times New Roman" w:hAnsi="Times New Roman" w:cs="Times New Roman"/>
                      <w:b w:val="0"/>
                      <w:bCs w:val="0"/>
                      <w:color w:val="000000"/>
                      <w:sz w:val="21"/>
                      <w:szCs w:val="21"/>
                      <w:vertAlign w:val="baseline"/>
                      <w:lang w:val="en-US" w:eastAsia="zh-CN"/>
                    </w:rPr>
                    <w:t>+电捕焦油器</w:t>
                  </w:r>
                  <w:r>
                    <w:rPr>
                      <w:rFonts w:hint="default" w:ascii="Times New Roman" w:hAnsi="Times New Roman" w:cs="Times New Roman"/>
                      <w:b w:val="0"/>
                      <w:bCs w:val="0"/>
                      <w:color w:val="000000"/>
                      <w:sz w:val="21"/>
                      <w:szCs w:val="21"/>
                      <w:vertAlign w:val="baseline"/>
                    </w:rPr>
                    <w:t>”处理后由1根</w:t>
                  </w:r>
                  <w:r>
                    <w:rPr>
                      <w:rFonts w:hint="eastAsia" w:ascii="Times New Roman" w:hAnsi="Times New Roman" w:cs="Times New Roman"/>
                      <w:b w:val="0"/>
                      <w:bCs w:val="0"/>
                      <w:color w:val="000000"/>
                      <w:sz w:val="21"/>
                      <w:szCs w:val="21"/>
                      <w:vertAlign w:val="baseline"/>
                      <w:lang w:val="en-US" w:eastAsia="zh-CN"/>
                    </w:rPr>
                    <w:t>33</w:t>
                  </w:r>
                  <w:r>
                    <w:rPr>
                      <w:rFonts w:hint="default" w:ascii="Times New Roman" w:hAnsi="Times New Roman" w:cs="Times New Roman"/>
                      <w:b w:val="0"/>
                      <w:bCs w:val="0"/>
                      <w:color w:val="000000"/>
                      <w:sz w:val="21"/>
                      <w:szCs w:val="21"/>
                      <w:vertAlign w:val="baseline"/>
                    </w:rPr>
                    <w:t>m高排气筒排放</w:t>
                  </w:r>
                  <w:r>
                    <w:rPr>
                      <w:rFonts w:hint="default" w:ascii="Times New Roman" w:hAnsi="Times New Roman" w:cs="Times New Roman"/>
                      <w:b w:val="0"/>
                      <w:bCs w:val="0"/>
                      <w:color w:val="000000"/>
                      <w:sz w:val="21"/>
                      <w:szCs w:val="21"/>
                      <w:vertAlign w:val="baseline"/>
                      <w:lang w:eastAsia="zh-CN"/>
                    </w:rPr>
                    <w:t>。</w:t>
                  </w:r>
                </w:p>
              </w:tc>
              <w:tc>
                <w:tcPr>
                  <w:tcW w:w="916" w:type="dxa"/>
                  <w:noWrap w:val="0"/>
                  <w:vAlign w:val="center"/>
                </w:tcPr>
                <w:p w14:paraId="1AA385D3">
                  <w:pPr>
                    <w:jc w:val="center"/>
                    <w:rPr>
                      <w:rFonts w:hint="default" w:ascii="Times New Roman" w:hAnsi="Times New Roman"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符合</w:t>
                  </w:r>
                </w:p>
              </w:tc>
            </w:tr>
            <w:tr w14:paraId="450B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noWrap w:val="0"/>
                  <w:vAlign w:val="center"/>
                </w:tcPr>
                <w:p w14:paraId="62DD5822">
                  <w:pPr>
                    <w:rPr>
                      <w:rFonts w:hint="default" w:ascii="Times New Roman" w:hAnsi="Times New Roman" w:cs="Times New Roman"/>
                      <w:color w:val="000000"/>
                      <w:sz w:val="21"/>
                      <w:szCs w:val="21"/>
                    </w:rPr>
                  </w:pPr>
                  <w:r>
                    <w:rPr>
                      <w:rFonts w:hint="default" w:ascii="Times New Roman" w:hAnsi="Times New Roman" w:eastAsia="宋体" w:cs="Times New Roman"/>
                      <w:bCs/>
                      <w:color w:val="000000"/>
                      <w:kern w:val="0"/>
                      <w:sz w:val="21"/>
                      <w:szCs w:val="21"/>
                      <w:highlight w:val="none"/>
                      <w:lang w:val="en-US" w:eastAsia="zh-CN"/>
                    </w:rPr>
                    <w:t>《四川省空气质量持续改善行动计划实施方案》（川府发〔2024〕15号）</w:t>
                  </w:r>
                </w:p>
              </w:tc>
              <w:tc>
                <w:tcPr>
                  <w:tcW w:w="4039" w:type="dxa"/>
                  <w:gridSpan w:val="2"/>
                  <w:noWrap w:val="0"/>
                  <w:vAlign w:val="center"/>
                </w:tcPr>
                <w:p w14:paraId="4DEA3E81">
                  <w:pPr>
                    <w:widowControl/>
                    <w:adjustRightInd w:val="0"/>
                    <w:snapToGrid w:val="0"/>
                    <w:spacing w:line="240" w:lineRule="auto"/>
                    <w:jc w:val="both"/>
                    <w:rPr>
                      <w:rFonts w:hint="default" w:ascii="Times New Roman" w:hAnsi="Times New Roman" w:cs="Times New Roman"/>
                      <w:b w:val="0"/>
                      <w:bCs w:val="0"/>
                      <w:color w:val="000000"/>
                      <w:sz w:val="21"/>
                      <w:szCs w:val="21"/>
                      <w:vertAlign w:val="baseline"/>
                    </w:rPr>
                  </w:pPr>
                  <w:r>
                    <w:rPr>
                      <w:rFonts w:hint="default" w:ascii="Times New Roman" w:hAnsi="Times New Roman" w:eastAsia="宋体" w:cs="Times New Roman"/>
                      <w:bCs/>
                      <w:color w:val="000000"/>
                      <w:kern w:val="0"/>
                      <w:sz w:val="21"/>
                      <w:szCs w:val="21"/>
                      <w:highlight w:val="none"/>
                      <w:lang w:val="en-US" w:eastAsia="zh-CN"/>
                    </w:rPr>
                    <w:t>严格产业准入。坚决遏制高耗能、高排放、低水平项目盲目上马。新改扩建项目严格落实国家和四川省产业规划、产业 政策、生态环境分区管控方案、规划环评、项目环评、节能审查、产能置换、重点污染物总量控制、污染物排放区域削减、碳排放达峰目标等相关要求原则上采用清洁运输方式从严控制高耗能项目。节能审查对年综合能耗5万吨标准煤以上的项目按要求开展能耗替代涉及产能置换的项目被置换产能及其配套设施关停 后新建项目方可投产。</w:t>
                  </w:r>
                </w:p>
              </w:tc>
              <w:tc>
                <w:tcPr>
                  <w:tcW w:w="1884" w:type="dxa"/>
                  <w:noWrap w:val="0"/>
                  <w:vAlign w:val="center"/>
                </w:tcPr>
                <w:p w14:paraId="4003786E">
                  <w:pPr>
                    <w:widowControl/>
                    <w:adjustRightInd w:val="0"/>
                    <w:snapToGrid w:val="0"/>
                    <w:spacing w:line="240" w:lineRule="auto"/>
                    <w:jc w:val="both"/>
                    <w:rPr>
                      <w:rFonts w:hint="default" w:ascii="Times New Roman" w:hAnsi="Times New Roman" w:cs="Times New Roman"/>
                      <w:b w:val="0"/>
                      <w:bCs w:val="0"/>
                      <w:color w:val="000000"/>
                      <w:sz w:val="21"/>
                      <w:szCs w:val="21"/>
                      <w:vertAlign w:val="baseline"/>
                    </w:rPr>
                  </w:pPr>
                  <w:r>
                    <w:rPr>
                      <w:rFonts w:hint="eastAsia"/>
                      <w:lang w:val="en-US" w:eastAsia="zh-CN"/>
                    </w:rPr>
                    <w:t>本项目</w:t>
                  </w:r>
                  <w:r>
                    <w:rPr>
                      <w:rFonts w:hint="default" w:ascii="Times New Roman" w:hAnsi="Times New Roman" w:eastAsia="宋体" w:cs="Times New Roman"/>
                      <w:color w:val="000000"/>
                      <w:spacing w:val="16"/>
                      <w:sz w:val="21"/>
                      <w:szCs w:val="21"/>
                      <w:highlight w:val="none"/>
                    </w:rPr>
                    <w:t>位于</w:t>
                  </w:r>
                  <w:r>
                    <w:rPr>
                      <w:rFonts w:hint="default" w:ascii="Times New Roman" w:hAnsi="Times New Roman" w:eastAsia="宋体" w:cs="Times New Roman"/>
                      <w:color w:val="000000"/>
                      <w:spacing w:val="19"/>
                      <w:sz w:val="21"/>
                      <w:szCs w:val="21"/>
                      <w:highlight w:val="none"/>
                      <w:lang w:val="en-US" w:eastAsia="zh-CN"/>
                    </w:rPr>
                    <w:t>四川巴中经济开发区</w:t>
                  </w:r>
                  <w:r>
                    <w:rPr>
                      <w:rFonts w:hint="eastAsia" w:ascii="宋体" w:hAnsi="宋体" w:eastAsia="宋体" w:cs="宋体"/>
                      <w:color w:val="000000"/>
                      <w:spacing w:val="19"/>
                      <w:sz w:val="21"/>
                      <w:szCs w:val="21"/>
                      <w:highlight w:val="none"/>
                      <w:lang w:val="en-US" w:eastAsia="zh-CN"/>
                    </w:rPr>
                    <w:t>星光工业园</w:t>
                  </w:r>
                  <w:r>
                    <w:rPr>
                      <w:rFonts w:hint="default" w:ascii="Times New Roman" w:hAnsi="Times New Roman" w:eastAsia="宋体" w:cs="Times New Roman"/>
                      <w:bCs/>
                      <w:color w:val="000000"/>
                      <w:kern w:val="0"/>
                      <w:sz w:val="21"/>
                      <w:szCs w:val="21"/>
                      <w:highlight w:val="none"/>
                      <w:lang w:val="en-US" w:eastAsia="zh-CN"/>
                    </w:rPr>
                    <w:t>，根据</w:t>
                  </w:r>
                  <w:r>
                    <w:rPr>
                      <w:rFonts w:hint="default" w:ascii="Times New Roman" w:hAnsi="Times New Roman" w:cs="Times New Roman"/>
                      <w:bCs/>
                      <w:color w:val="000000"/>
                      <w:kern w:val="0"/>
                      <w:sz w:val="21"/>
                      <w:szCs w:val="21"/>
                      <w:highlight w:val="none"/>
                      <w:lang w:val="zh-CN"/>
                    </w:rPr>
                    <w:t>平昌经济开发区星光工业园区总体规划修编（2017-2030）</w:t>
                  </w:r>
                  <w:r>
                    <w:rPr>
                      <w:rFonts w:hint="default" w:ascii="Times New Roman" w:hAnsi="Times New Roman" w:eastAsia="宋体" w:cs="Times New Roman"/>
                      <w:bCs/>
                      <w:color w:val="000000"/>
                      <w:kern w:val="0"/>
                      <w:sz w:val="21"/>
                      <w:szCs w:val="21"/>
                      <w:highlight w:val="none"/>
                      <w:lang w:val="zh-CN"/>
                    </w:rPr>
                    <w:t>，</w:t>
                  </w:r>
                  <w:r>
                    <w:rPr>
                      <w:rFonts w:hint="default" w:ascii="Times New Roman" w:hAnsi="Times New Roman" w:eastAsia="宋体" w:cs="Times New Roman"/>
                      <w:bCs/>
                      <w:color w:val="000000"/>
                      <w:kern w:val="0"/>
                      <w:sz w:val="21"/>
                      <w:szCs w:val="21"/>
                      <w:highlight w:val="none"/>
                      <w:lang w:val="en-US" w:eastAsia="zh-CN"/>
                    </w:rPr>
                    <w:t>不属于高耗能、高排放、低水平项目。</w:t>
                  </w:r>
                </w:p>
              </w:tc>
              <w:tc>
                <w:tcPr>
                  <w:tcW w:w="916" w:type="dxa"/>
                  <w:noWrap w:val="0"/>
                  <w:vAlign w:val="center"/>
                </w:tcPr>
                <w:p w14:paraId="4926D054">
                  <w:pPr>
                    <w:jc w:val="center"/>
                    <w:rPr>
                      <w:rFonts w:hint="default" w:ascii="Times New Roman" w:hAnsi="Times New Roman"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符合</w:t>
                  </w:r>
                </w:p>
              </w:tc>
            </w:tr>
            <w:tr w14:paraId="179C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52F5A233">
                  <w:pPr>
                    <w:rPr>
                      <w:rFonts w:hint="default" w:ascii="Times New Roman" w:hAnsi="Times New Roman" w:cs="Times New Roman"/>
                      <w:color w:val="000000"/>
                      <w:sz w:val="21"/>
                      <w:szCs w:val="21"/>
                    </w:rPr>
                  </w:pPr>
                </w:p>
              </w:tc>
              <w:tc>
                <w:tcPr>
                  <w:tcW w:w="4039" w:type="dxa"/>
                  <w:gridSpan w:val="2"/>
                  <w:noWrap w:val="0"/>
                  <w:vAlign w:val="center"/>
                </w:tcPr>
                <w:p w14:paraId="1B360717">
                  <w:pPr>
                    <w:widowControl/>
                    <w:adjustRightInd w:val="0"/>
                    <w:snapToGrid w:val="0"/>
                    <w:spacing w:line="240" w:lineRule="auto"/>
                    <w:jc w:val="both"/>
                    <w:rPr>
                      <w:rFonts w:hint="default" w:ascii="Times New Roman" w:hAnsi="Times New Roman" w:cs="Times New Roman"/>
                      <w:b w:val="0"/>
                      <w:bCs w:val="0"/>
                      <w:color w:val="000000"/>
                      <w:sz w:val="21"/>
                      <w:szCs w:val="21"/>
                      <w:vertAlign w:val="baseline"/>
                    </w:rPr>
                  </w:pPr>
                  <w:r>
                    <w:rPr>
                      <w:rFonts w:hint="default" w:ascii="Times New Roman" w:hAnsi="Times New Roman" w:eastAsia="宋体" w:cs="Times New Roman"/>
                      <w:bCs/>
                      <w:color w:val="000000"/>
                      <w:kern w:val="0"/>
                      <w:sz w:val="21"/>
                      <w:szCs w:val="21"/>
                      <w:highlight w:val="none"/>
                      <w:lang w:val="en-US" w:eastAsia="zh-CN"/>
                    </w:rPr>
                    <w:t>加强含VOCs原辅材料源头管控。 严格控制生产和使用高VOCs含量涂料、油墨、胶粘剂、清洗剂等建设项目。定期编制发布低（无） VOCs 原辅材料和产品目录。在生产、销售、进口、使 用等环节严格执行VOCs含量限值标准。建立低（无）VOCs含量产品标识制度。实施重点领域原辅材料替代工程。到2025年，力争重点行业原辅材料替代比例在“ 十三五” 末期的基础上进一步提升。全面推广房屋建筑和市政工程涉 VOCs工序环节使用低VOCs含量涂料和胶粘剂。重点区域除特殊功能要求外的室内地坪施工、室外构筑物防护和城市道路交通标志基本使用低VOCs含量涂料。</w:t>
                  </w:r>
                </w:p>
              </w:tc>
              <w:tc>
                <w:tcPr>
                  <w:tcW w:w="1884" w:type="dxa"/>
                  <w:noWrap w:val="0"/>
                  <w:vAlign w:val="center"/>
                </w:tcPr>
                <w:p w14:paraId="65FEBF23">
                  <w:pPr>
                    <w:widowControl/>
                    <w:adjustRightInd w:val="0"/>
                    <w:snapToGrid w:val="0"/>
                    <w:spacing w:line="240" w:lineRule="auto"/>
                    <w:jc w:val="both"/>
                    <w:rPr>
                      <w:rFonts w:hint="default" w:ascii="Times New Roman" w:hAnsi="Times New Roman" w:cs="Times New Roman"/>
                      <w:b w:val="0"/>
                      <w:bCs w:val="0"/>
                      <w:color w:val="000000"/>
                      <w:sz w:val="21"/>
                      <w:szCs w:val="21"/>
                      <w:vertAlign w:val="baseline"/>
                    </w:rPr>
                  </w:pPr>
                  <w:r>
                    <w:rPr>
                      <w:rFonts w:hint="eastAsia" w:ascii="Times New Roman" w:hAnsi="Times New Roman" w:eastAsia="宋体" w:cs="Times New Roman"/>
                      <w:color w:val="000000"/>
                      <w:spacing w:val="16"/>
                      <w:sz w:val="21"/>
                      <w:szCs w:val="21"/>
                      <w:highlight w:val="none"/>
                      <w:lang w:val="en-US" w:eastAsia="zh-CN"/>
                    </w:rPr>
                    <w:t>本项目</w:t>
                  </w:r>
                  <w:r>
                    <w:rPr>
                      <w:rFonts w:hint="default" w:ascii="Times New Roman" w:hAnsi="Times New Roman" w:eastAsia="宋体" w:cs="Times New Roman"/>
                      <w:color w:val="000000"/>
                      <w:spacing w:val="16"/>
                      <w:sz w:val="21"/>
                      <w:szCs w:val="21"/>
                      <w:highlight w:val="none"/>
                    </w:rPr>
                    <w:t>位于</w:t>
                  </w:r>
                  <w:r>
                    <w:rPr>
                      <w:rFonts w:hint="default" w:ascii="Times New Roman" w:hAnsi="Times New Roman" w:eastAsia="宋体" w:cs="Times New Roman"/>
                      <w:color w:val="000000"/>
                      <w:spacing w:val="19"/>
                      <w:sz w:val="21"/>
                      <w:szCs w:val="21"/>
                      <w:highlight w:val="none"/>
                      <w:lang w:val="en-US" w:eastAsia="zh-CN"/>
                    </w:rPr>
                    <w:t>四川</w:t>
                  </w:r>
                  <w:r>
                    <w:rPr>
                      <w:rFonts w:hint="eastAsia" w:ascii="Times New Roman" w:hAnsi="Times New Roman" w:eastAsia="宋体" w:cs="Times New Roman"/>
                      <w:color w:val="000000"/>
                      <w:spacing w:val="19"/>
                      <w:sz w:val="21"/>
                      <w:szCs w:val="21"/>
                      <w:highlight w:val="none"/>
                      <w:lang w:val="en-US" w:eastAsia="zh-CN"/>
                    </w:rPr>
                    <w:t>平昌</w:t>
                  </w:r>
                  <w:r>
                    <w:rPr>
                      <w:rFonts w:hint="default" w:ascii="Times New Roman" w:hAnsi="Times New Roman" w:eastAsia="宋体" w:cs="Times New Roman"/>
                      <w:color w:val="000000"/>
                      <w:spacing w:val="19"/>
                      <w:sz w:val="21"/>
                      <w:szCs w:val="21"/>
                      <w:highlight w:val="none"/>
                      <w:lang w:val="en-US" w:eastAsia="zh-CN"/>
                    </w:rPr>
                    <w:t>经济开发区</w:t>
                  </w:r>
                  <w:r>
                    <w:rPr>
                      <w:rFonts w:hint="default" w:ascii="Times New Roman" w:hAnsi="Times New Roman" w:eastAsia="宋体" w:cs="Times New Roman"/>
                      <w:bCs/>
                      <w:color w:val="000000"/>
                      <w:kern w:val="0"/>
                      <w:sz w:val="21"/>
                      <w:szCs w:val="21"/>
                      <w:highlight w:val="none"/>
                      <w:lang w:val="zh-CN"/>
                    </w:rPr>
                    <w:t>，</w:t>
                  </w:r>
                  <w:r>
                    <w:rPr>
                      <w:rFonts w:hint="default" w:ascii="Times New Roman" w:hAnsi="Times New Roman" w:cs="Times New Roman"/>
                      <w:color w:val="000000"/>
                      <w:spacing w:val="19"/>
                      <w:sz w:val="21"/>
                      <w:szCs w:val="21"/>
                      <w:highlight w:val="none"/>
                      <w:lang w:eastAsia="zh-CN"/>
                    </w:rPr>
                    <w:t>属于石墨及碳素制品制造（C3091）项目，</w:t>
                  </w:r>
                  <w:r>
                    <w:rPr>
                      <w:rFonts w:hint="default" w:ascii="Times New Roman" w:hAnsi="Times New Roman" w:eastAsia="宋体" w:cs="Times New Roman"/>
                      <w:bCs/>
                      <w:color w:val="000000"/>
                      <w:kern w:val="0"/>
                      <w:sz w:val="21"/>
                      <w:szCs w:val="21"/>
                      <w:highlight w:val="none"/>
                      <w:lang w:val="en-US" w:eastAsia="zh-CN"/>
                    </w:rPr>
                    <w:t>生产过程中不涉及使用高VOCs含量涂料、油墨、胶粘剂、清洗剂等。</w:t>
                  </w:r>
                </w:p>
              </w:tc>
              <w:tc>
                <w:tcPr>
                  <w:tcW w:w="916" w:type="dxa"/>
                  <w:noWrap w:val="0"/>
                  <w:vAlign w:val="center"/>
                </w:tcPr>
                <w:p w14:paraId="2AE1A677">
                  <w:pPr>
                    <w:jc w:val="center"/>
                    <w:rPr>
                      <w:rFonts w:hint="default" w:ascii="Times New Roman" w:hAnsi="Times New Roman"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符合</w:t>
                  </w:r>
                </w:p>
              </w:tc>
            </w:tr>
            <w:tr w14:paraId="69AD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2" w:type="dxa"/>
                  <w:gridSpan w:val="5"/>
                  <w:noWrap w:val="0"/>
                  <w:vAlign w:val="center"/>
                </w:tcPr>
                <w:p w14:paraId="73462E29">
                  <w:pPr>
                    <w:jc w:val="both"/>
                    <w:rPr>
                      <w:rFonts w:hint="default" w:ascii="Times New Roman" w:hAnsi="Times New Roman"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二、水污染防治相关政策</w:t>
                  </w:r>
                </w:p>
              </w:tc>
            </w:tr>
            <w:tr w14:paraId="508E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noWrap w:val="0"/>
                  <w:vAlign w:val="center"/>
                </w:tcPr>
                <w:p w14:paraId="7FB2CAC4">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《国务院关于印发水污染防治行动计划的通知》（国发〔2015〕17号）</w:t>
                  </w:r>
                </w:p>
              </w:tc>
              <w:tc>
                <w:tcPr>
                  <w:tcW w:w="1544" w:type="dxa"/>
                  <w:noWrap w:val="0"/>
                  <w:vAlign w:val="center"/>
                </w:tcPr>
                <w:p w14:paraId="08EF703E">
                  <w:pPr>
                    <w:jc w:val="center"/>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四川省打赢碧水保卫战实施方案</w:t>
                  </w:r>
                </w:p>
              </w:tc>
              <w:tc>
                <w:tcPr>
                  <w:tcW w:w="2495" w:type="dxa"/>
                  <w:noWrap w:val="0"/>
                  <w:vAlign w:val="center"/>
                </w:tcPr>
                <w:p w14:paraId="16F73CAF">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三、实施工业污染治理加快推进工业园区（工业集聚区）污水处</w:t>
                  </w:r>
                  <w:r>
                    <w:rPr>
                      <w:rFonts w:hint="default" w:ascii="Times New Roman" w:hAnsi="Times New Roman" w:cs="Times New Roman"/>
                      <w:b w:val="0"/>
                      <w:bCs w:val="0"/>
                      <w:color w:val="000000"/>
                      <w:sz w:val="21"/>
                      <w:szCs w:val="21"/>
                      <w:vertAlign w:val="baseline"/>
                      <w:lang w:eastAsia="zh-CN"/>
                    </w:rPr>
                    <w:t>理设</w:t>
                  </w:r>
                  <w:r>
                    <w:rPr>
                      <w:rFonts w:hint="default" w:ascii="Times New Roman" w:hAnsi="Times New Roman" w:cs="Times New Roman"/>
                      <w:b w:val="0"/>
                      <w:bCs w:val="0"/>
                      <w:color w:val="000000"/>
                      <w:sz w:val="21"/>
                      <w:szCs w:val="21"/>
                      <w:vertAlign w:val="baseline"/>
                    </w:rPr>
                    <w:t>施建设，确保污水处理设施按期建成投入使用和正常运行。在处理</w:t>
                  </w:r>
                  <w:r>
                    <w:rPr>
                      <w:rFonts w:hint="default" w:ascii="Times New Roman" w:hAnsi="Times New Roman" w:cs="Times New Roman"/>
                      <w:b w:val="0"/>
                      <w:bCs w:val="0"/>
                      <w:color w:val="000000"/>
                      <w:sz w:val="21"/>
                      <w:szCs w:val="21"/>
                      <w:vertAlign w:val="baseline"/>
                      <w:lang w:eastAsia="zh-CN"/>
                    </w:rPr>
                    <w:t>设施建设</w:t>
                  </w:r>
                  <w:r>
                    <w:rPr>
                      <w:rFonts w:hint="default" w:ascii="Times New Roman" w:hAnsi="Times New Roman" w:cs="Times New Roman"/>
                      <w:b w:val="0"/>
                      <w:bCs w:val="0"/>
                      <w:color w:val="000000"/>
                      <w:sz w:val="21"/>
                      <w:szCs w:val="21"/>
                      <w:vertAlign w:val="baseline"/>
                    </w:rPr>
                    <w:t>前，依托生活污水处理厂、一体化应急设备处理工业废水，确保达标排放。</w:t>
                  </w:r>
                  <w:r>
                    <w:rPr>
                      <w:rFonts w:hint="default" w:ascii="Times New Roman" w:hAnsi="Times New Roman" w:cs="Times New Roman"/>
                      <w:b w:val="0"/>
                      <w:bCs w:val="0"/>
                      <w:color w:val="000000"/>
                      <w:sz w:val="21"/>
                      <w:szCs w:val="21"/>
                      <w:vertAlign w:val="baseline"/>
                      <w:lang w:eastAsia="zh-CN"/>
                    </w:rPr>
                    <w:t>严格</w:t>
                  </w:r>
                  <w:r>
                    <w:rPr>
                      <w:rFonts w:hint="default" w:ascii="Times New Roman" w:hAnsi="Times New Roman" w:cs="Times New Roman"/>
                      <w:b w:val="0"/>
                      <w:bCs w:val="0"/>
                      <w:color w:val="000000"/>
                      <w:sz w:val="21"/>
                      <w:szCs w:val="21"/>
                      <w:vertAlign w:val="baseline"/>
                    </w:rPr>
                    <w:t>执行《四川省岷江、沱江流域水污</w:t>
                  </w:r>
                  <w:r>
                    <w:rPr>
                      <w:rFonts w:hint="default" w:ascii="Times New Roman" w:hAnsi="Times New Roman" w:cs="Times New Roman"/>
                      <w:b w:val="0"/>
                      <w:bCs w:val="0"/>
                      <w:color w:val="000000"/>
                      <w:sz w:val="21"/>
                      <w:szCs w:val="21"/>
                      <w:vertAlign w:val="baseline"/>
                      <w:lang w:eastAsia="zh-CN"/>
                    </w:rPr>
                    <w:t>染排</w:t>
                  </w:r>
                  <w:r>
                    <w:rPr>
                      <w:rFonts w:hint="default" w:ascii="Times New Roman" w:hAnsi="Times New Roman" w:cs="Times New Roman"/>
                      <w:b w:val="0"/>
                      <w:bCs w:val="0"/>
                      <w:color w:val="000000"/>
                      <w:sz w:val="21"/>
                      <w:szCs w:val="21"/>
                      <w:vertAlign w:val="baseline"/>
                    </w:rPr>
                    <w:t>放标准》。</w:t>
                  </w:r>
                </w:p>
              </w:tc>
              <w:tc>
                <w:tcPr>
                  <w:tcW w:w="1884" w:type="dxa"/>
                  <w:vMerge w:val="restart"/>
                  <w:noWrap w:val="0"/>
                  <w:vAlign w:val="center"/>
                </w:tcPr>
                <w:p w14:paraId="7129B4F5">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color w:val="000000"/>
                      <w:spacing w:val="6"/>
                      <w:sz w:val="21"/>
                      <w:szCs w:val="21"/>
                      <w:highlight w:val="none"/>
                      <w:lang w:val="en-US" w:eastAsia="zh-CN"/>
                    </w:rPr>
                    <w:t>冷却塔定期排污水经沉淀池处理后回用脱硫塔补充用水，不外排；脱硫废水经沉淀</w:t>
                  </w:r>
                  <w:r>
                    <w:rPr>
                      <w:rFonts w:hint="eastAsia" w:ascii="Times New Roman" w:hAnsi="Times New Roman" w:cs="Times New Roman"/>
                      <w:color w:val="000000"/>
                      <w:spacing w:val="6"/>
                      <w:sz w:val="21"/>
                      <w:szCs w:val="21"/>
                      <w:highlight w:val="none"/>
                      <w:lang w:val="en-US" w:eastAsia="zh-CN"/>
                    </w:rPr>
                    <w:t>循环水</w:t>
                  </w:r>
                  <w:r>
                    <w:rPr>
                      <w:rFonts w:hint="default" w:ascii="Times New Roman" w:hAnsi="Times New Roman" w:cs="Times New Roman"/>
                      <w:color w:val="000000"/>
                      <w:spacing w:val="6"/>
                      <w:sz w:val="21"/>
                      <w:szCs w:val="21"/>
                      <w:highlight w:val="none"/>
                      <w:lang w:val="en-US" w:eastAsia="zh-CN"/>
                    </w:rPr>
                    <w:t>池处理后回用脱硫塔补充用水，不外排</w:t>
                  </w:r>
                  <w:r>
                    <w:rPr>
                      <w:rFonts w:hint="default" w:ascii="Times New Roman" w:hAnsi="Times New Roman" w:eastAsia="宋体" w:cs="Times New Roman"/>
                      <w:color w:val="000000"/>
                      <w:spacing w:val="17"/>
                      <w:sz w:val="21"/>
                      <w:szCs w:val="21"/>
                      <w:highlight w:val="none"/>
                    </w:rPr>
                    <w:t>。生活污水经厂区配套预处理设施处理后排入园区管网，最终进入</w:t>
                  </w:r>
                  <w:r>
                    <w:rPr>
                      <w:rFonts w:hint="default" w:ascii="Times New Roman" w:hAnsi="Times New Roman" w:eastAsia="宋体" w:cs="Times New Roman"/>
                      <w:color w:val="000000"/>
                      <w:spacing w:val="17"/>
                      <w:sz w:val="21"/>
                      <w:szCs w:val="21"/>
                      <w:highlight w:val="none"/>
                      <w:lang w:eastAsia="zh-CN"/>
                    </w:rPr>
                    <w:t>星光工业园区污水处理厂</w:t>
                  </w:r>
                  <w:r>
                    <w:rPr>
                      <w:rFonts w:hint="default" w:ascii="Times New Roman" w:hAnsi="Times New Roman" w:eastAsia="宋体" w:cs="Times New Roman"/>
                      <w:color w:val="000000"/>
                      <w:spacing w:val="17"/>
                      <w:sz w:val="21"/>
                      <w:szCs w:val="21"/>
                      <w:highlight w:val="none"/>
                    </w:rPr>
                    <w:t>处理达标后排入</w:t>
                  </w:r>
                  <w:r>
                    <w:rPr>
                      <w:rFonts w:hint="default" w:ascii="Times New Roman" w:hAnsi="Times New Roman" w:eastAsia="宋体" w:cs="Times New Roman"/>
                      <w:color w:val="000000"/>
                      <w:spacing w:val="17"/>
                      <w:sz w:val="21"/>
                      <w:szCs w:val="21"/>
                      <w:highlight w:val="none"/>
                      <w:lang w:eastAsia="zh-CN"/>
                    </w:rPr>
                    <w:t>巴河</w:t>
                  </w:r>
                  <w:r>
                    <w:rPr>
                      <w:rFonts w:hint="default" w:ascii="Times New Roman" w:hAnsi="Times New Roman" w:eastAsia="宋体" w:cs="Times New Roman"/>
                      <w:color w:val="000000"/>
                      <w:spacing w:val="17"/>
                      <w:sz w:val="21"/>
                      <w:szCs w:val="21"/>
                      <w:highlight w:val="none"/>
                    </w:rPr>
                    <w:t>。</w:t>
                  </w:r>
                </w:p>
              </w:tc>
              <w:tc>
                <w:tcPr>
                  <w:tcW w:w="916" w:type="dxa"/>
                  <w:vMerge w:val="restart"/>
                  <w:noWrap w:val="0"/>
                  <w:vAlign w:val="center"/>
                </w:tcPr>
                <w:p w14:paraId="778DBAC4">
                  <w:pPr>
                    <w:jc w:val="center"/>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符合</w:t>
                  </w:r>
                </w:p>
              </w:tc>
            </w:tr>
            <w:tr w14:paraId="16EF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23B36D30">
                  <w:pPr>
                    <w:jc w:val="center"/>
                    <w:rPr>
                      <w:rFonts w:hint="default" w:ascii="Times New Roman" w:hAnsi="Times New Roman" w:cs="Times New Roman"/>
                      <w:b w:val="0"/>
                      <w:bCs w:val="0"/>
                      <w:color w:val="000000"/>
                      <w:sz w:val="21"/>
                      <w:szCs w:val="21"/>
                      <w:vertAlign w:val="baseline"/>
                    </w:rPr>
                  </w:pPr>
                </w:p>
              </w:tc>
              <w:tc>
                <w:tcPr>
                  <w:tcW w:w="1544" w:type="dxa"/>
                  <w:noWrap w:val="0"/>
                  <w:vAlign w:val="center"/>
                </w:tcPr>
                <w:p w14:paraId="253196DA">
                  <w:pPr>
                    <w:jc w:val="both"/>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rPr>
                    <w:t>四川省打好城市黑臭水体治理攻坚战实施</w:t>
                  </w:r>
                  <w:r>
                    <w:rPr>
                      <w:rFonts w:hint="default" w:ascii="Times New Roman" w:hAnsi="Times New Roman" w:cs="Times New Roman"/>
                      <w:b w:val="0"/>
                      <w:bCs w:val="0"/>
                      <w:color w:val="000000"/>
                      <w:sz w:val="21"/>
                      <w:szCs w:val="21"/>
                      <w:vertAlign w:val="baseline"/>
                      <w:lang w:eastAsia="zh-CN"/>
                    </w:rPr>
                    <w:t>方案</w:t>
                  </w:r>
                </w:p>
              </w:tc>
              <w:tc>
                <w:tcPr>
                  <w:tcW w:w="2495" w:type="dxa"/>
                  <w:noWrap w:val="0"/>
                  <w:vAlign w:val="center"/>
                </w:tcPr>
                <w:p w14:paraId="51B17DED">
                  <w:pPr>
                    <w:jc w:val="both"/>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强化工业企业污染控制。排入环境的工业污水要符合</w:t>
                  </w:r>
                  <w:r>
                    <w:rPr>
                      <w:rFonts w:hint="default" w:ascii="Times New Roman" w:hAnsi="Times New Roman" w:cs="Times New Roman"/>
                      <w:b w:val="0"/>
                      <w:bCs w:val="0"/>
                      <w:color w:val="000000"/>
                      <w:sz w:val="21"/>
                      <w:szCs w:val="21"/>
                      <w:vertAlign w:val="baseline"/>
                      <w:lang w:eastAsia="zh-CN"/>
                    </w:rPr>
                    <w:t>国</w:t>
                  </w:r>
                  <w:r>
                    <w:rPr>
                      <w:rFonts w:hint="default" w:ascii="Times New Roman" w:hAnsi="Times New Roman" w:cs="Times New Roman"/>
                      <w:b w:val="0"/>
                      <w:bCs w:val="0"/>
                      <w:color w:val="000000"/>
                      <w:sz w:val="21"/>
                      <w:szCs w:val="21"/>
                      <w:vertAlign w:val="baseline"/>
                    </w:rPr>
                    <w:t>家或地方排放标准。工业园区应建成污水集中处理设施并稳定达标运行，对废水分类收集、分质处理、应收尽收，禁止偷排漏排行为，入园企业应当按照</w:t>
                  </w:r>
                  <w:r>
                    <w:rPr>
                      <w:rFonts w:hint="default" w:ascii="Times New Roman" w:hAnsi="Times New Roman" w:cs="Times New Roman"/>
                      <w:b w:val="0"/>
                      <w:bCs w:val="0"/>
                      <w:color w:val="000000"/>
                      <w:sz w:val="21"/>
                      <w:szCs w:val="21"/>
                      <w:vertAlign w:val="baseline"/>
                      <w:lang w:eastAsia="zh-CN"/>
                    </w:rPr>
                    <w:t>国</w:t>
                  </w:r>
                  <w:r>
                    <w:rPr>
                      <w:rFonts w:hint="default" w:ascii="Times New Roman" w:hAnsi="Times New Roman" w:cs="Times New Roman"/>
                      <w:b w:val="0"/>
                      <w:bCs w:val="0"/>
                      <w:color w:val="000000"/>
                      <w:sz w:val="21"/>
                      <w:szCs w:val="21"/>
                      <w:vertAlign w:val="baseline"/>
                    </w:rPr>
                    <w:t>家有关规定进行预处理，达到工艺要求后，接入污水集中处理设施处理。</w:t>
                  </w:r>
                </w:p>
              </w:tc>
              <w:tc>
                <w:tcPr>
                  <w:tcW w:w="1884" w:type="dxa"/>
                  <w:vMerge w:val="continue"/>
                  <w:noWrap w:val="0"/>
                  <w:vAlign w:val="center"/>
                </w:tcPr>
                <w:p w14:paraId="1D7AE3D9">
                  <w:pPr>
                    <w:jc w:val="center"/>
                    <w:rPr>
                      <w:rFonts w:hint="default" w:ascii="Times New Roman" w:hAnsi="Times New Roman" w:cs="Times New Roman"/>
                      <w:b w:val="0"/>
                      <w:bCs w:val="0"/>
                      <w:color w:val="000000"/>
                      <w:sz w:val="21"/>
                      <w:szCs w:val="21"/>
                      <w:vertAlign w:val="baseline"/>
                    </w:rPr>
                  </w:pPr>
                </w:p>
              </w:tc>
              <w:tc>
                <w:tcPr>
                  <w:tcW w:w="916" w:type="dxa"/>
                  <w:vMerge w:val="continue"/>
                  <w:noWrap w:val="0"/>
                  <w:vAlign w:val="center"/>
                </w:tcPr>
                <w:p w14:paraId="09F638EF">
                  <w:pPr>
                    <w:jc w:val="center"/>
                    <w:rPr>
                      <w:rFonts w:hint="default" w:ascii="Times New Roman" w:hAnsi="Times New Roman" w:cs="Times New Roman"/>
                      <w:b w:val="0"/>
                      <w:bCs w:val="0"/>
                      <w:color w:val="000000"/>
                      <w:sz w:val="21"/>
                      <w:szCs w:val="21"/>
                      <w:vertAlign w:val="baseline"/>
                    </w:rPr>
                  </w:pPr>
                </w:p>
              </w:tc>
            </w:tr>
            <w:tr w14:paraId="7C41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noWrap w:val="0"/>
                  <w:vAlign w:val="center"/>
                </w:tcPr>
                <w:p w14:paraId="755690C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《中华人民</w:t>
                  </w:r>
                </w:p>
                <w:p w14:paraId="54832E0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共和国长江</w:t>
                  </w:r>
                </w:p>
                <w:p w14:paraId="62B0A235">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保护法》（2021年3</w:t>
                  </w:r>
                </w:p>
                <w:p w14:paraId="685F778A">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月1日起施</w:t>
                  </w:r>
                </w:p>
                <w:p w14:paraId="04D3290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行）</w:t>
                  </w:r>
                </w:p>
              </w:tc>
              <w:tc>
                <w:tcPr>
                  <w:tcW w:w="4039" w:type="dxa"/>
                  <w:gridSpan w:val="2"/>
                  <w:noWrap w:val="0"/>
                  <w:vAlign w:val="center"/>
                </w:tcPr>
                <w:p w14:paraId="0A8C9D0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第二十六条、禁止在长江干支流岸线一公里范围内新建、扩建化工园区和化工项目；禁止在长江干流岸线三公里范围内和重要支流岸线一公里范围内新建、改建、扩建尾矿库；但是以提升安全、生态环境保护水平为目的的改建除外。第四十七条、长江流域县级以上地方人民政府应当统筹长江流域城乡污水集中处理设施及配套管网</w:t>
                  </w:r>
                </w:p>
                <w:p w14:paraId="23F3CC00">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建设，并保障其正常运行，提高城乡污水收集处</w:t>
                  </w:r>
                </w:p>
                <w:p w14:paraId="0CDF479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理能力。</w:t>
                  </w:r>
                </w:p>
              </w:tc>
              <w:tc>
                <w:tcPr>
                  <w:tcW w:w="1884" w:type="dxa"/>
                  <w:noWrap w:val="0"/>
                  <w:vAlign w:val="center"/>
                </w:tcPr>
                <w:p w14:paraId="59A19279">
                  <w:pPr>
                    <w:jc w:val="both"/>
                    <w:rPr>
                      <w:rFonts w:hint="default" w:ascii="Times New Roman" w:hAnsi="Times New Roman" w:cs="Times New Roman"/>
                      <w:b w:val="0"/>
                      <w:bCs w:val="0"/>
                      <w:color w:val="000000"/>
                      <w:sz w:val="21"/>
                      <w:szCs w:val="21"/>
                      <w:vertAlign w:val="baseline"/>
                    </w:rPr>
                  </w:pPr>
                  <w:r>
                    <w:rPr>
                      <w:rStyle w:val="33"/>
                      <w:rFonts w:hint="default" w:ascii="Times New Roman" w:hAnsi="Times New Roman" w:eastAsia="宋体" w:cs="Times New Roman"/>
                      <w:color w:val="000000"/>
                      <w:kern w:val="2"/>
                      <w:sz w:val="21"/>
                      <w:szCs w:val="21"/>
                      <w:lang w:val="en-US" w:eastAsia="zh-CN" w:bidi="ar-SA"/>
                    </w:rPr>
                    <w:t>本项目为石墨及碳素制品制造（C3091）</w:t>
                  </w:r>
                  <w:r>
                    <w:rPr>
                      <w:rFonts w:hint="default" w:ascii="Times New Roman" w:hAnsi="Times New Roman" w:cs="Times New Roman"/>
                      <w:b w:val="0"/>
                      <w:bCs w:val="0"/>
                      <w:color w:val="000000"/>
                      <w:sz w:val="21"/>
                      <w:szCs w:val="21"/>
                      <w:vertAlign w:val="baseline"/>
                    </w:rPr>
                    <w:t>，不属于化工厂项目以及尾矿库项目</w:t>
                  </w:r>
                </w:p>
              </w:tc>
              <w:tc>
                <w:tcPr>
                  <w:tcW w:w="916" w:type="dxa"/>
                  <w:noWrap w:val="0"/>
                  <w:vAlign w:val="center"/>
                </w:tcPr>
                <w:p w14:paraId="7FA7FB45">
                  <w:pPr>
                    <w:jc w:val="center"/>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cs="Times New Roman"/>
                      <w:b w:val="0"/>
                      <w:bCs w:val="0"/>
                      <w:color w:val="000000"/>
                      <w:sz w:val="21"/>
                      <w:szCs w:val="21"/>
                      <w:vertAlign w:val="baseline"/>
                      <w:lang w:eastAsia="zh-CN"/>
                    </w:rPr>
                    <w:t>符合</w:t>
                  </w:r>
                </w:p>
              </w:tc>
            </w:tr>
            <w:tr w14:paraId="403E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noWrap w:val="0"/>
                  <w:vAlign w:val="center"/>
                </w:tcPr>
                <w:p w14:paraId="2498148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《四川省、重庆市长江经济带发展负面清单实施细则（试行，2022 年版）》（川长江办〔2022〕17 号）</w:t>
                  </w:r>
                </w:p>
              </w:tc>
              <w:tc>
                <w:tcPr>
                  <w:tcW w:w="4039" w:type="dxa"/>
                  <w:gridSpan w:val="2"/>
                  <w:noWrap w:val="0"/>
                  <w:vAlign w:val="center"/>
                </w:tcPr>
                <w:p w14:paraId="65E1654E">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禁止建设不符合全国和省级港口布局规划以及港口总体规划的码头项目，禁止建设不符合《长江干线过江通道布局规划》的过长江通道项目</w:t>
                  </w:r>
                </w:p>
              </w:tc>
              <w:tc>
                <w:tcPr>
                  <w:tcW w:w="1884" w:type="dxa"/>
                  <w:noWrap w:val="0"/>
                  <w:vAlign w:val="center"/>
                </w:tcPr>
                <w:p w14:paraId="3AB9A651">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本项目不属于禁止建设不符合《长江干线过江通道布局规划》的过江通道项目</w:t>
                  </w:r>
                </w:p>
              </w:tc>
              <w:tc>
                <w:tcPr>
                  <w:tcW w:w="916" w:type="dxa"/>
                  <w:noWrap w:val="0"/>
                  <w:vAlign w:val="center"/>
                </w:tcPr>
                <w:p w14:paraId="504AF97C">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70E5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4CB09C4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32D63A9A">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禁止在自然保护核心区、缓冲区的岸线和河段范围内投资建设旅游和生产经营项目。禁止在风景名胜区核心景区的岸线和河段范围内投资建设与风景名胜资源保护无关的项目。</w:t>
                  </w:r>
                </w:p>
              </w:tc>
              <w:tc>
                <w:tcPr>
                  <w:tcW w:w="1884" w:type="dxa"/>
                  <w:noWrap w:val="0"/>
                  <w:vAlign w:val="center"/>
                </w:tcPr>
                <w:p w14:paraId="2FD2C795">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本项目不属于自然保护核心区、缓冲区的岸线和河段范围内的投资建设旅游和生产经营项目</w:t>
                  </w:r>
                </w:p>
              </w:tc>
              <w:tc>
                <w:tcPr>
                  <w:tcW w:w="916" w:type="dxa"/>
                  <w:noWrap w:val="0"/>
                  <w:vAlign w:val="center"/>
                </w:tcPr>
                <w:p w14:paraId="756631BC">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38D5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30A52CB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3F2402D5">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884" w:type="dxa"/>
                  <w:noWrap w:val="0"/>
                  <w:vAlign w:val="center"/>
                </w:tcPr>
                <w:p w14:paraId="109753E7">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本项目不涉及饮用水水源一级保护区的岸线和河段范围内、且不属于新建、改建、扩建与供水设施和保护水源的项目</w:t>
                  </w:r>
                </w:p>
              </w:tc>
              <w:tc>
                <w:tcPr>
                  <w:tcW w:w="916" w:type="dxa"/>
                  <w:noWrap w:val="0"/>
                  <w:vAlign w:val="center"/>
                </w:tcPr>
                <w:p w14:paraId="7686270A">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510B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7F934440">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03BC6B90">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禁止在水产种质资源保护区的岸线和河段范围内新建围湖造田、围海造地或围填海等投资建设项目。禁止在国家湿地公园的岸线和河段范围内挖沙、采矿，以及任何不符合主动功能定位的投资建设项目</w:t>
                  </w:r>
                </w:p>
              </w:tc>
              <w:tc>
                <w:tcPr>
                  <w:tcW w:w="1884" w:type="dxa"/>
                  <w:noWrap w:val="0"/>
                  <w:vAlign w:val="center"/>
                </w:tcPr>
                <w:p w14:paraId="0B020191">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本项目不属于禁止在水产种质资源保护区的岸线和河段范围内新建围湖造田、围海造地或围填海等投资建设项目</w:t>
                  </w:r>
                </w:p>
              </w:tc>
              <w:tc>
                <w:tcPr>
                  <w:tcW w:w="916" w:type="dxa"/>
                  <w:noWrap w:val="0"/>
                  <w:vAlign w:val="center"/>
                </w:tcPr>
                <w:p w14:paraId="050D1278">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6C3F1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7252323E">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21DB3B6C">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884" w:type="dxa"/>
                  <w:noWrap w:val="0"/>
                  <w:vAlign w:val="center"/>
                </w:tcPr>
                <w:p w14:paraId="702099C2">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本项目不涉及违法利用、占用长江流域河湖岸线；不涉及在《全国重要江河湖泊水功能区划》划定的河段及湖泊保护区、保留区内投资建设不利于水资源及自然生态保护的项目</w:t>
                  </w:r>
                </w:p>
              </w:tc>
              <w:tc>
                <w:tcPr>
                  <w:tcW w:w="916" w:type="dxa"/>
                  <w:noWrap w:val="0"/>
                  <w:vAlign w:val="center"/>
                </w:tcPr>
                <w:p w14:paraId="50F95AA9">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2777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1816916A">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6663258A">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禁止未经许可在长江干流及湖泊新设、改设或扩大排污口。</w:t>
                  </w:r>
                </w:p>
              </w:tc>
              <w:tc>
                <w:tcPr>
                  <w:tcW w:w="1884" w:type="dxa"/>
                  <w:noWrap w:val="0"/>
                  <w:vAlign w:val="center"/>
                </w:tcPr>
                <w:p w14:paraId="5C8DE2DB">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本项目未在长江干流及湖泊新设、改设或扩大排污口</w:t>
                  </w:r>
                </w:p>
              </w:tc>
              <w:tc>
                <w:tcPr>
                  <w:tcW w:w="916" w:type="dxa"/>
                  <w:noWrap w:val="0"/>
                  <w:vAlign w:val="center"/>
                </w:tcPr>
                <w:p w14:paraId="659A4F71">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4084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62058E0B">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723D0E70">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禁止在“一江一口两湖七河”和332个水生生物保护区开展生产性捕捞。</w:t>
                  </w:r>
                </w:p>
              </w:tc>
              <w:tc>
                <w:tcPr>
                  <w:tcW w:w="1884" w:type="dxa"/>
                  <w:noWrap w:val="0"/>
                  <w:vAlign w:val="center"/>
                </w:tcPr>
                <w:p w14:paraId="4D3FE385">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本项目不涉及水生生物保护区生产性捕捞</w:t>
                  </w:r>
                </w:p>
              </w:tc>
              <w:tc>
                <w:tcPr>
                  <w:tcW w:w="916" w:type="dxa"/>
                  <w:noWrap w:val="0"/>
                  <w:vAlign w:val="center"/>
                </w:tcPr>
                <w:p w14:paraId="6E9495EB">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197E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7ACA996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60E3A574">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884" w:type="dxa"/>
                  <w:noWrap w:val="0"/>
                  <w:vAlign w:val="center"/>
                </w:tcPr>
                <w:p w14:paraId="4A548AD9">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本项目不属于在长江干支流、重要湖泊岸线一公里范围内新建、扩建化工园区和化工项目</w:t>
                  </w:r>
                </w:p>
              </w:tc>
              <w:tc>
                <w:tcPr>
                  <w:tcW w:w="916" w:type="dxa"/>
                  <w:noWrap w:val="0"/>
                  <w:vAlign w:val="center"/>
                </w:tcPr>
                <w:p w14:paraId="3A4D78C3">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0985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73368F6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17665534">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禁止在合规园区外新建、改建钢铁、石化、化工、焦化、建材、有色、制浆造纸等高污染项目。</w:t>
                  </w:r>
                </w:p>
              </w:tc>
              <w:tc>
                <w:tcPr>
                  <w:tcW w:w="1884" w:type="dxa"/>
                  <w:noWrap w:val="0"/>
                  <w:vAlign w:val="center"/>
                </w:tcPr>
                <w:p w14:paraId="20F2E38B">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本项目位于合规园区内，同时不属于新建、改建钢铁、石化、化工、焦化、建材、有色、制浆造纸等高污染项目</w:t>
                  </w:r>
                </w:p>
              </w:tc>
              <w:tc>
                <w:tcPr>
                  <w:tcW w:w="916" w:type="dxa"/>
                  <w:noWrap w:val="0"/>
                  <w:vAlign w:val="center"/>
                </w:tcPr>
                <w:p w14:paraId="056E0820">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65EC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2A1304EA">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674F19BD">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禁止新建、扩建不符合国家石化、现代煤化工等产业布局规划的项目。</w:t>
                  </w:r>
                </w:p>
              </w:tc>
              <w:tc>
                <w:tcPr>
                  <w:tcW w:w="1884" w:type="dxa"/>
                  <w:noWrap w:val="0"/>
                  <w:vAlign w:val="center"/>
                </w:tcPr>
                <w:p w14:paraId="7ECFFD60">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本项目不属于不符合国家石化、现代煤化工等产业布局规划的项目</w:t>
                  </w:r>
                </w:p>
              </w:tc>
              <w:tc>
                <w:tcPr>
                  <w:tcW w:w="916" w:type="dxa"/>
                  <w:noWrap w:val="0"/>
                  <w:vAlign w:val="center"/>
                </w:tcPr>
                <w:p w14:paraId="35FF39C8">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r w14:paraId="1EDE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noWrap w:val="0"/>
                  <w:vAlign w:val="center"/>
                </w:tcPr>
                <w:p w14:paraId="6D1CCD45">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val="0"/>
                      <w:color w:val="000000"/>
                      <w:sz w:val="21"/>
                      <w:szCs w:val="21"/>
                      <w:vertAlign w:val="baseline"/>
                    </w:rPr>
                  </w:pPr>
                </w:p>
              </w:tc>
              <w:tc>
                <w:tcPr>
                  <w:tcW w:w="4039" w:type="dxa"/>
                  <w:gridSpan w:val="2"/>
                  <w:noWrap w:val="0"/>
                  <w:vAlign w:val="center"/>
                </w:tcPr>
                <w:p w14:paraId="429123DE">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禁止新建、扩建法律法规和相关政策</w:t>
                  </w:r>
                  <w:r>
                    <w:rPr>
                      <w:rFonts w:hint="eastAsia" w:cs="Times New Roman"/>
                      <w:color w:val="auto"/>
                      <w:lang w:val="en-US" w:eastAsia="zh-CN"/>
                    </w:rPr>
                    <w:t>明令</w:t>
                  </w:r>
                  <w:r>
                    <w:rPr>
                      <w:rFonts w:hint="eastAsia" w:ascii="Times New Roman" w:hAnsi="Times New Roman" w:eastAsia="宋体" w:cs="Times New Roman"/>
                      <w:color w:val="auto"/>
                    </w:rPr>
                    <w:t>禁止的落后产能项目。禁止新建、扩建不符合国家产能置换要求的严重过剩产能行业的项目。禁止新建、扩建不符合要求的高耗能高排放项目。</w:t>
                  </w:r>
                </w:p>
              </w:tc>
              <w:tc>
                <w:tcPr>
                  <w:tcW w:w="1884" w:type="dxa"/>
                  <w:noWrap w:val="0"/>
                  <w:vAlign w:val="center"/>
                </w:tcPr>
                <w:p w14:paraId="08F0EC76">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本项目不属于新建、扩建法律法规和相关政策</w:t>
                  </w:r>
                  <w:r>
                    <w:rPr>
                      <w:rFonts w:hint="eastAsia" w:cs="Times New Roman"/>
                      <w:color w:val="auto"/>
                      <w:lang w:val="en-US" w:eastAsia="zh-CN"/>
                    </w:rPr>
                    <w:t>明令</w:t>
                  </w:r>
                  <w:r>
                    <w:rPr>
                      <w:rFonts w:hint="eastAsia" w:ascii="Times New Roman" w:hAnsi="Times New Roman" w:eastAsia="宋体" w:cs="Times New Roman"/>
                      <w:color w:val="auto"/>
                    </w:rPr>
                    <w:t>禁止的落后产能项目</w:t>
                  </w:r>
                </w:p>
              </w:tc>
              <w:tc>
                <w:tcPr>
                  <w:tcW w:w="916" w:type="dxa"/>
                  <w:noWrap w:val="0"/>
                  <w:vAlign w:val="center"/>
                </w:tcPr>
                <w:p w14:paraId="5105EACB">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符合</w:t>
                  </w:r>
                </w:p>
              </w:tc>
            </w:tr>
          </w:tbl>
          <w:p w14:paraId="67FE23F9">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482" w:firstLineChars="200"/>
              <w:textAlignment w:val="auto"/>
              <w:rPr>
                <w:rFonts w:hint="eastAsia"/>
                <w:b/>
                <w:bCs/>
                <w:color w:val="000000"/>
                <w:sz w:val="24"/>
                <w:szCs w:val="24"/>
                <w:lang w:val="en-US" w:eastAsia="zh-CN"/>
              </w:rPr>
            </w:pPr>
            <w:r>
              <w:rPr>
                <w:rFonts w:hint="eastAsia"/>
                <w:b/>
                <w:bCs/>
                <w:color w:val="000000"/>
                <w:sz w:val="24"/>
                <w:szCs w:val="24"/>
                <w:lang w:val="en-US" w:eastAsia="zh-CN"/>
              </w:rPr>
              <w:t>9、与《四川省工业炉窑大气污染综合治理实施清单》符合性分析</w:t>
            </w:r>
          </w:p>
          <w:p w14:paraId="7E28BA41">
            <w:pPr>
              <w:pStyle w:val="2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b w:val="0"/>
                <w:bCs w:val="0"/>
                <w:color w:val="000000"/>
                <w:sz w:val="24"/>
                <w:szCs w:val="24"/>
                <w:lang w:val="en-US" w:eastAsia="zh-CN"/>
              </w:rPr>
            </w:pPr>
            <w:r>
              <w:rPr>
                <w:rFonts w:hint="eastAsia"/>
                <w:b w:val="0"/>
                <w:bCs w:val="0"/>
                <w:color w:val="000000"/>
                <w:sz w:val="24"/>
                <w:szCs w:val="24"/>
                <w:lang w:val="en-US" w:eastAsia="zh-CN"/>
              </w:rPr>
              <w:t>本项目与《四川省工业炉窑大气污染综合治理实施清单》的符合性分析如下表所示：</w:t>
            </w:r>
          </w:p>
          <w:p w14:paraId="2E5D7A61">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宋体" w:cs="Times New Roman"/>
                <w:b/>
                <w:bCs/>
                <w:color w:val="000000"/>
                <w:kern w:val="0"/>
                <w:sz w:val="24"/>
                <w:lang w:val="en-US" w:eastAsia="zh-CN"/>
              </w:rPr>
            </w:pPr>
            <w:r>
              <w:rPr>
                <w:rFonts w:hint="eastAsia" w:ascii="Times New Roman" w:hAnsi="Times New Roman" w:eastAsia="宋体" w:cs="Times New Roman"/>
                <w:b/>
                <w:bCs/>
                <w:color w:val="000000"/>
                <w:kern w:val="0"/>
                <w:sz w:val="24"/>
                <w:lang w:val="en-US" w:eastAsia="zh-CN"/>
              </w:rPr>
              <w:t xml:space="preserve"> 项目与《四川省工业炉窑大气污染综合治理实施清单》符合性分析</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3812"/>
              <w:gridCol w:w="3221"/>
              <w:gridCol w:w="665"/>
            </w:tblGrid>
            <w:tr w14:paraId="1B47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682" w:type="dxa"/>
                  <w:noWrap w:val="0"/>
                  <w:vAlign w:val="center"/>
                </w:tcPr>
                <w:p w14:paraId="40FD7DC2">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序号</w:t>
                  </w:r>
                </w:p>
              </w:tc>
              <w:tc>
                <w:tcPr>
                  <w:tcW w:w="3812" w:type="dxa"/>
                  <w:noWrap w:val="0"/>
                  <w:vAlign w:val="center"/>
                </w:tcPr>
                <w:p w14:paraId="736A4919">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清单要求</w:t>
                  </w:r>
                </w:p>
              </w:tc>
              <w:tc>
                <w:tcPr>
                  <w:tcW w:w="3221" w:type="dxa"/>
                  <w:noWrap w:val="0"/>
                  <w:vAlign w:val="center"/>
                </w:tcPr>
                <w:p w14:paraId="28EEC839">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本项目相关情况</w:t>
                  </w:r>
                </w:p>
              </w:tc>
              <w:tc>
                <w:tcPr>
                  <w:tcW w:w="665" w:type="dxa"/>
                  <w:noWrap w:val="0"/>
                  <w:vAlign w:val="center"/>
                </w:tcPr>
                <w:p w14:paraId="452B108C">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符合性</w:t>
                  </w:r>
                </w:p>
              </w:tc>
            </w:tr>
            <w:tr w14:paraId="6ACD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6054615D">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1</w:t>
                  </w:r>
                </w:p>
              </w:tc>
              <w:tc>
                <w:tcPr>
                  <w:tcW w:w="3812" w:type="dxa"/>
                  <w:noWrap w:val="0"/>
                  <w:vAlign w:val="center"/>
                </w:tcPr>
                <w:p w14:paraId="1857F302">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加大产业结构调整力度。严格建设项目环境准入。新建涉工业炉窑的建设项目，原则上要入工业园区，配套建设高效环保治理设施。加大落后产能和不达标工业炉窑淘汰力度。分行业清理淘汰《产业结构调整目录》淘汰类工业炉窑。</w:t>
                  </w:r>
                </w:p>
              </w:tc>
              <w:tc>
                <w:tcPr>
                  <w:tcW w:w="3221" w:type="dxa"/>
                  <w:noWrap w:val="0"/>
                  <w:vAlign w:val="center"/>
                </w:tcPr>
                <w:p w14:paraId="50A9FC25">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本项目位于四川巴中平昌经济开发区星光工业园，配套建设了高效的环境治理措施，能够实现达标排放。本项目设备均不属于《产业结构调整目录》淘汰类设备。</w:t>
                  </w:r>
                </w:p>
              </w:tc>
              <w:tc>
                <w:tcPr>
                  <w:tcW w:w="665" w:type="dxa"/>
                  <w:noWrap w:val="0"/>
                  <w:vAlign w:val="center"/>
                </w:tcPr>
                <w:p w14:paraId="475C25F1">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0EAE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7F4D9C9">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2</w:t>
                  </w:r>
                </w:p>
              </w:tc>
              <w:tc>
                <w:tcPr>
                  <w:tcW w:w="3812" w:type="dxa"/>
                  <w:noWrap w:val="0"/>
                  <w:vAlign w:val="center"/>
                </w:tcPr>
                <w:p w14:paraId="272746BA">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实施工业窑炉污染全面治理，暂未制订行业排放标准的工业炉窑……成都、德阳、绵阳、乐山、眉山、资阳、遂宁、雅安等成都平原经济区8个市和自贡、泸州、内江、宜宾等川南片区4个市的大气污染防治重点区域可以按照颗粒物、二氧化硫、氮氧化物排放限值分别不高于30、200、300毫克/立方米实施改造，其中，日用玻璃、玻璃棉氮氧化物排放限值不高于400毫克/立方米。</w:t>
                  </w:r>
                </w:p>
              </w:tc>
              <w:tc>
                <w:tcPr>
                  <w:tcW w:w="3221" w:type="dxa"/>
                  <w:noWrap w:val="0"/>
                  <w:vAlign w:val="center"/>
                </w:tcPr>
                <w:p w14:paraId="30C5DB7C">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项目颗粒物、二氧化硫、氮氧化物参照执行该排放限值</w:t>
                  </w:r>
                </w:p>
              </w:tc>
              <w:tc>
                <w:tcPr>
                  <w:tcW w:w="665" w:type="dxa"/>
                  <w:noWrap w:val="0"/>
                  <w:vAlign w:val="center"/>
                </w:tcPr>
                <w:p w14:paraId="2AC1179C">
                  <w:pPr>
                    <w:pStyle w:val="26"/>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bl>
          <w:p w14:paraId="581E0110">
            <w:pPr>
              <w:pStyle w:val="26"/>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82" w:firstLineChars="200"/>
              <w:textAlignment w:val="auto"/>
              <w:rPr>
                <w:rFonts w:hint="eastAsia"/>
                <w:b/>
                <w:bCs/>
                <w:color w:val="000000"/>
                <w:sz w:val="24"/>
                <w:szCs w:val="24"/>
                <w:lang w:val="en-US" w:eastAsia="zh-CN"/>
              </w:rPr>
            </w:pPr>
            <w:r>
              <w:rPr>
                <w:rFonts w:hint="eastAsia"/>
                <w:b/>
                <w:bCs/>
                <w:color w:val="000000"/>
                <w:sz w:val="24"/>
                <w:szCs w:val="24"/>
                <w:lang w:val="en-US" w:eastAsia="zh-CN"/>
              </w:rPr>
              <w:t>与《锂离子电池及相关电池材料制造建设项目环境影响评价文件审批原则》的符合性分析</w:t>
            </w:r>
          </w:p>
          <w:p w14:paraId="0408B0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olor w:val="000000"/>
                <w:sz w:val="24"/>
                <w:szCs w:val="24"/>
                <w:lang w:val="en-US" w:eastAsia="zh-CN"/>
              </w:rPr>
            </w:pPr>
            <w:r>
              <w:rPr>
                <w:rFonts w:hint="eastAsia"/>
                <w:color w:val="000000"/>
                <w:sz w:val="24"/>
                <w:szCs w:val="24"/>
                <w:lang w:val="en-US" w:eastAsia="zh-CN"/>
              </w:rPr>
              <w:t>本项目与《锂离子电池及相关电池材料制造建设项目环境影响评价文件审批原则》的符合性分析如下表所示：</w:t>
            </w:r>
          </w:p>
          <w:p w14:paraId="1B54240A">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eastAsia"/>
                <w:b/>
                <w:bCs/>
                <w:color w:val="000000"/>
                <w:sz w:val="24"/>
                <w:szCs w:val="24"/>
                <w:lang w:val="en-US" w:eastAsia="zh-CN"/>
              </w:rPr>
            </w:pPr>
            <w:r>
              <w:rPr>
                <w:rFonts w:hint="eastAsia"/>
                <w:b/>
                <w:bCs/>
                <w:color w:val="000000"/>
                <w:sz w:val="24"/>
                <w:szCs w:val="24"/>
                <w:lang w:val="en-US" w:eastAsia="zh-CN"/>
              </w:rPr>
              <w:t xml:space="preserve"> 项目与《锂离子电池及相关电池材料制造建设项目环境影响评价文件审批原则》符合性分析</w:t>
            </w:r>
          </w:p>
          <w:tbl>
            <w:tblPr>
              <w:tblStyle w:val="32"/>
              <w:tblW w:w="8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4271"/>
              <w:gridCol w:w="2618"/>
              <w:gridCol w:w="769"/>
            </w:tblGrid>
            <w:tr w14:paraId="4AB4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0F1AC8B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序号</w:t>
                  </w:r>
                </w:p>
              </w:tc>
              <w:tc>
                <w:tcPr>
                  <w:tcW w:w="4271" w:type="dxa"/>
                  <w:noWrap w:val="0"/>
                  <w:vAlign w:val="center"/>
                </w:tcPr>
                <w:p w14:paraId="1129E40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清单要求</w:t>
                  </w:r>
                </w:p>
              </w:tc>
              <w:tc>
                <w:tcPr>
                  <w:tcW w:w="2618" w:type="dxa"/>
                  <w:noWrap w:val="0"/>
                  <w:vAlign w:val="center"/>
                </w:tcPr>
                <w:p w14:paraId="2959ABD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本项目相关情况</w:t>
                  </w:r>
                </w:p>
              </w:tc>
              <w:tc>
                <w:tcPr>
                  <w:tcW w:w="769" w:type="dxa"/>
                  <w:noWrap w:val="0"/>
                  <w:vAlign w:val="center"/>
                </w:tcPr>
                <w:p w14:paraId="7CF5ACB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符合性</w:t>
                  </w:r>
                </w:p>
              </w:tc>
            </w:tr>
            <w:tr w14:paraId="4289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3352DD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1</w:t>
                  </w:r>
                </w:p>
              </w:tc>
              <w:tc>
                <w:tcPr>
                  <w:tcW w:w="4271" w:type="dxa"/>
                  <w:noWrap w:val="0"/>
                  <w:vAlign w:val="center"/>
                </w:tcPr>
                <w:p w14:paraId="7B8C07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第二条 项目应符合生态环境保护相关法律法规、法定规划，以及相关产业结构调整、区域及行业碳达峰碳中和目标、重点污染物总量控制等政策要求。</w:t>
                  </w:r>
                </w:p>
              </w:tc>
              <w:tc>
                <w:tcPr>
                  <w:tcW w:w="2618" w:type="dxa"/>
                  <w:vMerge w:val="restart"/>
                  <w:noWrap w:val="0"/>
                  <w:vAlign w:val="center"/>
                </w:tcPr>
                <w:p w14:paraId="1684C9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项目符合生态环境保护相关法律法规、法定规划，符合国家产业政策，本项目所在地无区域及行业碳达峰碳</w:t>
                  </w:r>
                  <w:bookmarkStart w:id="52" w:name="_GoBack"/>
                  <w:bookmarkEnd w:id="52"/>
                  <w:r>
                    <w:rPr>
                      <w:rFonts w:hint="eastAsia"/>
                      <w:color w:val="000000"/>
                      <w:sz w:val="21"/>
                      <w:szCs w:val="21"/>
                      <w:vertAlign w:val="baseline"/>
                      <w:lang w:val="en-US" w:eastAsia="zh-CN"/>
                    </w:rPr>
                    <w:t>中和目标，本项目污染物总量控制符合要求。本项目位于四川巴中平昌经济开发区星光工业园，该园区为依法合规设立的产业园，项目符合园区规划及规划环评，符合生态环境分区管控要求。</w:t>
                  </w:r>
                </w:p>
              </w:tc>
              <w:tc>
                <w:tcPr>
                  <w:tcW w:w="769" w:type="dxa"/>
                  <w:noWrap w:val="0"/>
                  <w:vAlign w:val="center"/>
                </w:tcPr>
                <w:p w14:paraId="6EACEC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7F2F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7C1A69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2</w:t>
                  </w:r>
                </w:p>
              </w:tc>
              <w:tc>
                <w:tcPr>
                  <w:tcW w:w="4271" w:type="dxa"/>
                  <w:noWrap w:val="0"/>
                  <w:vAlign w:val="center"/>
                </w:tcPr>
                <w:p w14:paraId="5912C2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第三条 项目选址应符合生态环境分区管控要求，不得位于法律法规明令禁止建设的区域，应避开生态保护红线。新建、扩建涉及正极材料前驱体和锂盐制造的建设项目（盐湖资源类锂盐制造项目除外）应布设在依法合规设立的产业园区内，符合园区规划及规划环境影响评价要求。</w:t>
                  </w:r>
                </w:p>
              </w:tc>
              <w:tc>
                <w:tcPr>
                  <w:tcW w:w="2618" w:type="dxa"/>
                  <w:vMerge w:val="continue"/>
                  <w:noWrap w:val="0"/>
                  <w:vAlign w:val="center"/>
                </w:tcPr>
                <w:p w14:paraId="32184D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p>
              </w:tc>
              <w:tc>
                <w:tcPr>
                  <w:tcW w:w="769" w:type="dxa"/>
                  <w:noWrap w:val="0"/>
                  <w:vAlign w:val="center"/>
                </w:tcPr>
                <w:p w14:paraId="3E0F25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532E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6455AD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3</w:t>
                  </w:r>
                </w:p>
              </w:tc>
              <w:tc>
                <w:tcPr>
                  <w:tcW w:w="4271" w:type="dxa"/>
                  <w:noWrap w:val="0"/>
                  <w:vAlign w:val="center"/>
                </w:tcPr>
                <w:p w14:paraId="3566CE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第四条 新建、改建、扩建项目应采用资源利用率高、污染物产生量小的清洁生产技术、工艺和设备，单位产品的能耗、物耗、水耗、资源综合利用和污染物控制等指标应达到行业先进水平。</w:t>
                  </w:r>
                </w:p>
              </w:tc>
              <w:tc>
                <w:tcPr>
                  <w:tcW w:w="2618" w:type="dxa"/>
                  <w:noWrap w:val="0"/>
                  <w:vAlign w:val="center"/>
                </w:tcPr>
                <w:p w14:paraId="345FB1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本项目选用清洁原料、清洁能源，污染物排放量处于国内先进水平。</w:t>
                  </w:r>
                </w:p>
              </w:tc>
              <w:tc>
                <w:tcPr>
                  <w:tcW w:w="769" w:type="dxa"/>
                  <w:noWrap w:val="0"/>
                  <w:vAlign w:val="center"/>
                </w:tcPr>
                <w:p w14:paraId="7C2A4D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1F77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1" w:hRule="atLeast"/>
                <w:jc w:val="center"/>
              </w:trPr>
              <w:tc>
                <w:tcPr>
                  <w:tcW w:w="650" w:type="dxa"/>
                  <w:noWrap w:val="0"/>
                  <w:vAlign w:val="center"/>
                </w:tcPr>
                <w:p w14:paraId="361BF8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4</w:t>
                  </w:r>
                </w:p>
              </w:tc>
              <w:tc>
                <w:tcPr>
                  <w:tcW w:w="4271" w:type="dxa"/>
                  <w:noWrap w:val="0"/>
                  <w:vAlign w:val="center"/>
                </w:tcPr>
                <w:p w14:paraId="03C149F8">
                  <w:pPr>
                    <w:keepNext w:val="0"/>
                    <w:keepLines w:val="0"/>
                    <w:pageBreakBefore w:val="0"/>
                    <w:widowControl w:val="0"/>
                    <w:numPr>
                      <w:ilvl w:val="0"/>
                      <w:numId w:val="12"/>
                    </w:numPr>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项目应根据工程内容、原辅材料性质、工艺流程情况配备高效的除尘、脱硫、脱硝以及特征污染物治理设施，依据废气特征等合理选择治理技术......涉及使用 VOCs 物料的，厂区内挥发性有机物无组织排放控制还应符合《挥发性有机物无组织排放控制标准》（GB 37822）相关要求。大气环境防护距离范围内不应有居民区、学校、医院等环境敏感目标。有地方污染物排放标准的，废气排放还应符合地方标准要求。</w:t>
                  </w:r>
                </w:p>
              </w:tc>
              <w:tc>
                <w:tcPr>
                  <w:tcW w:w="2618" w:type="dxa"/>
                  <w:noWrap w:val="0"/>
                  <w:vAlign w:val="center"/>
                </w:tcPr>
                <w:p w14:paraId="1F195E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000000"/>
                      <w:sz w:val="21"/>
                      <w:szCs w:val="21"/>
                      <w:vertAlign w:val="baseline"/>
                      <w:lang w:val="en-US" w:eastAsia="zh-CN"/>
                    </w:rPr>
                  </w:pPr>
                  <w:r>
                    <w:rPr>
                      <w:rFonts w:hint="eastAsia"/>
                      <w:color w:val="auto"/>
                      <w:sz w:val="21"/>
                      <w:szCs w:val="21"/>
                      <w:vertAlign w:val="baseline"/>
                      <w:lang w:val="en-US" w:eastAsia="zh-CN"/>
                    </w:rPr>
                    <w:t>项目高温碳化废气采用窑内内循环燃烧，然后经隧道窑自带的抽风装置送至“降温塔+脱硫塔（双碱法脱硫）+电捕焦油器”处理</w:t>
                  </w:r>
                  <w:r>
                    <w:rPr>
                      <w:rFonts w:hint="eastAsia"/>
                      <w:color w:val="000000"/>
                      <w:sz w:val="21"/>
                      <w:szCs w:val="21"/>
                      <w:vertAlign w:val="baseline"/>
                      <w:lang w:val="en-US" w:eastAsia="zh-CN"/>
                    </w:rPr>
                    <w:t>后由1根33m高排气筒达标排放。</w:t>
                  </w:r>
                  <w:r>
                    <w:rPr>
                      <w:rFonts w:hint="eastAsia"/>
                      <w:color w:val="000000"/>
                      <w:lang w:eastAsia="zh-CN"/>
                    </w:rPr>
                    <w:t>根据大气专项评价结论，本项目厂界外大气污染物短期贡献浓度未超过环境质量浓度限值，因此无需自厂界向外设置大气环境防护距离。</w:t>
                  </w:r>
                </w:p>
              </w:tc>
              <w:tc>
                <w:tcPr>
                  <w:tcW w:w="769" w:type="dxa"/>
                  <w:noWrap w:val="0"/>
                  <w:vAlign w:val="center"/>
                </w:tcPr>
                <w:p w14:paraId="0360ECE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632A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6CDF4E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5</w:t>
                  </w:r>
                </w:p>
              </w:tc>
              <w:tc>
                <w:tcPr>
                  <w:tcW w:w="4271" w:type="dxa"/>
                  <w:noWrap w:val="0"/>
                  <w:vAlign w:val="center"/>
                </w:tcPr>
                <w:p w14:paraId="4A3B49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第六条 鼓励将温室气体排放纳入建设项目环境影响评价，核算项目温室气体排放量，推进减污降碳协同增效，推动减碳技术创新示范应用。优先采用电、天然气等清洁能源或新能源加热方式，鼓励高温烟气余热回收。</w:t>
                  </w:r>
                </w:p>
              </w:tc>
              <w:tc>
                <w:tcPr>
                  <w:tcW w:w="2618" w:type="dxa"/>
                  <w:noWrap w:val="0"/>
                  <w:vAlign w:val="center"/>
                </w:tcPr>
                <w:p w14:paraId="4D2873C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项目采用电、天然气等清洁能源，能够有效降低碳排放。</w:t>
                  </w:r>
                </w:p>
              </w:tc>
              <w:tc>
                <w:tcPr>
                  <w:tcW w:w="769" w:type="dxa"/>
                  <w:noWrap w:val="0"/>
                  <w:vAlign w:val="center"/>
                </w:tcPr>
                <w:p w14:paraId="1C37523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7F54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3F5480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6</w:t>
                  </w:r>
                </w:p>
              </w:tc>
              <w:tc>
                <w:tcPr>
                  <w:tcW w:w="4271" w:type="dxa"/>
                  <w:noWrap w:val="0"/>
                  <w:vAlign w:val="center"/>
                </w:tcPr>
                <w:p w14:paraId="4DDD94A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第七条 做好清污分流、雨污分流、分类收集、分质处理。生产废水优先回用，污染雨水收集处理。严禁生产废水未经有效处理直接排入城镇污水收集处理系统。石墨类负极材料制造等执行《污水综合排放标准》（GB8978）相关要求。</w:t>
                  </w:r>
                </w:p>
              </w:tc>
              <w:tc>
                <w:tcPr>
                  <w:tcW w:w="2618" w:type="dxa"/>
                  <w:noWrap w:val="0"/>
                  <w:vAlign w:val="center"/>
                </w:tcPr>
                <w:p w14:paraId="7B67AF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项目清污分流、雨污分</w:t>
                  </w:r>
                </w:p>
                <w:p w14:paraId="6E9AC08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流，本项目冷却水循环使用，不外排，脱硫废水经沉淀处理后循环使用，不外排。生活污水经厂区配套预处理设施处理后排入园区管网，最终进入星光工业园区污水处理厂处理达标后排入巴河。</w:t>
                  </w:r>
                </w:p>
              </w:tc>
              <w:tc>
                <w:tcPr>
                  <w:tcW w:w="769" w:type="dxa"/>
                  <w:noWrap w:val="0"/>
                  <w:vAlign w:val="center"/>
                </w:tcPr>
                <w:p w14:paraId="3F77392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2F5A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6EFB72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7</w:t>
                  </w:r>
                </w:p>
              </w:tc>
              <w:tc>
                <w:tcPr>
                  <w:tcW w:w="4271" w:type="dxa"/>
                  <w:noWrap w:val="0"/>
                  <w:vAlign w:val="center"/>
                </w:tcPr>
                <w:p w14:paraId="3998B5E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第八条 土壤及地下水污染防治应坚持源头控制、分区防控、跟踪监测和应急响应的防控原则。项目应对涉及有毒有害物质生产、使用、贮存、运输、回收、处置、排放的装置、设备设施及场所，提出防腐蚀、防渗漏、防流失、防扬散等土壤和地下水污染防治具体措施，并根据环境保护目标的敏感程度、项目平面布局、水文地质条件等采取分区防渗措施，提出有效的土壤、地下水监控和应急方案，避免污染土壤和地下水。对于可能受影响的地下水环境敏感目标，应提出保护措施；涉及饮用水功能的，强化地下水环境保护措施，确保饮用水安全。涉及土壤污染重点监管单位的新建、改建、扩建项目，需提出土壤污染隐患排查、土壤和地下水自行监测相关要求。</w:t>
                  </w:r>
                </w:p>
              </w:tc>
              <w:tc>
                <w:tcPr>
                  <w:tcW w:w="2618" w:type="dxa"/>
                  <w:noWrap w:val="0"/>
                  <w:vAlign w:val="center"/>
                </w:tcPr>
                <w:p w14:paraId="6925A65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本项目针对土壤、地下水均提出针对性的防范措施，厂区采取分区防渗，可有效降低地下水污染风险。</w:t>
                  </w:r>
                </w:p>
              </w:tc>
              <w:tc>
                <w:tcPr>
                  <w:tcW w:w="769" w:type="dxa"/>
                  <w:noWrap w:val="0"/>
                  <w:vAlign w:val="center"/>
                </w:tcPr>
                <w:p w14:paraId="450BF75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7C1B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5B906DB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8</w:t>
                  </w:r>
                </w:p>
              </w:tc>
              <w:tc>
                <w:tcPr>
                  <w:tcW w:w="4271" w:type="dxa"/>
                  <w:noWrap w:val="0"/>
                  <w:vAlign w:val="center"/>
                </w:tcPr>
                <w:p w14:paraId="5E2403F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第九条 按照减量化、资源化、无害化原则，妥善处理处置固体废物。固体废物贮存和处置应符合《危险废物贮存污染控制标准》（GB18597）、《危险废物填埋污染控制标准》（GB18598）、《一般工业固体废物贮存和填埋污染控制标准》（GB18599）、《危险废物焚烧污染控制标准》（GB18484）等相关要求。</w:t>
                  </w:r>
                </w:p>
              </w:tc>
              <w:tc>
                <w:tcPr>
                  <w:tcW w:w="2618" w:type="dxa"/>
                  <w:noWrap w:val="0"/>
                  <w:vAlign w:val="center"/>
                </w:tcPr>
                <w:p w14:paraId="623D302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项目固废贮存和处置应符合《危险废物贮存污染控制标准》（GB18597）、《一般工业固体废物贮存和填埋污染控制标准》（GB 18599）标准，固废均妥善处置，不会造成二次污染。</w:t>
                  </w:r>
                </w:p>
              </w:tc>
              <w:tc>
                <w:tcPr>
                  <w:tcW w:w="769" w:type="dxa"/>
                  <w:noWrap w:val="0"/>
                  <w:vAlign w:val="center"/>
                </w:tcPr>
                <w:p w14:paraId="513F2A3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39B3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79B8ED8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9</w:t>
                  </w:r>
                </w:p>
              </w:tc>
              <w:tc>
                <w:tcPr>
                  <w:tcW w:w="4271" w:type="dxa"/>
                  <w:noWrap w:val="0"/>
                  <w:vAlign w:val="center"/>
                </w:tcPr>
                <w:p w14:paraId="3A88A4E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第十条 优化厂区平面布置，优先选择低噪声设备和工艺，采取减振、隔声、消声等措施有效控制噪声污染。加强厂区内固定设备、运输工具、货物装卸等噪声源管理，同时避免突发噪声扰民。厂界噪声应满足《工业企业厂界环境噪声排放标准》（GB12348）要求。位于噪声敏感建筑物集中区域的改建、扩建项目，应强化噪声污染防治措施，进一步降低噪声影响。</w:t>
                  </w:r>
                </w:p>
              </w:tc>
              <w:tc>
                <w:tcPr>
                  <w:tcW w:w="2618" w:type="dxa"/>
                  <w:noWrap w:val="0"/>
                  <w:vAlign w:val="center"/>
                </w:tcPr>
                <w:p w14:paraId="0F41782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项目优先选择低噪声设备，采取减振、隔声、消声等措施，经预测，厂界噪声能实现达标。</w:t>
                  </w:r>
                </w:p>
              </w:tc>
              <w:tc>
                <w:tcPr>
                  <w:tcW w:w="769" w:type="dxa"/>
                  <w:noWrap w:val="0"/>
                  <w:vAlign w:val="center"/>
                </w:tcPr>
                <w:p w14:paraId="4FAF36F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1692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281BDA8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10</w:t>
                  </w:r>
                </w:p>
              </w:tc>
              <w:tc>
                <w:tcPr>
                  <w:tcW w:w="4271" w:type="dxa"/>
                  <w:noWrap w:val="0"/>
                  <w:vAlign w:val="center"/>
                </w:tcPr>
                <w:p w14:paraId="104ED6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第十一条 严密防控项目环境风险，建立完善的环境风险防控体系，提升环境风险防控能力，确保环境风险防范和应急措施合理、有效。针对项目可能产生的突发环境事件制定有效的风险防范和应急措施，建立项目环</w:t>
                  </w:r>
                </w:p>
                <w:p w14:paraId="6235145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境风险防范与应急管理体系，提出运行期突发环境事件应急预案编制要求。</w:t>
                  </w:r>
                </w:p>
              </w:tc>
              <w:tc>
                <w:tcPr>
                  <w:tcW w:w="2618" w:type="dxa"/>
                  <w:noWrap w:val="0"/>
                  <w:vAlign w:val="center"/>
                </w:tcPr>
                <w:p w14:paraId="7967332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本次评价提出本项目实施后企业需编制突发环境事件应急预案。</w:t>
                  </w:r>
                </w:p>
              </w:tc>
              <w:tc>
                <w:tcPr>
                  <w:tcW w:w="769" w:type="dxa"/>
                  <w:noWrap w:val="0"/>
                  <w:vAlign w:val="center"/>
                </w:tcPr>
                <w:p w14:paraId="61718DF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r w14:paraId="5CE2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noWrap w:val="0"/>
                  <w:vAlign w:val="center"/>
                </w:tcPr>
                <w:p w14:paraId="67711A8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11</w:t>
                  </w:r>
                </w:p>
              </w:tc>
              <w:tc>
                <w:tcPr>
                  <w:tcW w:w="4271" w:type="dxa"/>
                  <w:noWrap w:val="0"/>
                  <w:vAlign w:val="center"/>
                </w:tcPr>
                <w:p w14:paraId="41E9FEE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第十三条 明确项目实施后的环境管理要求和环境监测计划。根据自行监测技术指南和排污许可证申请与核发技术规范要求，制定废水、废气污染物排放及厂界环境噪声监测计划并开展监测，监测位置应符合技术规范要求。负极材料制造等项目应关注苯并[a]芘等特征污染物的累积环境影响。</w:t>
                  </w:r>
                </w:p>
              </w:tc>
              <w:tc>
                <w:tcPr>
                  <w:tcW w:w="2618" w:type="dxa"/>
                  <w:noWrap w:val="0"/>
                  <w:vAlign w:val="center"/>
                </w:tcPr>
                <w:p w14:paraId="32B21CC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项目已明确实施后的环境管理要求和环境监测计划，建设单位拟根据自行监测技术指南和排污许可证申请与核发技术规范要求，制定废水、废气污染物排放及厂界环境噪声监测计划并开展监测。</w:t>
                  </w:r>
                </w:p>
              </w:tc>
              <w:tc>
                <w:tcPr>
                  <w:tcW w:w="769" w:type="dxa"/>
                  <w:noWrap w:val="0"/>
                  <w:vAlign w:val="center"/>
                </w:tcPr>
                <w:p w14:paraId="5A03837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000000"/>
                      <w:sz w:val="21"/>
                      <w:szCs w:val="21"/>
                      <w:vertAlign w:val="baseline"/>
                      <w:lang w:val="en-US" w:eastAsia="zh-CN"/>
                    </w:rPr>
                  </w:pPr>
                  <w:r>
                    <w:rPr>
                      <w:rFonts w:hint="eastAsia"/>
                      <w:color w:val="000000"/>
                      <w:sz w:val="21"/>
                      <w:szCs w:val="21"/>
                      <w:vertAlign w:val="baseline"/>
                      <w:lang w:val="en-US" w:eastAsia="zh-CN"/>
                    </w:rPr>
                    <w:t>符合</w:t>
                  </w:r>
                </w:p>
              </w:tc>
            </w:tr>
          </w:tbl>
          <w:p w14:paraId="2DA19095">
            <w:pPr>
              <w:pStyle w:val="26"/>
              <w:ind w:left="0" w:leftChars="0" w:firstLine="0" w:firstLineChars="0"/>
              <w:rPr>
                <w:rFonts w:hint="eastAsia"/>
                <w:color w:val="000000"/>
                <w:lang w:val="en-US" w:eastAsia="zh-CN"/>
              </w:rPr>
            </w:pPr>
          </w:p>
          <w:p w14:paraId="519DB101">
            <w:pPr>
              <w:pStyle w:val="24"/>
              <w:keepNext w:val="0"/>
              <w:keepLines w:val="0"/>
              <w:pageBreakBefore w:val="0"/>
              <w:kinsoku/>
              <w:wordWrap/>
              <w:overflowPunct/>
              <w:topLinePunct w:val="0"/>
              <w:autoSpaceDE/>
              <w:autoSpaceDN/>
              <w:bidi w:val="0"/>
              <w:adjustRightInd/>
              <w:spacing w:before="0" w:after="0" w:line="360" w:lineRule="auto"/>
              <w:ind w:right="0" w:firstLine="482" w:firstLineChars="200"/>
              <w:jc w:val="both"/>
              <w:textAlignment w:val="auto"/>
              <w:rPr>
                <w:rFonts w:hint="eastAsia"/>
                <w:color w:val="000000"/>
                <w:lang w:val="en-US" w:eastAsia="zh-CN"/>
              </w:rPr>
            </w:pPr>
            <w:r>
              <w:rPr>
                <w:rFonts w:hint="eastAsia"/>
                <w:color w:val="000000"/>
                <w:sz w:val="24"/>
                <w:szCs w:val="24"/>
                <w:lang w:val="en-US" w:eastAsia="zh-CN"/>
              </w:rPr>
              <w:t>九、与“生态环境分区管控”符合性分析</w:t>
            </w:r>
          </w:p>
          <w:p w14:paraId="3EF8CF7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b/>
                <w:bCs/>
                <w:color w:val="000000"/>
                <w:kern w:val="0"/>
                <w:sz w:val="24"/>
                <w:lang w:bidi="ar"/>
              </w:rPr>
            </w:pPr>
            <w:r>
              <w:rPr>
                <w:rFonts w:hint="eastAsia" w:ascii="Times New Roman" w:hAnsi="Times New Roman" w:eastAsia="宋体" w:cs="Times New Roman"/>
                <w:b w:val="0"/>
                <w:bCs w:val="0"/>
                <w:color w:val="000000"/>
                <w:kern w:val="0"/>
                <w:sz w:val="24"/>
                <w:lang w:val="en-US" w:eastAsia="zh-CN" w:bidi="ar"/>
              </w:rPr>
              <w:t>（1）环境管控单元</w:t>
            </w:r>
            <w:r>
              <w:rPr>
                <w:rFonts w:hint="eastAsia" w:ascii="Times New Roman" w:hAnsi="Times New Roman" w:eastAsia="宋体" w:cs="Times New Roman"/>
                <w:b/>
                <w:bCs/>
                <w:color w:val="000000"/>
                <w:kern w:val="0"/>
                <w:sz w:val="24"/>
                <w:lang w:val="en-US" w:eastAsia="zh-CN" w:bidi="ar"/>
              </w:rPr>
              <w:t xml:space="preserve"> </w:t>
            </w:r>
          </w:p>
          <w:p w14:paraId="75E8BD6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000000"/>
                <w:kern w:val="0"/>
                <w:sz w:val="24"/>
                <w:lang w:val="en-US" w:eastAsia="zh-CN" w:bidi="ar"/>
              </w:rPr>
            </w:pPr>
            <w:r>
              <w:rPr>
                <w:rFonts w:hint="eastAsia" w:ascii="Times New Roman" w:hAnsi="Times New Roman" w:eastAsia="宋体" w:cs="Times New Roman"/>
                <w:color w:val="000000"/>
                <w:kern w:val="0"/>
                <w:sz w:val="24"/>
                <w:lang w:val="en-US" w:eastAsia="zh-CN" w:bidi="ar"/>
              </w:rPr>
              <w:t>本项目位于</w:t>
            </w:r>
            <w:r>
              <w:rPr>
                <w:rFonts w:hint="eastAsia"/>
                <w:color w:val="000000"/>
                <w:sz w:val="24"/>
              </w:rPr>
              <w:t>四川省巴中市平昌县经济开发区星光工业园兆祥路1号</w:t>
            </w:r>
            <w:r>
              <w:rPr>
                <w:rFonts w:hint="eastAsia" w:ascii="Times New Roman" w:hAnsi="Times New Roman" w:eastAsia="宋体" w:cs="Times New Roman"/>
                <w:color w:val="000000"/>
                <w:kern w:val="0"/>
                <w:sz w:val="24"/>
                <w:lang w:val="en-US" w:eastAsia="zh-CN" w:bidi="ar"/>
              </w:rPr>
              <w:t>，根据四川政务服务网生态环境分区管控数据分析系统查询结果，该项目涉及环境管控单元</w:t>
            </w:r>
            <w:r>
              <w:rPr>
                <w:rFonts w:hint="eastAsia" w:ascii="Times New Roman" w:hAnsi="Times New Roman" w:cs="Times New Roman"/>
                <w:color w:val="000000"/>
                <w:kern w:val="0"/>
                <w:sz w:val="24"/>
                <w:lang w:val="en-US" w:eastAsia="zh-CN" w:bidi="ar"/>
              </w:rPr>
              <w:t>1</w:t>
            </w:r>
            <w:r>
              <w:rPr>
                <w:rFonts w:hint="eastAsia" w:ascii="Times New Roman" w:hAnsi="Times New Roman" w:eastAsia="宋体" w:cs="Times New Roman"/>
                <w:color w:val="000000"/>
                <w:kern w:val="0"/>
                <w:sz w:val="24"/>
                <w:lang w:val="en-US" w:eastAsia="zh-CN" w:bidi="ar"/>
              </w:rPr>
              <w:t>个，涉及环境要素管控分区</w:t>
            </w:r>
            <w:r>
              <w:rPr>
                <w:rFonts w:hint="eastAsia" w:ascii="Times New Roman" w:hAnsi="Times New Roman" w:cs="Times New Roman"/>
                <w:color w:val="000000"/>
                <w:kern w:val="0"/>
                <w:sz w:val="24"/>
                <w:lang w:val="en-US" w:eastAsia="zh-CN" w:bidi="ar"/>
              </w:rPr>
              <w:t>7</w:t>
            </w:r>
            <w:r>
              <w:rPr>
                <w:rFonts w:hint="eastAsia" w:ascii="Times New Roman" w:hAnsi="Times New Roman" w:eastAsia="宋体" w:cs="Times New Roman"/>
                <w:color w:val="000000"/>
                <w:kern w:val="0"/>
                <w:sz w:val="24"/>
                <w:lang w:val="en-US" w:eastAsia="zh-CN" w:bidi="ar"/>
              </w:rPr>
              <w:t>个，涉及管控单元见下表。</w:t>
            </w:r>
          </w:p>
          <w:p w14:paraId="52D4B8FE">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eastAsia" w:ascii="Times New Roman" w:hAnsi="Times New Roman" w:eastAsia="宋体" w:cs="Times New Roman"/>
                <w:b/>
                <w:bCs/>
                <w:color w:val="000000"/>
                <w:kern w:val="0"/>
                <w:sz w:val="24"/>
                <w:lang w:val="en-US" w:eastAsia="zh-CN"/>
              </w:rPr>
            </w:pPr>
            <w:r>
              <w:rPr>
                <w:rFonts w:hint="eastAsia" w:ascii="Times New Roman" w:hAnsi="Times New Roman" w:eastAsia="宋体" w:cs="Times New Roman"/>
                <w:b/>
                <w:bCs/>
                <w:color w:val="000000"/>
                <w:kern w:val="0"/>
                <w:sz w:val="24"/>
                <w:lang w:val="en-US" w:eastAsia="zh-CN"/>
              </w:rPr>
              <w:t xml:space="preserve"> 本项目涉及的环境管控单元和环境要素管控分区一览表</w:t>
            </w:r>
          </w:p>
          <w:tbl>
            <w:tblPr>
              <w:tblStyle w:val="31"/>
              <w:tblW w:w="817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51"/>
              <w:gridCol w:w="4033"/>
              <w:gridCol w:w="1275"/>
              <w:gridCol w:w="825"/>
              <w:gridCol w:w="1194"/>
            </w:tblGrid>
            <w:tr w14:paraId="1EB63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58" w:hRule="atLeast"/>
                <w:jc w:val="center"/>
              </w:trPr>
              <w:tc>
                <w:tcPr>
                  <w:tcW w:w="851" w:type="dxa"/>
                  <w:tcBorders>
                    <w:top w:val="single" w:color="000000" w:sz="2" w:space="0"/>
                    <w:left w:val="single" w:color="000000" w:sz="2" w:space="0"/>
                    <w:bottom w:val="single" w:color="000000" w:sz="2" w:space="0"/>
                    <w:right w:val="single" w:color="000000" w:sz="2" w:space="0"/>
                  </w:tcBorders>
                  <w:noWrap w:val="0"/>
                  <w:vAlign w:val="center"/>
                </w:tcPr>
                <w:p w14:paraId="6395A2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序号</w:t>
                  </w:r>
                </w:p>
              </w:tc>
              <w:tc>
                <w:tcPr>
                  <w:tcW w:w="4033" w:type="dxa"/>
                  <w:tcBorders>
                    <w:top w:val="single" w:color="000000" w:sz="2" w:space="0"/>
                    <w:left w:val="single" w:color="000000" w:sz="2" w:space="0"/>
                    <w:bottom w:val="single" w:color="000000" w:sz="2" w:space="0"/>
                    <w:right w:val="single" w:color="000000" w:sz="2" w:space="0"/>
                  </w:tcBorders>
                  <w:noWrap w:val="0"/>
                  <w:vAlign w:val="center"/>
                </w:tcPr>
                <w:p w14:paraId="498D65F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涉及环境管控单元名称</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3424F42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涉及环境管控单元编码</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0695F9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行政区划</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5C365ED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环境管控单元类型</w:t>
                  </w:r>
                </w:p>
              </w:tc>
            </w:tr>
            <w:tr w14:paraId="0552D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40" w:hRule="atLeast"/>
                <w:jc w:val="center"/>
              </w:trPr>
              <w:tc>
                <w:tcPr>
                  <w:tcW w:w="851" w:type="dxa"/>
                  <w:tcBorders>
                    <w:top w:val="single" w:color="000000" w:sz="2" w:space="0"/>
                    <w:left w:val="single" w:color="000000" w:sz="2" w:space="0"/>
                    <w:bottom w:val="single" w:color="000000" w:sz="2" w:space="0"/>
                    <w:right w:val="single" w:color="000000" w:sz="2" w:space="0"/>
                  </w:tcBorders>
                  <w:noWrap w:val="0"/>
                  <w:vAlign w:val="center"/>
                </w:tcPr>
                <w:p w14:paraId="380CAEC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4033" w:type="dxa"/>
                  <w:tcBorders>
                    <w:top w:val="single" w:color="000000" w:sz="2" w:space="0"/>
                    <w:left w:val="single" w:color="000000" w:sz="2" w:space="0"/>
                    <w:bottom w:val="single" w:color="000000" w:sz="2" w:space="0"/>
                    <w:right w:val="single" w:color="000000" w:sz="2" w:space="0"/>
                  </w:tcBorders>
                  <w:noWrap w:val="0"/>
                  <w:vAlign w:val="center"/>
                </w:tcPr>
                <w:p w14:paraId="6939FB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平昌经济开发区《星光机械制造产业片区、金宝食品饮料产业片区、驷马清洁能源产业片区、石龙门化工园片区)</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666432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ZH51192320002</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4037A1A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339785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工业重点管控单元</w:t>
                  </w:r>
                </w:p>
              </w:tc>
            </w:tr>
          </w:tbl>
          <w:p w14:paraId="64851A36">
            <w:pPr>
              <w:pStyle w:val="12"/>
              <w:keepNext w:val="0"/>
              <w:keepLines w:val="0"/>
              <w:pageBreakBefore w:val="0"/>
              <w:widowControl w:val="0"/>
              <w:numPr>
                <w:ilvl w:val="0"/>
                <w:numId w:val="4"/>
              </w:numPr>
              <w:kinsoku/>
              <w:wordWrap/>
              <w:overflowPunct/>
              <w:topLinePunct w:val="0"/>
              <w:autoSpaceDE/>
              <w:autoSpaceDN/>
              <w:bidi w:val="0"/>
              <w:adjustRightInd/>
              <w:snapToGrid/>
              <w:spacing w:before="157" w:beforeLines="50"/>
              <w:ind w:left="0" w:leftChars="0" w:right="0" w:rightChars="0" w:firstLine="0" w:firstLineChars="0"/>
              <w:jc w:val="center"/>
              <w:textAlignment w:val="auto"/>
              <w:rPr>
                <w:rFonts w:hint="eastAsia" w:ascii="Times New Roman" w:hAnsi="Times New Roman" w:eastAsia="宋体" w:cs="Times New Roman"/>
                <w:b/>
                <w:bCs/>
                <w:color w:val="000000"/>
                <w:kern w:val="0"/>
                <w:sz w:val="24"/>
                <w:lang w:val="en-US" w:eastAsia="zh-CN"/>
              </w:rPr>
            </w:pPr>
            <w:r>
              <w:rPr>
                <w:rFonts w:hint="eastAsia" w:ascii="Times New Roman" w:hAnsi="Times New Roman" w:eastAsia="宋体" w:cs="Times New Roman"/>
                <w:b/>
                <w:bCs/>
                <w:color w:val="000000"/>
                <w:kern w:val="0"/>
                <w:sz w:val="24"/>
                <w:lang w:val="en-US" w:eastAsia="zh-CN"/>
              </w:rPr>
              <w:t xml:space="preserve"> 本项目涉及的环境管控单元和环境要素管控分区一览表</w:t>
            </w:r>
          </w:p>
          <w:tbl>
            <w:tblPr>
              <w:tblStyle w:val="31"/>
              <w:tblW w:w="818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43"/>
              <w:gridCol w:w="2220"/>
              <w:gridCol w:w="1275"/>
              <w:gridCol w:w="1825"/>
              <w:gridCol w:w="825"/>
              <w:gridCol w:w="1194"/>
            </w:tblGrid>
            <w:tr w14:paraId="797ADF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32DCB9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序号</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7D02B6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涉及环境要素管控分区名称</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644FEA6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涉及环境要素管控分区编码</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2A01A95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行政区划</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0A1EAA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环境要素类型</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50F36BC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b/>
                      <w:color w:val="000000"/>
                      <w:sz w:val="21"/>
                      <w:szCs w:val="21"/>
                    </w:rPr>
                    <w:t>环境要素细类</w:t>
                  </w:r>
                </w:p>
              </w:tc>
            </w:tr>
            <w:tr w14:paraId="07F96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7D3B6F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2BE27D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巴河-平昌县-江陵-控制单元</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146421B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YS5119232210001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7B0C40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7A43A6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水</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3517C4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水环境工业污染重点管控区</w:t>
                  </w:r>
                </w:p>
              </w:tc>
            </w:tr>
            <w:tr w14:paraId="5985C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43E0905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5481D6B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平昌经济开发区《星光机械制造产业片区、金宝食品饮料产业片区、驷马清洁能源产业片区、石龙门化工园片区)</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236BCE1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YS5119232310001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488627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5D7A34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大气</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060B67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大气环境高排放重点管控区</w:t>
                  </w:r>
                </w:p>
              </w:tc>
            </w:tr>
            <w:tr w14:paraId="1BF9E2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6B2EC2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694C95F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平昌县水资源重点管控区</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725F3C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YS5119232510001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07CC9B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0421F2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自然资源</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197372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生态用水补给区</w:t>
                  </w:r>
                </w:p>
              </w:tc>
            </w:tr>
            <w:tr w14:paraId="76192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66CDB1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4</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616AB6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平昌县城镇开发边界</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46E29B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YS5119232530001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09B6C5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727065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自然资源</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61BF3D4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土地资源重点管控区</w:t>
                  </w:r>
                </w:p>
              </w:tc>
            </w:tr>
            <w:tr w14:paraId="1062EB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6BFA43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5</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28E51FE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平昌县自然资源重点管控区</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3E526AE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YS5119232550001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6F0898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46EC1B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自然资源</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3C83C3D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自然资源重点管控区</w:t>
                  </w:r>
                </w:p>
              </w:tc>
            </w:tr>
            <w:tr w14:paraId="3B1308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065D4C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146A76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渠江江河湖库岸线重点管控区</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357AB2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YS5119232610001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310159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0F42AF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岸线</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0714B9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江河湖库岸线重点管控区</w:t>
                  </w:r>
                </w:p>
              </w:tc>
            </w:tr>
            <w:tr w14:paraId="3D1D0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jc w:val="center"/>
              </w:trPr>
              <w:tc>
                <w:tcPr>
                  <w:tcW w:w="843" w:type="dxa"/>
                  <w:tcBorders>
                    <w:top w:val="single" w:color="000000" w:sz="2" w:space="0"/>
                    <w:left w:val="single" w:color="000000" w:sz="2" w:space="0"/>
                    <w:bottom w:val="single" w:color="000000" w:sz="2" w:space="0"/>
                    <w:right w:val="single" w:color="000000" w:sz="2" w:space="0"/>
                  </w:tcBorders>
                  <w:noWrap w:val="0"/>
                  <w:vAlign w:val="center"/>
                </w:tcPr>
                <w:p w14:paraId="2C887D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w:t>
                  </w:r>
                </w:p>
              </w:tc>
              <w:tc>
                <w:tcPr>
                  <w:tcW w:w="2220" w:type="dxa"/>
                  <w:tcBorders>
                    <w:top w:val="single" w:color="000000" w:sz="2" w:space="0"/>
                    <w:left w:val="single" w:color="000000" w:sz="2" w:space="0"/>
                    <w:bottom w:val="single" w:color="000000" w:sz="2" w:space="0"/>
                    <w:right w:val="single" w:color="000000" w:sz="2" w:space="0"/>
                  </w:tcBorders>
                  <w:noWrap w:val="0"/>
                  <w:vAlign w:val="center"/>
                </w:tcPr>
                <w:p w14:paraId="4C4E29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平昌县其他区域</w:t>
                  </w:r>
                </w:p>
              </w:tc>
              <w:tc>
                <w:tcPr>
                  <w:tcW w:w="1275" w:type="dxa"/>
                  <w:tcBorders>
                    <w:top w:val="single" w:color="000000" w:sz="2" w:space="0"/>
                    <w:left w:val="single" w:color="000000" w:sz="2" w:space="0"/>
                    <w:bottom w:val="single" w:color="000000" w:sz="2" w:space="0"/>
                    <w:right w:val="single" w:color="000000" w:sz="2" w:space="0"/>
                  </w:tcBorders>
                  <w:noWrap w:val="0"/>
                  <w:vAlign w:val="center"/>
                </w:tcPr>
                <w:p w14:paraId="138DCF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YS5119233110001</w:t>
                  </w:r>
                </w:p>
              </w:tc>
              <w:tc>
                <w:tcPr>
                  <w:tcW w:w="1825" w:type="dxa"/>
                  <w:tcBorders>
                    <w:top w:val="single" w:color="000000" w:sz="2" w:space="0"/>
                    <w:left w:val="single" w:color="000000" w:sz="2" w:space="0"/>
                    <w:bottom w:val="single" w:color="000000" w:sz="2" w:space="0"/>
                    <w:right w:val="single" w:color="000000" w:sz="2" w:space="0"/>
                  </w:tcBorders>
                  <w:noWrap w:val="0"/>
                  <w:vAlign w:val="center"/>
                </w:tcPr>
                <w:p w14:paraId="0F7A1F4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巴中市平昌县</w:t>
                  </w:r>
                </w:p>
              </w:tc>
              <w:tc>
                <w:tcPr>
                  <w:tcW w:w="825" w:type="dxa"/>
                  <w:tcBorders>
                    <w:top w:val="single" w:color="000000" w:sz="2" w:space="0"/>
                    <w:left w:val="single" w:color="000000" w:sz="2" w:space="0"/>
                    <w:bottom w:val="single" w:color="000000" w:sz="2" w:space="0"/>
                    <w:right w:val="single" w:color="000000" w:sz="2" w:space="0"/>
                  </w:tcBorders>
                  <w:noWrap w:val="0"/>
                  <w:vAlign w:val="center"/>
                </w:tcPr>
                <w:p w14:paraId="0D809A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生态</w:t>
                  </w:r>
                </w:p>
              </w:tc>
              <w:tc>
                <w:tcPr>
                  <w:tcW w:w="1194" w:type="dxa"/>
                  <w:tcBorders>
                    <w:top w:val="single" w:color="000000" w:sz="2" w:space="0"/>
                    <w:left w:val="single" w:color="000000" w:sz="2" w:space="0"/>
                    <w:bottom w:val="single" w:color="000000" w:sz="2" w:space="0"/>
                    <w:right w:val="single" w:color="000000" w:sz="2" w:space="0"/>
                  </w:tcBorders>
                  <w:noWrap w:val="0"/>
                  <w:vAlign w:val="center"/>
                </w:tcPr>
                <w:p w14:paraId="7B5158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一般管控区</w:t>
                  </w:r>
                </w:p>
              </w:tc>
            </w:tr>
          </w:tbl>
          <w:p w14:paraId="686651D1">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000000"/>
                <w:kern w:val="0"/>
                <w:sz w:val="24"/>
                <w:lang w:val="en-US" w:eastAsia="zh-CN" w:bidi="ar"/>
              </w:rPr>
            </w:pPr>
          </w:p>
          <w:p w14:paraId="4EA9C88A">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000000"/>
                <w:kern w:val="0"/>
                <w:sz w:val="24"/>
                <w:lang w:val="en-US" w:eastAsia="zh-CN" w:bidi="ar"/>
              </w:rPr>
            </w:pPr>
            <w:r>
              <w:rPr>
                <w:rFonts w:hint="default" w:ascii="Times New Roman" w:hAnsi="Times New Roman" w:eastAsia="宋体" w:cs="Times New Roman"/>
                <w:color w:val="000000"/>
                <w:kern w:val="0"/>
                <w:sz w:val="24"/>
                <w:lang w:val="en-US" w:eastAsia="zh-CN" w:bidi="ar"/>
              </w:rPr>
              <w:t>该位置与生态环境管控单元的位置关系如下图：</w:t>
            </w:r>
          </w:p>
          <w:p w14:paraId="5D3318E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000000"/>
                <w:kern w:val="0"/>
                <w:sz w:val="24"/>
                <w:lang w:val="en-US" w:eastAsia="zh-CN" w:bidi="ar"/>
              </w:rPr>
            </w:pPr>
            <w:r>
              <w:drawing>
                <wp:inline distT="0" distB="0" distL="114300" distR="114300">
                  <wp:extent cx="5210175" cy="2996565"/>
                  <wp:effectExtent l="0" t="0" r="9525" b="13335"/>
                  <wp:docPr id="9" name="Drawing 0" descr="position-map-1779433016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0" descr="position-map-1779433016330.png"/>
                          <pic:cNvPicPr>
                            <a:picLocks noChangeAspect="1"/>
                          </pic:cNvPicPr>
                        </pic:nvPicPr>
                        <pic:blipFill>
                          <a:blip r:embed="rId16"/>
                          <a:stretch>
                            <a:fillRect/>
                          </a:stretch>
                        </pic:blipFill>
                        <pic:spPr>
                          <a:xfrm>
                            <a:off x="0" y="0"/>
                            <a:ext cx="5210175" cy="2996565"/>
                          </a:xfrm>
                          <a:prstGeom prst="rect">
                            <a:avLst/>
                          </a:prstGeom>
                          <a:noFill/>
                          <a:ln>
                            <a:noFill/>
                          </a:ln>
                        </pic:spPr>
                      </pic:pic>
                    </a:graphicData>
                  </a:graphic>
                </wp:inline>
              </w:drawing>
            </w:r>
          </w:p>
          <w:p w14:paraId="281E182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color w:val="000000"/>
                <w:sz w:val="21"/>
                <w:szCs w:val="21"/>
                <w:lang w:val="en-US" w:eastAsia="zh-CN"/>
              </w:rPr>
            </w:pPr>
            <w:r>
              <w:rPr>
                <w:rFonts w:hint="default" w:ascii="Times New Roman" w:hAnsi="Times New Roman" w:cs="Times New Roman"/>
                <w:b/>
                <w:bCs/>
                <w:color w:val="000000"/>
                <w:sz w:val="21"/>
                <w:szCs w:val="21"/>
                <w:lang w:val="en-US" w:eastAsia="zh-CN"/>
              </w:rPr>
              <w:t>图1-</w:t>
            </w:r>
            <w:r>
              <w:rPr>
                <w:rFonts w:hint="eastAsia" w:cs="Times New Roman"/>
                <w:b/>
                <w:bCs/>
                <w:color w:val="000000"/>
                <w:sz w:val="21"/>
                <w:szCs w:val="21"/>
                <w:lang w:val="en-US" w:eastAsia="zh-CN"/>
              </w:rPr>
              <w:t>1</w:t>
            </w:r>
            <w:r>
              <w:rPr>
                <w:rFonts w:hint="default" w:ascii="Times New Roman" w:hAnsi="Times New Roman" w:cs="Times New Roman"/>
                <w:b/>
                <w:bCs/>
                <w:color w:val="000000"/>
                <w:sz w:val="21"/>
                <w:szCs w:val="21"/>
                <w:lang w:val="en-US" w:eastAsia="zh-CN"/>
              </w:rPr>
              <w:t xml:space="preserve"> 项目与</w:t>
            </w:r>
            <w:r>
              <w:rPr>
                <w:rFonts w:hint="eastAsia" w:ascii="Times New Roman" w:hAnsi="Times New Roman" w:cs="Times New Roman"/>
                <w:b/>
                <w:bCs/>
                <w:color w:val="000000"/>
                <w:sz w:val="21"/>
                <w:szCs w:val="21"/>
                <w:lang w:val="en-US" w:eastAsia="zh-CN"/>
              </w:rPr>
              <w:t>生态</w:t>
            </w:r>
            <w:r>
              <w:rPr>
                <w:rFonts w:hint="default" w:ascii="Times New Roman" w:hAnsi="Times New Roman" w:cs="Times New Roman"/>
                <w:b/>
                <w:bCs/>
                <w:color w:val="000000"/>
                <w:sz w:val="21"/>
                <w:szCs w:val="21"/>
                <w:lang w:val="en-US" w:eastAsia="zh-CN"/>
              </w:rPr>
              <w:t>环境管控单元图位置关系图</w:t>
            </w:r>
          </w:p>
          <w:p w14:paraId="4EBFD616">
            <w:pPr>
              <w:rPr>
                <w:rFonts w:hint="eastAsia" w:ascii="Times New Roman" w:hAnsi="Times New Roman" w:cs="Times New Roman"/>
                <w:b/>
                <w:bCs/>
                <w:color w:val="000000"/>
                <w:sz w:val="24"/>
                <w:szCs w:val="24"/>
                <w:lang w:val="en-US" w:eastAsia="zh-CN"/>
              </w:rPr>
            </w:pPr>
          </w:p>
          <w:p w14:paraId="424F12C3">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（2）管控要求符合性分析</w:t>
            </w:r>
          </w:p>
          <w:p w14:paraId="608B258F">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000000"/>
                <w:lang w:val="en-US" w:eastAsia="zh-CN"/>
              </w:rPr>
            </w:pPr>
            <w:r>
              <w:rPr>
                <w:rFonts w:hint="eastAsia" w:ascii="宋体" w:hAnsi="宋体" w:eastAsia="宋体" w:cs="宋体"/>
                <w:color w:val="000000"/>
                <w:sz w:val="24"/>
                <w:szCs w:val="24"/>
                <w:lang w:val="en-US" w:eastAsia="zh-CN"/>
              </w:rPr>
              <w:t>根据四川省“生态环境分区管控公众服务”查询结果，本项目生态环境准入管控要求符合性分析如下：</w:t>
            </w:r>
          </w:p>
        </w:tc>
      </w:tr>
    </w:tbl>
    <w:p w14:paraId="1F500A23">
      <w:pPr>
        <w:tabs>
          <w:tab w:val="left" w:pos="3214"/>
        </w:tabs>
        <w:bidi w:val="0"/>
        <w:jc w:val="left"/>
        <w:rPr>
          <w:rFonts w:hint="eastAsia" w:eastAsia="宋体"/>
          <w:lang w:eastAsia="zh-CN"/>
        </w:rPr>
      </w:pPr>
    </w:p>
    <w:p w14:paraId="44C99ECA">
      <w:pPr>
        <w:tabs>
          <w:tab w:val="left" w:pos="3214"/>
        </w:tabs>
        <w:bidi w:val="0"/>
        <w:jc w:val="left"/>
        <w:rPr>
          <w:rFonts w:hint="eastAsia" w:eastAsia="宋体"/>
          <w:lang w:eastAsia="zh-CN"/>
        </w:rPr>
      </w:pPr>
    </w:p>
    <w:p w14:paraId="705A71CA">
      <w:pPr>
        <w:widowControl/>
        <w:spacing w:line="360" w:lineRule="auto"/>
        <w:jc w:val="left"/>
        <w:rPr>
          <w:rFonts w:hint="eastAsia" w:ascii="Times New Roman" w:hAnsi="Times New Roman" w:eastAsia="宋体" w:cs="Times New Roman"/>
          <w:color w:val="000000"/>
          <w:kern w:val="0"/>
          <w:sz w:val="24"/>
          <w:lang w:bidi="ar"/>
        </w:rPr>
        <w:sectPr>
          <w:footerReference r:id="rId4" w:type="default"/>
          <w:pgSz w:w="11906" w:h="16838"/>
          <w:pgMar w:top="1644" w:right="1531" w:bottom="1644" w:left="1531" w:header="851" w:footer="1077" w:gutter="0"/>
          <w:pgNumType w:fmt="decimal" w:start="1"/>
          <w:cols w:space="720" w:num="1"/>
          <w:docGrid w:linePitch="312" w:charSpace="0"/>
        </w:sectPr>
      </w:pPr>
    </w:p>
    <w:p w14:paraId="2DFA9F6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000000"/>
          <w:kern w:val="0"/>
          <w:sz w:val="24"/>
          <w:lang w:val="en-US" w:eastAsia="zh-CN" w:bidi="ar"/>
        </w:rPr>
      </w:pPr>
      <w:r>
        <w:rPr>
          <w:rFonts w:hint="eastAsia" w:ascii="Times New Roman" w:hAnsi="Times New Roman" w:eastAsia="宋体" w:cs="Times New Roman"/>
          <w:b/>
          <w:bCs/>
          <w:color w:val="000000"/>
          <w:kern w:val="0"/>
          <w:sz w:val="24"/>
          <w:lang w:val="en-US" w:eastAsia="zh-CN" w:bidi="ar"/>
        </w:rPr>
        <w:t>①与巴中市市（州）普适性管控要求见表1-12所示：</w:t>
      </w:r>
    </w:p>
    <w:p w14:paraId="0A0F32AA">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eastAsia" w:ascii="Times New Roman" w:hAnsi="Times New Roman" w:eastAsia="宋体" w:cs="Times New Roman"/>
          <w:b/>
          <w:bCs/>
          <w:color w:val="000000"/>
          <w:kern w:val="0"/>
          <w:sz w:val="24"/>
          <w:lang w:val="en-US" w:eastAsia="zh-CN"/>
        </w:rPr>
      </w:pPr>
      <w:r>
        <w:rPr>
          <w:rFonts w:hint="eastAsia" w:ascii="Times New Roman" w:hAnsi="Times New Roman" w:eastAsia="宋体" w:cs="Times New Roman"/>
          <w:b/>
          <w:bCs/>
          <w:color w:val="000000"/>
          <w:kern w:val="0"/>
          <w:sz w:val="24"/>
          <w:lang w:val="en-US" w:eastAsia="zh-CN"/>
        </w:rPr>
        <w:t xml:space="preserve">  项目与巴中市普适性准入清单的符合性分析</w:t>
      </w:r>
    </w:p>
    <w:tbl>
      <w:tblPr>
        <w:tblStyle w:val="31"/>
        <w:tblW w:w="1311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507"/>
        <w:gridCol w:w="954"/>
        <w:gridCol w:w="954"/>
        <w:gridCol w:w="956"/>
        <w:gridCol w:w="6147"/>
        <w:gridCol w:w="2880"/>
        <w:gridCol w:w="719"/>
      </w:tblGrid>
      <w:tr w14:paraId="275BE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26" w:hRule="atLeast"/>
          <w:jc w:val="center"/>
        </w:trPr>
        <w:tc>
          <w:tcPr>
            <w:tcW w:w="507" w:type="dxa"/>
            <w:tcBorders>
              <w:top w:val="single" w:color="000000" w:sz="2" w:space="0"/>
              <w:left w:val="single" w:color="000000" w:sz="2" w:space="0"/>
              <w:bottom w:val="single" w:color="000000" w:sz="2" w:space="0"/>
              <w:right w:val="single" w:color="000000" w:sz="2" w:space="0"/>
            </w:tcBorders>
            <w:noWrap w:val="0"/>
            <w:vAlign w:val="center"/>
          </w:tcPr>
          <w:p w14:paraId="365EB08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市州</w:t>
            </w:r>
          </w:p>
        </w:tc>
        <w:tc>
          <w:tcPr>
            <w:tcW w:w="954" w:type="dxa"/>
            <w:tcBorders>
              <w:top w:val="single" w:color="000000" w:sz="2" w:space="0"/>
              <w:left w:val="single" w:color="000000" w:sz="2" w:space="0"/>
              <w:bottom w:val="single" w:color="000000" w:sz="2" w:space="0"/>
              <w:right w:val="single" w:color="000000" w:sz="2" w:space="0"/>
            </w:tcBorders>
            <w:noWrap w:val="0"/>
            <w:vAlign w:val="center"/>
          </w:tcPr>
          <w:p w14:paraId="4C08D2D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涉及县区</w:t>
            </w:r>
          </w:p>
        </w:tc>
        <w:tc>
          <w:tcPr>
            <w:tcW w:w="954" w:type="dxa"/>
            <w:tcBorders>
              <w:top w:val="single" w:color="000000" w:sz="2" w:space="0"/>
              <w:left w:val="single" w:color="000000" w:sz="2" w:space="0"/>
              <w:bottom w:val="single" w:color="000000" w:sz="2" w:space="0"/>
              <w:right w:val="single" w:color="000000" w:sz="2" w:space="0"/>
            </w:tcBorders>
            <w:noWrap w:val="0"/>
            <w:vAlign w:val="center"/>
          </w:tcPr>
          <w:p w14:paraId="3F82CEB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区域名称</w:t>
            </w:r>
          </w:p>
        </w:tc>
        <w:tc>
          <w:tcPr>
            <w:tcW w:w="956" w:type="dxa"/>
            <w:tcBorders>
              <w:top w:val="single" w:color="000000" w:sz="2" w:space="0"/>
              <w:left w:val="single" w:color="000000" w:sz="2" w:space="0"/>
              <w:bottom w:val="single" w:color="000000" w:sz="2" w:space="0"/>
              <w:right w:val="single" w:color="000000" w:sz="2" w:space="0"/>
            </w:tcBorders>
            <w:noWrap w:val="0"/>
            <w:vAlign w:val="center"/>
          </w:tcPr>
          <w:p w14:paraId="22E0C5A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管控类别</w:t>
            </w:r>
          </w:p>
        </w:tc>
        <w:tc>
          <w:tcPr>
            <w:tcW w:w="6147" w:type="dxa"/>
            <w:tcBorders>
              <w:top w:val="single" w:color="000000" w:sz="2" w:space="0"/>
              <w:left w:val="single" w:color="000000" w:sz="2" w:space="0"/>
              <w:bottom w:val="single" w:color="000000" w:sz="2" w:space="0"/>
              <w:right w:val="single" w:color="000000" w:sz="6" w:space="0"/>
            </w:tcBorders>
            <w:noWrap w:val="0"/>
            <w:vAlign w:val="center"/>
          </w:tcPr>
          <w:p w14:paraId="4FB6573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管控要求</w:t>
            </w:r>
          </w:p>
        </w:tc>
        <w:tc>
          <w:tcPr>
            <w:tcW w:w="2880" w:type="dxa"/>
            <w:tcBorders>
              <w:top w:val="single" w:color="000000" w:sz="2" w:space="0"/>
              <w:left w:val="single" w:color="000000" w:sz="6" w:space="0"/>
              <w:bottom w:val="single" w:color="000000" w:sz="2" w:space="0"/>
              <w:right w:val="single" w:color="000000" w:sz="6" w:space="0"/>
            </w:tcBorders>
            <w:noWrap w:val="0"/>
            <w:vAlign w:val="center"/>
          </w:tcPr>
          <w:p w14:paraId="4B24F19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项目对应情况介绍</w:t>
            </w:r>
          </w:p>
        </w:tc>
        <w:tc>
          <w:tcPr>
            <w:tcW w:w="719" w:type="dxa"/>
            <w:tcBorders>
              <w:top w:val="single" w:color="000000" w:sz="2" w:space="0"/>
              <w:left w:val="single" w:color="000000" w:sz="6" w:space="0"/>
              <w:bottom w:val="single" w:color="000000" w:sz="2" w:space="0"/>
              <w:right w:val="single" w:color="000000" w:sz="2" w:space="0"/>
            </w:tcBorders>
            <w:noWrap w:val="0"/>
            <w:vAlign w:val="center"/>
          </w:tcPr>
          <w:p w14:paraId="6C6C6F6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符合性分析</w:t>
            </w:r>
          </w:p>
        </w:tc>
      </w:tr>
      <w:tr w14:paraId="27686C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507" w:type="dxa"/>
            <w:vMerge w:val="restart"/>
            <w:tcBorders>
              <w:top w:val="single" w:color="000000" w:sz="2" w:space="0"/>
              <w:left w:val="single" w:color="000000" w:sz="2" w:space="0"/>
              <w:bottom w:val="single" w:color="000000" w:sz="2" w:space="0"/>
              <w:right w:val="single" w:color="000000" w:sz="2" w:space="0"/>
            </w:tcBorders>
            <w:noWrap w:val="0"/>
            <w:vAlign w:val="center"/>
          </w:tcPr>
          <w:p w14:paraId="6E60012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巴中市</w:t>
            </w:r>
          </w:p>
        </w:tc>
        <w:tc>
          <w:tcPr>
            <w:tcW w:w="954" w:type="dxa"/>
            <w:vMerge w:val="restart"/>
            <w:tcBorders>
              <w:top w:val="single" w:color="000000" w:sz="2" w:space="0"/>
              <w:left w:val="single" w:color="000000" w:sz="2" w:space="0"/>
              <w:bottom w:val="single" w:color="000000" w:sz="2" w:space="0"/>
              <w:right w:val="single" w:color="000000" w:sz="2" w:space="0"/>
            </w:tcBorders>
            <w:noWrap w:val="0"/>
            <w:vAlign w:val="center"/>
          </w:tcPr>
          <w:p w14:paraId="7BA9394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巴州区+恩阳区+通江县+南江县+平昌县</w:t>
            </w:r>
          </w:p>
        </w:tc>
        <w:tc>
          <w:tcPr>
            <w:tcW w:w="954" w:type="dxa"/>
            <w:vMerge w:val="restart"/>
            <w:tcBorders>
              <w:top w:val="single" w:color="000000" w:sz="2" w:space="0"/>
              <w:left w:val="single" w:color="000000" w:sz="2" w:space="0"/>
              <w:bottom w:val="single" w:color="000000" w:sz="2" w:space="0"/>
              <w:right w:val="single" w:color="000000" w:sz="2" w:space="0"/>
            </w:tcBorders>
            <w:noWrap w:val="0"/>
            <w:vAlign w:val="center"/>
          </w:tcPr>
          <w:p w14:paraId="53E40A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巴州区+恩阳区+通江县+南江县+平昌县</w:t>
            </w:r>
          </w:p>
        </w:tc>
        <w:tc>
          <w:tcPr>
            <w:tcW w:w="956" w:type="dxa"/>
            <w:tcBorders>
              <w:top w:val="single" w:color="000000" w:sz="2" w:space="0"/>
              <w:left w:val="single" w:color="000000" w:sz="2" w:space="0"/>
              <w:bottom w:val="single" w:color="000000" w:sz="2" w:space="0"/>
              <w:right w:val="single" w:color="000000" w:sz="2" w:space="0"/>
            </w:tcBorders>
            <w:noWrap w:val="0"/>
            <w:vAlign w:val="center"/>
          </w:tcPr>
          <w:p w14:paraId="61B4F20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空间布局约束</w:t>
            </w:r>
          </w:p>
        </w:tc>
        <w:tc>
          <w:tcPr>
            <w:tcW w:w="6147" w:type="dxa"/>
            <w:tcBorders>
              <w:top w:val="single" w:color="000000" w:sz="2" w:space="0"/>
              <w:left w:val="single" w:color="000000" w:sz="2" w:space="0"/>
              <w:bottom w:val="single" w:color="000000" w:sz="2" w:space="0"/>
              <w:right w:val="single" w:color="000000" w:sz="6" w:space="0"/>
            </w:tcBorders>
            <w:noWrap w:val="0"/>
            <w:vAlign w:val="center"/>
          </w:tcPr>
          <w:p w14:paraId="1D617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w:t>
            </w:r>
          </w:p>
          <w:p w14:paraId="5CAB13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-禁止在长江流域河湖管理范围内倾倒、填埋、堆放、弃置、处理固体废物。
</w:t>
            </w:r>
          </w:p>
          <w:p w14:paraId="4A129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-在禁燃区内禁止销售、燃用高污染燃料。禁燃区内禁止新建、扩建燃用高污染燃料的设施。</w:t>
            </w:r>
          </w:p>
          <w:p w14:paraId="79A3E6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-未通过认定的化工园区，不得新建、改扩建化工项目（安全、环保、节能和智能化改造项目除外），按属地原则依法依规妥善做好未通过认定化工园区及园内企业的转型、关闭、处置及监管工作。</w:t>
            </w:r>
          </w:p>
          <w:p w14:paraId="39951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-禁止在长江干支流岸线一公里范围内新建、扩建化工园区和化工项目。</w:t>
            </w:r>
          </w:p>
          <w:p w14:paraId="589859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-禁止在长江干流岸线三公里范围内和重要支流岸线一公里范围内新建、改建、扩建尾矿库、冶炼渣库、磷石膏库，以提升安全、生态环境保护水平为目的的改建除外。</w:t>
            </w:r>
          </w:p>
          <w:p w14:paraId="7BAB1A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-禁止在法律法规规定的禁采区内开采矿产；禁止土法采、选、冶严重污染环境的矿产资源。</w:t>
            </w:r>
          </w:p>
          <w:p w14:paraId="4ECE21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-对全部基本农田按禁止开发的要求进行管理。涉及基本农田的区域，除法律规定的重点建设项目选址确实无法避让外，其他任何建设不得占用。</w:t>
            </w:r>
          </w:p>
          <w:p w14:paraId="6FEB7C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在永久基本农田集中区域和其他需要特别保护的区域选址建设尾矿库、冶炼渣库、磷石膏库。-继续化解过剩产能，严禁钢铁、水泥、电解铝、平板玻璃等行业新增产能，对确有必要新建的必须实施等量或减量置换。</w:t>
            </w:r>
          </w:p>
          <w:p w14:paraId="00484D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-严格执行《矿产资源开采</w:t>
            </w:r>
            <w:r>
              <w:rPr>
                <w:rFonts w:hint="eastAsia" w:cs="Times New Roman"/>
                <w:sz w:val="21"/>
                <w:szCs w:val="21"/>
                <w:lang w:eastAsia="zh-CN"/>
              </w:rPr>
              <w:t>登记</w:t>
            </w:r>
            <w:r>
              <w:rPr>
                <w:rFonts w:hint="default" w:ascii="Times New Roman" w:hAnsi="Times New Roman" w:eastAsia="宋体" w:cs="Times New Roman"/>
                <w:sz w:val="21"/>
                <w:szCs w:val="21"/>
              </w:rPr>
              <w:t>管理办法》的相关规定。</w:t>
            </w:r>
          </w:p>
          <w:p w14:paraId="2C5F77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-涉及法定保护地，严格按照国家及地方法律法规、管理办法等相关要求进行控制。配套旅游、基础设施等建设项目，在符合规划和相关保护要求的前提下，应实施生态避让、减缓影响及生态恢复措施。
-按照相关要求严控水泥新增产能。</w:t>
            </w:r>
          </w:p>
          <w:p w14:paraId="008F5A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-因地制宜地发展适宜产业，在不损害生态系统功能的前提下，适度发展旅游、农林牧产品生产和加工、生态农业、休闲农业等产业；
-严格控制非农业建设占用农用地。
</w:t>
            </w:r>
          </w:p>
          <w:p w14:paraId="7E1B9E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2CCAF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0CDCBA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现有属于园区禁止引入产业门类的企业，原则上限制发展，污染物排放只降不增，允许以提升安全、生态环境保护水平为目的的改建，引导企业结合产业升级等适时搬迁。</w:t>
            </w:r>
          </w:p>
          <w:p w14:paraId="0823DC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-全面取缔禁养区内规模化畜禽养殖场。</w:t>
            </w:r>
          </w:p>
          <w:p w14:paraId="303B97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-针对现有水泥企业，强化污染治理和污染物减排，依法依规整治或搬迁。△（1）为达2025年及2035年环境空气质量目标， 14个工业重点管控单元大气污染物允许排放量2025年为：PM2.5允许排放量4950吨、SO2允许排放量3502吨、NOx允许排放量8906吨、VOCs 允许排放量12506吨，2035年为：PM2.5允许排放量4595吨、SO2允许排放量3133吨、NOx允许排放量8656吨、VOCs 允许排放量12098吨。（2）为保证2025、2035年区域地表水控制断面达标，15个工业重点管控单元COD、氨氮、总磷允许排放量2025年控制在233465.09吨、2863.81吨、409.92吨以下，2035年控制在24638.35吨、3007.02吨、430.41吨以下。</w:t>
            </w:r>
          </w:p>
        </w:tc>
        <w:tc>
          <w:tcPr>
            <w:tcW w:w="2880" w:type="dxa"/>
            <w:tcBorders>
              <w:top w:val="single" w:color="000000" w:sz="2" w:space="0"/>
              <w:left w:val="single" w:color="000000" w:sz="6" w:space="0"/>
              <w:bottom w:val="single" w:color="000000" w:sz="2" w:space="0"/>
              <w:right w:val="single" w:color="000000" w:sz="6" w:space="0"/>
            </w:tcBorders>
            <w:noWrap w:val="0"/>
            <w:vAlign w:val="center"/>
          </w:tcPr>
          <w:p w14:paraId="293D8602">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r>
              <w:rPr>
                <w:rFonts w:hint="default" w:ascii="Times New Roman" w:hAnsi="Times New Roman" w:eastAsia="宋体" w:cs="Times New Roman"/>
                <w:sz w:val="21"/>
                <w:szCs w:val="21"/>
                <w:lang w:val="en-US" w:eastAsia="zh-CN"/>
              </w:rPr>
              <w:t>本项目不属于</w:t>
            </w:r>
            <w:r>
              <w:rPr>
                <w:rFonts w:hint="default" w:ascii="Times New Roman" w:hAnsi="Times New Roman" w:eastAsia="宋体" w:cs="Times New Roman"/>
                <w:sz w:val="21"/>
                <w:szCs w:val="21"/>
              </w:rPr>
              <w:t>化工</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尾矿库、</w:t>
            </w:r>
            <w:r>
              <w:rPr>
                <w:rFonts w:hint="default" w:ascii="Times New Roman" w:hAnsi="Times New Roman" w:eastAsia="宋体" w:cs="Times New Roman"/>
                <w:sz w:val="21"/>
                <w:szCs w:val="21"/>
              </w:rPr>
              <w:t>冶炼渣库、磷石膏库项目。</w:t>
            </w:r>
          </w:p>
          <w:p w14:paraId="7BCB9E17">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本项目不涉及</w:t>
            </w:r>
            <w:r>
              <w:rPr>
                <w:rFonts w:hint="default" w:ascii="Times New Roman" w:hAnsi="Times New Roman" w:eastAsia="宋体" w:cs="Times New Roman"/>
                <w:sz w:val="21"/>
                <w:szCs w:val="21"/>
              </w:rPr>
              <w:t>在长江流域河湖管理范围内倾倒、填埋、堆放、弃置、处理固体废物；</w:t>
            </w:r>
          </w:p>
          <w:p w14:paraId="57731568">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本项目不使用燃煤等</w:t>
            </w:r>
            <w:r>
              <w:rPr>
                <w:rFonts w:hint="default" w:ascii="Times New Roman" w:hAnsi="Times New Roman" w:eastAsia="宋体" w:cs="Times New Roman"/>
                <w:sz w:val="21"/>
                <w:szCs w:val="21"/>
              </w:rPr>
              <w:t>高污染燃料。</w:t>
            </w:r>
          </w:p>
          <w:p w14:paraId="6BB0A228">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本项目不涉及基本农田。</w:t>
            </w:r>
          </w:p>
          <w:p w14:paraId="328BA984">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（5）本项目不属于</w:t>
            </w:r>
            <w:r>
              <w:rPr>
                <w:rFonts w:hint="default" w:ascii="Times New Roman" w:hAnsi="Times New Roman" w:eastAsia="宋体" w:cs="Times New Roman"/>
                <w:sz w:val="21"/>
                <w:szCs w:val="21"/>
              </w:rPr>
              <w:t>高耗能、高排放、低水平项目</w:t>
            </w:r>
            <w:r>
              <w:rPr>
                <w:rFonts w:hint="default" w:ascii="Times New Roman" w:hAnsi="Times New Roman" w:eastAsia="宋体" w:cs="Times New Roman"/>
                <w:sz w:val="21"/>
                <w:szCs w:val="21"/>
                <w:lang w:eastAsia="zh-CN"/>
              </w:rPr>
              <w:t>。</w:t>
            </w:r>
          </w:p>
          <w:p w14:paraId="48CF756E">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本项目不属于</w:t>
            </w:r>
            <w:r>
              <w:rPr>
                <w:rFonts w:hint="default" w:ascii="Times New Roman" w:hAnsi="Times New Roman" w:eastAsia="宋体" w:cs="Times New Roman"/>
                <w:sz w:val="21"/>
                <w:szCs w:val="21"/>
              </w:rPr>
              <w:t>规模化畜禽养殖场</w:t>
            </w:r>
            <w:r>
              <w:rPr>
                <w:rFonts w:hint="default" w:ascii="Times New Roman" w:hAnsi="Times New Roman" w:eastAsia="宋体" w:cs="Times New Roman"/>
                <w:sz w:val="21"/>
                <w:szCs w:val="21"/>
                <w:lang w:val="en-US" w:eastAsia="zh-CN"/>
              </w:rPr>
              <w:t>以及水泥制造企业</w:t>
            </w:r>
            <w:r>
              <w:rPr>
                <w:rFonts w:hint="default" w:ascii="Times New Roman" w:hAnsi="Times New Roman" w:eastAsia="宋体" w:cs="Times New Roman"/>
                <w:sz w:val="21"/>
                <w:szCs w:val="21"/>
              </w:rPr>
              <w:t>。</w:t>
            </w:r>
          </w:p>
          <w:p w14:paraId="5A46A444">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6</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本</w:t>
            </w:r>
            <w:r>
              <w:rPr>
                <w:rFonts w:hint="eastAsia" w:ascii="Times New Roman" w:hAnsi="Times New Roman" w:eastAsia="宋体" w:cs="Times New Roman"/>
                <w:sz w:val="21"/>
                <w:szCs w:val="21"/>
                <w:lang w:eastAsia="zh-CN"/>
              </w:rPr>
              <w:t>项目不在大气环境布局敏感重点管控区、大气弱扩散重点管控区、水环境农业污染重点管控区</w:t>
            </w:r>
          </w:p>
        </w:tc>
        <w:tc>
          <w:tcPr>
            <w:tcW w:w="719" w:type="dxa"/>
            <w:tcBorders>
              <w:top w:val="single" w:color="000000" w:sz="2" w:space="0"/>
              <w:left w:val="single" w:color="000000" w:sz="6" w:space="0"/>
              <w:bottom w:val="single" w:color="000000" w:sz="2" w:space="0"/>
              <w:right w:val="single" w:color="000000" w:sz="2" w:space="0"/>
            </w:tcBorders>
            <w:noWrap w:val="0"/>
            <w:vAlign w:val="center"/>
          </w:tcPr>
          <w:p w14:paraId="60162DC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符合</w:t>
            </w:r>
          </w:p>
        </w:tc>
      </w:tr>
      <w:tr w14:paraId="27EB9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507"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3AC2CC">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4" w:type="dxa"/>
            <w:vMerge w:val="continue"/>
            <w:tcBorders>
              <w:top w:val="single" w:color="000000" w:sz="2" w:space="0"/>
              <w:left w:val="single" w:color="000000" w:sz="2" w:space="0"/>
              <w:bottom w:val="single" w:color="000000" w:sz="2" w:space="0"/>
              <w:right w:val="single" w:color="000000" w:sz="2" w:space="0"/>
            </w:tcBorders>
            <w:noWrap w:val="0"/>
            <w:vAlign w:val="center"/>
          </w:tcPr>
          <w:p w14:paraId="2C498830">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4" w:type="dxa"/>
            <w:vMerge w:val="continue"/>
            <w:tcBorders>
              <w:top w:val="single" w:color="000000" w:sz="2" w:space="0"/>
              <w:left w:val="single" w:color="000000" w:sz="2" w:space="0"/>
              <w:bottom w:val="single" w:color="000000" w:sz="2" w:space="0"/>
              <w:right w:val="single" w:color="000000" w:sz="2" w:space="0"/>
            </w:tcBorders>
            <w:noWrap w:val="0"/>
            <w:vAlign w:val="center"/>
          </w:tcPr>
          <w:p w14:paraId="7BDC087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6" w:type="dxa"/>
            <w:tcBorders>
              <w:top w:val="single" w:color="000000" w:sz="2" w:space="0"/>
              <w:left w:val="single" w:color="000000" w:sz="2" w:space="0"/>
              <w:bottom w:val="single" w:color="000000" w:sz="2" w:space="0"/>
              <w:right w:val="single" w:color="000000" w:sz="2" w:space="0"/>
            </w:tcBorders>
            <w:noWrap w:val="0"/>
            <w:vAlign w:val="center"/>
          </w:tcPr>
          <w:p w14:paraId="53F38D1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污染物排放管控</w:t>
            </w:r>
          </w:p>
        </w:tc>
        <w:tc>
          <w:tcPr>
            <w:tcW w:w="6147" w:type="dxa"/>
            <w:tcBorders>
              <w:top w:val="single" w:color="000000" w:sz="2" w:space="0"/>
              <w:left w:val="single" w:color="000000" w:sz="2" w:space="0"/>
              <w:bottom w:val="single" w:color="000000" w:sz="2" w:space="0"/>
              <w:right w:val="single" w:color="000000" w:sz="6" w:space="0"/>
            </w:tcBorders>
            <w:noWrap w:val="0"/>
            <w:vAlign w:val="center"/>
          </w:tcPr>
          <w:p w14:paraId="355F47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-污水收集处理率达100%。</w:t>
            </w:r>
          </w:p>
          <w:p w14:paraId="389232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-推进工业园区污水处理设施建设，确保园区工业废水达标排放</w:t>
            </w:r>
          </w:p>
          <w:p w14:paraId="6DFF2C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完善园区及企业雨污分流系统，全面推进医药、化工等行业初期雨水收集处理，推动有条件的园区实施入园企业“一企一管、明管输送、实时监测”。加强企业废水预处理和排水管理，鼓励纳管企业与园区污水处理厂运营单位通过签订委托处理合同等方式协同处理废水。-加快现有乡镇污水处理设施升级改造，按要求达《城镇污水处理厂污染物排放标准》一级A标后排放。</w:t>
            </w:r>
          </w:p>
          <w:p w14:paraId="5A807E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-在矿产资源开发活动集中区域，废水执行重金属污染物排放特别限值。</w:t>
            </w:r>
          </w:p>
          <w:p w14:paraId="39B2C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-砖瓦行业实施脱硫、除尘升级改造，污染物排放达到《砖瓦工业大气污染物排放标准》相关要求。</w:t>
            </w:r>
          </w:p>
          <w:p w14:paraId="2A01B2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-火电、水泥等行业按相关要求推进大气污染物超低排放和深度治理。</w:t>
            </w:r>
          </w:p>
          <w:p w14:paraId="734971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1.污染物排放绩效水平准入要求：
-新、改、扩建涉及VOCs排放项目，从原辅材料和工艺过程大力推广使用低（无）VOCs含量的涂料、有机溶剂、胶黏剂、油墨等原辅材料，配套改进生产工艺。</w:t>
            </w:r>
          </w:p>
          <w:p w14:paraId="25ADF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w:t>
            </w:r>
          </w:p>
          <w:p w14:paraId="25360D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到2030年巴中中心城区污水处理率达到100%，工业废水排放达标率100%。2.化工园区应按照分类收集，分质处理的要求，配备专业化工生产废水集中处理设施（独立建设或依托骨干企业）及专管或明管输送的配套管网，化工生产废水纳管率达到100%。入河排污口设置应符合相关规定。3.重点行业建设项目应遵循重点重金属污染物排放“等量替代”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川省“十四五”重金属污染防控工作方案》；重点行业、重点重金属的界定参见《四川省“十四五”重金属污染防控工作方案》。
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污染物排放绩效水平准入要求：</w:t>
            </w:r>
          </w:p>
          <w:p w14:paraId="6E109F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-到2025年乡镇污水处理率达95%；到2030年乡镇污水处理率达100%；</w:t>
            </w:r>
          </w:p>
          <w:p w14:paraId="328D84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-大中型矿山达到绿色矿山标准，引导小型矿山按照绿色矿山标准规范法发展。加强矿山采选废水的处理和综合利用工作，选矿废水全部综合利用，不外排，采矿废水应尽量回用。</w:t>
            </w:r>
          </w:p>
          <w:p w14:paraId="67E1C3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-新、改扩建规模化畜禽养殖场（小区）要实施雨污分流，畜禽粪污实现资源化利用；散养密集区要实行畜禽粪便污水分户收集，集中处理利用；</w:t>
            </w:r>
          </w:p>
          <w:p w14:paraId="6191F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-屠宰项目必须配套污水处理设施或进入城市污水管网。</w:t>
            </w:r>
          </w:p>
          <w:p w14:paraId="1137C7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w:t>
            </w:r>
          </w:p>
          <w:p w14:paraId="42F00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-到2025年底，全市有机肥使用面积达到370万亩。平均耕地质量提升一个等级，化肥使用量总体保持零增长。
-2025年主要粮经作物主产区农药包装废弃物回收率达80%强化大气污染区域联防联控措施，实施重污染天气应急管控。修订重污染天气应急预案，动态更新污染源排放清单，落实重点企业错峰生产、压产限产、工地停工等强制性措施，有效减缓重污染天气影响。</w:t>
            </w:r>
          </w:p>
        </w:tc>
        <w:tc>
          <w:tcPr>
            <w:tcW w:w="2880" w:type="dxa"/>
            <w:tcBorders>
              <w:top w:val="single" w:color="000000" w:sz="2" w:space="0"/>
              <w:left w:val="single" w:color="000000" w:sz="6" w:space="0"/>
              <w:bottom w:val="single" w:color="000000" w:sz="2" w:space="0"/>
              <w:right w:val="single" w:color="000000" w:sz="6" w:space="0"/>
            </w:tcBorders>
            <w:noWrap w:val="0"/>
            <w:vAlign w:val="center"/>
          </w:tcPr>
          <w:p w14:paraId="055C90FB">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r>
              <w:rPr>
                <w:rFonts w:hint="default" w:ascii="Times New Roman" w:hAnsi="Times New Roman" w:eastAsia="宋体" w:cs="Times New Roman"/>
                <w:sz w:val="21"/>
                <w:szCs w:val="21"/>
                <w:lang w:val="en-US" w:eastAsia="zh-CN"/>
              </w:rPr>
              <w:t>本项目</w:t>
            </w:r>
            <w:r>
              <w:rPr>
                <w:rFonts w:hint="default" w:ascii="Times New Roman" w:hAnsi="Times New Roman" w:eastAsia="宋体" w:cs="Times New Roman"/>
                <w:sz w:val="21"/>
                <w:szCs w:val="21"/>
              </w:rPr>
              <w:t>污水收集处理率达100%。</w:t>
            </w:r>
          </w:p>
          <w:p w14:paraId="2987023F">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项目生产废水</w:t>
            </w:r>
            <w:r>
              <w:rPr>
                <w:rFonts w:hint="default" w:ascii="Times New Roman" w:hAnsi="Times New Roman" w:eastAsia="宋体" w:cs="Times New Roman"/>
                <w:sz w:val="21"/>
                <w:szCs w:val="21"/>
              </w:rPr>
              <w:t>依托厂区已建成的1个预处理池（容积100m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）处理后接入园区污水管网，由星光工业园区污水处理厂处理后排入巴河。</w:t>
            </w:r>
          </w:p>
          <w:p w14:paraId="1AA4C32C">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r>
              <w:rPr>
                <w:rFonts w:hint="default" w:ascii="Times New Roman" w:hAnsi="Times New Roman" w:eastAsia="宋体" w:cs="Times New Roman"/>
                <w:sz w:val="21"/>
                <w:szCs w:val="21"/>
                <w:lang w:val="en-US" w:eastAsia="zh-CN"/>
              </w:rPr>
              <w:t>本项目不属于矿产资源开发活动，不属于砖瓦行业、</w:t>
            </w:r>
            <w:r>
              <w:rPr>
                <w:rFonts w:hint="default" w:ascii="Times New Roman" w:hAnsi="Times New Roman" w:eastAsia="宋体" w:cs="Times New Roman"/>
                <w:sz w:val="21"/>
                <w:szCs w:val="21"/>
              </w:rPr>
              <w:t>火电、水泥</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畜禽养殖</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工业涂装、包装印刷、制鞋、电子信息、木材加工、化纤等行业。</w:t>
            </w:r>
          </w:p>
          <w:p w14:paraId="46548E8F">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4</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本项目原料含极少量挥发分，预碳化过程产生少量VOCs经33m排气筒排放，均为有组织排缸。</w:t>
            </w:r>
          </w:p>
        </w:tc>
        <w:tc>
          <w:tcPr>
            <w:tcW w:w="719" w:type="dxa"/>
            <w:tcBorders>
              <w:top w:val="single" w:color="000000" w:sz="2" w:space="0"/>
              <w:left w:val="single" w:color="000000" w:sz="6" w:space="0"/>
              <w:bottom w:val="single" w:color="000000" w:sz="2" w:space="0"/>
              <w:right w:val="single" w:color="000000" w:sz="2" w:space="0"/>
            </w:tcBorders>
            <w:noWrap w:val="0"/>
            <w:vAlign w:val="center"/>
          </w:tcPr>
          <w:p w14:paraId="0FE5B3B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符合</w:t>
            </w:r>
          </w:p>
        </w:tc>
      </w:tr>
      <w:tr w14:paraId="10A871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113" w:hRule="atLeast"/>
          <w:jc w:val="center"/>
        </w:trPr>
        <w:tc>
          <w:tcPr>
            <w:tcW w:w="507" w:type="dxa"/>
            <w:vMerge w:val="continue"/>
            <w:tcBorders>
              <w:top w:val="single" w:color="000000" w:sz="2" w:space="0"/>
              <w:left w:val="single" w:color="000000" w:sz="2" w:space="0"/>
              <w:bottom w:val="single" w:color="000000" w:sz="2" w:space="0"/>
              <w:right w:val="single" w:color="000000" w:sz="2" w:space="0"/>
            </w:tcBorders>
            <w:noWrap w:val="0"/>
            <w:vAlign w:val="center"/>
          </w:tcPr>
          <w:p w14:paraId="69516FB9">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4" w:type="dxa"/>
            <w:vMerge w:val="continue"/>
            <w:tcBorders>
              <w:top w:val="single" w:color="000000" w:sz="2" w:space="0"/>
              <w:left w:val="single" w:color="000000" w:sz="2" w:space="0"/>
              <w:bottom w:val="single" w:color="000000" w:sz="2" w:space="0"/>
              <w:right w:val="single" w:color="000000" w:sz="2" w:space="0"/>
            </w:tcBorders>
            <w:noWrap w:val="0"/>
            <w:vAlign w:val="center"/>
          </w:tcPr>
          <w:p w14:paraId="13A01F49">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E72537B">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6" w:type="dxa"/>
            <w:tcBorders>
              <w:top w:val="single" w:color="000000" w:sz="2" w:space="0"/>
              <w:left w:val="single" w:color="000000" w:sz="2" w:space="0"/>
              <w:bottom w:val="single" w:color="000000" w:sz="2" w:space="0"/>
              <w:right w:val="single" w:color="000000" w:sz="2" w:space="0"/>
            </w:tcBorders>
            <w:noWrap w:val="0"/>
            <w:vAlign w:val="center"/>
          </w:tcPr>
          <w:p w14:paraId="58430D4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环境风险防控</w:t>
            </w:r>
          </w:p>
        </w:tc>
        <w:tc>
          <w:tcPr>
            <w:tcW w:w="6147" w:type="dxa"/>
            <w:tcBorders>
              <w:top w:val="single" w:color="000000" w:sz="2" w:space="0"/>
              <w:left w:val="single" w:color="000000" w:sz="2" w:space="0"/>
              <w:bottom w:val="single" w:color="000000" w:sz="2" w:space="0"/>
              <w:right w:val="single" w:color="000000" w:sz="6" w:space="0"/>
            </w:tcBorders>
            <w:noWrap w:val="0"/>
            <w:vAlign w:val="center"/>
          </w:tcPr>
          <w:p w14:paraId="404F4A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涉及有毒有害、易燃易爆物质新建、改扩建项目，严控准入要求。-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w:t>
            </w:r>
          </w:p>
          <w:p w14:paraId="381DA7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色金属冶炼、石油加工、化工、焦化、电镀、制革等行业企业拆除生产设施设备、构筑物和污染治理设施，要事先制定残留污染物清理和安全处置方案，要严格按照有关规定实施安全处理处置，防范拆除活动污染土壤。</w:t>
            </w:r>
          </w:p>
          <w:p w14:paraId="627D95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-已污染地块，应当依法开展土壤污染状况调查、治理与修复，符合相关环境质量要求后，方可进入用地程序。企业环境风险防控要求:</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-工业企业退出用地，须经评估、修复满足相应用地功能后，方可改变用途。</w:t>
            </w:r>
          </w:p>
          <w:p w14:paraId="096A95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-加强“散乱污”企业环境风险防控。</w:t>
            </w:r>
          </w:p>
          <w:p w14:paraId="7383D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现有涉及五类重金属的企业，严控污染物排放，限时整治或搬迁。用地环境风险防控要求:-严禁将城镇生活垃圾、污泥、工业废物直接用作肥料，禁止处理不达标的污泥进入耕地；禁止在农用地排放、倾倒、使用污泥、清淤底泥、尾矿（渣）等可能对土壤造成污染的固体废物。</w:t>
            </w:r>
          </w:p>
          <w:p w14:paraId="278A14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-定期对单元内尾矿库进行风险巡查，建立监测系统和环境风险应急预案；完善各尾矿库渗滤液收集、处理、回用系统，杜绝事故排放；尾矿库闭矿后因地制宜进行植被恢复和综合利用。                                                                                                  -规范排土场、渣场等整治。</w:t>
            </w:r>
          </w:p>
          <w:p w14:paraId="0BBE6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-严格控制林地、草地、园地的农药使用量，禁止使用高毒、高残留农药。</w:t>
            </w:r>
          </w:p>
        </w:tc>
        <w:tc>
          <w:tcPr>
            <w:tcW w:w="2880" w:type="dxa"/>
            <w:tcBorders>
              <w:top w:val="single" w:color="000000" w:sz="2" w:space="0"/>
              <w:left w:val="single" w:color="000000" w:sz="6" w:space="0"/>
              <w:bottom w:val="single" w:color="000000" w:sz="2" w:space="0"/>
              <w:right w:val="single" w:color="000000" w:sz="6" w:space="0"/>
            </w:tcBorders>
            <w:noWrap w:val="0"/>
            <w:vAlign w:val="center"/>
          </w:tcPr>
          <w:p w14:paraId="1F4E83F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本项目按照园区风险防控体系要求，构建了三级环境风险防控体系，制定了危化品泄漏应急处置措施；不属于有色金属冶炼、石油加工、化工、焦化、电镀、制革等行业企业；不涉及重金属。</w:t>
            </w:r>
          </w:p>
        </w:tc>
        <w:tc>
          <w:tcPr>
            <w:tcW w:w="719" w:type="dxa"/>
            <w:tcBorders>
              <w:top w:val="single" w:color="000000" w:sz="2" w:space="0"/>
              <w:left w:val="single" w:color="000000" w:sz="6" w:space="0"/>
              <w:bottom w:val="single" w:color="000000" w:sz="2" w:space="0"/>
              <w:right w:val="single" w:color="000000" w:sz="2" w:space="0"/>
            </w:tcBorders>
            <w:noWrap w:val="0"/>
            <w:vAlign w:val="center"/>
          </w:tcPr>
          <w:p w14:paraId="58B3C4F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符合</w:t>
            </w:r>
          </w:p>
        </w:tc>
      </w:tr>
      <w:tr w14:paraId="642BE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2" w:hRule="atLeast"/>
          <w:jc w:val="center"/>
        </w:trPr>
        <w:tc>
          <w:tcPr>
            <w:tcW w:w="507" w:type="dxa"/>
            <w:vMerge w:val="continue"/>
            <w:tcBorders>
              <w:top w:val="single" w:color="000000" w:sz="2" w:space="0"/>
              <w:left w:val="single" w:color="000000" w:sz="2" w:space="0"/>
              <w:bottom w:val="single" w:color="000000" w:sz="2" w:space="0"/>
              <w:right w:val="single" w:color="000000" w:sz="2" w:space="0"/>
            </w:tcBorders>
            <w:noWrap w:val="0"/>
            <w:vAlign w:val="center"/>
          </w:tcPr>
          <w:p w14:paraId="2FD2DFCA">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4" w:type="dxa"/>
            <w:vMerge w:val="continue"/>
            <w:tcBorders>
              <w:top w:val="single" w:color="000000" w:sz="2" w:space="0"/>
              <w:left w:val="single" w:color="000000" w:sz="2" w:space="0"/>
              <w:bottom w:val="single" w:color="000000" w:sz="2" w:space="0"/>
              <w:right w:val="single" w:color="000000" w:sz="2" w:space="0"/>
            </w:tcBorders>
            <w:noWrap w:val="0"/>
            <w:vAlign w:val="center"/>
          </w:tcPr>
          <w:p w14:paraId="7E66F38B">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4" w:type="dxa"/>
            <w:vMerge w:val="continue"/>
            <w:tcBorders>
              <w:top w:val="single" w:color="000000" w:sz="2" w:space="0"/>
              <w:left w:val="single" w:color="000000" w:sz="2" w:space="0"/>
              <w:bottom w:val="single" w:color="000000" w:sz="2" w:space="0"/>
              <w:right w:val="single" w:color="000000" w:sz="2" w:space="0"/>
            </w:tcBorders>
            <w:noWrap w:val="0"/>
            <w:vAlign w:val="center"/>
          </w:tcPr>
          <w:p w14:paraId="7ACE2578">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p>
        </w:tc>
        <w:tc>
          <w:tcPr>
            <w:tcW w:w="956" w:type="dxa"/>
            <w:tcBorders>
              <w:top w:val="single" w:color="000000" w:sz="2" w:space="0"/>
              <w:left w:val="single" w:color="000000" w:sz="2" w:space="0"/>
              <w:bottom w:val="single" w:color="000000" w:sz="2" w:space="0"/>
              <w:right w:val="single" w:color="000000" w:sz="2" w:space="0"/>
            </w:tcBorders>
            <w:noWrap w:val="0"/>
            <w:vAlign w:val="center"/>
          </w:tcPr>
          <w:p w14:paraId="786B907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资源开发利用效率要求</w:t>
            </w:r>
          </w:p>
        </w:tc>
        <w:tc>
          <w:tcPr>
            <w:tcW w:w="6147" w:type="dxa"/>
            <w:tcBorders>
              <w:top w:val="single" w:color="000000" w:sz="2" w:space="0"/>
              <w:left w:val="single" w:color="000000" w:sz="2" w:space="0"/>
              <w:bottom w:val="single" w:color="000000" w:sz="2" w:space="0"/>
              <w:right w:val="single" w:color="000000" w:sz="6" w:space="0"/>
            </w:tcBorders>
            <w:noWrap w:val="0"/>
            <w:vAlign w:val="center"/>
          </w:tcPr>
          <w:p w14:paraId="307AA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-到2022年，万元国内生产总值用水量、万元工业增加值用水量较2015年分别降低30%和28%。
</w:t>
            </w:r>
          </w:p>
          <w:p w14:paraId="3B1CE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-巴中市2025年地下水开采控制量保持在1400万m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以内。</w:t>
            </w:r>
          </w:p>
          <w:p w14:paraId="5ACA15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-地下水开采量控制在可开采量的允许范围内，抑制用水过度增长。-新、改扩建项目污染能耗指标满足《四川省省级生态工业园区指标》综合类生态工业园区要求。</w:t>
            </w:r>
          </w:p>
          <w:p w14:paraId="557F30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-实施新建项目与煤炭消费总量控制挂钩机制，耗煤建设项目实行煤炭消耗等量减量替代。</w:t>
            </w:r>
          </w:p>
          <w:p w14:paraId="71230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-提高煤炭利用效率和天然气利用占比，工业领域有序推进“煤改电”和有序推进“煤改气”。</w:t>
            </w:r>
          </w:p>
          <w:p w14:paraId="1E8084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-全面淘汰每小时10蒸吨以下的燃煤锅炉；在供气管网覆盖不到的其他地区，改用电、新能源或洁净煤。</w:t>
            </w:r>
          </w:p>
          <w:p w14:paraId="4B6D4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推进清洁能源的推广使用，全面推进散煤清洁化整治；禁止新建每小时10蒸吨以下的燃煤锅炉及其他燃煤设施。</w:t>
            </w:r>
          </w:p>
          <w:p w14:paraId="60B335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禁止焚烧秸秆和垃圾。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到2025年，巴中市万元工业增加值用水降低至22.4m3，工业用水重复利用率达到75.5%以上；到2030年，巴中市万元工业增加值用水量降低到 17.1m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，工业用水重复利用率达到81.3%以上。</w:t>
            </w:r>
          </w:p>
          <w:p w14:paraId="336B5D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-新、改扩建项目污染水耗指标满足《四川省省级生态工业园区指标》综合类生态工业园区要求。</w:t>
            </w:r>
          </w:p>
          <w:p w14:paraId="275069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鼓励引导新建、改建、扩建工业园区应当按照有关要求统筹建设工业废水集中处理和回用设施，适时推进企业间串联用水、分质用水、一水多用，实现水循环梯级优化利用和废水集中处理回用，创建节水型工业园区。
-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到2025年，巴中市农田有效灌溉系数达到0.56；到 2030 年，巴中市农田有效灌溉率提到40%，农田灌溉用水有效利用系数提高到 0.62 左右。</w:t>
            </w:r>
          </w:p>
        </w:tc>
        <w:tc>
          <w:tcPr>
            <w:tcW w:w="2880" w:type="dxa"/>
            <w:tcBorders>
              <w:top w:val="single" w:color="000000" w:sz="2" w:space="0"/>
              <w:left w:val="single" w:color="000000" w:sz="6" w:space="0"/>
              <w:bottom w:val="single" w:color="000000" w:sz="2" w:space="0"/>
              <w:right w:val="single" w:color="000000" w:sz="6" w:space="0"/>
            </w:tcBorders>
            <w:noWrap w:val="0"/>
            <w:vAlign w:val="center"/>
          </w:tcPr>
          <w:p w14:paraId="562D5620">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本</w:t>
            </w:r>
            <w:r>
              <w:rPr>
                <w:rFonts w:hint="default" w:ascii="Times New Roman" w:hAnsi="Times New Roman" w:eastAsia="宋体" w:cs="Times New Roman"/>
                <w:sz w:val="21"/>
                <w:szCs w:val="21"/>
                <w:lang w:eastAsia="zh-CN"/>
              </w:rPr>
              <w:t>项目污染水耗指标满足《四川省省级生态工业园区指标》综合类生态工业园区要求。</w:t>
            </w:r>
          </w:p>
          <w:p w14:paraId="2E04257A">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（2）本项目不涉及地下水开采。</w:t>
            </w:r>
          </w:p>
          <w:p w14:paraId="7F47CB05">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本项目使用电能、天然气等清洁能源，不使用燃煤等</w:t>
            </w:r>
            <w:r>
              <w:rPr>
                <w:rFonts w:hint="default" w:ascii="Times New Roman" w:hAnsi="Times New Roman" w:eastAsia="宋体" w:cs="Times New Roman"/>
                <w:sz w:val="21"/>
                <w:szCs w:val="21"/>
                <w:lang w:eastAsia="zh-CN"/>
              </w:rPr>
              <w:t>高污染燃料。</w:t>
            </w:r>
          </w:p>
        </w:tc>
        <w:tc>
          <w:tcPr>
            <w:tcW w:w="719" w:type="dxa"/>
            <w:tcBorders>
              <w:top w:val="single" w:color="000000" w:sz="2" w:space="0"/>
              <w:left w:val="single" w:color="000000" w:sz="6" w:space="0"/>
              <w:bottom w:val="single" w:color="000000" w:sz="2" w:space="0"/>
              <w:right w:val="single" w:color="000000" w:sz="2" w:space="0"/>
            </w:tcBorders>
            <w:noWrap w:val="0"/>
            <w:vAlign w:val="center"/>
          </w:tcPr>
          <w:p w14:paraId="04639D51">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符合</w:t>
            </w:r>
          </w:p>
        </w:tc>
      </w:tr>
    </w:tbl>
    <w:p w14:paraId="37A04814">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000000"/>
          <w:kern w:val="0"/>
          <w:sz w:val="24"/>
          <w:lang w:val="en-US" w:eastAsia="zh-CN" w:bidi="ar"/>
        </w:rPr>
      </w:pPr>
      <w:r>
        <w:rPr>
          <w:rFonts w:hint="eastAsia" w:ascii="Times New Roman" w:hAnsi="Times New Roman" w:eastAsia="宋体" w:cs="Times New Roman"/>
          <w:b/>
          <w:bCs/>
          <w:color w:val="000000"/>
          <w:kern w:val="0"/>
          <w:sz w:val="24"/>
          <w:lang w:val="en-US" w:eastAsia="zh-CN" w:bidi="ar"/>
        </w:rPr>
        <w:t>2）与环境管控单元准入清单符合性分析</w:t>
      </w:r>
    </w:p>
    <w:p w14:paraId="6713DD8B">
      <w:pPr>
        <w:widowControl/>
        <w:spacing w:line="360" w:lineRule="auto"/>
        <w:ind w:firstLine="480" w:firstLineChars="200"/>
        <w:jc w:val="left"/>
        <w:rPr>
          <w:rFonts w:hint="eastAsia" w:ascii="Times New Roman" w:hAnsi="Times New Roman" w:eastAsia="宋体" w:cs="Times New Roman"/>
          <w:b/>
          <w:bCs/>
          <w:color w:val="000000"/>
          <w:szCs w:val="21"/>
          <w:lang w:eastAsia="zh-CN"/>
        </w:rPr>
      </w:pPr>
      <w:r>
        <w:rPr>
          <w:rFonts w:hint="eastAsia" w:ascii="Times New Roman" w:hAnsi="Times New Roman" w:eastAsia="宋体" w:cs="Times New Roman"/>
          <w:color w:val="000000"/>
          <w:kern w:val="0"/>
          <w:sz w:val="24"/>
          <w:lang w:bidi="ar"/>
        </w:rPr>
        <w:t>本项目与</w:t>
      </w:r>
      <w:r>
        <w:rPr>
          <w:rFonts w:hint="eastAsia" w:ascii="Times New Roman" w:hAnsi="Times New Roman" w:eastAsia="宋体" w:cs="Times New Roman"/>
          <w:color w:val="000000"/>
          <w:kern w:val="0"/>
          <w:sz w:val="24"/>
          <w:lang w:val="en-US" w:eastAsia="zh-CN" w:bidi="ar"/>
        </w:rPr>
        <w:t>巴中市环境管控单元</w:t>
      </w:r>
      <w:r>
        <w:rPr>
          <w:rFonts w:hint="eastAsia" w:ascii="Times New Roman" w:hAnsi="Times New Roman" w:eastAsia="宋体" w:cs="Times New Roman"/>
          <w:color w:val="000000"/>
          <w:kern w:val="0"/>
          <w:sz w:val="24"/>
          <w:lang w:bidi="ar"/>
        </w:rPr>
        <w:t>准入清单要求符合性分析如下表</w:t>
      </w:r>
      <w:r>
        <w:rPr>
          <w:rFonts w:hint="eastAsia" w:ascii="Times New Roman" w:hAnsi="Times New Roman" w:eastAsia="宋体" w:cs="Times New Roman"/>
          <w:color w:val="000000"/>
          <w:kern w:val="0"/>
          <w:sz w:val="24"/>
          <w:lang w:eastAsia="zh-CN" w:bidi="ar"/>
        </w:rPr>
        <w:t>：</w:t>
      </w:r>
    </w:p>
    <w:p w14:paraId="44FD7592">
      <w:pPr>
        <w:pStyle w:val="12"/>
        <w:keepNext w:val="0"/>
        <w:keepLines w:val="0"/>
        <w:pageBreakBefore w:val="0"/>
        <w:widowControl w:val="0"/>
        <w:numPr>
          <w:ilvl w:val="0"/>
          <w:numId w:val="4"/>
        </w:numPr>
        <w:kinsoku/>
        <w:wordWrap/>
        <w:overflowPunct/>
        <w:topLinePunct w:val="0"/>
        <w:autoSpaceDE/>
        <w:autoSpaceDN/>
        <w:bidi w:val="0"/>
        <w:adjustRightInd/>
        <w:snapToGrid/>
        <w:ind w:left="0" w:leftChars="0" w:right="0" w:rightChars="0" w:firstLine="0" w:firstLineChars="0"/>
        <w:jc w:val="center"/>
        <w:textAlignment w:val="auto"/>
        <w:rPr>
          <w:rFonts w:hint="eastAsia" w:ascii="Times New Roman" w:hAnsi="Times New Roman" w:eastAsia="宋体" w:cs="Times New Roman"/>
          <w:b/>
          <w:bCs/>
          <w:color w:val="000000"/>
          <w:kern w:val="0"/>
          <w:sz w:val="24"/>
          <w:lang w:val="en-US" w:eastAsia="zh-CN"/>
        </w:rPr>
      </w:pPr>
      <w:r>
        <w:rPr>
          <w:rFonts w:hint="eastAsia" w:ascii="Times New Roman" w:hAnsi="Times New Roman" w:eastAsia="宋体" w:cs="Times New Roman"/>
          <w:b/>
          <w:bCs/>
          <w:color w:val="000000"/>
          <w:kern w:val="0"/>
          <w:sz w:val="24"/>
          <w:lang w:val="en-US" w:eastAsia="zh-CN"/>
        </w:rPr>
        <w:t xml:space="preserve"> 项目与巴中市环境管控单元准入清单的符合性分析</w:t>
      </w:r>
    </w:p>
    <w:tbl>
      <w:tblPr>
        <w:tblStyle w:val="31"/>
        <w:tblW w:w="47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240"/>
        <w:gridCol w:w="6985"/>
        <w:gridCol w:w="4"/>
        <w:gridCol w:w="3218"/>
        <w:gridCol w:w="5"/>
        <w:gridCol w:w="844"/>
      </w:tblGrid>
      <w:tr w14:paraId="195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02" w:type="pct"/>
            <w:gridSpan w:val="2"/>
            <w:noWrap w:val="0"/>
            <w:vAlign w:val="center"/>
          </w:tcPr>
          <w:p w14:paraId="4EC53046">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类别</w:t>
            </w:r>
          </w:p>
        </w:tc>
        <w:tc>
          <w:tcPr>
            <w:tcW w:w="2651" w:type="pct"/>
            <w:noWrap w:val="0"/>
            <w:vAlign w:val="center"/>
          </w:tcPr>
          <w:p w14:paraId="69926598">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sz w:val="21"/>
                <w:szCs w:val="21"/>
              </w:rPr>
              <w:t>单元特性管控要求</w:t>
            </w:r>
          </w:p>
        </w:tc>
        <w:tc>
          <w:tcPr>
            <w:tcW w:w="1223" w:type="pct"/>
            <w:gridSpan w:val="2"/>
            <w:noWrap w:val="0"/>
            <w:vAlign w:val="center"/>
          </w:tcPr>
          <w:p w14:paraId="4A8C498A">
            <w:pPr>
              <w:keepNext w:val="0"/>
              <w:keepLines w:val="0"/>
              <w:pageBreakBefore w:val="0"/>
              <w:widowControl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color w:val="000000"/>
                <w:sz w:val="21"/>
                <w:szCs w:val="21"/>
                <w:lang w:val="en-US" w:eastAsia="zh-CN"/>
              </w:rPr>
              <w:t>项目对应情况介绍</w:t>
            </w:r>
          </w:p>
        </w:tc>
        <w:tc>
          <w:tcPr>
            <w:tcW w:w="322" w:type="pct"/>
            <w:gridSpan w:val="2"/>
            <w:noWrap w:val="0"/>
            <w:vAlign w:val="center"/>
          </w:tcPr>
          <w:p w14:paraId="27C30032">
            <w:pPr>
              <w:keepNext w:val="0"/>
              <w:keepLines w:val="0"/>
              <w:pageBreakBefore w:val="0"/>
              <w:widowControl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color w:val="000000"/>
                <w:sz w:val="21"/>
                <w:szCs w:val="21"/>
                <w:lang w:val="en-US" w:eastAsia="zh-CN"/>
              </w:rPr>
              <w:t>符合性分析</w:t>
            </w:r>
          </w:p>
        </w:tc>
      </w:tr>
      <w:tr w14:paraId="0D0D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3" w:hRule="atLeast"/>
          <w:jc w:val="center"/>
        </w:trPr>
        <w:tc>
          <w:tcPr>
            <w:tcW w:w="332" w:type="pct"/>
            <w:vMerge w:val="restart"/>
            <w:noWrap w:val="0"/>
            <w:vAlign w:val="center"/>
          </w:tcPr>
          <w:p w14:paraId="21300444">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eastAsia="宋体" w:cs="Times New Roman"/>
                <w:b w:val="0"/>
                <w:bCs/>
                <w:color w:val="000000"/>
                <w:sz w:val="21"/>
                <w:szCs w:val="21"/>
              </w:rPr>
              <w:t>ZH51192320002平昌经济开发区《星光机械制造产业片区、金宝食品饮料产业片区、驷马清洁能源产业片区、石龙门化工园片区)</w:t>
            </w:r>
          </w:p>
        </w:tc>
        <w:tc>
          <w:tcPr>
            <w:tcW w:w="470" w:type="pct"/>
            <w:tcBorders>
              <w:bottom w:val="single" w:color="000000" w:sz="6" w:space="0"/>
            </w:tcBorders>
            <w:noWrap w:val="0"/>
            <w:vAlign w:val="center"/>
          </w:tcPr>
          <w:p w14:paraId="33F8C7AF">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空间布局约束</w:t>
            </w:r>
          </w:p>
        </w:tc>
        <w:tc>
          <w:tcPr>
            <w:tcW w:w="2651" w:type="pct"/>
            <w:noWrap w:val="0"/>
            <w:vAlign w:val="center"/>
          </w:tcPr>
          <w:p w14:paraId="009B3DE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平昌经济开发区-星光工业园区及周边工业备用地：</w:t>
            </w:r>
          </w:p>
          <w:p w14:paraId="72F3381C">
            <w:pPr>
              <w:pStyle w:val="85"/>
              <w:keepNext w:val="0"/>
              <w:keepLines w:val="0"/>
              <w:pageBreakBefore w:val="0"/>
              <w:widowControl w:val="0"/>
              <w:numPr>
                <w:ilvl w:val="0"/>
                <w:numId w:val="13"/>
              </w:numPr>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禁止重污染型企业，包括电镀、皮革、屠宰、化学</w:t>
            </w:r>
            <w:r>
              <w:rPr>
                <w:rStyle w:val="33"/>
                <w:rFonts w:hint="eastAsia" w:eastAsia="宋体" w:cs="Times New Roman"/>
                <w:b w:val="0"/>
                <w:bCs/>
                <w:color w:val="000000"/>
                <w:kern w:val="0"/>
                <w:sz w:val="21"/>
                <w:szCs w:val="21"/>
                <w:lang w:val="en-US" w:eastAsia="zh-CN" w:bidi="ar-SA"/>
              </w:rPr>
              <w:t>制浆造纸</w:t>
            </w:r>
            <w:r>
              <w:rPr>
                <w:rStyle w:val="33"/>
                <w:rFonts w:hint="default" w:ascii="Times New Roman" w:hAnsi="Times New Roman" w:eastAsia="宋体" w:cs="Times New Roman"/>
                <w:b w:val="0"/>
                <w:bCs/>
                <w:color w:val="000000"/>
                <w:kern w:val="0"/>
                <w:sz w:val="21"/>
                <w:szCs w:val="21"/>
                <w:lang w:val="en-US" w:eastAsia="zh-CN" w:bidi="ar-SA"/>
              </w:rPr>
              <w:t>、发酵类制药企业，印染等水污染物排放量大且难以处理的企业，以及焦化、黄磷、冶金等大气污染排放量大或排放人体有害物质较多的企业；（2）禁止引入汽车维修等修理行业的露天喷涂作业和无溶剂回收设施的干洗设备。（3）其他执行工业重点管控单元总体准入要求。</w:t>
            </w:r>
          </w:p>
          <w:p w14:paraId="74991592">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平昌经济开发区-饮料食品工业区：</w:t>
            </w:r>
          </w:p>
          <w:p w14:paraId="28A7CBF3">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（1）</w:t>
            </w:r>
            <w:r>
              <w:rPr>
                <w:rStyle w:val="33"/>
                <w:rFonts w:hint="default" w:ascii="Times New Roman" w:hAnsi="Times New Roman" w:eastAsia="宋体" w:cs="Times New Roman"/>
                <w:b w:val="0"/>
                <w:bCs/>
                <w:color w:val="000000"/>
                <w:kern w:val="0"/>
                <w:sz w:val="21"/>
                <w:szCs w:val="21"/>
                <w:lang w:val="en-US" w:eastAsia="zh-CN" w:bidi="ar-SA"/>
              </w:rPr>
              <w:t>禁止重污染型企业，包括电镀、皮革、化学</w:t>
            </w:r>
            <w:r>
              <w:rPr>
                <w:rStyle w:val="33"/>
                <w:rFonts w:hint="eastAsia" w:eastAsia="宋体" w:cs="Times New Roman"/>
                <w:b w:val="0"/>
                <w:bCs/>
                <w:color w:val="000000"/>
                <w:kern w:val="0"/>
                <w:sz w:val="21"/>
                <w:szCs w:val="21"/>
                <w:lang w:val="en-US" w:eastAsia="zh-CN" w:bidi="ar-SA"/>
              </w:rPr>
              <w:t>制浆造纸</w:t>
            </w:r>
            <w:r>
              <w:rPr>
                <w:rStyle w:val="33"/>
                <w:rFonts w:hint="default" w:ascii="Times New Roman" w:hAnsi="Times New Roman" w:eastAsia="宋体" w:cs="Times New Roman"/>
                <w:b w:val="0"/>
                <w:bCs/>
                <w:color w:val="000000"/>
                <w:kern w:val="0"/>
                <w:sz w:val="21"/>
                <w:szCs w:val="21"/>
                <w:lang w:val="en-US" w:eastAsia="zh-CN" w:bidi="ar-SA"/>
              </w:rPr>
              <w:t>、发酵类制药企业，印染等水污染物排放量大且难以处理的企业，以及焦化、黄磷、冶金等大气污染排放量大或排放人体有害物质较多的企业。（2）其他执行工业重点管控单元总体准入要求。</w:t>
            </w:r>
          </w:p>
          <w:p w14:paraId="72BC1F1E">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平昌经济开发区-驷马清洁能源工业区：</w:t>
            </w:r>
          </w:p>
          <w:p w14:paraId="491062B4">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（1）</w:t>
            </w:r>
            <w:r>
              <w:rPr>
                <w:rStyle w:val="33"/>
                <w:rFonts w:hint="default" w:ascii="Times New Roman" w:hAnsi="Times New Roman" w:eastAsia="宋体" w:cs="Times New Roman"/>
                <w:b w:val="0"/>
                <w:bCs/>
                <w:color w:val="000000"/>
                <w:kern w:val="0"/>
                <w:sz w:val="21"/>
                <w:szCs w:val="21"/>
                <w:lang w:val="en-US" w:eastAsia="zh-CN" w:bidi="ar-SA"/>
              </w:rPr>
              <w:t>禁止重污染型企业，包括电镀、皮革、屠宰、化学</w:t>
            </w:r>
            <w:r>
              <w:rPr>
                <w:rStyle w:val="33"/>
                <w:rFonts w:hint="eastAsia" w:eastAsia="宋体" w:cs="Times New Roman"/>
                <w:b w:val="0"/>
                <w:bCs/>
                <w:color w:val="000000"/>
                <w:kern w:val="0"/>
                <w:sz w:val="21"/>
                <w:szCs w:val="21"/>
                <w:lang w:val="en-US" w:eastAsia="zh-CN" w:bidi="ar-SA"/>
              </w:rPr>
              <w:t>制浆造纸</w:t>
            </w:r>
            <w:r>
              <w:rPr>
                <w:rStyle w:val="33"/>
                <w:rFonts w:hint="default" w:ascii="Times New Roman" w:hAnsi="Times New Roman" w:eastAsia="宋体" w:cs="Times New Roman"/>
                <w:b w:val="0"/>
                <w:bCs/>
                <w:color w:val="000000"/>
                <w:kern w:val="0"/>
                <w:sz w:val="21"/>
                <w:szCs w:val="21"/>
                <w:lang w:val="en-US" w:eastAsia="zh-CN" w:bidi="ar-SA"/>
              </w:rPr>
              <w:t>、发酵类制药企业，印染等水污染物排放量大且难以处理的企业，以及焦化、黄磷、冶金等大气污染排放量大或排放人体有害物质较多的企业。（2）其他执行工业重点管控单元总体准入要求。</w:t>
            </w:r>
          </w:p>
          <w:p w14:paraId="30AFB62D">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石龙门化工片区：</w:t>
            </w:r>
          </w:p>
          <w:p w14:paraId="4FD56D9A">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1、</w:t>
            </w:r>
            <w:r>
              <w:rPr>
                <w:rStyle w:val="33"/>
                <w:rFonts w:hint="default" w:ascii="Times New Roman" w:hAnsi="Times New Roman" w:eastAsia="宋体" w:cs="Times New Roman"/>
                <w:b w:val="0"/>
                <w:bCs/>
                <w:color w:val="000000"/>
                <w:kern w:val="0"/>
                <w:sz w:val="21"/>
                <w:szCs w:val="21"/>
                <w:lang w:val="en-US" w:eastAsia="zh-CN" w:bidi="ar-SA"/>
              </w:rPr>
              <w:t>仅能建设LNG、CNG、磷酸铁锂、利用工业级碳酸二甲酯制备电池级碳酸二甲酯、电池级碳酸二乙酯、碳酸甲乙酯、锂离子电池电解液项目。
2、除石龙门化工片区外，本管控单元内禁止新建、扩建化工项目。</w:t>
            </w:r>
          </w:p>
          <w:p w14:paraId="662201C1">
            <w:pPr>
              <w:pStyle w:val="85"/>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仿宋"/>
                <w:b w:val="0"/>
                <w:bCs/>
                <w:color w:val="000000"/>
                <w:sz w:val="21"/>
                <w:szCs w:val="21"/>
                <w:lang w:eastAsia="zh-CN"/>
              </w:rPr>
            </w:pPr>
            <w:r>
              <w:rPr>
                <w:rStyle w:val="33"/>
                <w:rFonts w:hint="default" w:ascii="Times New Roman" w:hAnsi="Times New Roman" w:eastAsia="宋体" w:cs="Times New Roman"/>
                <w:b w:val="0"/>
                <w:bCs/>
                <w:color w:val="000000"/>
                <w:kern w:val="0"/>
                <w:sz w:val="21"/>
                <w:szCs w:val="21"/>
                <w:lang w:val="en-US" w:eastAsia="zh-CN" w:bidi="ar-SA"/>
              </w:rPr>
              <w:t>执行工业重点管控单元总体准入要求△执行工业重点管控单元总体准入要求△</w:t>
            </w:r>
          </w:p>
        </w:tc>
        <w:tc>
          <w:tcPr>
            <w:tcW w:w="1223" w:type="pct"/>
            <w:gridSpan w:val="2"/>
            <w:noWrap w:val="0"/>
            <w:vAlign w:val="center"/>
          </w:tcPr>
          <w:p w14:paraId="465DF533">
            <w:pPr>
              <w:pStyle w:val="7"/>
              <w:rPr>
                <w:rFonts w:hint="eastAsia" w:ascii="Times New Roman" w:hAnsi="Times New Roman" w:eastAsia="宋体" w:cs="Times New Roman"/>
                <w:b w:val="0"/>
                <w:bCs/>
                <w:color w:val="000000"/>
                <w:sz w:val="21"/>
                <w:szCs w:val="21"/>
                <w:lang w:val="en-US" w:eastAsia="zh-CN"/>
              </w:rPr>
            </w:pPr>
            <w:r>
              <w:rPr>
                <w:rFonts w:hint="eastAsia" w:ascii="Times New Roman" w:hAnsi="Times New Roman" w:eastAsia="宋体" w:cs="Times New Roman"/>
                <w:b w:val="0"/>
                <w:bCs/>
                <w:color w:val="000000"/>
                <w:sz w:val="21"/>
                <w:szCs w:val="21"/>
                <w:lang w:val="en-US" w:eastAsia="zh-CN"/>
              </w:rPr>
              <w:t>本项目位于</w:t>
            </w:r>
            <w:r>
              <w:rPr>
                <w:rStyle w:val="33"/>
                <w:rFonts w:hint="default" w:ascii="Times New Roman" w:hAnsi="Times New Roman" w:eastAsia="宋体" w:cs="Times New Roman"/>
                <w:b w:val="0"/>
                <w:bCs/>
                <w:color w:val="000000"/>
                <w:kern w:val="0"/>
                <w:sz w:val="21"/>
                <w:szCs w:val="21"/>
                <w:lang w:val="en-US" w:eastAsia="zh-CN" w:bidi="ar-SA"/>
              </w:rPr>
              <w:t>平昌经济开发区-星光工业园区</w:t>
            </w:r>
            <w:r>
              <w:rPr>
                <w:rStyle w:val="33"/>
                <w:rFonts w:hint="eastAsia" w:ascii="Times New Roman" w:hAnsi="Times New Roman" w:eastAsia="宋体" w:cs="Times New Roman"/>
                <w:b w:val="0"/>
                <w:bCs/>
                <w:color w:val="000000"/>
                <w:kern w:val="0"/>
                <w:sz w:val="21"/>
                <w:szCs w:val="21"/>
                <w:lang w:val="en-US" w:eastAsia="zh-CN" w:bidi="ar-SA"/>
              </w:rPr>
              <w:t>，不属于</w:t>
            </w:r>
            <w:r>
              <w:rPr>
                <w:rStyle w:val="33"/>
                <w:rFonts w:hint="default" w:ascii="Times New Roman" w:hAnsi="Times New Roman" w:eastAsia="宋体" w:cs="Times New Roman"/>
                <w:b w:val="0"/>
                <w:bCs/>
                <w:color w:val="000000"/>
                <w:kern w:val="0"/>
                <w:sz w:val="21"/>
                <w:szCs w:val="21"/>
                <w:lang w:val="en-US" w:eastAsia="zh-CN" w:bidi="ar-SA"/>
              </w:rPr>
              <w:t>电镀、皮革、屠宰、化学</w:t>
            </w:r>
            <w:r>
              <w:rPr>
                <w:rStyle w:val="33"/>
                <w:rFonts w:hint="eastAsia" w:cs="Times New Roman"/>
                <w:b w:val="0"/>
                <w:bCs/>
                <w:color w:val="000000"/>
                <w:kern w:val="0"/>
                <w:sz w:val="21"/>
                <w:szCs w:val="21"/>
                <w:lang w:val="en-US" w:eastAsia="zh-CN" w:bidi="ar-SA"/>
              </w:rPr>
              <w:t>制浆造纸</w:t>
            </w:r>
            <w:r>
              <w:rPr>
                <w:rStyle w:val="33"/>
                <w:rFonts w:hint="default" w:ascii="Times New Roman" w:hAnsi="Times New Roman" w:eastAsia="宋体" w:cs="Times New Roman"/>
                <w:b w:val="0"/>
                <w:bCs/>
                <w:color w:val="000000"/>
                <w:kern w:val="0"/>
                <w:sz w:val="21"/>
                <w:szCs w:val="21"/>
                <w:lang w:val="en-US" w:eastAsia="zh-CN" w:bidi="ar-SA"/>
              </w:rPr>
              <w:t>、发酵类制药企业，印染等水污染物排放量大且难以处理的企业，以及焦化、黄磷、冶金等大气污染排放量大或排放人体有害物质较多的企业；</w:t>
            </w:r>
            <w:r>
              <w:rPr>
                <w:rStyle w:val="33"/>
                <w:rFonts w:hint="eastAsia" w:ascii="Times New Roman" w:hAnsi="Times New Roman" w:eastAsia="宋体" w:cs="Times New Roman"/>
                <w:b w:val="0"/>
                <w:bCs/>
                <w:color w:val="000000"/>
                <w:kern w:val="0"/>
                <w:sz w:val="21"/>
                <w:szCs w:val="21"/>
                <w:lang w:val="en-US" w:eastAsia="zh-CN" w:bidi="ar-SA"/>
              </w:rPr>
              <w:t>也不属于</w:t>
            </w:r>
            <w:r>
              <w:rPr>
                <w:rStyle w:val="33"/>
                <w:rFonts w:hint="default" w:ascii="Times New Roman" w:hAnsi="Times New Roman" w:eastAsia="宋体" w:cs="Times New Roman"/>
                <w:b w:val="0"/>
                <w:bCs/>
                <w:color w:val="000000"/>
                <w:kern w:val="0"/>
                <w:sz w:val="21"/>
                <w:szCs w:val="21"/>
                <w:lang w:val="en-US" w:eastAsia="zh-CN" w:bidi="ar-SA"/>
              </w:rPr>
              <w:t>汽车维修等修理行业</w:t>
            </w:r>
            <w:r>
              <w:rPr>
                <w:rStyle w:val="33"/>
                <w:rFonts w:hint="eastAsia" w:ascii="Times New Roman" w:hAnsi="Times New Roman" w:eastAsia="宋体" w:cs="Times New Roman"/>
                <w:b w:val="0"/>
                <w:bCs/>
                <w:color w:val="000000"/>
                <w:kern w:val="0"/>
                <w:sz w:val="21"/>
                <w:szCs w:val="21"/>
                <w:lang w:val="en-US" w:eastAsia="zh-CN" w:bidi="ar-SA"/>
              </w:rPr>
              <w:t>，</w:t>
            </w:r>
            <w:r>
              <w:rPr>
                <w:rFonts w:hint="eastAsia" w:ascii="Times New Roman" w:hAnsi="Times New Roman" w:eastAsia="宋体" w:cs="Times New Roman"/>
                <w:b w:val="0"/>
                <w:bCs/>
                <w:color w:val="000000"/>
                <w:sz w:val="21"/>
                <w:szCs w:val="21"/>
                <w:lang w:val="en-US" w:eastAsia="zh-CN"/>
              </w:rPr>
              <w:t>符合</w:t>
            </w:r>
            <w:r>
              <w:rPr>
                <w:rStyle w:val="33"/>
                <w:rFonts w:hint="default" w:ascii="Times New Roman" w:hAnsi="Times New Roman" w:eastAsia="宋体" w:cs="Times New Roman"/>
                <w:b w:val="0"/>
                <w:bCs/>
                <w:color w:val="000000"/>
                <w:kern w:val="0"/>
                <w:sz w:val="21"/>
                <w:szCs w:val="21"/>
                <w:lang w:val="en-US" w:eastAsia="zh-CN" w:bidi="ar-SA"/>
              </w:rPr>
              <w:t>平昌经济开发区-星光工业园区</w:t>
            </w:r>
            <w:r>
              <w:rPr>
                <w:rFonts w:hint="eastAsia" w:ascii="Times New Roman" w:hAnsi="Times New Roman" w:eastAsia="宋体" w:cs="Times New Roman"/>
                <w:b w:val="0"/>
                <w:bCs/>
                <w:color w:val="000000"/>
                <w:sz w:val="21"/>
                <w:szCs w:val="21"/>
                <w:lang w:val="en-US" w:eastAsia="zh-CN"/>
              </w:rPr>
              <w:t>入园要求，</w:t>
            </w:r>
            <w:r>
              <w:rPr>
                <w:rFonts w:hint="eastAsia"/>
                <w:lang w:val="en-US" w:eastAsia="zh-CN"/>
              </w:rPr>
              <w:t>符合</w:t>
            </w:r>
            <w:r>
              <w:rPr>
                <w:rStyle w:val="33"/>
                <w:rFonts w:hint="default" w:ascii="Times New Roman" w:hAnsi="Times New Roman" w:eastAsia="宋体" w:cs="Times New Roman"/>
                <w:b w:val="0"/>
                <w:bCs/>
                <w:color w:val="000000"/>
                <w:kern w:val="0"/>
                <w:sz w:val="21"/>
                <w:szCs w:val="21"/>
                <w:lang w:val="en-US" w:eastAsia="zh-CN" w:bidi="ar-SA"/>
              </w:rPr>
              <w:t>工业重点管控单元总体准入要求</w:t>
            </w:r>
            <w:r>
              <w:rPr>
                <w:rFonts w:hint="eastAsia" w:ascii="Times New Roman" w:hAnsi="Times New Roman" w:eastAsia="宋体" w:cs="Times New Roman"/>
                <w:b w:val="0"/>
                <w:bCs/>
                <w:color w:val="000000"/>
                <w:sz w:val="21"/>
                <w:szCs w:val="21"/>
                <w:lang w:val="en-US" w:eastAsia="zh-CN"/>
              </w:rPr>
              <w:t>。</w:t>
            </w:r>
          </w:p>
        </w:tc>
        <w:tc>
          <w:tcPr>
            <w:tcW w:w="322" w:type="pct"/>
            <w:gridSpan w:val="2"/>
            <w:noWrap w:val="0"/>
            <w:vAlign w:val="center"/>
          </w:tcPr>
          <w:p w14:paraId="1A15CB60">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符合</w:t>
            </w:r>
          </w:p>
        </w:tc>
      </w:tr>
      <w:tr w14:paraId="2B3B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332" w:type="pct"/>
            <w:vMerge w:val="continue"/>
            <w:noWrap w:val="0"/>
            <w:vAlign w:val="center"/>
          </w:tcPr>
          <w:p w14:paraId="7CCB3296">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p>
        </w:tc>
        <w:tc>
          <w:tcPr>
            <w:tcW w:w="470" w:type="pct"/>
            <w:tcBorders>
              <w:top w:val="single" w:color="000000" w:sz="6" w:space="0"/>
              <w:bottom w:val="single" w:color="000000" w:sz="6" w:space="0"/>
            </w:tcBorders>
            <w:noWrap w:val="0"/>
            <w:vAlign w:val="center"/>
          </w:tcPr>
          <w:p w14:paraId="240D2E70">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污染物排放管控</w:t>
            </w:r>
          </w:p>
        </w:tc>
        <w:tc>
          <w:tcPr>
            <w:tcW w:w="2651" w:type="pct"/>
            <w:noWrap w:val="0"/>
            <w:vAlign w:val="center"/>
          </w:tcPr>
          <w:p w14:paraId="3694AED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平昌经济开发区-星光工业园区及周边工业备用地</w:t>
            </w:r>
            <w:r>
              <w:rPr>
                <w:rStyle w:val="33"/>
                <w:rFonts w:hint="eastAsia" w:ascii="Times New Roman" w:hAnsi="Times New Roman" w:eastAsia="宋体" w:cs="Times New Roman"/>
                <w:b w:val="0"/>
                <w:bCs/>
                <w:color w:val="000000"/>
                <w:kern w:val="0"/>
                <w:sz w:val="21"/>
                <w:szCs w:val="21"/>
                <w:lang w:val="en-US" w:eastAsia="zh-CN" w:bidi="ar-SA"/>
              </w:rPr>
              <w:t>：</w:t>
            </w:r>
          </w:p>
          <w:p w14:paraId="024A07D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执行工业重点管控单元总体准入要求。</w:t>
            </w:r>
          </w:p>
          <w:p w14:paraId="2DB9E2C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平昌经济开发区-饮料食品工业区：
（1）从事肉类加工的企业应当采取措施，对污水进行生化等科学处置，保证废水的综合利用和无害化处理设施正常运转，污水达标后排入园区污水处理厂。
（2）从事肉类加工的企业应当采取措施，对畜禽粪便、尸体和污水等废弃物进行收集、贮存、清运和无害化处理，防止排放恶臭气体。
（3）其他执行工业重点单元总体准入要求。</w:t>
            </w:r>
          </w:p>
          <w:p w14:paraId="4A2BA24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驷马清洁能源工业区：执行工业重点管控单元总体准入要求。执行工业重点管控单元总体准入要求执行工业重点管控单元总体准入要求（1）食品饮料重点行业项目新建应参考巴中市“三线一单”生态环境分区管控中食品饮料行业环境绩效准入门槛，对食品饮料产业中的白酒行业和肉制品加工行业执行GB27631-2011行业标准和《清洁生产评价指标体系 肉制品加工业》（DB11T 1405-2017）二级标准，单位产品废水量≤14m3t，单位产品化学需氧量（COD</w:t>
            </w:r>
            <w:r>
              <w:rPr>
                <w:rStyle w:val="33"/>
                <w:rFonts w:hint="eastAsia" w:eastAsia="宋体" w:cs="Times New Roman"/>
                <w:b w:val="0"/>
                <w:bCs/>
                <w:color w:val="000000"/>
                <w:kern w:val="0"/>
                <w:sz w:val="21"/>
                <w:szCs w:val="21"/>
                <w:lang w:val="en-US" w:eastAsia="zh-CN" w:bidi="ar-SA"/>
              </w:rPr>
              <w:t>c</w:t>
            </w:r>
            <w:r>
              <w:rPr>
                <w:rStyle w:val="33"/>
                <w:rFonts w:hint="default" w:ascii="Times New Roman" w:hAnsi="Times New Roman" w:eastAsia="宋体" w:cs="Times New Roman"/>
                <w:b w:val="0"/>
                <w:bCs/>
                <w:color w:val="000000"/>
                <w:kern w:val="0"/>
                <w:sz w:val="21"/>
                <w:szCs w:val="21"/>
                <w:lang w:val="en-US" w:eastAsia="zh-CN" w:bidi="ar-SA"/>
              </w:rPr>
              <w:t>r）产生量≤16.1kgt、单位产品氨氮（NH3-N）≤0.65kgt；
</w:t>
            </w:r>
          </w:p>
          <w:p w14:paraId="40FCE7C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石龙门化工园区—排水不得进入四川驷马河省级自然保护区、四川驷马河国家级湿地公园；
</w:t>
            </w:r>
          </w:p>
          <w:p w14:paraId="6E07CB2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b w:val="0"/>
                <w:bCs/>
                <w:color w:val="000000"/>
                <w:sz w:val="21"/>
                <w:szCs w:val="21"/>
                <w:lang w:eastAsia="zh-CN"/>
              </w:rPr>
            </w:pPr>
            <w:r>
              <w:rPr>
                <w:rStyle w:val="33"/>
                <w:rFonts w:hint="default" w:ascii="Times New Roman" w:hAnsi="Times New Roman" w:eastAsia="宋体" w:cs="Times New Roman"/>
                <w:b w:val="0"/>
                <w:bCs/>
                <w:color w:val="000000"/>
                <w:kern w:val="0"/>
                <w:sz w:val="21"/>
                <w:szCs w:val="21"/>
                <w:lang w:val="en-US" w:eastAsia="zh-CN" w:bidi="ar-SA"/>
              </w:rPr>
              <w:t>其他执行工业重点管控单元总体准入要求。△</w:t>
            </w:r>
          </w:p>
        </w:tc>
        <w:tc>
          <w:tcPr>
            <w:tcW w:w="1223" w:type="pct"/>
            <w:gridSpan w:val="2"/>
            <w:noWrap w:val="0"/>
            <w:vAlign w:val="center"/>
          </w:tcPr>
          <w:p w14:paraId="64ABCCCD">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left"/>
              <w:rPr>
                <w:rFonts w:ascii="Times New Roman" w:hAnsi="Times New Roman"/>
                <w:b w:val="0"/>
                <w:bCs/>
                <w:color w:val="000000"/>
                <w:sz w:val="21"/>
                <w:szCs w:val="21"/>
              </w:rPr>
            </w:pPr>
            <w:r>
              <w:rPr>
                <w:rFonts w:hint="eastAsia" w:ascii="Times New Roman" w:hAnsi="Times New Roman" w:eastAsia="宋体" w:cs="Times New Roman"/>
                <w:b w:val="0"/>
                <w:bCs/>
                <w:color w:val="000000"/>
                <w:sz w:val="21"/>
                <w:szCs w:val="21"/>
                <w:lang w:val="en-US" w:eastAsia="zh-CN"/>
              </w:rPr>
              <w:t>本项目位于</w:t>
            </w:r>
            <w:r>
              <w:rPr>
                <w:rStyle w:val="33"/>
                <w:rFonts w:hint="default" w:ascii="Times New Roman" w:hAnsi="Times New Roman" w:eastAsia="宋体" w:cs="Times New Roman"/>
                <w:b w:val="0"/>
                <w:bCs/>
                <w:color w:val="000000"/>
                <w:kern w:val="0"/>
                <w:sz w:val="21"/>
                <w:szCs w:val="21"/>
                <w:lang w:val="en-US" w:eastAsia="zh-CN" w:bidi="ar-SA"/>
              </w:rPr>
              <w:t>平昌经济开发区-星光工业园区</w:t>
            </w:r>
            <w:r>
              <w:rPr>
                <w:rStyle w:val="33"/>
                <w:rFonts w:hint="eastAsia" w:ascii="Times New Roman" w:hAnsi="Times New Roman" w:eastAsia="宋体" w:cs="Times New Roman"/>
                <w:b w:val="0"/>
                <w:bCs/>
                <w:color w:val="000000"/>
                <w:kern w:val="0"/>
                <w:sz w:val="21"/>
                <w:szCs w:val="21"/>
                <w:lang w:val="en-US" w:eastAsia="zh-CN" w:bidi="ar-SA"/>
              </w:rPr>
              <w:t>，</w:t>
            </w:r>
            <w:r>
              <w:rPr>
                <w:rStyle w:val="33"/>
                <w:rFonts w:hint="default" w:ascii="Times New Roman" w:hAnsi="Times New Roman" w:eastAsia="宋体" w:cs="Times New Roman"/>
                <w:b w:val="0"/>
                <w:bCs/>
                <w:color w:val="000000"/>
                <w:kern w:val="0"/>
                <w:sz w:val="21"/>
                <w:szCs w:val="21"/>
                <w:lang w:val="en-US" w:eastAsia="zh-CN" w:bidi="ar-SA"/>
              </w:rPr>
              <w:t>执行工业重点管控单元总体准入要求</w:t>
            </w:r>
            <w:r>
              <w:rPr>
                <w:rFonts w:hint="default" w:ascii="Times New Roman" w:hAnsi="Times New Roman" w:eastAsia="宋体" w:cs="Times New Roman"/>
                <w:b w:val="0"/>
                <w:bCs/>
                <w:color w:val="000000"/>
                <w:sz w:val="21"/>
                <w:szCs w:val="21"/>
                <w:lang w:val="en-US" w:eastAsia="zh-CN"/>
              </w:rPr>
              <w:t>。</w:t>
            </w:r>
          </w:p>
        </w:tc>
        <w:tc>
          <w:tcPr>
            <w:tcW w:w="322" w:type="pct"/>
            <w:gridSpan w:val="2"/>
            <w:noWrap w:val="0"/>
            <w:vAlign w:val="center"/>
          </w:tcPr>
          <w:p w14:paraId="025DDF40">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符合</w:t>
            </w:r>
          </w:p>
        </w:tc>
      </w:tr>
      <w:tr w14:paraId="7AE2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332" w:type="pct"/>
            <w:vMerge w:val="continue"/>
            <w:noWrap w:val="0"/>
            <w:vAlign w:val="center"/>
          </w:tcPr>
          <w:p w14:paraId="36DC831D">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p>
        </w:tc>
        <w:tc>
          <w:tcPr>
            <w:tcW w:w="470" w:type="pct"/>
            <w:tcBorders>
              <w:top w:val="single" w:color="000000" w:sz="6" w:space="0"/>
              <w:bottom w:val="single" w:color="000000" w:sz="6" w:space="0"/>
            </w:tcBorders>
            <w:noWrap w:val="0"/>
            <w:vAlign w:val="center"/>
          </w:tcPr>
          <w:p w14:paraId="46DD4D95">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环境风险管控</w:t>
            </w:r>
          </w:p>
        </w:tc>
        <w:tc>
          <w:tcPr>
            <w:tcW w:w="2651" w:type="pct"/>
            <w:noWrap w:val="0"/>
            <w:vAlign w:val="center"/>
          </w:tcPr>
          <w:p w14:paraId="6D1786E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执行工业重点管控单元总体准入要求执行工业重点管控单元总体准入要求执行工业重点管控单元总体准入要求</w:t>
            </w:r>
          </w:p>
          <w:p w14:paraId="38B3058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石龙门化工园区-（1）强化园区多级环境风险防控体系建设，制定突发环境事件应急预案，加强应急演练及应急监测监控系统建设，确保环境风险可控。（2）加快完善园区废水收集处理系统、事故应急池、应急指挥中心和监测监控体系建设。
执行工业重点管控单元总体准入要求</w:t>
            </w:r>
          </w:p>
          <w:p w14:paraId="3AEBB7A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星光工业园区及周边工业备用地：（1）禁止引入原料、中间品、产品涉及剧毒化学品的企业；禁止引入涉及重金属污染物排放的项目，如电镀行业。（2）汽车摩托车制造等行业企业及其它可能危害土壤环境质量的生产设施设备、构筑物和污染治理设施的拆除，要事先制定残留污染物清理和安全处置方案，并报所在地县(区)级环境保护、经济和信息化部门备案;要严格按照有关规定实施安全处理处置，防范拆除活动污染土壤。</w:t>
            </w:r>
          </w:p>
          <w:p w14:paraId="2D2C48C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平昌经济开发区-饮料食品工业区：
（1）严禁企业自设工业垃圾填埋场所。平昌经济开发区-平昌经济开发区（驷马清洁能源）工业区
（2）严禁企业自设工业垃圾填埋场所。</w:t>
            </w:r>
          </w:p>
          <w:p w14:paraId="015D216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ascii="Times New Roman" w:hAnsi="Times New Roman"/>
                <w:b w:val="0"/>
                <w:bCs/>
                <w:color w:val="000000"/>
                <w:sz w:val="21"/>
                <w:szCs w:val="21"/>
              </w:rPr>
            </w:pPr>
            <w:r>
              <w:rPr>
                <w:rStyle w:val="33"/>
                <w:rFonts w:hint="default" w:ascii="Times New Roman" w:hAnsi="Times New Roman" w:eastAsia="宋体" w:cs="Times New Roman"/>
                <w:b w:val="0"/>
                <w:bCs/>
                <w:color w:val="000000"/>
                <w:kern w:val="0"/>
                <w:sz w:val="21"/>
                <w:szCs w:val="21"/>
                <w:lang w:val="en-US" w:eastAsia="zh-CN" w:bidi="ar-SA"/>
              </w:rPr>
              <w:t>其他执行工业重点管控单元总体准入要求。△</w:t>
            </w:r>
          </w:p>
        </w:tc>
        <w:tc>
          <w:tcPr>
            <w:tcW w:w="1223" w:type="pct"/>
            <w:gridSpan w:val="2"/>
            <w:noWrap w:val="0"/>
            <w:vAlign w:val="center"/>
          </w:tcPr>
          <w:p w14:paraId="1358CD4F">
            <w:pPr>
              <w:pStyle w:val="60"/>
              <w:keepNext w:val="0"/>
              <w:keepLines w:val="0"/>
              <w:pageBreakBefore w:val="0"/>
              <w:widowControl w:val="0"/>
              <w:kinsoku/>
              <w:wordWrap/>
              <w:overflowPunct/>
              <w:topLinePunct w:val="0"/>
              <w:autoSpaceDE/>
              <w:autoSpaceDN/>
              <w:bidi w:val="0"/>
              <w:snapToGrid w:val="0"/>
              <w:spacing w:line="240" w:lineRule="auto"/>
              <w:ind w:left="0" w:right="0" w:firstLine="0" w:firstLineChars="0"/>
              <w:jc w:val="center"/>
              <w:rPr>
                <w:rFonts w:ascii="Times New Roman" w:hAnsi="Times New Roman"/>
                <w:b w:val="0"/>
                <w:bCs/>
                <w:color w:val="000000"/>
                <w:sz w:val="21"/>
                <w:szCs w:val="21"/>
              </w:rPr>
            </w:pPr>
            <w:r>
              <w:rPr>
                <w:rStyle w:val="33"/>
                <w:rFonts w:hint="eastAsia" w:ascii="Times New Roman" w:hAnsi="Times New Roman" w:eastAsia="宋体" w:cs="Times New Roman"/>
                <w:b w:val="0"/>
                <w:bCs/>
                <w:color w:val="000000"/>
                <w:kern w:val="0"/>
                <w:sz w:val="21"/>
                <w:szCs w:val="21"/>
                <w:lang w:val="en-US" w:eastAsia="zh-CN" w:bidi="ar-SA"/>
              </w:rPr>
              <w:t>本项目环境风险管控</w:t>
            </w:r>
            <w:r>
              <w:rPr>
                <w:rStyle w:val="33"/>
                <w:rFonts w:hint="default" w:ascii="Times New Roman" w:hAnsi="Times New Roman" w:eastAsia="宋体" w:cs="Times New Roman"/>
                <w:b w:val="0"/>
                <w:bCs/>
                <w:color w:val="000000"/>
                <w:kern w:val="0"/>
                <w:sz w:val="21"/>
                <w:szCs w:val="21"/>
                <w:lang w:val="en-US" w:eastAsia="zh-CN" w:bidi="ar-SA"/>
              </w:rPr>
              <w:t>执行工业重点单元总体准入要求</w:t>
            </w:r>
            <w:r>
              <w:rPr>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776BB230">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符合</w:t>
            </w:r>
          </w:p>
        </w:tc>
      </w:tr>
      <w:tr w14:paraId="53FE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1" w:hRule="atLeast"/>
          <w:jc w:val="center"/>
        </w:trPr>
        <w:tc>
          <w:tcPr>
            <w:tcW w:w="332" w:type="pct"/>
            <w:vMerge w:val="continue"/>
            <w:noWrap w:val="0"/>
            <w:vAlign w:val="center"/>
          </w:tcPr>
          <w:p w14:paraId="636C8589">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p>
        </w:tc>
        <w:tc>
          <w:tcPr>
            <w:tcW w:w="470" w:type="pct"/>
            <w:tcBorders>
              <w:top w:val="single" w:color="000000" w:sz="6" w:space="0"/>
              <w:bottom w:val="single" w:color="000000" w:sz="6" w:space="0"/>
            </w:tcBorders>
            <w:noWrap w:val="0"/>
            <w:vAlign w:val="center"/>
          </w:tcPr>
          <w:p w14:paraId="024F1D82">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b w:val="0"/>
                <w:bCs/>
                <w:color w:val="000000"/>
                <w:sz w:val="21"/>
                <w:szCs w:val="21"/>
              </w:rPr>
            </w:pPr>
            <w:r>
              <w:rPr>
                <w:rFonts w:ascii="Times New Roman" w:hAnsi="Times New Roman"/>
                <w:b w:val="0"/>
                <w:bCs/>
                <w:color w:val="000000"/>
                <w:sz w:val="21"/>
                <w:szCs w:val="21"/>
              </w:rPr>
              <w:t>资源开发利用效率</w:t>
            </w:r>
          </w:p>
        </w:tc>
        <w:tc>
          <w:tcPr>
            <w:tcW w:w="2651" w:type="pct"/>
            <w:noWrap w:val="0"/>
            <w:vAlign w:val="center"/>
          </w:tcPr>
          <w:p w14:paraId="3D466A8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执行工业重点管控单元总体准入要求</w:t>
            </w:r>
          </w:p>
          <w:p w14:paraId="64B0C26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执行工业重点管控单元普适性管控要求。</w:t>
            </w:r>
          </w:p>
          <w:p w14:paraId="7AF792C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ascii="Times New Roman" w:hAnsi="Times New Roman"/>
                <w:b w:val="0"/>
                <w:bCs/>
                <w:color w:val="000000"/>
                <w:sz w:val="21"/>
                <w:szCs w:val="21"/>
              </w:rPr>
            </w:pPr>
            <w:r>
              <w:rPr>
                <w:rStyle w:val="33"/>
                <w:rFonts w:hint="default" w:ascii="Times New Roman" w:hAnsi="Times New Roman" w:eastAsia="宋体" w:cs="Times New Roman"/>
                <w:b w:val="0"/>
                <w:bCs/>
                <w:color w:val="000000"/>
                <w:kern w:val="0"/>
                <w:sz w:val="21"/>
                <w:szCs w:val="21"/>
                <w:lang w:val="en-US" w:eastAsia="zh-CN" w:bidi="ar-SA"/>
              </w:rPr>
              <w:t>执行工业重点管控单元总体准入要求△</w:t>
            </w:r>
          </w:p>
        </w:tc>
        <w:tc>
          <w:tcPr>
            <w:tcW w:w="1223" w:type="pct"/>
            <w:gridSpan w:val="2"/>
            <w:noWrap w:val="0"/>
            <w:vAlign w:val="center"/>
          </w:tcPr>
          <w:p w14:paraId="6CADA728">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eastAsia="宋体" w:cs="Times New Roman"/>
                <w:b w:val="0"/>
                <w:bCs/>
                <w:color w:val="000000"/>
                <w:sz w:val="21"/>
                <w:szCs w:val="21"/>
              </w:rPr>
            </w:pPr>
            <w:r>
              <w:rPr>
                <w:rFonts w:ascii="Times New Roman" w:hAnsi="Times New Roman" w:eastAsia="宋体" w:cs="Times New Roman"/>
                <w:b w:val="0"/>
                <w:bCs/>
                <w:color w:val="000000"/>
                <w:sz w:val="21"/>
                <w:szCs w:val="21"/>
              </w:rPr>
              <w:t>本</w:t>
            </w:r>
            <w:r>
              <w:rPr>
                <w:rFonts w:hint="eastAsia" w:ascii="Times New Roman" w:hAnsi="Times New Roman" w:eastAsia="宋体" w:cs="Times New Roman"/>
                <w:b w:val="0"/>
                <w:bCs/>
                <w:color w:val="000000"/>
                <w:sz w:val="21"/>
                <w:szCs w:val="21"/>
                <w:lang w:val="en-US" w:eastAsia="zh-CN"/>
              </w:rPr>
              <w:t>项目</w:t>
            </w:r>
            <w:r>
              <w:rPr>
                <w:rFonts w:ascii="Times New Roman" w:hAnsi="Times New Roman" w:eastAsia="宋体" w:cs="Times New Roman"/>
                <w:b w:val="0"/>
                <w:bCs/>
                <w:color w:val="000000"/>
                <w:sz w:val="21"/>
                <w:szCs w:val="21"/>
              </w:rPr>
              <w:t>资源开发利用效率</w:t>
            </w:r>
            <w:r>
              <w:rPr>
                <w:rFonts w:hint="default" w:ascii="Times New Roman" w:hAnsi="Times New Roman" w:eastAsia="宋体" w:cs="Times New Roman"/>
                <w:b w:val="0"/>
                <w:bCs/>
                <w:color w:val="000000"/>
                <w:sz w:val="21"/>
                <w:szCs w:val="21"/>
                <w:lang w:val="en-US" w:eastAsia="zh-CN"/>
              </w:rPr>
              <w:t>执行工业重点单元总体准入要求</w:t>
            </w:r>
            <w:r>
              <w:rPr>
                <w:rFonts w:hint="eastAsia" w:ascii="Times New Roman" w:hAnsi="Times New Roman" w:eastAsia="宋体" w:cs="Times New Roman"/>
                <w:b w:val="0"/>
                <w:bCs/>
                <w:color w:val="000000"/>
                <w:sz w:val="21"/>
                <w:szCs w:val="21"/>
                <w:lang w:val="en-US" w:eastAsia="zh-CN"/>
              </w:rPr>
              <w:t>。</w:t>
            </w:r>
          </w:p>
        </w:tc>
        <w:tc>
          <w:tcPr>
            <w:tcW w:w="322" w:type="pct"/>
            <w:gridSpan w:val="2"/>
            <w:noWrap w:val="0"/>
            <w:vAlign w:val="center"/>
          </w:tcPr>
          <w:p w14:paraId="378A47E8">
            <w:pPr>
              <w:pStyle w:val="60"/>
              <w:keepNext w:val="0"/>
              <w:keepLines w:val="0"/>
              <w:pageBreakBefore w:val="0"/>
              <w:widowControl w:val="0"/>
              <w:kinsoku/>
              <w:wordWrap/>
              <w:overflowPunct/>
              <w:topLinePunct w:val="0"/>
              <w:autoSpaceDE/>
              <w:autoSpaceDN/>
              <w:bidi w:val="0"/>
              <w:snapToGrid w:val="0"/>
              <w:spacing w:line="240" w:lineRule="auto"/>
              <w:ind w:firstLine="0" w:firstLineChars="0"/>
              <w:jc w:val="center"/>
              <w:rPr>
                <w:rFonts w:ascii="Times New Roman" w:hAnsi="Times New Roman" w:eastAsia="宋体" w:cs="Times New Roman"/>
                <w:b w:val="0"/>
                <w:bCs/>
                <w:color w:val="000000"/>
                <w:sz w:val="21"/>
                <w:szCs w:val="21"/>
              </w:rPr>
            </w:pPr>
            <w:r>
              <w:rPr>
                <w:rFonts w:ascii="Times New Roman" w:hAnsi="Times New Roman" w:eastAsia="宋体" w:cs="Times New Roman"/>
                <w:b w:val="0"/>
                <w:bCs/>
                <w:color w:val="000000"/>
                <w:sz w:val="21"/>
                <w:szCs w:val="21"/>
              </w:rPr>
              <w:t>符合</w:t>
            </w:r>
          </w:p>
        </w:tc>
      </w:tr>
      <w:tr w14:paraId="6C1F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02" w:type="pct"/>
            <w:gridSpan w:val="2"/>
            <w:noWrap w:val="0"/>
            <w:vAlign w:val="center"/>
          </w:tcPr>
          <w:p w14:paraId="56286DA3">
            <w:pPr>
              <w:keepNext w:val="0"/>
              <w:keepLines w:val="0"/>
              <w:pageBreakBefore w:val="0"/>
              <w:widowControl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color w:val="000000"/>
                <w:sz w:val="21"/>
                <w:szCs w:val="21"/>
                <w:lang w:val="en-US" w:eastAsia="zh-CN"/>
              </w:rPr>
            </w:pPr>
            <w:r>
              <w:rPr>
                <w:rFonts w:hint="default" w:ascii="Times New Roman" w:hAnsi="Times New Roman" w:eastAsia="宋体" w:cs="Times New Roman"/>
                <w:b/>
                <w:color w:val="000000"/>
                <w:sz w:val="21"/>
                <w:szCs w:val="21"/>
                <w:lang w:val="en-US" w:eastAsia="zh-CN"/>
              </w:rPr>
              <w:t>类别</w:t>
            </w:r>
          </w:p>
        </w:tc>
        <w:tc>
          <w:tcPr>
            <w:tcW w:w="2651" w:type="pct"/>
            <w:noWrap w:val="0"/>
            <w:vAlign w:val="center"/>
          </w:tcPr>
          <w:p w14:paraId="03A0CE48">
            <w:pPr>
              <w:keepNext w:val="0"/>
              <w:keepLines w:val="0"/>
              <w:pageBreakBefore w:val="0"/>
              <w:widowControl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color w:val="000000"/>
                <w:sz w:val="21"/>
                <w:szCs w:val="21"/>
                <w:lang w:val="en-US" w:eastAsia="zh-CN"/>
              </w:rPr>
            </w:pPr>
            <w:r>
              <w:rPr>
                <w:rFonts w:hint="default" w:ascii="Times New Roman" w:hAnsi="Times New Roman" w:eastAsia="宋体" w:cs="Times New Roman"/>
                <w:b/>
                <w:color w:val="000000"/>
                <w:sz w:val="21"/>
                <w:szCs w:val="21"/>
                <w:lang w:val="en-US" w:eastAsia="zh-CN"/>
              </w:rPr>
              <w:t>要素管控分区管控要求</w:t>
            </w:r>
          </w:p>
        </w:tc>
        <w:tc>
          <w:tcPr>
            <w:tcW w:w="1223" w:type="pct"/>
            <w:gridSpan w:val="2"/>
            <w:noWrap w:val="0"/>
            <w:vAlign w:val="center"/>
          </w:tcPr>
          <w:p w14:paraId="0A12912B">
            <w:pPr>
              <w:keepNext w:val="0"/>
              <w:keepLines w:val="0"/>
              <w:pageBreakBefore w:val="0"/>
              <w:widowControl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color w:val="000000"/>
                <w:sz w:val="21"/>
                <w:szCs w:val="21"/>
                <w:lang w:val="en-US" w:eastAsia="zh-CN"/>
              </w:rPr>
            </w:pPr>
            <w:r>
              <w:rPr>
                <w:rFonts w:hint="default" w:ascii="Times New Roman" w:hAnsi="Times New Roman" w:eastAsia="宋体" w:cs="Times New Roman"/>
                <w:b/>
                <w:color w:val="000000"/>
                <w:sz w:val="21"/>
                <w:szCs w:val="21"/>
                <w:lang w:val="en-US" w:eastAsia="zh-CN"/>
              </w:rPr>
              <w:t>项目对应情况介绍</w:t>
            </w:r>
          </w:p>
        </w:tc>
        <w:tc>
          <w:tcPr>
            <w:tcW w:w="322" w:type="pct"/>
            <w:gridSpan w:val="2"/>
            <w:noWrap w:val="0"/>
            <w:vAlign w:val="center"/>
          </w:tcPr>
          <w:p w14:paraId="2CD16498">
            <w:pPr>
              <w:keepNext w:val="0"/>
              <w:keepLines w:val="0"/>
              <w:pageBreakBefore w:val="0"/>
              <w:widowControl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color w:val="000000"/>
                <w:sz w:val="21"/>
                <w:szCs w:val="21"/>
                <w:lang w:val="en-US" w:eastAsia="zh-CN"/>
              </w:rPr>
            </w:pPr>
            <w:r>
              <w:rPr>
                <w:rFonts w:hint="default" w:ascii="Times New Roman" w:hAnsi="Times New Roman" w:eastAsia="宋体" w:cs="Times New Roman"/>
                <w:b/>
                <w:color w:val="000000"/>
                <w:sz w:val="21"/>
                <w:szCs w:val="21"/>
                <w:lang w:val="en-US" w:eastAsia="zh-CN"/>
              </w:rPr>
              <w:t>符合性分析</w:t>
            </w:r>
          </w:p>
        </w:tc>
      </w:tr>
      <w:tr w14:paraId="756C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32" w:type="pct"/>
            <w:vMerge w:val="restart"/>
            <w:noWrap w:val="0"/>
            <w:vAlign w:val="center"/>
          </w:tcPr>
          <w:p w14:paraId="2E13E5B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YS5119232550001平昌县自然资源重点管控区</w:t>
            </w:r>
          </w:p>
        </w:tc>
        <w:tc>
          <w:tcPr>
            <w:tcW w:w="470" w:type="pct"/>
            <w:tcBorders>
              <w:top w:val="single" w:color="000000" w:sz="6" w:space="0"/>
              <w:bottom w:val="single" w:color="000000" w:sz="6" w:space="0"/>
            </w:tcBorders>
            <w:noWrap w:val="0"/>
            <w:vAlign w:val="center"/>
          </w:tcPr>
          <w:p w14:paraId="6EADA64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noWrap w:val="0"/>
            <w:vAlign w:val="center"/>
          </w:tcPr>
          <w:p w14:paraId="2E26050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6D0327D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1250240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1D7D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332" w:type="pct"/>
            <w:vMerge w:val="continue"/>
            <w:noWrap w:val="0"/>
            <w:vAlign w:val="center"/>
          </w:tcPr>
          <w:p w14:paraId="664B8C7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686C5A8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vMerge w:val="restart"/>
            <w:noWrap w:val="0"/>
            <w:vAlign w:val="center"/>
          </w:tcPr>
          <w:p w14:paraId="407DB98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vMerge w:val="restart"/>
            <w:noWrap w:val="0"/>
            <w:vAlign w:val="center"/>
          </w:tcPr>
          <w:p w14:paraId="16E0165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vMerge w:val="restart"/>
            <w:noWrap w:val="0"/>
            <w:vAlign w:val="center"/>
          </w:tcPr>
          <w:p w14:paraId="20A784C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75C0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32" w:type="pct"/>
            <w:vMerge w:val="continue"/>
            <w:noWrap w:val="0"/>
            <w:vAlign w:val="center"/>
          </w:tcPr>
          <w:p w14:paraId="723AC6A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2BC4675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vMerge w:val="continue"/>
            <w:noWrap w:val="0"/>
            <w:vAlign w:val="center"/>
          </w:tcPr>
          <w:p w14:paraId="35B52D1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1223" w:type="pct"/>
            <w:gridSpan w:val="2"/>
            <w:vMerge w:val="continue"/>
            <w:noWrap w:val="0"/>
            <w:vAlign w:val="center"/>
          </w:tcPr>
          <w:p w14:paraId="545A1C2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322" w:type="pct"/>
            <w:gridSpan w:val="2"/>
            <w:vMerge w:val="continue"/>
            <w:noWrap w:val="0"/>
            <w:vAlign w:val="center"/>
          </w:tcPr>
          <w:p w14:paraId="0A364FF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p>
        </w:tc>
      </w:tr>
      <w:tr w14:paraId="557C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5D7DB8B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3A5A742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noWrap w:val="0"/>
            <w:vAlign w:val="center"/>
          </w:tcPr>
          <w:p w14:paraId="15D1F45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土地资源开发利用量不得超过土地资源利用上线控制性指标</w:t>
            </w:r>
          </w:p>
        </w:tc>
        <w:tc>
          <w:tcPr>
            <w:tcW w:w="1223" w:type="pct"/>
            <w:gridSpan w:val="2"/>
            <w:noWrap w:val="0"/>
            <w:vAlign w:val="center"/>
          </w:tcPr>
          <w:p w14:paraId="11C1E34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本项目利用巴中碳原子新材料科技有限公司现有空置厂房，不新增用地，未</w:t>
            </w:r>
            <w:r>
              <w:rPr>
                <w:rFonts w:hint="default" w:ascii="Times New Roman" w:hAnsi="Times New Roman" w:eastAsia="宋体" w:cs="Times New Roman"/>
                <w:sz w:val="21"/>
                <w:szCs w:val="21"/>
                <w:lang w:val="en-US" w:eastAsia="zh-CN"/>
              </w:rPr>
              <w:t>超过土地资源利用上线控制性指标</w:t>
            </w:r>
          </w:p>
        </w:tc>
        <w:tc>
          <w:tcPr>
            <w:tcW w:w="322" w:type="pct"/>
            <w:gridSpan w:val="2"/>
            <w:noWrap w:val="0"/>
            <w:vAlign w:val="center"/>
          </w:tcPr>
          <w:p w14:paraId="050FC9E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符合</w:t>
            </w:r>
          </w:p>
        </w:tc>
      </w:tr>
      <w:tr w14:paraId="0F82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32C41FE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YS5119232310001平昌经济开发区《星光机械制造产业片区、金宝食品饮料产业片区、驷马清洁能源产业片区、石龙门化工园片区)</w:t>
            </w:r>
          </w:p>
        </w:tc>
        <w:tc>
          <w:tcPr>
            <w:tcW w:w="470" w:type="pct"/>
            <w:tcBorders>
              <w:top w:val="single" w:color="000000" w:sz="6" w:space="0"/>
              <w:bottom w:val="single" w:color="000000" w:sz="6" w:space="0"/>
            </w:tcBorders>
            <w:noWrap w:val="0"/>
            <w:vAlign w:val="center"/>
          </w:tcPr>
          <w:p w14:paraId="3659DC6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noWrap w:val="0"/>
            <w:vAlign w:val="center"/>
          </w:tcPr>
          <w:p w14:paraId="34758B7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0B4A3F5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72BFF27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68E9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5F79016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6569A04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noWrap w:val="0"/>
            <w:vAlign w:val="center"/>
          </w:tcPr>
          <w:p w14:paraId="4BAD694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1、</w:t>
            </w:r>
            <w:r>
              <w:rPr>
                <w:rFonts w:hint="default" w:ascii="Times New Roman" w:hAnsi="Times New Roman" w:eastAsia="宋体" w:cs="Times New Roman"/>
                <w:sz w:val="21"/>
                <w:szCs w:val="21"/>
              </w:rPr>
              <w:t>全面淘汰10蒸吨小时及以下燃煤锅炉，原则上不再新建35蒸吨小时及以下的燃煤锅炉，推进县级及以上城市建成区淘汰35蒸吨小时及以下燃煤锅炉，以工业余热、电厂热力、清洁能源等替代煤炭。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r>
              <w:rPr>
                <w:rStyle w:val="33"/>
                <w:rFonts w:hint="default"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3E058DE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本项目不涉及燃煤</w:t>
            </w:r>
            <w:r>
              <w:rPr>
                <w:rFonts w:hint="eastAsia" w:ascii="Times New Roman" w:hAnsi="Times New Roman" w:eastAsia="宋体" w:cs="Times New Roman"/>
                <w:sz w:val="21"/>
                <w:szCs w:val="21"/>
                <w:lang w:val="en-US" w:eastAsia="zh-CN"/>
              </w:rPr>
              <w:t>工业炉窑</w:t>
            </w:r>
            <w:r>
              <w:rPr>
                <w:rFonts w:hint="default" w:ascii="Times New Roman" w:hAnsi="Times New Roman" w:eastAsia="宋体" w:cs="Times New Roman"/>
                <w:sz w:val="21"/>
                <w:szCs w:val="21"/>
                <w:lang w:val="en-US" w:eastAsia="zh-CN"/>
              </w:rPr>
              <w:t>。本项目</w:t>
            </w:r>
            <w:r>
              <w:rPr>
                <w:rFonts w:hint="eastAsia" w:ascii="Times New Roman" w:hAnsi="Times New Roman" w:eastAsia="宋体" w:cs="Times New Roman"/>
                <w:sz w:val="21"/>
                <w:szCs w:val="21"/>
                <w:lang w:val="en-US" w:eastAsia="zh-CN"/>
              </w:rPr>
              <w:t>预碳化</w:t>
            </w:r>
            <w:r>
              <w:rPr>
                <w:rFonts w:hint="default" w:ascii="Times New Roman" w:hAnsi="Times New Roman" w:eastAsia="宋体" w:cs="Times New Roman"/>
                <w:sz w:val="21"/>
                <w:szCs w:val="21"/>
                <w:lang w:val="en-US" w:eastAsia="zh-CN"/>
              </w:rPr>
              <w:t>尾气</w:t>
            </w:r>
            <w:r>
              <w:rPr>
                <w:rFonts w:hint="eastAsia" w:ascii="Times New Roman" w:hAnsi="Times New Roman" w:eastAsia="宋体" w:cs="Times New Roman"/>
                <w:sz w:val="21"/>
                <w:szCs w:val="21"/>
                <w:lang w:val="en-US" w:eastAsia="zh-CN"/>
              </w:rPr>
              <w:t>通过“降温塔+脱硫塔（双碱法脱硫）+电捕焦油器”处理后</w:t>
            </w:r>
            <w:r>
              <w:rPr>
                <w:rFonts w:hint="default" w:ascii="Times New Roman" w:hAnsi="Times New Roman" w:eastAsia="宋体" w:cs="Times New Roman"/>
                <w:sz w:val="21"/>
                <w:szCs w:val="21"/>
                <w:lang w:val="en-US" w:eastAsia="zh-CN"/>
              </w:rPr>
              <w:t>通过</w:t>
            </w:r>
            <w:r>
              <w:rPr>
                <w:rFonts w:hint="eastAsia" w:ascii="Times New Roman" w:hAnsi="Times New Roman" w:eastAsia="宋体" w:cs="Times New Roman"/>
                <w:sz w:val="21"/>
                <w:szCs w:val="21"/>
                <w:lang w:val="en-US" w:eastAsia="zh-CN"/>
              </w:rPr>
              <w:t>33米高的</w:t>
            </w:r>
            <w:r>
              <w:rPr>
                <w:rFonts w:hint="default" w:ascii="Times New Roman" w:hAnsi="Times New Roman" w:eastAsia="宋体" w:cs="Times New Roman"/>
                <w:sz w:val="21"/>
                <w:szCs w:val="21"/>
                <w:lang w:val="en-US" w:eastAsia="zh-CN"/>
              </w:rPr>
              <w:t>排气筒有组织达标排放。</w:t>
            </w:r>
          </w:p>
        </w:tc>
        <w:tc>
          <w:tcPr>
            <w:tcW w:w="322" w:type="pct"/>
            <w:gridSpan w:val="2"/>
            <w:noWrap w:val="0"/>
            <w:vAlign w:val="center"/>
          </w:tcPr>
          <w:p w14:paraId="6C396AF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符合</w:t>
            </w:r>
          </w:p>
        </w:tc>
      </w:tr>
      <w:tr w14:paraId="4F51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6113CCA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5ABEDFB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vMerge w:val="restart"/>
            <w:noWrap w:val="0"/>
            <w:vAlign w:val="center"/>
          </w:tcPr>
          <w:p w14:paraId="17A5E5D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vMerge w:val="restart"/>
            <w:noWrap w:val="0"/>
            <w:vAlign w:val="center"/>
          </w:tcPr>
          <w:p w14:paraId="3A5A16D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vMerge w:val="restart"/>
            <w:noWrap w:val="0"/>
            <w:vAlign w:val="center"/>
          </w:tcPr>
          <w:p w14:paraId="7CCC7A1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06CE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49CC534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1D9CCE9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vMerge w:val="continue"/>
            <w:noWrap w:val="0"/>
            <w:vAlign w:val="center"/>
          </w:tcPr>
          <w:p w14:paraId="374998B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1223" w:type="pct"/>
            <w:gridSpan w:val="2"/>
            <w:vMerge w:val="continue"/>
            <w:noWrap w:val="0"/>
            <w:vAlign w:val="center"/>
          </w:tcPr>
          <w:p w14:paraId="06C11C1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p>
        </w:tc>
        <w:tc>
          <w:tcPr>
            <w:tcW w:w="322" w:type="pct"/>
            <w:gridSpan w:val="2"/>
            <w:vMerge w:val="continue"/>
            <w:noWrap w:val="0"/>
            <w:vAlign w:val="center"/>
          </w:tcPr>
          <w:p w14:paraId="7386897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p>
        </w:tc>
      </w:tr>
      <w:tr w14:paraId="577D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6C2D84E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YS5119233310001平昌县大气环境一般管控区</w:t>
            </w:r>
          </w:p>
        </w:tc>
        <w:tc>
          <w:tcPr>
            <w:tcW w:w="470" w:type="pct"/>
            <w:tcBorders>
              <w:top w:val="single" w:color="000000" w:sz="6" w:space="0"/>
              <w:bottom w:val="single" w:color="000000" w:sz="6" w:space="0"/>
            </w:tcBorders>
            <w:noWrap w:val="0"/>
            <w:vAlign w:val="center"/>
          </w:tcPr>
          <w:p w14:paraId="7E321AD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noWrap w:val="0"/>
            <w:vAlign w:val="center"/>
          </w:tcPr>
          <w:p w14:paraId="67F544F6">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2976FEF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209B814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3674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1063AB2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35252FB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noWrap w:val="0"/>
            <w:vAlign w:val="center"/>
          </w:tcPr>
          <w:p w14:paraId="1CF49786">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减少工业化、城镇化对大气环境的影响，严格执行国家、省、市下达的相关大气污染防治要求。</w:t>
            </w:r>
          </w:p>
        </w:tc>
        <w:tc>
          <w:tcPr>
            <w:tcW w:w="1223" w:type="pct"/>
            <w:gridSpan w:val="2"/>
            <w:noWrap w:val="0"/>
            <w:vAlign w:val="center"/>
          </w:tcPr>
          <w:p w14:paraId="7BC293A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严格执行国家、省、市下达的相关大气污染防治要求。</w:t>
            </w:r>
          </w:p>
        </w:tc>
        <w:tc>
          <w:tcPr>
            <w:tcW w:w="322" w:type="pct"/>
            <w:gridSpan w:val="2"/>
            <w:noWrap w:val="0"/>
            <w:vAlign w:val="center"/>
          </w:tcPr>
          <w:p w14:paraId="14FAA19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符合</w:t>
            </w:r>
          </w:p>
        </w:tc>
      </w:tr>
      <w:tr w14:paraId="26C4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4E6BFD6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0D97F03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noWrap w:val="0"/>
            <w:vAlign w:val="center"/>
          </w:tcPr>
          <w:p w14:paraId="7B63A77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2FEFF32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20F43F6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1C7F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655A612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05FC329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noWrap w:val="0"/>
            <w:vAlign w:val="center"/>
          </w:tcPr>
          <w:p w14:paraId="64A2660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26F358F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04F5289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5E48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14D1208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YS5119233110001平昌县其他区域</w:t>
            </w:r>
          </w:p>
        </w:tc>
        <w:tc>
          <w:tcPr>
            <w:tcW w:w="470" w:type="pct"/>
            <w:tcBorders>
              <w:top w:val="single" w:color="000000" w:sz="6" w:space="0"/>
              <w:bottom w:val="single" w:color="000000" w:sz="6" w:space="0"/>
            </w:tcBorders>
            <w:noWrap w:val="0"/>
            <w:vAlign w:val="center"/>
          </w:tcPr>
          <w:p w14:paraId="71297ED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noWrap w:val="0"/>
            <w:vAlign w:val="center"/>
          </w:tcPr>
          <w:p w14:paraId="2C87095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仿宋" w:hAnsi="仿宋" w:eastAsia="仿宋" w:cs="仿宋"/>
                <w:sz w:val="24"/>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5332DD1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1D68910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4F3E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32F2EEB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2C8E6F1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noWrap w:val="0"/>
            <w:vAlign w:val="center"/>
          </w:tcPr>
          <w:p w14:paraId="6CF8D03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仿宋" w:hAnsi="仿宋" w:eastAsia="仿宋" w:cs="仿宋"/>
                <w:sz w:val="24"/>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17A9D1D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69221CF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63A7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238DFD7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111437C6">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noWrap w:val="0"/>
            <w:vAlign w:val="center"/>
          </w:tcPr>
          <w:p w14:paraId="7173632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仿宋" w:hAnsi="仿宋" w:eastAsia="仿宋" w:cs="仿宋"/>
                <w:sz w:val="24"/>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404D647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71FB2BA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2F78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1CBB944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7D1D442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noWrap w:val="0"/>
            <w:vAlign w:val="center"/>
          </w:tcPr>
          <w:p w14:paraId="5778FE6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6EF481A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7D6F83A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3746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24B5D8D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YS5119232530001平昌县城镇开发边界</w:t>
            </w:r>
          </w:p>
        </w:tc>
        <w:tc>
          <w:tcPr>
            <w:tcW w:w="470" w:type="pct"/>
            <w:tcBorders>
              <w:top w:val="single" w:color="000000" w:sz="6" w:space="0"/>
              <w:bottom w:val="single" w:color="auto" w:sz="4" w:space="0"/>
            </w:tcBorders>
            <w:noWrap w:val="0"/>
            <w:vAlign w:val="center"/>
          </w:tcPr>
          <w:p w14:paraId="271725E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tcBorders>
              <w:bottom w:val="single" w:color="auto" w:sz="4" w:space="0"/>
            </w:tcBorders>
            <w:noWrap w:val="0"/>
            <w:vAlign w:val="center"/>
          </w:tcPr>
          <w:p w14:paraId="6C147A9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1223" w:type="pct"/>
            <w:gridSpan w:val="2"/>
            <w:tcBorders>
              <w:bottom w:val="single" w:color="auto" w:sz="4" w:space="0"/>
            </w:tcBorders>
            <w:noWrap w:val="0"/>
            <w:vAlign w:val="center"/>
          </w:tcPr>
          <w:p w14:paraId="6E93823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本项目不</w:t>
            </w:r>
            <w:r>
              <w:rPr>
                <w:rStyle w:val="33"/>
                <w:rFonts w:hint="default" w:ascii="Times New Roman" w:hAnsi="Times New Roman" w:eastAsia="宋体" w:cs="Times New Roman"/>
                <w:b w:val="0"/>
                <w:bCs/>
                <w:color w:val="000000"/>
                <w:kern w:val="0"/>
                <w:sz w:val="21"/>
                <w:szCs w:val="21"/>
                <w:lang w:val="en-US" w:eastAsia="zh-CN" w:bidi="ar-SA"/>
              </w:rPr>
              <w:t>侵占河道、湖面、滩地。</w:t>
            </w:r>
          </w:p>
        </w:tc>
        <w:tc>
          <w:tcPr>
            <w:tcW w:w="322" w:type="pct"/>
            <w:gridSpan w:val="2"/>
            <w:tcBorders>
              <w:bottom w:val="single" w:color="auto" w:sz="4" w:space="0"/>
            </w:tcBorders>
            <w:noWrap w:val="0"/>
            <w:vAlign w:val="center"/>
          </w:tcPr>
          <w:p w14:paraId="3ACB3BB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符合</w:t>
            </w:r>
          </w:p>
        </w:tc>
      </w:tr>
      <w:tr w14:paraId="0508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62422CF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auto" w:sz="4" w:space="0"/>
              <w:bottom w:val="single" w:color="auto" w:sz="4" w:space="0"/>
            </w:tcBorders>
            <w:noWrap w:val="0"/>
            <w:vAlign w:val="center"/>
          </w:tcPr>
          <w:p w14:paraId="476A649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tcBorders>
              <w:top w:val="single" w:color="auto" w:sz="4" w:space="0"/>
              <w:bottom w:val="single" w:color="auto" w:sz="4" w:space="0"/>
            </w:tcBorders>
            <w:noWrap w:val="0"/>
            <w:vAlign w:val="center"/>
          </w:tcPr>
          <w:p w14:paraId="7CABC20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tcBorders>
              <w:top w:val="single" w:color="auto" w:sz="4" w:space="0"/>
              <w:bottom w:val="single" w:color="auto" w:sz="4" w:space="0"/>
            </w:tcBorders>
            <w:noWrap w:val="0"/>
            <w:vAlign w:val="center"/>
          </w:tcPr>
          <w:p w14:paraId="435EC1B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tcBorders>
              <w:top w:val="single" w:color="auto" w:sz="4" w:space="0"/>
              <w:bottom w:val="single" w:color="auto" w:sz="4" w:space="0"/>
            </w:tcBorders>
            <w:noWrap w:val="0"/>
            <w:vAlign w:val="center"/>
          </w:tcPr>
          <w:p w14:paraId="10D896B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4CE8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2" w:type="pct"/>
            <w:vMerge w:val="continue"/>
            <w:noWrap w:val="0"/>
            <w:vAlign w:val="center"/>
          </w:tcPr>
          <w:p w14:paraId="460C9E5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auto" w:sz="4" w:space="0"/>
              <w:bottom w:val="single" w:color="auto" w:sz="4" w:space="0"/>
            </w:tcBorders>
            <w:noWrap w:val="0"/>
            <w:vAlign w:val="center"/>
          </w:tcPr>
          <w:p w14:paraId="7215E99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2" w:type="pct"/>
            <w:gridSpan w:val="2"/>
            <w:tcBorders>
              <w:top w:val="single" w:color="auto" w:sz="4" w:space="0"/>
              <w:bottom w:val="single" w:color="auto" w:sz="4" w:space="0"/>
            </w:tcBorders>
            <w:noWrap w:val="0"/>
            <w:vAlign w:val="center"/>
          </w:tcPr>
          <w:p w14:paraId="09146D9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tcBorders>
              <w:top w:val="single" w:color="auto" w:sz="4" w:space="0"/>
              <w:bottom w:val="single" w:color="auto" w:sz="4" w:space="0"/>
            </w:tcBorders>
            <w:noWrap w:val="0"/>
            <w:vAlign w:val="center"/>
          </w:tcPr>
          <w:p w14:paraId="448997F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0" w:type="pct"/>
            <w:tcBorders>
              <w:top w:val="single" w:color="auto" w:sz="4" w:space="0"/>
              <w:bottom w:val="single" w:color="auto" w:sz="4" w:space="0"/>
            </w:tcBorders>
            <w:noWrap w:val="0"/>
            <w:vAlign w:val="center"/>
          </w:tcPr>
          <w:p w14:paraId="2F578FB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25D5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6B828B8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auto" w:sz="4" w:space="0"/>
              <w:bottom w:val="single" w:color="000000" w:sz="6" w:space="0"/>
            </w:tcBorders>
            <w:noWrap w:val="0"/>
            <w:vAlign w:val="center"/>
          </w:tcPr>
          <w:p w14:paraId="6A16E87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tcBorders>
              <w:top w:val="single" w:color="auto" w:sz="4" w:space="0"/>
            </w:tcBorders>
            <w:noWrap w:val="0"/>
            <w:vAlign w:val="center"/>
          </w:tcPr>
          <w:p w14:paraId="71E6E04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土地资源开发利用量不得超过土地资源利用上线控制性指标</w:t>
            </w:r>
          </w:p>
        </w:tc>
        <w:tc>
          <w:tcPr>
            <w:tcW w:w="1223" w:type="pct"/>
            <w:gridSpan w:val="2"/>
            <w:tcBorders>
              <w:top w:val="single" w:color="auto" w:sz="4" w:space="0"/>
            </w:tcBorders>
            <w:noWrap w:val="0"/>
            <w:vAlign w:val="center"/>
          </w:tcPr>
          <w:p w14:paraId="532BFB0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Fonts w:hint="eastAsia" w:ascii="Times New Roman" w:hAnsi="Times New Roman" w:eastAsia="宋体" w:cs="Times New Roman"/>
                <w:sz w:val="21"/>
                <w:szCs w:val="21"/>
                <w:lang w:val="en-US" w:eastAsia="zh-CN"/>
              </w:rPr>
              <w:t>本项目项目利用巴中碳原子新材料科技有限公司现有空置厂房，不新增用地，未</w:t>
            </w:r>
            <w:r>
              <w:rPr>
                <w:rFonts w:hint="default" w:ascii="Times New Roman" w:hAnsi="Times New Roman" w:eastAsia="宋体" w:cs="Times New Roman"/>
                <w:sz w:val="21"/>
                <w:szCs w:val="21"/>
                <w:lang w:val="en-US" w:eastAsia="zh-CN"/>
              </w:rPr>
              <w:t>超过土地资源利用上线控制性指标</w:t>
            </w:r>
          </w:p>
        </w:tc>
        <w:tc>
          <w:tcPr>
            <w:tcW w:w="322" w:type="pct"/>
            <w:gridSpan w:val="2"/>
            <w:tcBorders>
              <w:top w:val="single" w:color="auto" w:sz="4" w:space="0"/>
            </w:tcBorders>
            <w:noWrap w:val="0"/>
            <w:vAlign w:val="center"/>
          </w:tcPr>
          <w:p w14:paraId="50532FF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Fonts w:hint="eastAsia" w:ascii="Times New Roman" w:hAnsi="Times New Roman" w:eastAsia="宋体" w:cs="Times New Roman"/>
                <w:sz w:val="21"/>
                <w:szCs w:val="21"/>
                <w:lang w:val="en-US" w:eastAsia="zh-CN"/>
              </w:rPr>
              <w:t>符合</w:t>
            </w:r>
          </w:p>
        </w:tc>
      </w:tr>
      <w:tr w14:paraId="3A54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47EE350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YS5119232510001平昌县水资源重点管控区</w:t>
            </w:r>
          </w:p>
        </w:tc>
        <w:tc>
          <w:tcPr>
            <w:tcW w:w="470" w:type="pct"/>
            <w:tcBorders>
              <w:top w:val="single" w:color="000000" w:sz="6" w:space="0"/>
              <w:bottom w:val="single" w:color="000000" w:sz="6" w:space="0"/>
            </w:tcBorders>
            <w:noWrap w:val="0"/>
            <w:vAlign w:val="center"/>
          </w:tcPr>
          <w:p w14:paraId="21F702C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vMerge w:val="restart"/>
            <w:noWrap w:val="0"/>
            <w:vAlign w:val="center"/>
          </w:tcPr>
          <w:p w14:paraId="0C25172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vMerge w:val="restart"/>
            <w:noWrap w:val="0"/>
            <w:vAlign w:val="center"/>
          </w:tcPr>
          <w:p w14:paraId="2907B47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vMerge w:val="restart"/>
            <w:noWrap w:val="0"/>
            <w:vAlign w:val="center"/>
          </w:tcPr>
          <w:p w14:paraId="4235DA3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43D2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4B708CB6">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5D01298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vMerge w:val="continue"/>
            <w:noWrap w:val="0"/>
            <w:vAlign w:val="center"/>
          </w:tcPr>
          <w:p w14:paraId="5B17757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1223" w:type="pct"/>
            <w:gridSpan w:val="2"/>
            <w:vMerge w:val="continue"/>
            <w:noWrap w:val="0"/>
            <w:vAlign w:val="center"/>
          </w:tcPr>
          <w:p w14:paraId="6933CFB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p>
        </w:tc>
        <w:tc>
          <w:tcPr>
            <w:tcW w:w="322" w:type="pct"/>
            <w:gridSpan w:val="2"/>
            <w:vMerge w:val="continue"/>
            <w:noWrap w:val="0"/>
            <w:vAlign w:val="center"/>
          </w:tcPr>
          <w:p w14:paraId="44D200F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p>
        </w:tc>
      </w:tr>
      <w:tr w14:paraId="4A32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79F319C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2384DB3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vMerge w:val="continue"/>
            <w:noWrap w:val="0"/>
            <w:vAlign w:val="center"/>
          </w:tcPr>
          <w:p w14:paraId="2DA61E3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1223" w:type="pct"/>
            <w:gridSpan w:val="2"/>
            <w:vMerge w:val="continue"/>
            <w:noWrap w:val="0"/>
            <w:vAlign w:val="center"/>
          </w:tcPr>
          <w:p w14:paraId="06B5F34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p>
        </w:tc>
        <w:tc>
          <w:tcPr>
            <w:tcW w:w="322" w:type="pct"/>
            <w:gridSpan w:val="2"/>
            <w:vMerge w:val="continue"/>
            <w:noWrap w:val="0"/>
            <w:vAlign w:val="center"/>
          </w:tcPr>
          <w:p w14:paraId="2D2C218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p>
        </w:tc>
      </w:tr>
      <w:tr w14:paraId="4C89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2" w:type="pct"/>
            <w:vMerge w:val="continue"/>
            <w:noWrap w:val="0"/>
            <w:vAlign w:val="center"/>
          </w:tcPr>
          <w:p w14:paraId="6D0455A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385309D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noWrap w:val="0"/>
            <w:vAlign w:val="center"/>
          </w:tcPr>
          <w:p w14:paraId="11698F3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土地资源开发利用量不得超过土地资源利用上线控制性指标</w:t>
            </w:r>
          </w:p>
        </w:tc>
        <w:tc>
          <w:tcPr>
            <w:tcW w:w="1223" w:type="pct"/>
            <w:gridSpan w:val="2"/>
            <w:noWrap w:val="0"/>
            <w:vAlign w:val="center"/>
          </w:tcPr>
          <w:p w14:paraId="34DCBDF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Fonts w:hint="eastAsia" w:ascii="Times New Roman" w:hAnsi="Times New Roman" w:eastAsia="宋体" w:cs="Times New Roman"/>
                <w:sz w:val="21"/>
                <w:szCs w:val="21"/>
                <w:lang w:val="en-US" w:eastAsia="zh-CN"/>
              </w:rPr>
              <w:t>本项目项目利用巴中碳原子新材料科技有限公司现有空置厂房，不新增用地，未</w:t>
            </w:r>
            <w:r>
              <w:rPr>
                <w:rFonts w:hint="default" w:ascii="Times New Roman" w:hAnsi="Times New Roman" w:eastAsia="宋体" w:cs="Times New Roman"/>
                <w:sz w:val="21"/>
                <w:szCs w:val="21"/>
                <w:lang w:val="en-US" w:eastAsia="zh-CN"/>
              </w:rPr>
              <w:t>超过土地资源利用上线控制性指标</w:t>
            </w:r>
          </w:p>
        </w:tc>
        <w:tc>
          <w:tcPr>
            <w:tcW w:w="322" w:type="pct"/>
            <w:gridSpan w:val="2"/>
            <w:noWrap w:val="0"/>
            <w:vAlign w:val="center"/>
          </w:tcPr>
          <w:p w14:paraId="0A31B0D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Fonts w:hint="eastAsia" w:ascii="Times New Roman" w:hAnsi="Times New Roman" w:eastAsia="宋体" w:cs="Times New Roman"/>
                <w:sz w:val="21"/>
                <w:szCs w:val="21"/>
                <w:lang w:val="en-US" w:eastAsia="zh-CN"/>
              </w:rPr>
              <w:t>符合</w:t>
            </w:r>
          </w:p>
        </w:tc>
      </w:tr>
      <w:tr w14:paraId="28DD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373CCDA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YS5119232210001巴河-平昌县-江陵-控制单元</w:t>
            </w:r>
          </w:p>
        </w:tc>
        <w:tc>
          <w:tcPr>
            <w:tcW w:w="470" w:type="pct"/>
            <w:tcBorders>
              <w:top w:val="single" w:color="000000" w:sz="6" w:space="0"/>
              <w:bottom w:val="single" w:color="000000" w:sz="6" w:space="0"/>
            </w:tcBorders>
            <w:noWrap w:val="0"/>
            <w:vAlign w:val="center"/>
          </w:tcPr>
          <w:p w14:paraId="09100FD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noWrap w:val="0"/>
            <w:vAlign w:val="center"/>
          </w:tcPr>
          <w:p w14:paraId="3890C9D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严控磷铵、黄磷等产业违规新增产能。加快退出不符合产业政策和环保要求、不满足安全生产条件的涉磷企业。</w:t>
            </w:r>
          </w:p>
        </w:tc>
        <w:tc>
          <w:tcPr>
            <w:tcW w:w="1223" w:type="pct"/>
            <w:gridSpan w:val="2"/>
            <w:noWrap w:val="0"/>
            <w:vAlign w:val="center"/>
          </w:tcPr>
          <w:p w14:paraId="699A4C0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本项目不属于涉磷企业</w:t>
            </w:r>
          </w:p>
        </w:tc>
        <w:tc>
          <w:tcPr>
            <w:tcW w:w="322" w:type="pct"/>
            <w:gridSpan w:val="2"/>
            <w:noWrap w:val="0"/>
            <w:vAlign w:val="center"/>
          </w:tcPr>
          <w:p w14:paraId="7CBE37AB">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符合</w:t>
            </w:r>
          </w:p>
        </w:tc>
      </w:tr>
      <w:tr w14:paraId="1AA5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798AB5F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5DE6182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noWrap w:val="0"/>
            <w:vAlign w:val="center"/>
          </w:tcPr>
          <w:p w14:paraId="1A72820E">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加强工业园区集中污水处理设施运行监管，</w:t>
            </w:r>
            <w:r>
              <w:rPr>
                <w:rStyle w:val="33"/>
                <w:rFonts w:hint="eastAsia" w:ascii="Times New Roman" w:hAnsi="Times New Roman" w:eastAsia="宋体" w:cs="Times New Roman"/>
                <w:b w:val="0"/>
                <w:bCs/>
                <w:color w:val="000000"/>
                <w:kern w:val="0"/>
                <w:sz w:val="21"/>
                <w:szCs w:val="21"/>
                <w:lang w:val="en-US" w:eastAsia="zh-CN" w:bidi="ar-SA"/>
              </w:rPr>
              <w:t>加</w:t>
            </w:r>
            <w:r>
              <w:rPr>
                <w:rStyle w:val="33"/>
                <w:rFonts w:hint="default" w:ascii="Times New Roman" w:hAnsi="Times New Roman" w:eastAsia="宋体" w:cs="Times New Roman"/>
                <w:b w:val="0"/>
                <w:bCs/>
                <w:color w:val="000000"/>
                <w:kern w:val="0"/>
                <w:sz w:val="21"/>
                <w:szCs w:val="21"/>
                <w:lang w:val="en-US" w:eastAsia="zh-CN" w:bidi="ar-SA"/>
              </w:rPr>
              <w:t>强企业废水预处理和排水管理，鼓励纳管企业与园区污水处理厂运营单位通过签订委托处理合同等方式协同处理废水。4、加强新化学物质环境管理，严格执行《新化学物质环境管理登记办法》,落实企业新化学物质环境风险防控主体责任。落实国家《优先控制化学品名录（第一批）》《优先控制化学品名录（第二批）》《重点管控新污染物清单（2023年版）》环境风险管控措施。</w:t>
            </w:r>
          </w:p>
        </w:tc>
        <w:tc>
          <w:tcPr>
            <w:tcW w:w="1223" w:type="pct"/>
            <w:gridSpan w:val="2"/>
            <w:noWrap w:val="0"/>
            <w:vAlign w:val="center"/>
          </w:tcPr>
          <w:p w14:paraId="551DC2C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（1）项目生产废水不外排，生活废水依托厂区已建成的1个预处理池（容积100m</w:t>
            </w:r>
            <w:r>
              <w:rPr>
                <w:rStyle w:val="33"/>
                <w:rFonts w:hint="eastAsia" w:ascii="Times New Roman" w:hAnsi="Times New Roman" w:eastAsia="宋体" w:cs="Times New Roman"/>
                <w:b w:val="0"/>
                <w:bCs/>
                <w:color w:val="000000"/>
                <w:kern w:val="0"/>
                <w:sz w:val="21"/>
                <w:szCs w:val="21"/>
                <w:vertAlign w:val="superscript"/>
                <w:lang w:val="en-US" w:eastAsia="zh-CN" w:bidi="ar-SA"/>
              </w:rPr>
              <w:t>3</w:t>
            </w:r>
            <w:r>
              <w:rPr>
                <w:rStyle w:val="33"/>
                <w:rFonts w:hint="eastAsia" w:ascii="Times New Roman" w:hAnsi="Times New Roman" w:eastAsia="宋体" w:cs="Times New Roman"/>
                <w:b w:val="0"/>
                <w:bCs/>
                <w:color w:val="000000"/>
                <w:kern w:val="0"/>
                <w:sz w:val="21"/>
                <w:szCs w:val="21"/>
                <w:lang w:val="en-US" w:eastAsia="zh-CN" w:bidi="ar-SA"/>
              </w:rPr>
              <w:t>）处理后接入园区污水管网，由星光工业园区污水处理厂处理后排入巴河。</w:t>
            </w:r>
          </w:p>
          <w:p w14:paraId="56DA99A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000000"/>
                <w:sz w:val="21"/>
                <w:szCs w:val="21"/>
                <w:lang w:val="en-US" w:eastAsia="zh-CN"/>
              </w:rPr>
            </w:pPr>
            <w:r>
              <w:rPr>
                <w:rStyle w:val="33"/>
                <w:rFonts w:hint="eastAsia" w:ascii="Times New Roman" w:hAnsi="Times New Roman" w:eastAsia="宋体" w:cs="Times New Roman"/>
                <w:b w:val="0"/>
                <w:bCs/>
                <w:color w:val="000000"/>
                <w:kern w:val="0"/>
                <w:sz w:val="21"/>
                <w:szCs w:val="21"/>
                <w:lang w:val="en-US" w:eastAsia="zh-CN" w:bidi="ar-SA"/>
              </w:rPr>
              <w:t>（2）本项目不涉及新化学物质。</w:t>
            </w:r>
          </w:p>
        </w:tc>
        <w:tc>
          <w:tcPr>
            <w:tcW w:w="322" w:type="pct"/>
            <w:gridSpan w:val="2"/>
            <w:noWrap w:val="0"/>
            <w:vAlign w:val="center"/>
          </w:tcPr>
          <w:p w14:paraId="3623991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符合</w:t>
            </w:r>
          </w:p>
        </w:tc>
      </w:tr>
      <w:tr w14:paraId="27FD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427BF6AF">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1F75C96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noWrap w:val="0"/>
            <w:vAlign w:val="center"/>
          </w:tcPr>
          <w:p w14:paraId="4498ED3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3C61B3F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5BF2370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5F7E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09D15B5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2A4F328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noWrap w:val="0"/>
            <w:vAlign w:val="center"/>
          </w:tcPr>
          <w:p w14:paraId="4DAADA4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4896798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56B571D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09E6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restart"/>
            <w:noWrap w:val="0"/>
            <w:vAlign w:val="center"/>
          </w:tcPr>
          <w:p w14:paraId="68ABA37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YS5119232610001渠江江河湖库岸线重点管控区</w:t>
            </w:r>
          </w:p>
        </w:tc>
        <w:tc>
          <w:tcPr>
            <w:tcW w:w="470" w:type="pct"/>
            <w:tcBorders>
              <w:top w:val="single" w:color="000000" w:sz="6" w:space="0"/>
              <w:bottom w:val="single" w:color="000000" w:sz="6" w:space="0"/>
            </w:tcBorders>
            <w:noWrap w:val="0"/>
            <w:vAlign w:val="center"/>
          </w:tcPr>
          <w:p w14:paraId="4035490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空间布局约束</w:t>
            </w:r>
          </w:p>
        </w:tc>
        <w:tc>
          <w:tcPr>
            <w:tcW w:w="2651" w:type="pct"/>
            <w:noWrap w:val="0"/>
            <w:vAlign w:val="center"/>
          </w:tcPr>
          <w:p w14:paraId="55B92436">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1.严格控制新增开发利用项目的数量和类型，应按照国土、城市、水利、交通等相关规划，合理控制整体开发规模和强度，新建和改扩建项目必须严格论证，不得加大对防洪安全、河势稳定、供水安全、航道稳定的累计不利影响。2.严格控制项目类型和开发利用方式，不得加剧险情或影响今后险工险段治理，不得违反生态敏感区特定保护目标。除建设生态公园、河滩风光带等社会公益性项目外，一般不得建设其他项目设施。</w:t>
            </w:r>
          </w:p>
        </w:tc>
        <w:tc>
          <w:tcPr>
            <w:tcW w:w="1223" w:type="pct"/>
            <w:gridSpan w:val="2"/>
            <w:noWrap w:val="0"/>
            <w:vAlign w:val="center"/>
          </w:tcPr>
          <w:p w14:paraId="536DCC8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本项目是在现有厂区预留厂房内进行建设，未占用渠江江河湖库岸线，</w:t>
            </w:r>
            <w:r>
              <w:rPr>
                <w:rStyle w:val="33"/>
                <w:rFonts w:hint="default" w:ascii="Times New Roman" w:hAnsi="Times New Roman" w:eastAsia="宋体" w:cs="Times New Roman"/>
                <w:b w:val="0"/>
                <w:bCs/>
                <w:color w:val="000000"/>
                <w:kern w:val="0"/>
                <w:sz w:val="21"/>
                <w:szCs w:val="21"/>
                <w:lang w:val="en-US" w:eastAsia="zh-CN" w:bidi="ar-SA"/>
              </w:rPr>
              <w:t>不</w:t>
            </w:r>
            <w:r>
              <w:rPr>
                <w:rStyle w:val="33"/>
                <w:rFonts w:hint="eastAsia" w:ascii="Times New Roman" w:hAnsi="Times New Roman" w:eastAsia="宋体" w:cs="Times New Roman"/>
                <w:b w:val="0"/>
                <w:bCs/>
                <w:color w:val="000000"/>
                <w:kern w:val="0"/>
                <w:sz w:val="21"/>
                <w:szCs w:val="21"/>
                <w:lang w:val="en-US" w:eastAsia="zh-CN" w:bidi="ar-SA"/>
              </w:rPr>
              <w:t>会对渠江</w:t>
            </w:r>
            <w:r>
              <w:rPr>
                <w:rStyle w:val="33"/>
                <w:rFonts w:hint="default" w:ascii="Times New Roman" w:hAnsi="Times New Roman" w:eastAsia="宋体" w:cs="Times New Roman"/>
                <w:b w:val="0"/>
                <w:bCs/>
                <w:color w:val="000000"/>
                <w:kern w:val="0"/>
                <w:sz w:val="21"/>
                <w:szCs w:val="21"/>
                <w:lang w:val="en-US" w:eastAsia="zh-CN" w:bidi="ar-SA"/>
              </w:rPr>
              <w:t>防洪安全、河势稳定、供水安全、航道稳定</w:t>
            </w:r>
            <w:r>
              <w:rPr>
                <w:rStyle w:val="33"/>
                <w:rFonts w:hint="eastAsia" w:ascii="Times New Roman" w:hAnsi="Times New Roman" w:eastAsia="宋体" w:cs="Times New Roman"/>
                <w:b w:val="0"/>
                <w:bCs/>
                <w:color w:val="000000"/>
                <w:kern w:val="0"/>
                <w:sz w:val="21"/>
                <w:szCs w:val="21"/>
                <w:lang w:val="en-US" w:eastAsia="zh-CN" w:bidi="ar-SA"/>
              </w:rPr>
              <w:t>造成</w:t>
            </w:r>
            <w:r>
              <w:rPr>
                <w:rStyle w:val="33"/>
                <w:rFonts w:hint="default" w:ascii="Times New Roman" w:hAnsi="Times New Roman" w:eastAsia="宋体" w:cs="Times New Roman"/>
                <w:b w:val="0"/>
                <w:bCs/>
                <w:color w:val="000000"/>
                <w:kern w:val="0"/>
                <w:sz w:val="21"/>
                <w:szCs w:val="21"/>
                <w:lang w:val="en-US" w:eastAsia="zh-CN" w:bidi="ar-SA"/>
              </w:rPr>
              <w:t>不利影响</w:t>
            </w: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2193E121">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符合</w:t>
            </w:r>
          </w:p>
        </w:tc>
      </w:tr>
      <w:tr w14:paraId="5A62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39B0254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755758B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污染物排放管控</w:t>
            </w:r>
          </w:p>
        </w:tc>
        <w:tc>
          <w:tcPr>
            <w:tcW w:w="2651" w:type="pct"/>
            <w:noWrap w:val="0"/>
            <w:vAlign w:val="center"/>
          </w:tcPr>
          <w:p w14:paraId="50935B0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18724BE9">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5DF7737D">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62F1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47AC8517">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27433188">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环境风险管控</w:t>
            </w:r>
          </w:p>
        </w:tc>
        <w:tc>
          <w:tcPr>
            <w:tcW w:w="2651" w:type="pct"/>
            <w:noWrap w:val="0"/>
            <w:vAlign w:val="center"/>
          </w:tcPr>
          <w:p w14:paraId="78D37052">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7B4E923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375B6A75">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r w14:paraId="43DF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32" w:type="pct"/>
            <w:vMerge w:val="continue"/>
            <w:noWrap w:val="0"/>
            <w:vAlign w:val="center"/>
          </w:tcPr>
          <w:p w14:paraId="0CF9D033">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p>
        </w:tc>
        <w:tc>
          <w:tcPr>
            <w:tcW w:w="470" w:type="pct"/>
            <w:tcBorders>
              <w:top w:val="single" w:color="000000" w:sz="6" w:space="0"/>
              <w:bottom w:val="single" w:color="000000" w:sz="6" w:space="0"/>
            </w:tcBorders>
            <w:noWrap w:val="0"/>
            <w:vAlign w:val="center"/>
          </w:tcPr>
          <w:p w14:paraId="040CC640">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default" w:ascii="Times New Roman" w:hAnsi="Times New Roman" w:eastAsia="宋体" w:cs="Times New Roman"/>
                <w:b w:val="0"/>
                <w:bCs/>
                <w:color w:val="000000"/>
                <w:kern w:val="0"/>
                <w:sz w:val="21"/>
                <w:szCs w:val="21"/>
                <w:lang w:val="en-US" w:eastAsia="zh-CN" w:bidi="ar-SA"/>
              </w:rPr>
            </w:pPr>
            <w:r>
              <w:rPr>
                <w:rStyle w:val="33"/>
                <w:rFonts w:hint="default" w:ascii="Times New Roman" w:hAnsi="Times New Roman" w:eastAsia="宋体" w:cs="Times New Roman"/>
                <w:b w:val="0"/>
                <w:bCs/>
                <w:color w:val="000000"/>
                <w:kern w:val="0"/>
                <w:sz w:val="21"/>
                <w:szCs w:val="21"/>
                <w:lang w:val="en-US" w:eastAsia="zh-CN" w:bidi="ar-SA"/>
              </w:rPr>
              <w:t>资源开发利用效率</w:t>
            </w:r>
          </w:p>
        </w:tc>
        <w:tc>
          <w:tcPr>
            <w:tcW w:w="2651" w:type="pct"/>
            <w:noWrap w:val="0"/>
            <w:vAlign w:val="center"/>
          </w:tcPr>
          <w:p w14:paraId="342CD9CA">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1223" w:type="pct"/>
            <w:gridSpan w:val="2"/>
            <w:noWrap w:val="0"/>
            <w:vAlign w:val="center"/>
          </w:tcPr>
          <w:p w14:paraId="3AF6F7EC">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c>
          <w:tcPr>
            <w:tcW w:w="322" w:type="pct"/>
            <w:gridSpan w:val="2"/>
            <w:noWrap w:val="0"/>
            <w:vAlign w:val="center"/>
          </w:tcPr>
          <w:p w14:paraId="56086C94">
            <w:pPr>
              <w:pStyle w:val="8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3"/>
                <w:rFonts w:hint="eastAsia" w:ascii="Times New Roman" w:hAnsi="Times New Roman" w:eastAsia="宋体" w:cs="Times New Roman"/>
                <w:b w:val="0"/>
                <w:bCs/>
                <w:color w:val="000000"/>
                <w:kern w:val="0"/>
                <w:sz w:val="21"/>
                <w:szCs w:val="21"/>
                <w:lang w:val="en-US" w:eastAsia="zh-CN" w:bidi="ar-SA"/>
              </w:rPr>
            </w:pPr>
            <w:r>
              <w:rPr>
                <w:rStyle w:val="33"/>
                <w:rFonts w:hint="eastAsia" w:ascii="Times New Roman" w:hAnsi="Times New Roman" w:eastAsia="宋体" w:cs="Times New Roman"/>
                <w:b w:val="0"/>
                <w:bCs/>
                <w:color w:val="000000"/>
                <w:kern w:val="0"/>
                <w:sz w:val="21"/>
                <w:szCs w:val="21"/>
                <w:lang w:val="en-US" w:eastAsia="zh-CN" w:bidi="ar-SA"/>
              </w:rPr>
              <w:t>/</w:t>
            </w:r>
          </w:p>
        </w:tc>
      </w:tr>
    </w:tbl>
    <w:p w14:paraId="037C91A0">
      <w:pPr>
        <w:tabs>
          <w:tab w:val="left" w:pos="3214"/>
        </w:tabs>
        <w:bidi w:val="0"/>
        <w:ind w:firstLine="720" w:firstLineChars="300"/>
        <w:jc w:val="left"/>
        <w:rPr>
          <w:rFonts w:hint="eastAsia" w:eastAsia="宋体"/>
          <w:lang w:eastAsia="zh-CN"/>
        </w:rPr>
        <w:sectPr>
          <w:pgSz w:w="16838" w:h="11906" w:orient="landscape"/>
          <w:pgMar w:top="1531" w:right="1644" w:bottom="1531" w:left="1644" w:header="851" w:footer="1077" w:gutter="0"/>
          <w:pgNumType w:fmt="decimal" w:start="1"/>
          <w:cols w:space="720" w:num="1"/>
          <w:docGrid w:linePitch="312" w:charSpace="0"/>
        </w:sectPr>
      </w:pPr>
      <w:r>
        <w:rPr>
          <w:rFonts w:hint="eastAsia" w:ascii="Times New Roman" w:hAnsi="Times New Roman" w:eastAsia="宋体" w:cs="Times New Roman"/>
          <w:color w:val="000000"/>
          <w:kern w:val="0"/>
          <w:sz w:val="24"/>
          <w:lang w:val="en-US" w:eastAsia="zh-CN" w:bidi="ar"/>
        </w:rPr>
        <w:t>综上所述，本项目与巴中市“生态环境分区管控符合性分析”相关要求相符。</w:t>
      </w:r>
    </w:p>
    <w:p w14:paraId="1CD80F35">
      <w:pPr>
        <w:pStyle w:val="27"/>
        <w:numPr>
          <w:ilvl w:val="0"/>
          <w:numId w:val="14"/>
        </w:numPr>
        <w:jc w:val="center"/>
        <w:outlineLvl w:val="0"/>
        <w:rPr>
          <w:rFonts w:hint="eastAsia" w:ascii="宋体" w:hAnsi="宋体" w:eastAsia="宋体" w:cs="宋体"/>
          <w:b/>
          <w:bCs/>
          <w:snapToGrid w:val="0"/>
          <w:color w:val="000000"/>
          <w:sz w:val="30"/>
          <w:szCs w:val="30"/>
        </w:rPr>
      </w:pPr>
      <w:bookmarkStart w:id="4" w:name="_Toc31342"/>
      <w:r>
        <w:rPr>
          <w:rFonts w:hint="eastAsia" w:ascii="宋体" w:hAnsi="宋体" w:eastAsia="宋体" w:cs="宋体"/>
          <w:b/>
          <w:bCs/>
          <w:snapToGrid w:val="0"/>
          <w:color w:val="000000"/>
          <w:sz w:val="30"/>
          <w:szCs w:val="30"/>
        </w:rPr>
        <w:t>建设项目工程分析</w:t>
      </w:r>
      <w:bookmarkEnd w:id="4"/>
    </w:p>
    <w:tbl>
      <w:tblPr>
        <w:tblStyle w:val="31"/>
        <w:tblW w:w="91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0"/>
        <w:gridCol w:w="8691"/>
      </w:tblGrid>
      <w:tr w14:paraId="54B0F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51" w:hRule="atLeast"/>
          <w:jc w:val="center"/>
        </w:trPr>
        <w:tc>
          <w:tcPr>
            <w:tcW w:w="450" w:type="dxa"/>
            <w:noWrap w:val="0"/>
            <w:vAlign w:val="center"/>
          </w:tcPr>
          <w:p w14:paraId="74A936A9">
            <w:pPr>
              <w:pStyle w:val="27"/>
              <w:adjustRightInd w:val="0"/>
              <w:snapToGrid w:val="0"/>
              <w:spacing w:before="0" w:beforeAutospacing="0" w:after="0" w:afterAutospacing="0"/>
              <w:jc w:val="center"/>
              <w:rPr>
                <w:rFonts w:hint="default" w:ascii="Times New Roman" w:hAnsi="Times New Roman" w:cs="Times New Roman"/>
                <w:color w:val="000000"/>
                <w:szCs w:val="24"/>
              </w:rPr>
            </w:pPr>
            <w:r>
              <w:rPr>
                <w:rFonts w:hint="default" w:ascii="Times New Roman" w:hAnsi="Times New Roman" w:cs="Times New Roman"/>
                <w:color w:val="000000"/>
                <w:szCs w:val="24"/>
              </w:rPr>
              <w:t>建设内容</w:t>
            </w:r>
          </w:p>
        </w:tc>
        <w:tc>
          <w:tcPr>
            <w:tcW w:w="8691" w:type="dxa"/>
            <w:noWrap w:val="0"/>
            <w:vAlign w:val="top"/>
          </w:tcPr>
          <w:p w14:paraId="7EDC1608">
            <w:pPr>
              <w:keepNext w:val="0"/>
              <w:keepLines w:val="0"/>
              <w:pageBreakBefore w:val="0"/>
              <w:kinsoku/>
              <w:wordWrap/>
              <w:overflowPunct/>
              <w:topLinePunct w:val="0"/>
              <w:autoSpaceDE/>
              <w:autoSpaceDN/>
              <w:bidi w:val="0"/>
              <w:adjustRightInd w:val="0"/>
              <w:snapToGrid w:val="0"/>
              <w:spacing w:line="360" w:lineRule="auto"/>
              <w:ind w:right="0" w:firstLine="562" w:firstLineChars="200"/>
              <w:jc w:val="left"/>
              <w:textAlignment w:val="auto"/>
              <w:rPr>
                <w:rFonts w:hint="default" w:ascii="Times New Roman" w:hAnsi="Times New Roman" w:cs="Times New Roman"/>
                <w:color w:val="000000"/>
                <w:sz w:val="24"/>
                <w:lang w:val="en-US" w:eastAsia="zh-CN"/>
              </w:rPr>
            </w:pPr>
            <w:r>
              <w:rPr>
                <w:rFonts w:hint="eastAsia" w:ascii="Times New Roman" w:hAnsi="Times New Roman" w:cs="Times New Roman"/>
                <w:b/>
                <w:bCs/>
                <w:color w:val="000000"/>
                <w:sz w:val="28"/>
                <w:szCs w:val="28"/>
                <w:lang w:eastAsia="zh-CN"/>
              </w:rPr>
              <w:t>1.</w:t>
            </w:r>
            <w:r>
              <w:rPr>
                <w:rFonts w:hint="default" w:ascii="Times New Roman" w:hAnsi="Times New Roman" w:cs="Times New Roman"/>
                <w:b/>
                <w:bCs/>
                <w:color w:val="000000"/>
                <w:sz w:val="28"/>
                <w:szCs w:val="28"/>
              </w:rPr>
              <w:t>项目由来</w:t>
            </w:r>
          </w:p>
          <w:p w14:paraId="5753D191">
            <w:pPr>
              <w:keepNext w:val="0"/>
              <w:keepLines w:val="0"/>
              <w:pageBreakBefore w:val="0"/>
              <w:kinsoku/>
              <w:wordWrap/>
              <w:overflowPunct/>
              <w:topLinePunct w:val="0"/>
              <w:autoSpaceDE/>
              <w:autoSpaceDN/>
              <w:bidi w:val="0"/>
              <w:spacing w:line="360" w:lineRule="auto"/>
              <w:ind w:right="0" w:firstLine="480" w:firstLineChars="200"/>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（1）公司简介</w:t>
            </w:r>
          </w:p>
          <w:p w14:paraId="44D001AC">
            <w:pPr>
              <w:keepNext w:val="0"/>
              <w:keepLines w:val="0"/>
              <w:pageBreakBefore w:val="0"/>
              <w:kinsoku/>
              <w:wordWrap/>
              <w:overflowPunct/>
              <w:topLinePunct w:val="0"/>
              <w:autoSpaceDE/>
              <w:autoSpaceDN/>
              <w:bidi w:val="0"/>
              <w:spacing w:line="360" w:lineRule="auto"/>
              <w:ind w:right="0" w:firstLine="480" w:firstLineChars="200"/>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锂离子负极材料广泛应用于电动汽车、航空航天、生物医学工程等领域，已成为全球经济发展新热点，其发展方向聚焦高比容量、高充放电效率、高循环性能及低成本。结合当前市场需求，巴中碳原子新材料科技有限公司拟在巴中市平昌经济开发区星光工业园区进行生产线及技改扩能项目。</w:t>
            </w:r>
          </w:p>
          <w:p w14:paraId="5150997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eastAsia="宋体" w:cs="Times New Roman"/>
                <w:bCs/>
                <w:color w:val="000000"/>
                <w:sz w:val="24"/>
                <w:lang w:eastAsia="zh-CN"/>
              </w:rPr>
            </w:pPr>
            <w:r>
              <w:rPr>
                <w:rFonts w:hint="eastAsia" w:ascii="Times New Roman" w:hAnsi="Times New Roman" w:cs="Times New Roman"/>
                <w:color w:val="000000"/>
                <w:sz w:val="24"/>
                <w:szCs w:val="24"/>
                <w:lang w:val="en-US" w:eastAsia="zh-CN" w:bidi="ar-SA"/>
              </w:rPr>
              <w:t>2022年7月巴中碳原子新材料科技有限公司委托四川鑫逸诚工程咨询有限公司编制完成了《平昌县锂电池负极材料生产基地建设项目环境影响报告表》，该环评报告于2022年7月29日取得巴中市平昌生态环境局批复，批复文号为：平环境审函〔2022〕6号。</w:t>
            </w:r>
            <w:r>
              <w:rPr>
                <w:rFonts w:hint="eastAsia" w:ascii="Times New Roman" w:hAnsi="Times New Roman" w:cs="Times New Roman"/>
                <w:color w:val="000000"/>
                <w:sz w:val="24"/>
                <w:szCs w:val="24"/>
                <w:shd w:val="clear" w:color="auto" w:fill="auto"/>
                <w:lang w:val="en-US" w:eastAsia="zh-CN" w:bidi="ar-SA"/>
              </w:rPr>
              <w:t>2023年7月27日至7月28日、2023年11月18日至19日</w:t>
            </w:r>
            <w:r>
              <w:rPr>
                <w:rFonts w:hint="eastAsia" w:ascii="Times New Roman" w:hAnsi="Times New Roman" w:cs="Times New Roman"/>
                <w:color w:val="000000"/>
                <w:sz w:val="24"/>
                <w:szCs w:val="24"/>
                <w:lang w:val="en-US" w:eastAsia="zh-CN" w:bidi="ar-SA"/>
              </w:rPr>
              <w:t>巴中碳原子新材料科技有限公司委托</w:t>
            </w:r>
            <w:r>
              <w:rPr>
                <w:rFonts w:hint="eastAsia" w:ascii="Times New Roman" w:hAnsi="Times New Roman" w:cs="Times New Roman"/>
                <w:color w:val="000000"/>
                <w:sz w:val="24"/>
                <w:szCs w:val="24"/>
                <w:shd w:val="clear" w:color="auto" w:fill="auto"/>
                <w:lang w:val="en-US" w:eastAsia="zh-CN" w:bidi="ar-SA"/>
              </w:rPr>
              <w:t>四川华皓检测技术有限公司</w:t>
            </w:r>
            <w:r>
              <w:rPr>
                <w:rFonts w:hint="eastAsia" w:ascii="Times New Roman" w:hAnsi="Times New Roman" w:eastAsia="宋体" w:cs="Times New Roman"/>
                <w:bCs/>
                <w:color w:val="000000"/>
                <w:sz w:val="24"/>
              </w:rPr>
              <w:t>进行了环保验收监测，</w:t>
            </w:r>
            <w:r>
              <w:rPr>
                <w:rFonts w:hint="eastAsia" w:eastAsia="宋体" w:cs="Times New Roman"/>
                <w:bCs/>
                <w:color w:val="000000"/>
                <w:sz w:val="24"/>
                <w:lang w:val="en-US" w:eastAsia="zh-CN"/>
              </w:rPr>
              <w:t>并通过了自主验收验收。</w:t>
            </w:r>
          </w:p>
          <w:p w14:paraId="430B0156">
            <w:pPr>
              <w:keepNext w:val="0"/>
              <w:keepLines w:val="0"/>
              <w:widowControl/>
              <w:suppressLineNumbers w:val="0"/>
              <w:spacing w:line="360" w:lineRule="auto"/>
              <w:ind w:firstLine="480" w:firstLineChars="200"/>
              <w:jc w:val="left"/>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color w:val="000000"/>
                <w:sz w:val="24"/>
                <w:szCs w:val="24"/>
                <w:lang w:val="en-US" w:eastAsia="zh-CN"/>
              </w:rPr>
              <w:t>目前厂区内已建设锂离子电池负极材料生产线2条，2台辊道窑，年产量为4000吨锂离子负极材料。本次环评建设内容为：将现有2#车间1号辊道窑搬迁至1#车间，拆除2号辊道窑，在 2 号厂房内新增3条隧道窑，用于预碳化生产线。项目建成后全厂年产2000吨负极材料，新增年产4万吨负极粉（半成品）。负极粉为半成品，外售下游企业进一步加工。</w:t>
            </w:r>
            <w:r>
              <w:rPr>
                <w:rFonts w:hint="eastAsia" w:ascii="Times New Roman" w:hAnsi="Times New Roman" w:eastAsia="宋体" w:cs="Times New Roman"/>
                <w:b/>
                <w:bCs/>
                <w:color w:val="000000"/>
                <w:sz w:val="24"/>
                <w:szCs w:val="24"/>
                <w:lang w:val="en-US" w:eastAsia="zh-CN"/>
              </w:rPr>
              <w:t>本项目与贝特瑞（江苏）新材料科技有限公司签订了委托加工协议，本项目原料来自该公司，经预碳化处理后的负极粉（半成品）由贝特瑞（江苏）新材料科技有限公司进一步加工。</w:t>
            </w:r>
          </w:p>
          <w:p w14:paraId="3C4E338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（2）评价任务由来</w:t>
            </w:r>
          </w:p>
          <w:p w14:paraId="120B4C7F">
            <w:pPr>
              <w:pStyle w:val="106"/>
              <w:keepNext w:val="0"/>
              <w:keepLines w:val="0"/>
              <w:pageBreakBefore w:val="0"/>
              <w:kinsoku/>
              <w:wordWrap/>
              <w:overflowPunct/>
              <w:topLinePunct w:val="0"/>
              <w:autoSpaceDE/>
              <w:autoSpaceDN/>
              <w:bidi w:val="0"/>
              <w:adjustRightInd/>
              <w:snapToGrid/>
              <w:spacing w:line="217" w:lineRule="auto"/>
              <w:ind w:left="587"/>
              <w:textAlignment w:val="auto"/>
            </w:pPr>
            <w:r>
              <w:rPr>
                <w:b/>
                <w:bCs/>
                <w:spacing w:val="-3"/>
              </w:rPr>
              <w:t>①焙烧工艺与预碳化工艺对比</w:t>
            </w:r>
          </w:p>
          <w:p w14:paraId="36622D31">
            <w:pPr>
              <w:pStyle w:val="106"/>
              <w:spacing w:before="184" w:line="358" w:lineRule="auto"/>
              <w:ind w:left="108" w:right="103" w:firstLine="480"/>
              <w:jc w:val="both"/>
              <w:rPr>
                <w:spacing w:val="-1"/>
              </w:rPr>
            </w:pPr>
            <w:r>
              <w:rPr>
                <w:spacing w:val="-1"/>
              </w:rPr>
              <w:t>本项目预碳化工艺的主要目的是通过升温加热从而降低物料中挥发分、提高物料固定碳含量，利于后续石墨化生产，以提升企业石墨化车间产品品质，提高企业核心竞争力。结合</w:t>
            </w:r>
            <w:r>
              <w:rPr>
                <w:rFonts w:hint="eastAsia"/>
                <w:spacing w:val="-1"/>
                <w:lang w:val="en-US" w:eastAsia="zh-CN"/>
              </w:rPr>
              <w:t>中国炭素行业协会文件及其他</w:t>
            </w:r>
            <w:r>
              <w:rPr>
                <w:spacing w:val="-1"/>
              </w:rPr>
              <w:t>相关资料，焙烧和预碳化工艺对比如下：</w:t>
            </w:r>
          </w:p>
          <w:p w14:paraId="23C6C1C6">
            <w:pPr>
              <w:pStyle w:val="106"/>
              <w:spacing w:before="184" w:line="358" w:lineRule="auto"/>
              <w:ind w:left="108" w:right="103" w:firstLine="480"/>
              <w:jc w:val="both"/>
              <w:rPr>
                <w:spacing w:val="-1"/>
              </w:rPr>
            </w:pPr>
          </w:p>
          <w:p w14:paraId="55CCEE99">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b/>
                <w:bCs/>
                <w:color w:val="000000"/>
                <w:sz w:val="24"/>
              </w:rPr>
            </w:pPr>
            <w:r>
              <w:rPr>
                <w:rFonts w:hint="eastAsia" w:ascii="Times New Roman" w:hAnsi="Times New Roman" w:eastAsia="宋体" w:cs="Times New Roman"/>
                <w:b/>
                <w:bCs/>
                <w:color w:val="000000"/>
                <w:sz w:val="24"/>
                <w:lang w:val="en-US" w:eastAsia="zh-CN"/>
              </w:rPr>
              <w:t xml:space="preserve"> </w:t>
            </w:r>
            <w:r>
              <w:rPr>
                <w:rFonts w:hint="default" w:ascii="Times New Roman" w:hAnsi="Times New Roman" w:eastAsia="宋体" w:cs="Times New Roman"/>
                <w:b/>
                <w:bCs/>
                <w:color w:val="000000"/>
                <w:sz w:val="24"/>
              </w:rPr>
              <w:t>焙烧工艺与预碳化工艺对比一栏表</w:t>
            </w:r>
          </w:p>
          <w:tbl>
            <w:tblPr>
              <w:tblStyle w:val="32"/>
              <w:tblW w:w="8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3320"/>
              <w:gridCol w:w="3345"/>
              <w:gridCol w:w="855"/>
            </w:tblGrid>
            <w:tr w14:paraId="1DE4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5407EE5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b/>
                      <w:bCs/>
                      <w:spacing w:val="3"/>
                      <w:sz w:val="21"/>
                      <w:szCs w:val="21"/>
                    </w:rPr>
                    <w:t>类别</w:t>
                  </w:r>
                </w:p>
              </w:tc>
              <w:tc>
                <w:tcPr>
                  <w:tcW w:w="3320" w:type="dxa"/>
                  <w:noWrap w:val="0"/>
                  <w:vAlign w:val="center"/>
                </w:tcPr>
                <w:p w14:paraId="6E42667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b/>
                      <w:bCs/>
                      <w:spacing w:val="6"/>
                      <w:sz w:val="21"/>
                      <w:szCs w:val="21"/>
                    </w:rPr>
                    <w:t>焙烧工艺</w:t>
                  </w:r>
                </w:p>
              </w:tc>
              <w:tc>
                <w:tcPr>
                  <w:tcW w:w="3345" w:type="dxa"/>
                  <w:noWrap w:val="0"/>
                  <w:vAlign w:val="center"/>
                </w:tcPr>
                <w:p w14:paraId="4EE3245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b/>
                      <w:bCs/>
                      <w:spacing w:val="6"/>
                      <w:sz w:val="21"/>
                      <w:szCs w:val="21"/>
                    </w:rPr>
                    <w:t>预碳化工艺</w:t>
                  </w:r>
                </w:p>
              </w:tc>
              <w:tc>
                <w:tcPr>
                  <w:tcW w:w="855" w:type="dxa"/>
                  <w:noWrap w:val="0"/>
                  <w:vAlign w:val="center"/>
                </w:tcPr>
                <w:p w14:paraId="305DC62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b/>
                      <w:bCs/>
                      <w:spacing w:val="2"/>
                      <w:sz w:val="21"/>
                      <w:szCs w:val="21"/>
                    </w:rPr>
                    <w:t>备注</w:t>
                  </w:r>
                </w:p>
              </w:tc>
            </w:tr>
            <w:tr w14:paraId="0406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7ED795F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6DB80E4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7BD953D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6"/>
                      <w:sz w:val="21"/>
                      <w:szCs w:val="21"/>
                    </w:rPr>
                    <w:t>工艺原理</w:t>
                  </w:r>
                </w:p>
              </w:tc>
              <w:tc>
                <w:tcPr>
                  <w:tcW w:w="3320" w:type="dxa"/>
                  <w:noWrap w:val="0"/>
                  <w:vAlign w:val="center"/>
                </w:tcPr>
                <w:p w14:paraId="35476A1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r>
                    <w:rPr>
                      <w:rFonts w:hint="default" w:ascii="Times New Roman" w:hAnsi="Times New Roman" w:eastAsia="Times New Roman" w:cs="Times New Roman"/>
                      <w:spacing w:val="7"/>
                      <w:sz w:val="21"/>
                      <w:szCs w:val="21"/>
                    </w:rPr>
                    <w:t>1</w:t>
                  </w:r>
                  <w:r>
                    <w:rPr>
                      <w:rFonts w:hint="default" w:ascii="Times New Roman" w:hAnsi="Times New Roman" w:cs="Times New Roman"/>
                      <w:spacing w:val="7"/>
                      <w:sz w:val="21"/>
                      <w:szCs w:val="21"/>
                    </w:rPr>
                    <w:t>）焙烧是指生制品在填充料保护下</w:t>
                  </w:r>
                  <w:r>
                    <w:rPr>
                      <w:rFonts w:hint="default" w:ascii="Times New Roman" w:hAnsi="Times New Roman" w:cs="Times New Roman"/>
                      <w:spacing w:val="5"/>
                      <w:sz w:val="21"/>
                      <w:szCs w:val="21"/>
                    </w:rPr>
                    <w:t>进行高温热处理，使沥青炭化并与骨料及粉料形成有机结合、达到所需物</w:t>
                  </w:r>
                  <w:r>
                    <w:rPr>
                      <w:rFonts w:hint="default" w:ascii="Times New Roman" w:hAnsi="Times New Roman" w:cs="Times New Roman"/>
                      <w:spacing w:val="8"/>
                      <w:sz w:val="21"/>
                      <w:szCs w:val="21"/>
                    </w:rPr>
                    <w:t>理化学性能的工艺过程。</w:t>
                  </w:r>
                </w:p>
                <w:p w14:paraId="75A39D2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eastAsia="Times New Roman" w:cs="Times New Roman"/>
                      <w:spacing w:val="9"/>
                      <w:sz w:val="21"/>
                      <w:szCs w:val="21"/>
                    </w:rPr>
                    <w:t>2</w:t>
                  </w:r>
                  <w:r>
                    <w:rPr>
                      <w:rFonts w:hint="default" w:ascii="Times New Roman" w:hAnsi="Times New Roman" w:cs="Times New Roman"/>
                      <w:spacing w:val="9"/>
                      <w:sz w:val="21"/>
                      <w:szCs w:val="21"/>
                    </w:rPr>
                    <w:t>）碳素制品的焙烧一般分为一次焙</w:t>
                  </w:r>
                  <w:r>
                    <w:rPr>
                      <w:rFonts w:hint="default" w:ascii="Times New Roman" w:hAnsi="Times New Roman" w:cs="Times New Roman"/>
                      <w:spacing w:val="5"/>
                      <w:sz w:val="21"/>
                      <w:szCs w:val="21"/>
                    </w:rPr>
                    <w:t>烧和二次焙烧。其中一次焙烧是将生</w:t>
                  </w:r>
                  <w:r>
                    <w:rPr>
                      <w:rFonts w:hint="default" w:ascii="Times New Roman" w:hAnsi="Times New Roman" w:cs="Times New Roman"/>
                      <w:spacing w:val="4"/>
                      <w:sz w:val="21"/>
                      <w:szCs w:val="21"/>
                    </w:rPr>
                    <w:t>坯在专门炉窑内进行高温处理，需要</w:t>
                  </w:r>
                  <w:r>
                    <w:rPr>
                      <w:rFonts w:hint="default" w:ascii="Times New Roman" w:hAnsi="Times New Roman" w:cs="Times New Roman"/>
                      <w:spacing w:val="1"/>
                      <w:sz w:val="21"/>
                      <w:szCs w:val="21"/>
                    </w:rPr>
                    <w:t>温度达到</w:t>
                  </w:r>
                  <w:r>
                    <w:rPr>
                      <w:rFonts w:hint="default" w:ascii="Times New Roman" w:hAnsi="Times New Roman" w:cs="Times New Roman"/>
                      <w:spacing w:val="-13"/>
                      <w:sz w:val="21"/>
                      <w:szCs w:val="21"/>
                    </w:rPr>
                    <w:t xml:space="preserve"> </w:t>
                  </w:r>
                  <w:r>
                    <w:rPr>
                      <w:rFonts w:hint="default" w:ascii="Times New Roman" w:hAnsi="Times New Roman" w:eastAsia="Times New Roman" w:cs="Times New Roman"/>
                      <w:spacing w:val="1"/>
                      <w:sz w:val="21"/>
                      <w:szCs w:val="21"/>
                    </w:rPr>
                    <w:t>1200</w:t>
                  </w:r>
                  <w:r>
                    <w:rPr>
                      <w:rFonts w:hint="default" w:ascii="Times New Roman" w:hAnsi="Times New Roman" w:cs="Times New Roman"/>
                      <w:spacing w:val="1"/>
                      <w:sz w:val="21"/>
                      <w:szCs w:val="21"/>
                    </w:rPr>
                    <w:t>～</w:t>
                  </w:r>
                  <w:r>
                    <w:rPr>
                      <w:rFonts w:hint="default" w:ascii="Times New Roman" w:hAnsi="Times New Roman" w:eastAsia="Times New Roman" w:cs="Times New Roman"/>
                      <w:spacing w:val="1"/>
                      <w:sz w:val="21"/>
                      <w:szCs w:val="21"/>
                    </w:rPr>
                    <w:t>1300℃</w:t>
                  </w:r>
                  <w:r>
                    <w:rPr>
                      <w:rFonts w:hint="default" w:ascii="Times New Roman" w:hAnsi="Times New Roman" w:eastAsia="Times New Roman" w:cs="Times New Roman"/>
                      <w:spacing w:val="-25"/>
                      <w:sz w:val="21"/>
                      <w:szCs w:val="21"/>
                    </w:rPr>
                    <w:t xml:space="preserve"> </w:t>
                  </w:r>
                  <w:r>
                    <w:rPr>
                      <w:rFonts w:hint="default" w:ascii="Times New Roman" w:hAnsi="Times New Roman" w:cs="Times New Roman"/>
                      <w:spacing w:val="1"/>
                      <w:sz w:val="21"/>
                      <w:szCs w:val="21"/>
                    </w:rPr>
                    <w:t>,</w:t>
                  </w:r>
                  <w:r>
                    <w:rPr>
                      <w:rFonts w:hint="default" w:ascii="Times New Roman" w:hAnsi="Times New Roman" w:cs="Times New Roman"/>
                      <w:spacing w:val="59"/>
                      <w:sz w:val="21"/>
                      <w:szCs w:val="21"/>
                    </w:rPr>
                    <w:t xml:space="preserve"> </w:t>
                  </w:r>
                  <w:r>
                    <w:rPr>
                      <w:rFonts w:hint="default" w:ascii="Times New Roman" w:hAnsi="Times New Roman" w:cs="Times New Roman"/>
                      <w:spacing w:val="1"/>
                      <w:sz w:val="21"/>
                      <w:szCs w:val="21"/>
                    </w:rPr>
                    <w:t>焙烧周期</w:t>
                  </w:r>
                  <w:r>
                    <w:rPr>
                      <w:rFonts w:hint="default" w:ascii="Times New Roman" w:hAnsi="Times New Roman" w:cs="Times New Roman"/>
                      <w:spacing w:val="7"/>
                      <w:sz w:val="21"/>
                      <w:szCs w:val="21"/>
                    </w:rPr>
                    <w:t>约</w:t>
                  </w:r>
                  <w:r>
                    <w:rPr>
                      <w:rFonts w:hint="default" w:ascii="Times New Roman" w:hAnsi="Times New Roman" w:cs="Times New Roman"/>
                      <w:spacing w:val="-44"/>
                      <w:sz w:val="21"/>
                      <w:szCs w:val="21"/>
                    </w:rPr>
                    <w:t xml:space="preserve"> </w:t>
                  </w:r>
                  <w:r>
                    <w:rPr>
                      <w:rFonts w:hint="default" w:ascii="Times New Roman" w:hAnsi="Times New Roman" w:eastAsia="Times New Roman" w:cs="Times New Roman"/>
                      <w:spacing w:val="7"/>
                      <w:sz w:val="21"/>
                      <w:szCs w:val="21"/>
                    </w:rPr>
                    <w:t>280~360h</w:t>
                  </w:r>
                  <w:r>
                    <w:rPr>
                      <w:rFonts w:hint="default" w:ascii="Times New Roman" w:hAnsi="Times New Roman" w:cs="Times New Roman"/>
                      <w:spacing w:val="7"/>
                      <w:sz w:val="21"/>
                      <w:szCs w:val="21"/>
                    </w:rPr>
                    <w:t>；二次焙烧是通过沥青</w:t>
                  </w:r>
                  <w:r>
                    <w:rPr>
                      <w:rFonts w:hint="default" w:ascii="Times New Roman" w:hAnsi="Times New Roman" w:cs="Times New Roman"/>
                      <w:spacing w:val="9"/>
                      <w:sz w:val="21"/>
                      <w:szCs w:val="21"/>
                    </w:rPr>
                    <w:t>浸渍后的半成品再次在高温下进行</w:t>
                  </w:r>
                  <w:r>
                    <w:rPr>
                      <w:rFonts w:hint="default" w:ascii="Times New Roman" w:hAnsi="Times New Roman" w:cs="Times New Roman"/>
                      <w:spacing w:val="5"/>
                      <w:sz w:val="21"/>
                      <w:szCs w:val="21"/>
                    </w:rPr>
                    <w:t>焙烧</w:t>
                  </w:r>
                  <w:r>
                    <w:rPr>
                      <w:rFonts w:hint="eastAsia" w:ascii="Times New Roman" w:hAnsi="Times New Roman" w:cs="Times New Roman"/>
                      <w:spacing w:val="5"/>
                      <w:sz w:val="21"/>
                      <w:szCs w:val="21"/>
                      <w:lang w:eastAsia="zh-CN"/>
                    </w:rPr>
                    <w:t>，</w:t>
                  </w:r>
                  <w:r>
                    <w:rPr>
                      <w:rFonts w:hint="default" w:ascii="Times New Roman" w:hAnsi="Times New Roman" w:cs="Times New Roman"/>
                      <w:spacing w:val="5"/>
                      <w:sz w:val="21"/>
                      <w:szCs w:val="21"/>
                    </w:rPr>
                    <w:t>焙烧温度为</w:t>
                  </w:r>
                  <w:r>
                    <w:rPr>
                      <w:rFonts w:hint="default" w:ascii="Times New Roman" w:hAnsi="Times New Roman" w:eastAsia="Times New Roman" w:cs="Times New Roman"/>
                      <w:spacing w:val="5"/>
                      <w:sz w:val="21"/>
                      <w:szCs w:val="21"/>
                    </w:rPr>
                    <w:t>750</w:t>
                  </w:r>
                  <w:r>
                    <w:rPr>
                      <w:rFonts w:hint="default" w:ascii="Times New Roman" w:hAnsi="Times New Roman" w:cs="Times New Roman"/>
                      <w:spacing w:val="5"/>
                      <w:sz w:val="21"/>
                      <w:szCs w:val="21"/>
                    </w:rPr>
                    <w:t>～</w:t>
                  </w:r>
                  <w:r>
                    <w:rPr>
                      <w:rFonts w:hint="default" w:ascii="Times New Roman" w:hAnsi="Times New Roman" w:eastAsia="Times New Roman" w:cs="Times New Roman"/>
                      <w:spacing w:val="5"/>
                      <w:sz w:val="21"/>
                      <w:szCs w:val="21"/>
                    </w:rPr>
                    <w:t>800℃</w:t>
                  </w:r>
                  <w:r>
                    <w:rPr>
                      <w:rFonts w:hint="default" w:ascii="Times New Roman" w:hAnsi="Times New Roman" w:eastAsia="Times New Roman" w:cs="Times New Roman"/>
                      <w:spacing w:val="-13"/>
                      <w:sz w:val="21"/>
                      <w:szCs w:val="21"/>
                    </w:rPr>
                    <w:t xml:space="preserve"> </w:t>
                  </w:r>
                  <w:r>
                    <w:rPr>
                      <w:rFonts w:hint="default" w:ascii="Times New Roman" w:hAnsi="Times New Roman" w:cs="Times New Roman"/>
                      <w:spacing w:val="5"/>
                      <w:sz w:val="21"/>
                      <w:szCs w:val="21"/>
                    </w:rPr>
                    <w:t>,</w:t>
                  </w:r>
                  <w:r>
                    <w:rPr>
                      <w:rFonts w:hint="default" w:ascii="Times New Roman" w:hAnsi="Times New Roman" w:cs="Times New Roman"/>
                      <w:spacing w:val="63"/>
                      <w:sz w:val="21"/>
                      <w:szCs w:val="21"/>
                    </w:rPr>
                    <w:t xml:space="preserve"> </w:t>
                  </w:r>
                  <w:r>
                    <w:rPr>
                      <w:rFonts w:hint="default" w:ascii="Times New Roman" w:hAnsi="Times New Roman" w:cs="Times New Roman"/>
                      <w:spacing w:val="5"/>
                      <w:sz w:val="21"/>
                      <w:szCs w:val="21"/>
                    </w:rPr>
                    <w:t>二次</w:t>
                  </w:r>
                  <w:r>
                    <w:rPr>
                      <w:rFonts w:hint="default" w:ascii="Times New Roman" w:hAnsi="Times New Roman" w:cs="Times New Roman"/>
                      <w:spacing w:val="4"/>
                      <w:sz w:val="21"/>
                      <w:szCs w:val="21"/>
                    </w:rPr>
                    <w:t>焙烧周期为</w:t>
                  </w:r>
                  <w:r>
                    <w:rPr>
                      <w:rFonts w:hint="default" w:ascii="Times New Roman" w:hAnsi="Times New Roman" w:cs="Times New Roman"/>
                      <w:spacing w:val="-20"/>
                      <w:sz w:val="21"/>
                      <w:szCs w:val="21"/>
                    </w:rPr>
                    <w:t xml:space="preserve"> </w:t>
                  </w:r>
                  <w:r>
                    <w:rPr>
                      <w:rFonts w:hint="default" w:ascii="Times New Roman" w:hAnsi="Times New Roman" w:eastAsia="Times New Roman" w:cs="Times New Roman"/>
                      <w:spacing w:val="4"/>
                      <w:sz w:val="21"/>
                      <w:szCs w:val="21"/>
                    </w:rPr>
                    <w:t>120</w:t>
                  </w:r>
                  <w:r>
                    <w:rPr>
                      <w:rFonts w:hint="default" w:ascii="Times New Roman" w:hAnsi="Times New Roman" w:cs="Times New Roman"/>
                      <w:spacing w:val="4"/>
                      <w:sz w:val="21"/>
                      <w:szCs w:val="21"/>
                    </w:rPr>
                    <w:t>～</w:t>
                  </w:r>
                  <w:r>
                    <w:rPr>
                      <w:rFonts w:hint="default" w:ascii="Times New Roman" w:hAnsi="Times New Roman" w:eastAsia="Times New Roman" w:cs="Times New Roman"/>
                      <w:spacing w:val="4"/>
                      <w:sz w:val="21"/>
                      <w:szCs w:val="21"/>
                    </w:rPr>
                    <w:t>140h</w:t>
                  </w:r>
                  <w:r>
                    <w:rPr>
                      <w:rFonts w:hint="default" w:ascii="Times New Roman" w:hAnsi="Times New Roman" w:cs="Times New Roman"/>
                      <w:spacing w:val="4"/>
                      <w:sz w:val="21"/>
                      <w:szCs w:val="21"/>
                    </w:rPr>
                    <w:t>。</w:t>
                  </w:r>
                </w:p>
              </w:tc>
              <w:tc>
                <w:tcPr>
                  <w:tcW w:w="3345" w:type="dxa"/>
                  <w:noWrap w:val="0"/>
                  <w:vAlign w:val="center"/>
                </w:tcPr>
                <w:p w14:paraId="650BD00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r>
                    <w:rPr>
                      <w:rFonts w:hint="default" w:ascii="Times New Roman" w:hAnsi="Times New Roman" w:eastAsia="Times New Roman" w:cs="Times New Roman"/>
                      <w:spacing w:val="8"/>
                      <w:sz w:val="21"/>
                      <w:szCs w:val="21"/>
                    </w:rPr>
                    <w:t>1</w:t>
                  </w:r>
                  <w:r>
                    <w:rPr>
                      <w:rFonts w:hint="default" w:ascii="Times New Roman" w:hAnsi="Times New Roman" w:cs="Times New Roman"/>
                      <w:spacing w:val="8"/>
                      <w:sz w:val="21"/>
                      <w:szCs w:val="21"/>
                    </w:rPr>
                    <w:t>）本项目原材料为锂离子电池石墨负</w:t>
                  </w:r>
                  <w:r>
                    <w:rPr>
                      <w:rFonts w:hint="default" w:ascii="Times New Roman" w:hAnsi="Times New Roman" w:cs="Times New Roman"/>
                      <w:spacing w:val="9"/>
                      <w:sz w:val="21"/>
                      <w:szCs w:val="21"/>
                    </w:rPr>
                    <w:t>极材料中间品，预碳化目的是通过加热让物料中挥发份、水分等逸散出去，从而提高物料碳含量，便于后续石墨化工艺，主要是物理过程；高温带来的其他化学反应（如燃料、挥发份燃烧、物料</w:t>
                  </w:r>
                  <w:r>
                    <w:rPr>
                      <w:rFonts w:hint="default" w:ascii="Times New Roman" w:hAnsi="Times New Roman" w:cs="Times New Roman"/>
                      <w:spacing w:val="8"/>
                      <w:sz w:val="21"/>
                      <w:szCs w:val="21"/>
                    </w:rPr>
                    <w:t>中硫化物、杂质等氧化反应）不影响产</w:t>
                  </w:r>
                  <w:r>
                    <w:rPr>
                      <w:rFonts w:hint="default" w:ascii="Times New Roman" w:hAnsi="Times New Roman" w:cs="Times New Roman"/>
                      <w:sz w:val="21"/>
                      <w:szCs w:val="21"/>
                    </w:rPr>
                    <w:t>品性能；</w:t>
                  </w:r>
                </w:p>
                <w:p w14:paraId="017EB11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eastAsia="Times New Roman" w:cs="Times New Roman"/>
                      <w:spacing w:val="9"/>
                      <w:sz w:val="21"/>
                      <w:szCs w:val="21"/>
                    </w:rPr>
                    <w:t>2</w:t>
                  </w:r>
                  <w:r>
                    <w:rPr>
                      <w:rFonts w:hint="default" w:ascii="Times New Roman" w:hAnsi="Times New Roman" w:cs="Times New Roman"/>
                      <w:spacing w:val="9"/>
                      <w:sz w:val="21"/>
                      <w:szCs w:val="21"/>
                    </w:rPr>
                    <w:t>）本项目预碳化工艺温度</w:t>
                  </w:r>
                  <w:r>
                    <w:rPr>
                      <w:rFonts w:hint="eastAsia" w:ascii="Times New Roman" w:hAnsi="Times New Roman" w:eastAsia="宋体" w:cs="Times New Roman"/>
                      <w:spacing w:val="-1"/>
                      <w:sz w:val="21"/>
                      <w:szCs w:val="21"/>
                      <w:lang w:val="en-US" w:eastAsia="zh-CN"/>
                    </w:rPr>
                    <w:t>1000</w:t>
                  </w:r>
                  <w:r>
                    <w:rPr>
                      <w:rFonts w:hint="default" w:ascii="Times New Roman" w:hAnsi="Times New Roman" w:eastAsia="Times New Roman" w:cs="Times New Roman"/>
                      <w:spacing w:val="-1"/>
                      <w:sz w:val="21"/>
                      <w:szCs w:val="21"/>
                    </w:rPr>
                    <w:t>~</w:t>
                  </w:r>
                  <w:r>
                    <w:rPr>
                      <w:rFonts w:hint="default" w:ascii="Times New Roman" w:hAnsi="Times New Roman" w:eastAsia="Times New Roman" w:cs="Times New Roman"/>
                      <w:spacing w:val="-21"/>
                      <w:sz w:val="21"/>
                      <w:szCs w:val="21"/>
                    </w:rPr>
                    <w:t xml:space="preserve"> </w:t>
                  </w:r>
                  <w:r>
                    <w:rPr>
                      <w:rFonts w:hint="eastAsia" w:ascii="Times New Roman" w:hAnsi="Times New Roman" w:eastAsia="宋体" w:cs="Times New Roman"/>
                      <w:spacing w:val="-1"/>
                      <w:sz w:val="21"/>
                      <w:szCs w:val="21"/>
                      <w:lang w:val="en-US" w:eastAsia="zh-CN"/>
                    </w:rPr>
                    <w:t>1100</w:t>
                  </w:r>
                  <w:r>
                    <w:rPr>
                      <w:rFonts w:hint="default" w:ascii="Times New Roman" w:hAnsi="Times New Roman" w:eastAsia="Times New Roman" w:cs="Times New Roman"/>
                      <w:spacing w:val="-1"/>
                      <w:sz w:val="21"/>
                      <w:szCs w:val="21"/>
                    </w:rPr>
                    <w:t>℃</w:t>
                  </w:r>
                  <w:r>
                    <w:rPr>
                      <w:rFonts w:hint="default" w:ascii="Times New Roman" w:hAnsi="Times New Roman" w:eastAsia="Times New Roman" w:cs="Times New Roman"/>
                      <w:spacing w:val="-23"/>
                      <w:sz w:val="21"/>
                      <w:szCs w:val="21"/>
                    </w:rPr>
                    <w:t xml:space="preserve"> </w:t>
                  </w:r>
                  <w:r>
                    <w:rPr>
                      <w:rFonts w:hint="default" w:ascii="Times New Roman" w:hAnsi="Times New Roman" w:cs="Times New Roman"/>
                      <w:spacing w:val="-1"/>
                      <w:sz w:val="21"/>
                      <w:szCs w:val="21"/>
                    </w:rPr>
                    <w:t>, 工艺周期约</w:t>
                  </w:r>
                  <w:r>
                    <w:rPr>
                      <w:rFonts w:hint="default" w:ascii="Times New Roman" w:hAnsi="Times New Roman" w:cs="Times New Roman"/>
                      <w:spacing w:val="-43"/>
                      <w:sz w:val="21"/>
                      <w:szCs w:val="21"/>
                    </w:rPr>
                    <w:t xml:space="preserve"> </w:t>
                  </w:r>
                  <w:r>
                    <w:rPr>
                      <w:rFonts w:hint="default" w:ascii="Times New Roman" w:hAnsi="Times New Roman" w:eastAsia="Times New Roman" w:cs="Times New Roman"/>
                      <w:spacing w:val="-1"/>
                      <w:sz w:val="21"/>
                      <w:szCs w:val="21"/>
                    </w:rPr>
                    <w:t>26.67h</w:t>
                  </w:r>
                  <w:r>
                    <w:rPr>
                      <w:rFonts w:hint="default" w:ascii="Times New Roman" w:hAnsi="Times New Roman" w:cs="Times New Roman"/>
                      <w:spacing w:val="-1"/>
                      <w:sz w:val="21"/>
                      <w:szCs w:val="21"/>
                    </w:rPr>
                    <w:t>；工艺</w:t>
                  </w:r>
                  <w:r>
                    <w:rPr>
                      <w:rFonts w:hint="default" w:ascii="Times New Roman" w:hAnsi="Times New Roman" w:cs="Times New Roman"/>
                      <w:spacing w:val="8"/>
                      <w:sz w:val="21"/>
                      <w:szCs w:val="21"/>
                    </w:rPr>
                    <w:t>时长远远低于一次焙烧和二次焙烧。</w:t>
                  </w:r>
                </w:p>
              </w:tc>
              <w:tc>
                <w:tcPr>
                  <w:tcW w:w="855" w:type="dxa"/>
                  <w:noWrap w:val="0"/>
                  <w:vAlign w:val="center"/>
                </w:tcPr>
                <w:p w14:paraId="7C8BD1F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4C3F4B6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4A1238A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不同</w:t>
                  </w:r>
                </w:p>
              </w:tc>
            </w:tr>
            <w:tr w14:paraId="4AB8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51D08DE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30DE9321">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6"/>
                      <w:sz w:val="21"/>
                      <w:szCs w:val="21"/>
                    </w:rPr>
                    <w:t>工艺条件</w:t>
                  </w:r>
                </w:p>
              </w:tc>
              <w:tc>
                <w:tcPr>
                  <w:tcW w:w="3320" w:type="dxa"/>
                  <w:noWrap w:val="0"/>
                  <w:vAlign w:val="center"/>
                </w:tcPr>
                <w:p w14:paraId="641F1596">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以冶金焦、石英砂等作填充料，采用</w:t>
                  </w:r>
                  <w:r>
                    <w:rPr>
                      <w:rFonts w:hint="default" w:ascii="Times New Roman" w:hAnsi="Times New Roman" w:cs="Times New Roman"/>
                      <w:spacing w:val="5"/>
                      <w:sz w:val="21"/>
                      <w:szCs w:val="21"/>
                    </w:rPr>
                    <w:t>焙烧设备（天然气加热，设计温度约</w:t>
                  </w:r>
                  <w:r>
                    <w:rPr>
                      <w:rFonts w:hint="default" w:ascii="Times New Roman" w:hAnsi="Times New Roman" w:eastAsia="Times New Roman" w:cs="Times New Roman"/>
                      <w:spacing w:val="-2"/>
                      <w:sz w:val="21"/>
                      <w:szCs w:val="21"/>
                    </w:rPr>
                    <w:t>1300℃</w:t>
                  </w:r>
                  <w:r>
                    <w:rPr>
                      <w:rFonts w:hint="default" w:ascii="Times New Roman" w:hAnsi="Times New Roman" w:eastAsia="Times New Roman" w:cs="Times New Roman"/>
                      <w:spacing w:val="-25"/>
                      <w:sz w:val="21"/>
                      <w:szCs w:val="21"/>
                    </w:rPr>
                    <w:t xml:space="preserve"> </w:t>
                  </w:r>
                  <w:r>
                    <w:rPr>
                      <w:rFonts w:hint="default" w:ascii="Times New Roman" w:hAnsi="Times New Roman" w:cs="Times New Roman"/>
                      <w:spacing w:val="-2"/>
                      <w:sz w:val="21"/>
                      <w:szCs w:val="21"/>
                    </w:rPr>
                    <w:t>, 至少</w:t>
                  </w:r>
                  <w:r>
                    <w:rPr>
                      <w:rFonts w:hint="default" w:ascii="Times New Roman" w:hAnsi="Times New Roman" w:cs="Times New Roman"/>
                      <w:spacing w:val="-41"/>
                      <w:sz w:val="21"/>
                      <w:szCs w:val="21"/>
                    </w:rPr>
                    <w:t xml:space="preserve"> </w:t>
                  </w:r>
                  <w:r>
                    <w:rPr>
                      <w:rFonts w:hint="default" w:ascii="Times New Roman" w:hAnsi="Times New Roman" w:eastAsia="Times New Roman" w:cs="Times New Roman"/>
                      <w:spacing w:val="-2"/>
                      <w:sz w:val="21"/>
                      <w:szCs w:val="21"/>
                    </w:rPr>
                    <w:t xml:space="preserve">200 </w:t>
                  </w:r>
                  <w:r>
                    <w:rPr>
                      <w:rFonts w:hint="default" w:ascii="Times New Roman" w:hAnsi="Times New Roman" w:cs="Times New Roman"/>
                      <w:spacing w:val="-2"/>
                      <w:sz w:val="21"/>
                      <w:szCs w:val="21"/>
                    </w:rPr>
                    <w:t>余</w:t>
                  </w:r>
                  <w:r>
                    <w:rPr>
                      <w:rFonts w:hint="default" w:ascii="Times New Roman" w:hAnsi="Times New Roman" w:cs="Times New Roman"/>
                      <w:spacing w:val="-43"/>
                      <w:sz w:val="21"/>
                      <w:szCs w:val="21"/>
                    </w:rPr>
                    <w:t xml:space="preserve"> </w:t>
                  </w:r>
                  <w:r>
                    <w:rPr>
                      <w:rFonts w:hint="default" w:ascii="Times New Roman" w:hAnsi="Times New Roman" w:eastAsia="Times New Roman" w:cs="Times New Roman"/>
                      <w:spacing w:val="-2"/>
                      <w:sz w:val="21"/>
                      <w:szCs w:val="21"/>
                    </w:rPr>
                    <w:t>h</w:t>
                  </w:r>
                  <w:r>
                    <w:rPr>
                      <w:rFonts w:hint="default" w:ascii="Times New Roman" w:hAnsi="Times New Roman" w:cs="Times New Roman"/>
                      <w:spacing w:val="-2"/>
                      <w:sz w:val="21"/>
                      <w:szCs w:val="21"/>
                    </w:rPr>
                    <w:t>）进行热处</w:t>
                  </w:r>
                  <w:r>
                    <w:rPr>
                      <w:rFonts w:hint="default" w:ascii="Times New Roman" w:hAnsi="Times New Roman" w:cs="Times New Roman"/>
                      <w:spacing w:val="-3"/>
                      <w:sz w:val="21"/>
                      <w:szCs w:val="21"/>
                    </w:rPr>
                    <w:t>理。</w:t>
                  </w:r>
                </w:p>
              </w:tc>
              <w:tc>
                <w:tcPr>
                  <w:tcW w:w="3345" w:type="dxa"/>
                  <w:noWrap w:val="0"/>
                  <w:vAlign w:val="center"/>
                </w:tcPr>
                <w:p w14:paraId="0E007ED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9"/>
                      <w:sz w:val="21"/>
                      <w:szCs w:val="21"/>
                    </w:rPr>
                    <w:t>不使用填充料，天然气作为燃料，在隧道窑内以坩埚作为加热容器进行加热，</w:t>
                  </w:r>
                  <w:r>
                    <w:rPr>
                      <w:rFonts w:hint="default" w:ascii="Times New Roman" w:hAnsi="Times New Roman" w:cs="Times New Roman"/>
                      <w:spacing w:val="-1"/>
                      <w:sz w:val="21"/>
                      <w:szCs w:val="21"/>
                    </w:rPr>
                    <w:t>设计温度</w:t>
                  </w:r>
                  <w:r>
                    <w:rPr>
                      <w:rFonts w:hint="default" w:ascii="Times New Roman" w:hAnsi="Times New Roman" w:cs="Times New Roman"/>
                      <w:spacing w:val="-3"/>
                      <w:sz w:val="21"/>
                      <w:szCs w:val="21"/>
                    </w:rPr>
                    <w:t xml:space="preserve"> </w:t>
                  </w:r>
                  <w:r>
                    <w:rPr>
                      <w:rFonts w:hint="eastAsia" w:ascii="Times New Roman" w:hAnsi="Times New Roman" w:eastAsia="宋体" w:cs="Times New Roman"/>
                      <w:spacing w:val="-1"/>
                      <w:sz w:val="21"/>
                      <w:szCs w:val="21"/>
                      <w:lang w:val="en-US" w:eastAsia="zh-CN"/>
                    </w:rPr>
                    <w:t>1000</w:t>
                  </w:r>
                  <w:r>
                    <w:rPr>
                      <w:rFonts w:hint="default" w:ascii="Times New Roman" w:hAnsi="Times New Roman" w:eastAsia="Times New Roman" w:cs="Times New Roman"/>
                      <w:spacing w:val="-1"/>
                      <w:sz w:val="21"/>
                      <w:szCs w:val="21"/>
                    </w:rPr>
                    <w:t>~</w:t>
                  </w:r>
                  <w:r>
                    <w:rPr>
                      <w:rFonts w:hint="default" w:ascii="Times New Roman" w:hAnsi="Times New Roman" w:eastAsia="Times New Roman" w:cs="Times New Roman"/>
                      <w:spacing w:val="-26"/>
                      <w:sz w:val="21"/>
                      <w:szCs w:val="21"/>
                    </w:rPr>
                    <w:t xml:space="preserve"> </w:t>
                  </w:r>
                  <w:r>
                    <w:rPr>
                      <w:rFonts w:hint="eastAsia" w:ascii="Times New Roman" w:hAnsi="Times New Roman" w:eastAsia="宋体" w:cs="Times New Roman"/>
                      <w:spacing w:val="-1"/>
                      <w:sz w:val="21"/>
                      <w:szCs w:val="21"/>
                      <w:lang w:val="en-US" w:eastAsia="zh-CN"/>
                    </w:rPr>
                    <w:t>11</w:t>
                  </w:r>
                  <w:r>
                    <w:rPr>
                      <w:rFonts w:hint="default" w:ascii="Times New Roman" w:hAnsi="Times New Roman" w:eastAsia="Times New Roman" w:cs="Times New Roman"/>
                      <w:spacing w:val="-1"/>
                      <w:sz w:val="21"/>
                      <w:szCs w:val="21"/>
                    </w:rPr>
                    <w:t>00℃</w:t>
                  </w:r>
                  <w:r>
                    <w:rPr>
                      <w:rFonts w:hint="default" w:ascii="Times New Roman" w:hAnsi="Times New Roman" w:eastAsia="Times New Roman" w:cs="Times New Roman"/>
                      <w:spacing w:val="-22"/>
                      <w:sz w:val="21"/>
                      <w:szCs w:val="21"/>
                    </w:rPr>
                    <w:t xml:space="preserve"> </w:t>
                  </w:r>
                  <w:r>
                    <w:rPr>
                      <w:rFonts w:hint="default" w:ascii="Times New Roman" w:hAnsi="Times New Roman" w:cs="Times New Roman"/>
                      <w:spacing w:val="-1"/>
                      <w:sz w:val="21"/>
                      <w:szCs w:val="21"/>
                    </w:rPr>
                    <w:t>,</w:t>
                  </w:r>
                  <w:r>
                    <w:rPr>
                      <w:rFonts w:hint="default" w:ascii="Times New Roman" w:hAnsi="Times New Roman" w:cs="Times New Roman"/>
                      <w:spacing w:val="61"/>
                      <w:sz w:val="21"/>
                      <w:szCs w:val="21"/>
                    </w:rPr>
                    <w:t xml:space="preserve"> </w:t>
                  </w:r>
                  <w:r>
                    <w:rPr>
                      <w:rFonts w:hint="default" w:ascii="Times New Roman" w:hAnsi="Times New Roman" w:cs="Times New Roman"/>
                      <w:spacing w:val="-1"/>
                      <w:sz w:val="21"/>
                      <w:szCs w:val="21"/>
                    </w:rPr>
                    <w:t>工艺周期约</w:t>
                  </w:r>
                  <w:r>
                    <w:rPr>
                      <w:rFonts w:hint="default" w:ascii="Times New Roman" w:hAnsi="Times New Roman" w:eastAsia="Times New Roman" w:cs="Times New Roman"/>
                      <w:spacing w:val="3"/>
                      <w:sz w:val="21"/>
                      <w:szCs w:val="21"/>
                    </w:rPr>
                    <w:t>26.67h</w:t>
                  </w:r>
                  <w:r>
                    <w:rPr>
                      <w:rFonts w:hint="default" w:ascii="Times New Roman" w:hAnsi="Times New Roman" w:cs="Times New Roman"/>
                      <w:spacing w:val="3"/>
                      <w:sz w:val="21"/>
                      <w:szCs w:val="21"/>
                    </w:rPr>
                    <w:t>。</w:t>
                  </w:r>
                </w:p>
              </w:tc>
              <w:tc>
                <w:tcPr>
                  <w:tcW w:w="855" w:type="dxa"/>
                  <w:noWrap w:val="0"/>
                  <w:vAlign w:val="center"/>
                </w:tcPr>
                <w:p w14:paraId="0EBA75A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37D0B62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不同</w:t>
                  </w:r>
                </w:p>
              </w:tc>
            </w:tr>
            <w:tr w14:paraId="49DA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56B516AB">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6"/>
                      <w:sz w:val="21"/>
                      <w:szCs w:val="21"/>
                    </w:rPr>
                    <w:t>处理对象</w:t>
                  </w:r>
                </w:p>
              </w:tc>
              <w:tc>
                <w:tcPr>
                  <w:tcW w:w="3320" w:type="dxa"/>
                  <w:noWrap w:val="0"/>
                  <w:vAlign w:val="center"/>
                </w:tcPr>
                <w:p w14:paraId="0016DEE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8"/>
                      <w:sz w:val="21"/>
                      <w:szCs w:val="21"/>
                    </w:rPr>
                    <w:t>石油焦、针状焦、煤系沥青经破碎、混捏、成型后的生胚制品。</w:t>
                  </w:r>
                </w:p>
              </w:tc>
              <w:tc>
                <w:tcPr>
                  <w:tcW w:w="3345" w:type="dxa"/>
                  <w:noWrap w:val="0"/>
                  <w:vAlign w:val="center"/>
                </w:tcPr>
                <w:p w14:paraId="74A8BCE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8"/>
                      <w:sz w:val="21"/>
                      <w:szCs w:val="21"/>
                    </w:rPr>
                    <w:t>石墨负极材料中间品</w:t>
                  </w:r>
                </w:p>
              </w:tc>
              <w:tc>
                <w:tcPr>
                  <w:tcW w:w="855" w:type="dxa"/>
                  <w:noWrap w:val="0"/>
                  <w:vAlign w:val="center"/>
                </w:tcPr>
                <w:p w14:paraId="3218DB7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r>
                    <w:rPr>
                      <w:rFonts w:hint="default" w:ascii="Times New Roman" w:hAnsi="Times New Roman" w:cs="Times New Roman"/>
                      <w:spacing w:val="2"/>
                      <w:sz w:val="21"/>
                      <w:szCs w:val="21"/>
                    </w:rPr>
                    <w:t>原料</w:t>
                  </w:r>
                </w:p>
                <w:p w14:paraId="4DC3004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不同</w:t>
                  </w:r>
                </w:p>
              </w:tc>
            </w:tr>
            <w:tr w14:paraId="1D1D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78C6285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sz w:val="21"/>
                      <w:szCs w:val="21"/>
                    </w:rPr>
                  </w:pPr>
                </w:p>
                <w:p w14:paraId="7E0487F5">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设备</w:t>
                  </w:r>
                </w:p>
              </w:tc>
              <w:tc>
                <w:tcPr>
                  <w:tcW w:w="3320" w:type="dxa"/>
                  <w:noWrap w:val="0"/>
                  <w:vAlign w:val="center"/>
                </w:tcPr>
                <w:p w14:paraId="052EB89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8"/>
                      <w:sz w:val="21"/>
                      <w:szCs w:val="21"/>
                    </w:rPr>
                    <w:t>用于工业生产的焙烧设备有倒焰窑、</w:t>
                  </w:r>
                  <w:r>
                    <w:rPr>
                      <w:rFonts w:hint="default" w:ascii="Times New Roman" w:hAnsi="Times New Roman" w:cs="Times New Roman"/>
                      <w:spacing w:val="4"/>
                      <w:sz w:val="21"/>
                      <w:szCs w:val="21"/>
                    </w:rPr>
                    <w:t>环式炉、隧道窑和车底炉</w:t>
                  </w:r>
                  <w:r>
                    <w:rPr>
                      <w:rFonts w:hint="default" w:ascii="Times New Roman" w:hAnsi="Times New Roman" w:cs="Times New Roman"/>
                      <w:spacing w:val="-39"/>
                      <w:sz w:val="21"/>
                      <w:szCs w:val="21"/>
                    </w:rPr>
                    <w:t xml:space="preserve"> </w:t>
                  </w:r>
                  <w:r>
                    <w:rPr>
                      <w:rFonts w:hint="default" w:ascii="Times New Roman" w:hAnsi="Times New Roman" w:eastAsia="Times New Roman" w:cs="Times New Roman"/>
                      <w:spacing w:val="4"/>
                      <w:sz w:val="21"/>
                      <w:szCs w:val="21"/>
                    </w:rPr>
                    <w:t xml:space="preserve">4 </w:t>
                  </w:r>
                  <w:r>
                    <w:rPr>
                      <w:rFonts w:hint="default" w:ascii="Times New Roman" w:hAnsi="Times New Roman" w:cs="Times New Roman"/>
                      <w:spacing w:val="4"/>
                      <w:sz w:val="21"/>
                      <w:szCs w:val="21"/>
                    </w:rPr>
                    <w:t>种（焙烧</w:t>
                  </w:r>
                  <w:r>
                    <w:rPr>
                      <w:rFonts w:hint="default" w:ascii="Times New Roman" w:hAnsi="Times New Roman" w:cs="Times New Roman"/>
                      <w:spacing w:val="8"/>
                      <w:sz w:val="21"/>
                      <w:szCs w:val="21"/>
                    </w:rPr>
                    <w:t>周期约</w:t>
                  </w:r>
                  <w:r>
                    <w:rPr>
                      <w:rFonts w:hint="default" w:ascii="Times New Roman" w:hAnsi="Times New Roman" w:eastAsia="Times New Roman" w:cs="Times New Roman"/>
                      <w:spacing w:val="8"/>
                      <w:sz w:val="21"/>
                      <w:szCs w:val="21"/>
                    </w:rPr>
                    <w:t>280</w:t>
                  </w:r>
                  <w:r>
                    <w:rPr>
                      <w:rFonts w:hint="default" w:ascii="Times New Roman" w:hAnsi="Times New Roman" w:cs="Times New Roman"/>
                      <w:spacing w:val="8"/>
                      <w:sz w:val="21"/>
                      <w:szCs w:val="21"/>
                    </w:rPr>
                    <w:t>～</w:t>
                  </w:r>
                  <w:r>
                    <w:rPr>
                      <w:rFonts w:hint="default" w:ascii="Times New Roman" w:hAnsi="Times New Roman" w:eastAsia="Times New Roman" w:cs="Times New Roman"/>
                      <w:spacing w:val="8"/>
                      <w:sz w:val="21"/>
                      <w:szCs w:val="21"/>
                    </w:rPr>
                    <w:t>360h</w:t>
                  </w:r>
                  <w:r>
                    <w:rPr>
                      <w:rFonts w:hint="default" w:ascii="Times New Roman" w:hAnsi="Times New Roman" w:eastAsia="Times New Roman" w:cs="Times New Roman"/>
                      <w:spacing w:val="-22"/>
                      <w:sz w:val="21"/>
                      <w:szCs w:val="21"/>
                    </w:rPr>
                    <w:t xml:space="preserve"> </w:t>
                  </w:r>
                  <w:r>
                    <w:rPr>
                      <w:rFonts w:hint="default" w:ascii="Times New Roman" w:hAnsi="Times New Roman" w:cs="Times New Roman"/>
                      <w:spacing w:val="8"/>
                      <w:sz w:val="21"/>
                      <w:szCs w:val="21"/>
                    </w:rPr>
                    <w:t>，二次焙烧周期为</w:t>
                  </w:r>
                  <w:r>
                    <w:rPr>
                      <w:rFonts w:hint="default" w:ascii="Times New Roman" w:hAnsi="Times New Roman" w:eastAsia="Times New Roman" w:cs="Times New Roman"/>
                      <w:spacing w:val="2"/>
                      <w:sz w:val="21"/>
                      <w:szCs w:val="21"/>
                    </w:rPr>
                    <w:t>120</w:t>
                  </w:r>
                  <w:r>
                    <w:rPr>
                      <w:rFonts w:hint="default" w:ascii="Times New Roman" w:hAnsi="Times New Roman" w:cs="Times New Roman"/>
                      <w:spacing w:val="2"/>
                      <w:sz w:val="21"/>
                      <w:szCs w:val="21"/>
                    </w:rPr>
                    <w:t>～</w:t>
                  </w:r>
                  <w:r>
                    <w:rPr>
                      <w:rFonts w:hint="default" w:ascii="Times New Roman" w:hAnsi="Times New Roman" w:eastAsia="Times New Roman" w:cs="Times New Roman"/>
                      <w:spacing w:val="2"/>
                      <w:sz w:val="21"/>
                      <w:szCs w:val="21"/>
                    </w:rPr>
                    <w:t>140h</w:t>
                  </w:r>
                  <w:r>
                    <w:rPr>
                      <w:rFonts w:hint="default" w:ascii="Times New Roman" w:hAnsi="Times New Roman" w:cs="Times New Roman"/>
                      <w:spacing w:val="2"/>
                      <w:sz w:val="21"/>
                      <w:szCs w:val="21"/>
                    </w:rPr>
                    <w:t>）。</w:t>
                  </w:r>
                </w:p>
              </w:tc>
              <w:tc>
                <w:tcPr>
                  <w:tcW w:w="3345" w:type="dxa"/>
                  <w:noWrap w:val="0"/>
                  <w:vAlign w:val="center"/>
                </w:tcPr>
                <w:p w14:paraId="1F73760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5"/>
                      <w:sz w:val="21"/>
                      <w:szCs w:val="21"/>
                    </w:rPr>
                    <w:t>隧道窑（工艺周期约</w:t>
                  </w:r>
                  <w:r>
                    <w:rPr>
                      <w:rFonts w:hint="default" w:ascii="Times New Roman" w:hAnsi="Times New Roman" w:cs="Times New Roman"/>
                      <w:spacing w:val="-36"/>
                      <w:sz w:val="21"/>
                      <w:szCs w:val="21"/>
                    </w:rPr>
                    <w:t xml:space="preserve"> </w:t>
                  </w:r>
                  <w:r>
                    <w:rPr>
                      <w:rFonts w:hint="default" w:ascii="Times New Roman" w:hAnsi="Times New Roman" w:eastAsia="Times New Roman" w:cs="Times New Roman"/>
                      <w:spacing w:val="5"/>
                      <w:sz w:val="21"/>
                      <w:szCs w:val="21"/>
                    </w:rPr>
                    <w:t>26.67h</w:t>
                  </w:r>
                  <w:r>
                    <w:rPr>
                      <w:rFonts w:hint="default" w:ascii="Times New Roman" w:hAnsi="Times New Roman" w:cs="Times New Roman"/>
                      <w:spacing w:val="5"/>
                      <w:sz w:val="21"/>
                      <w:szCs w:val="21"/>
                    </w:rPr>
                    <w:t>）。</w:t>
                  </w:r>
                </w:p>
              </w:tc>
              <w:tc>
                <w:tcPr>
                  <w:tcW w:w="855" w:type="dxa"/>
                  <w:noWrap w:val="0"/>
                  <w:vAlign w:val="center"/>
                </w:tcPr>
                <w:p w14:paraId="74E624F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隧道窑</w:t>
                  </w:r>
                  <w:r>
                    <w:rPr>
                      <w:rFonts w:hint="default" w:ascii="Times New Roman" w:hAnsi="Times New Roman" w:cs="Times New Roman"/>
                      <w:spacing w:val="6"/>
                      <w:sz w:val="21"/>
                      <w:szCs w:val="21"/>
                    </w:rPr>
                    <w:t>参数不</w:t>
                  </w:r>
                  <w:r>
                    <w:rPr>
                      <w:rFonts w:hint="default" w:ascii="Times New Roman" w:hAnsi="Times New Roman" w:cs="Times New Roman"/>
                      <w:sz w:val="21"/>
                      <w:szCs w:val="21"/>
                    </w:rPr>
                    <w:t>同</w:t>
                  </w:r>
                </w:p>
              </w:tc>
            </w:tr>
            <w:tr w14:paraId="4924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3711E08D">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4"/>
                      <w:sz w:val="21"/>
                      <w:szCs w:val="21"/>
                    </w:rPr>
                    <w:t>产品</w:t>
                  </w:r>
                </w:p>
              </w:tc>
              <w:tc>
                <w:tcPr>
                  <w:tcW w:w="3320" w:type="dxa"/>
                  <w:noWrap w:val="0"/>
                  <w:vAlign w:val="center"/>
                </w:tcPr>
                <w:p w14:paraId="540C8F7D">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7"/>
                      <w:sz w:val="21"/>
                      <w:szCs w:val="21"/>
                    </w:rPr>
                    <w:t>石墨坩埚等</w:t>
                  </w:r>
                </w:p>
              </w:tc>
              <w:tc>
                <w:tcPr>
                  <w:tcW w:w="3345" w:type="dxa"/>
                  <w:noWrap w:val="0"/>
                  <w:vAlign w:val="center"/>
                </w:tcPr>
                <w:p w14:paraId="5298EF7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spacing w:val="9"/>
                      <w:sz w:val="21"/>
                      <w:szCs w:val="21"/>
                      <w:lang w:val="en-US" w:eastAsia="zh-CN"/>
                    </w:rPr>
                    <w:t>负极粉</w:t>
                  </w:r>
                </w:p>
              </w:tc>
              <w:tc>
                <w:tcPr>
                  <w:tcW w:w="855" w:type="dxa"/>
                  <w:noWrap w:val="0"/>
                  <w:vAlign w:val="center"/>
                </w:tcPr>
                <w:p w14:paraId="24224AA6">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cs="Times New Roman"/>
                      <w:spacing w:val="3"/>
                      <w:sz w:val="21"/>
                      <w:szCs w:val="21"/>
                    </w:rPr>
                    <w:t>不同</w:t>
                  </w:r>
                </w:p>
              </w:tc>
            </w:tr>
          </w:tbl>
          <w:p w14:paraId="1CA532F2">
            <w:pPr>
              <w:tabs>
                <w:tab w:val="center" w:pos="4200"/>
                <w:tab w:val="left" w:pos="6035"/>
              </w:tabs>
              <w:jc w:val="center"/>
              <w:rPr>
                <w:rFonts w:hint="default" w:ascii="Times New Roman" w:hAnsi="Times New Roman" w:eastAsia="宋体" w:cs="Times New Roman"/>
                <w:b/>
                <w:bCs/>
                <w:color w:val="000000"/>
                <w:sz w:val="24"/>
                <w:lang w:val="en-US" w:eastAsia="zh-CN"/>
              </w:rPr>
            </w:pPr>
          </w:p>
          <w:p w14:paraId="56E56645">
            <w:pPr>
              <w:keepNext w:val="0"/>
              <w:keepLines w:val="0"/>
              <w:pageBreakBefore w:val="0"/>
              <w:kinsoku/>
              <w:wordWrap/>
              <w:overflowPunct/>
              <w:topLinePunct w:val="0"/>
              <w:autoSpaceDE/>
              <w:autoSpaceDN/>
              <w:bidi w:val="0"/>
              <w:spacing w:line="360" w:lineRule="auto"/>
              <w:ind w:right="0" w:firstLine="480" w:firstLineChars="200"/>
              <w:textAlignment w:val="auto"/>
              <w:rPr>
                <w:rFonts w:hint="default" w:ascii="Times New Roman" w:hAnsi="Times New Roman" w:cs="Times New Roman"/>
                <w:color w:val="000000"/>
                <w:sz w:val="24"/>
                <w:lang w:eastAsia="zh-CN"/>
              </w:rPr>
            </w:pPr>
            <w:r>
              <w:rPr>
                <w:rFonts w:hint="eastAsia"/>
                <w:color w:val="000000"/>
                <w:sz w:val="24"/>
                <w:szCs w:val="24"/>
                <w:lang w:eastAsia="zh-CN"/>
              </w:rPr>
              <w:t>根据</w:t>
            </w:r>
            <w:r>
              <w:rPr>
                <w:rFonts w:hint="eastAsia"/>
                <w:color w:val="000000"/>
                <w:sz w:val="24"/>
                <w:szCs w:val="24"/>
                <w:lang w:val="en-US" w:eastAsia="zh-CN"/>
              </w:rPr>
              <w:t>平昌县</w:t>
            </w:r>
            <w:r>
              <w:rPr>
                <w:rFonts w:hint="eastAsia"/>
                <w:color w:val="000000"/>
                <w:sz w:val="24"/>
                <w:szCs w:val="24"/>
                <w:lang w:eastAsia="zh-CN"/>
              </w:rPr>
              <w:t>经济和信息化局对本项目生产工艺出具了认定说明，本项目生产工艺不属于焙烧，</w:t>
            </w:r>
            <w:r>
              <w:rPr>
                <w:rFonts w:hint="eastAsia"/>
                <w:color w:val="000000"/>
                <w:sz w:val="24"/>
                <w:szCs w:val="24"/>
                <w:lang w:val="en-US" w:eastAsia="zh-CN"/>
              </w:rPr>
              <w:t>本项目不涉及石墨化、沥青包覆工艺</w:t>
            </w:r>
            <w:r>
              <w:rPr>
                <w:rFonts w:hint="eastAsia"/>
                <w:color w:val="000000"/>
                <w:sz w:val="24"/>
                <w:szCs w:val="24"/>
                <w:lang w:eastAsia="zh-CN"/>
              </w:rPr>
              <w:t>。</w:t>
            </w:r>
            <w:r>
              <w:rPr>
                <w:rFonts w:hint="eastAsia"/>
                <w:color w:val="000000"/>
                <w:sz w:val="24"/>
              </w:rPr>
              <w:t>根据《中华人民共和国环境保护法》，《中华人民共和国环境影响评价法》及《建设项目环境保护管理条例》等法律法规的要求，本项目应进行环境影响评价。根据《建设项目环境影响评价分类管理名录》（2021年版），本项目属于其中的二十七、非金属矿物制品60石墨及其他非金属矿物制品制造309中的“其他”，应编制环境影响报告表。</w:t>
            </w:r>
          </w:p>
          <w:p w14:paraId="512E6E11">
            <w:pPr>
              <w:keepNext w:val="0"/>
              <w:keepLines w:val="0"/>
              <w:pageBreakBefore w:val="0"/>
              <w:kinsoku/>
              <w:wordWrap/>
              <w:overflowPunct/>
              <w:topLinePunct w:val="0"/>
              <w:autoSpaceDE/>
              <w:autoSpaceDN/>
              <w:bidi w:val="0"/>
              <w:adjustRightInd w:val="0"/>
              <w:snapToGrid w:val="0"/>
              <w:spacing w:line="360" w:lineRule="auto"/>
              <w:ind w:right="0" w:firstLine="562" w:firstLineChars="200"/>
              <w:jc w:val="left"/>
              <w:textAlignment w:val="auto"/>
              <w:rPr>
                <w:rFonts w:hint="default" w:ascii="Times New Roman" w:hAnsi="Times New Roman" w:cs="Times New Roman"/>
                <w:b/>
                <w:bCs/>
                <w:color w:val="000000"/>
                <w:sz w:val="28"/>
                <w:szCs w:val="28"/>
              </w:rPr>
            </w:pPr>
            <w:r>
              <w:rPr>
                <w:rFonts w:hint="eastAsia" w:ascii="Times New Roman" w:hAnsi="Times New Roman" w:cs="Times New Roman"/>
                <w:b/>
                <w:bCs/>
                <w:color w:val="000000"/>
                <w:sz w:val="28"/>
                <w:szCs w:val="28"/>
                <w:lang w:eastAsia="zh-CN"/>
              </w:rPr>
              <w:t>2.</w:t>
            </w:r>
            <w:r>
              <w:rPr>
                <w:rFonts w:hint="default" w:ascii="Times New Roman" w:hAnsi="Times New Roman" w:cs="Times New Roman"/>
                <w:b/>
                <w:bCs/>
                <w:color w:val="000000"/>
                <w:sz w:val="28"/>
                <w:szCs w:val="28"/>
              </w:rPr>
              <w:t>项目基本情况</w:t>
            </w:r>
          </w:p>
          <w:p w14:paraId="45D07E62">
            <w:pPr>
              <w:keepNext w:val="0"/>
              <w:keepLines w:val="0"/>
              <w:pageBreakBefore w:val="0"/>
              <w:kinsoku/>
              <w:wordWrap/>
              <w:overflowPunct/>
              <w:topLinePunct w:val="0"/>
              <w:autoSpaceDE/>
              <w:autoSpaceDN/>
              <w:bidi w:val="0"/>
              <w:spacing w:line="360" w:lineRule="auto"/>
              <w:ind w:right="0" w:firstLine="482" w:firstLineChars="200"/>
              <w:textAlignment w:val="auto"/>
              <w:rPr>
                <w:rFonts w:hint="eastAsia" w:ascii="Times New Roman" w:hAnsi="Times New Roman" w:cs="Times New Roman"/>
                <w:color w:val="000000"/>
                <w:sz w:val="24"/>
                <w:szCs w:val="24"/>
                <w:lang w:eastAsia="zh-CN"/>
              </w:rPr>
            </w:pPr>
            <w:r>
              <w:rPr>
                <w:rFonts w:hint="default" w:ascii="Times New Roman" w:hAnsi="Times New Roman" w:cs="Times New Roman"/>
                <w:b/>
                <w:bCs/>
                <w:color w:val="000000"/>
                <w:sz w:val="24"/>
                <w:szCs w:val="24"/>
              </w:rPr>
              <w:t>项目名称：</w:t>
            </w:r>
            <w:r>
              <w:rPr>
                <w:rFonts w:hint="eastAsia" w:ascii="Times New Roman" w:hAnsi="Times New Roman" w:cs="Times New Roman"/>
                <w:color w:val="000000"/>
                <w:sz w:val="24"/>
                <w:szCs w:val="24"/>
                <w:lang w:eastAsia="zh-CN"/>
              </w:rPr>
              <w:t>平昌县锂电池负极材料生产线技改扩能</w:t>
            </w:r>
          </w:p>
          <w:p w14:paraId="1C8A3EE9">
            <w:pPr>
              <w:keepNext w:val="0"/>
              <w:keepLines w:val="0"/>
              <w:pageBreakBefore w:val="0"/>
              <w:kinsoku/>
              <w:wordWrap/>
              <w:overflowPunct/>
              <w:topLinePunct w:val="0"/>
              <w:autoSpaceDE/>
              <w:autoSpaceDN/>
              <w:bidi w:val="0"/>
              <w:spacing w:line="360" w:lineRule="auto"/>
              <w:ind w:right="0" w:firstLine="482" w:firstLineChars="200"/>
              <w:textAlignment w:val="auto"/>
              <w:rPr>
                <w:rFonts w:hint="eastAsia" w:ascii="Times New Roman" w:hAnsi="Times New Roman" w:cs="Times New Roman"/>
                <w:color w:val="000000"/>
                <w:sz w:val="24"/>
                <w:szCs w:val="24"/>
                <w:lang w:eastAsia="zh-CN"/>
              </w:rPr>
            </w:pPr>
            <w:r>
              <w:rPr>
                <w:rFonts w:hint="default" w:ascii="Times New Roman" w:hAnsi="Times New Roman" w:cs="Times New Roman"/>
                <w:b/>
                <w:bCs/>
                <w:color w:val="000000"/>
                <w:sz w:val="24"/>
                <w:szCs w:val="24"/>
              </w:rPr>
              <w:t>建设单位</w:t>
            </w:r>
            <w:r>
              <w:rPr>
                <w:rFonts w:hint="default" w:ascii="Times New Roman" w:hAnsi="Times New Roman" w:cs="Times New Roman"/>
                <w:color w:val="000000"/>
                <w:sz w:val="24"/>
                <w:szCs w:val="24"/>
              </w:rPr>
              <w:t>：</w:t>
            </w:r>
            <w:r>
              <w:rPr>
                <w:rFonts w:hint="eastAsia" w:ascii="Times New Roman" w:hAnsi="Times New Roman" w:cs="Times New Roman"/>
                <w:color w:val="000000"/>
                <w:sz w:val="24"/>
                <w:szCs w:val="24"/>
                <w:lang w:eastAsia="zh-CN"/>
              </w:rPr>
              <w:t>巴中碳原子新材料科技有限公司</w:t>
            </w:r>
          </w:p>
          <w:p w14:paraId="40C6F0E9">
            <w:pPr>
              <w:keepNext w:val="0"/>
              <w:keepLines w:val="0"/>
              <w:pageBreakBefore w:val="0"/>
              <w:kinsoku/>
              <w:wordWrap/>
              <w:overflowPunct/>
              <w:topLinePunct w:val="0"/>
              <w:autoSpaceDE/>
              <w:autoSpaceDN/>
              <w:bidi w:val="0"/>
              <w:spacing w:line="360" w:lineRule="auto"/>
              <w:ind w:right="0" w:firstLine="482" w:firstLineChars="200"/>
              <w:textAlignment w:val="auto"/>
              <w:rPr>
                <w:rFonts w:hint="default" w:ascii="Times New Roman" w:hAnsi="Times New Roman" w:eastAsia="宋体" w:cs="Times New Roman"/>
                <w:color w:val="000000"/>
                <w:sz w:val="24"/>
                <w:szCs w:val="24"/>
                <w:lang w:eastAsia="zh-CN"/>
              </w:rPr>
            </w:pPr>
            <w:r>
              <w:rPr>
                <w:rFonts w:hint="default" w:ascii="Times New Roman" w:hAnsi="Times New Roman" w:cs="Times New Roman"/>
                <w:b/>
                <w:bCs/>
                <w:color w:val="000000"/>
                <w:sz w:val="24"/>
                <w:szCs w:val="24"/>
              </w:rPr>
              <w:t>建设性质：</w:t>
            </w:r>
            <w:r>
              <w:rPr>
                <w:rFonts w:hint="eastAsia" w:ascii="Times New Roman" w:hAnsi="Times New Roman" w:cs="Times New Roman"/>
                <w:b w:val="0"/>
                <w:bCs w:val="0"/>
                <w:color w:val="000000"/>
                <w:sz w:val="24"/>
                <w:szCs w:val="24"/>
                <w:lang w:val="en-US" w:eastAsia="zh-CN"/>
              </w:rPr>
              <w:t>改扩建</w:t>
            </w:r>
          </w:p>
          <w:p w14:paraId="00800E3E">
            <w:pPr>
              <w:keepNext w:val="0"/>
              <w:keepLines w:val="0"/>
              <w:widowControl/>
              <w:suppressLineNumbers w:val="0"/>
              <w:spacing w:line="360" w:lineRule="auto"/>
              <w:ind w:firstLine="482" w:firstLineChars="200"/>
              <w:jc w:val="left"/>
              <w:rPr>
                <w:rFonts w:hint="default" w:ascii="Times New Roman" w:hAnsi="Times New Roman" w:eastAsia="宋体" w:cs="Times New Roman"/>
                <w:color w:val="000000"/>
                <w:sz w:val="24"/>
                <w:szCs w:val="24"/>
                <w:lang w:val="en-US" w:eastAsia="zh-CN"/>
              </w:rPr>
            </w:pPr>
            <w:r>
              <w:rPr>
                <w:rFonts w:hint="default" w:ascii="Times New Roman" w:hAnsi="Times New Roman" w:cs="Times New Roman"/>
                <w:b/>
                <w:bCs/>
                <w:color w:val="000000"/>
                <w:sz w:val="24"/>
                <w:szCs w:val="24"/>
              </w:rPr>
              <w:t>建设规模及内容</w:t>
            </w:r>
            <w:r>
              <w:rPr>
                <w:rFonts w:hint="default" w:ascii="Times New Roman" w:hAnsi="Times New Roman" w:cs="Times New Roman"/>
                <w:color w:val="000000"/>
                <w:sz w:val="24"/>
                <w:szCs w:val="24"/>
              </w:rPr>
              <w:t>：</w:t>
            </w:r>
            <w:r>
              <w:rPr>
                <w:rFonts w:hint="eastAsia" w:ascii="Times New Roman" w:hAnsi="Times New Roman" w:eastAsia="宋体" w:cs="Times New Roman"/>
                <w:color w:val="000000"/>
                <w:sz w:val="24"/>
                <w:szCs w:val="24"/>
                <w:lang w:val="en-US" w:eastAsia="zh-CN"/>
              </w:rPr>
              <w:t>将现有2#车间1号辊道窑搬迁至1#车间，拆除2号辊道窑，在 2 号厂房内新增3条隧道窑，用于预碳化生产线。项目建成后全厂年产2000吨负极材料，新增年产4万吨负极粉（半成品）。负极粉为半成品，外售下游企业进一步加工。</w:t>
            </w:r>
          </w:p>
          <w:p w14:paraId="28C8B3E1">
            <w:pPr>
              <w:pStyle w:val="10"/>
              <w:keepNext w:val="0"/>
              <w:keepLines w:val="0"/>
              <w:pageBreakBefore w:val="0"/>
              <w:kinsoku/>
              <w:wordWrap/>
              <w:overflowPunct/>
              <w:topLinePunct w:val="0"/>
              <w:autoSpaceDE/>
              <w:autoSpaceDN/>
              <w:bidi w:val="0"/>
              <w:adjustRightInd/>
              <w:spacing w:before="0" w:after="0" w:line="360" w:lineRule="auto"/>
              <w:ind w:left="0" w:right="0" w:firstLine="482" w:firstLineChars="200"/>
              <w:textAlignment w:val="auto"/>
              <w:rPr>
                <w:rFonts w:hint="default" w:ascii="Times New Roman" w:hAnsi="Times New Roman" w:cs="Times New Roman"/>
                <w:b w:val="0"/>
                <w:bCs/>
                <w:color w:val="000000"/>
                <w:sz w:val="24"/>
              </w:rPr>
            </w:pPr>
            <w:r>
              <w:rPr>
                <w:rFonts w:hint="default" w:ascii="Times New Roman" w:hAnsi="Times New Roman" w:cs="Times New Roman"/>
                <w:b/>
                <w:color w:val="000000"/>
                <w:sz w:val="24"/>
              </w:rPr>
              <w:t>总投资：</w:t>
            </w:r>
            <w:r>
              <w:rPr>
                <w:rFonts w:hint="default" w:ascii="Times New Roman" w:hAnsi="Times New Roman" w:cs="Times New Roman"/>
                <w:bCs/>
                <w:color w:val="000000"/>
                <w:sz w:val="24"/>
              </w:rPr>
              <w:t>项目总投资</w:t>
            </w:r>
            <w:r>
              <w:rPr>
                <w:rFonts w:hint="eastAsia" w:ascii="Times New Roman" w:hAnsi="Times New Roman" w:cs="Times New Roman"/>
                <w:bCs/>
                <w:color w:val="000000"/>
                <w:sz w:val="24"/>
                <w:lang w:val="en-US" w:eastAsia="zh-CN"/>
              </w:rPr>
              <w:t>3000</w:t>
            </w:r>
            <w:r>
              <w:rPr>
                <w:rFonts w:hint="default" w:ascii="Times New Roman" w:hAnsi="Times New Roman" w:cs="Times New Roman"/>
                <w:bCs/>
                <w:color w:val="000000"/>
                <w:sz w:val="24"/>
              </w:rPr>
              <w:t>万元，资金来源为业主自筹</w:t>
            </w:r>
            <w:r>
              <w:rPr>
                <w:rFonts w:hint="default" w:ascii="Times New Roman" w:hAnsi="Times New Roman" w:cs="Times New Roman"/>
                <w:b w:val="0"/>
                <w:bCs/>
                <w:color w:val="000000"/>
                <w:sz w:val="24"/>
              </w:rPr>
              <w:t>，其中环保投资</w:t>
            </w:r>
            <w:r>
              <w:rPr>
                <w:rFonts w:hint="eastAsia" w:ascii="Times New Roman" w:hAnsi="Times New Roman" w:cs="Times New Roman"/>
                <w:b w:val="0"/>
                <w:bCs/>
                <w:color w:val="000000"/>
                <w:sz w:val="24"/>
                <w:lang w:val="en-US" w:eastAsia="zh-CN"/>
              </w:rPr>
              <w:t xml:space="preserve"> 239 </w:t>
            </w:r>
            <w:r>
              <w:rPr>
                <w:rFonts w:hint="default" w:ascii="Times New Roman" w:hAnsi="Times New Roman" w:cs="Times New Roman"/>
                <w:b w:val="0"/>
                <w:bCs/>
                <w:color w:val="000000"/>
                <w:sz w:val="24"/>
              </w:rPr>
              <w:t>万元，占总投资的</w:t>
            </w:r>
            <w:r>
              <w:rPr>
                <w:rFonts w:hint="eastAsia" w:ascii="Times New Roman" w:hAnsi="Times New Roman" w:cs="Times New Roman"/>
                <w:b w:val="0"/>
                <w:bCs/>
                <w:color w:val="000000"/>
                <w:sz w:val="24"/>
                <w:lang w:val="en-US" w:eastAsia="zh-CN"/>
              </w:rPr>
              <w:t>7.97</w:t>
            </w:r>
            <w:r>
              <w:rPr>
                <w:rFonts w:hint="default" w:ascii="Times New Roman" w:hAnsi="Times New Roman" w:cs="Times New Roman"/>
                <w:b w:val="0"/>
                <w:bCs/>
                <w:color w:val="000000"/>
                <w:sz w:val="24"/>
              </w:rPr>
              <w:t>%。</w:t>
            </w:r>
          </w:p>
          <w:p w14:paraId="6383D937">
            <w:pPr>
              <w:pStyle w:val="88"/>
              <w:spacing w:line="360" w:lineRule="auto"/>
              <w:ind w:firstLine="480"/>
              <w:rPr>
                <w:rFonts w:hint="default" w:ascii="Times New Roman" w:hAnsi="Times New Roman" w:cs="Times New Roman"/>
                <w:color w:val="000000"/>
                <w:sz w:val="24"/>
                <w:szCs w:val="24"/>
              </w:rPr>
            </w:pPr>
            <w:r>
              <w:rPr>
                <w:rFonts w:hint="eastAsia" w:ascii="Times New Roman" w:hAnsi="Times New Roman" w:cs="Times New Roman"/>
                <w:bCs/>
                <w:color w:val="000000"/>
                <w:sz w:val="24"/>
                <w:lang w:eastAsia="zh-CN"/>
              </w:rPr>
              <w:t>劳动定员：</w:t>
            </w:r>
            <w:r>
              <w:rPr>
                <w:rFonts w:hint="eastAsia" w:ascii="Times New Roman" w:hAnsi="Times New Roman" w:eastAsia="宋体" w:cs="Times New Roman"/>
                <w:color w:val="000000"/>
                <w:lang w:eastAsia="zh-CN"/>
              </w:rPr>
              <w:t>全厂劳动定员</w:t>
            </w:r>
            <w:r>
              <w:rPr>
                <w:rFonts w:hint="eastAsia" w:ascii="Times New Roman" w:hAnsi="Times New Roman" w:eastAsia="宋体" w:cs="Times New Roman"/>
                <w:color w:val="000000"/>
                <w:lang w:val="en-US" w:eastAsia="zh-CN"/>
              </w:rPr>
              <w:t>55人，本项目新增劳动定员16人</w:t>
            </w:r>
            <w:r>
              <w:rPr>
                <w:rFonts w:hint="default" w:ascii="Times New Roman" w:hAnsi="Times New Roman" w:cs="Times New Roman"/>
                <w:color w:val="000000"/>
                <w:sz w:val="24"/>
                <w:szCs w:val="24"/>
              </w:rPr>
              <w:t>。</w:t>
            </w:r>
          </w:p>
          <w:p w14:paraId="4B3A4D85">
            <w:pPr>
              <w:pStyle w:val="10"/>
              <w:keepNext w:val="0"/>
              <w:keepLines w:val="0"/>
              <w:pageBreakBefore w:val="0"/>
              <w:kinsoku/>
              <w:wordWrap/>
              <w:overflowPunct/>
              <w:topLinePunct w:val="0"/>
              <w:autoSpaceDE/>
              <w:autoSpaceDN/>
              <w:bidi w:val="0"/>
              <w:adjustRightInd/>
              <w:spacing w:before="0" w:after="0" w:line="360" w:lineRule="auto"/>
              <w:ind w:left="0" w:right="0" w:firstLine="480" w:firstLineChars="200"/>
              <w:textAlignment w:val="auto"/>
              <w:rPr>
                <w:rFonts w:hint="eastAsia" w:eastAsia="宋体"/>
                <w:color w:val="000000"/>
                <w:sz w:val="24"/>
                <w:szCs w:val="24"/>
                <w:lang w:val="en-US" w:eastAsia="zh-CN"/>
              </w:rPr>
            </w:pPr>
            <w:r>
              <w:rPr>
                <w:rFonts w:hint="eastAsia" w:ascii="Times New Roman" w:hAnsi="Times New Roman" w:cs="Times New Roman"/>
                <w:color w:val="000000"/>
                <w:sz w:val="24"/>
                <w:szCs w:val="24"/>
                <w:lang w:eastAsia="zh-CN"/>
              </w:rPr>
              <w:t>工作制度：年生产330天，日生产二班，每班工作12小时，轮休一周一天</w:t>
            </w:r>
            <w:r>
              <w:rPr>
                <w:rFonts w:hint="eastAsia"/>
                <w:color w:val="000000"/>
                <w:sz w:val="24"/>
                <w:szCs w:val="24"/>
                <w:lang w:val="en-US" w:eastAsia="zh-CN"/>
              </w:rPr>
              <w:t>。</w:t>
            </w:r>
          </w:p>
          <w:p w14:paraId="489EA26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color w:val="000000"/>
                <w:sz w:val="24"/>
              </w:rPr>
            </w:pPr>
            <w:r>
              <w:rPr>
                <w:rFonts w:hint="eastAsia" w:ascii="Times New Roman" w:hAnsi="Times New Roman" w:cs="Times New Roman"/>
                <w:b/>
                <w:color w:val="000000"/>
                <w:sz w:val="24"/>
                <w:lang w:eastAsia="zh-CN"/>
              </w:rPr>
              <w:t>3.</w:t>
            </w:r>
            <w:r>
              <w:rPr>
                <w:rFonts w:hint="default" w:ascii="Times New Roman" w:hAnsi="Times New Roman" w:cs="Times New Roman"/>
                <w:b/>
                <w:color w:val="000000"/>
                <w:sz w:val="24"/>
              </w:rPr>
              <w:t>产品方案</w:t>
            </w:r>
          </w:p>
          <w:p w14:paraId="4080D2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000000"/>
                <w:sz w:val="24"/>
              </w:rPr>
            </w:pPr>
            <w:r>
              <w:rPr>
                <w:rFonts w:hint="default" w:ascii="Times New Roman" w:hAnsi="Times New Roman" w:cs="Times New Roman"/>
                <w:color w:val="000000"/>
                <w:sz w:val="24"/>
              </w:rPr>
              <w:t>本项目具体产品方案见表2-</w:t>
            </w:r>
            <w:r>
              <w:rPr>
                <w:rFonts w:hint="eastAsia" w:ascii="Times New Roman" w:hAnsi="Times New Roman" w:cs="Times New Roman"/>
                <w:color w:val="000000"/>
                <w:sz w:val="24"/>
                <w:lang w:val="en-US" w:eastAsia="zh-CN"/>
              </w:rPr>
              <w:t>2</w:t>
            </w:r>
            <w:r>
              <w:rPr>
                <w:rFonts w:hint="default" w:ascii="Times New Roman" w:hAnsi="Times New Roman" w:cs="Times New Roman"/>
                <w:color w:val="000000"/>
                <w:sz w:val="24"/>
              </w:rPr>
              <w:t>。</w:t>
            </w:r>
          </w:p>
          <w:p w14:paraId="0A318F74">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本次技改前后全厂</w:t>
            </w:r>
            <w:r>
              <w:rPr>
                <w:rFonts w:hint="default" w:ascii="Times New Roman" w:hAnsi="Times New Roman" w:eastAsia="宋体" w:cs="Times New Roman"/>
                <w:b/>
                <w:bCs/>
                <w:color w:val="000000"/>
                <w:sz w:val="24"/>
                <w:lang w:val="en-US" w:eastAsia="zh-CN"/>
              </w:rPr>
              <w:t>产品方案及规模一览表</w:t>
            </w:r>
          </w:p>
          <w:tbl>
            <w:tblPr>
              <w:tblStyle w:val="31"/>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27"/>
              <w:gridCol w:w="940"/>
              <w:gridCol w:w="1709"/>
              <w:gridCol w:w="1315"/>
              <w:gridCol w:w="1577"/>
              <w:gridCol w:w="2248"/>
            </w:tblGrid>
            <w:tr w14:paraId="0BF6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3" w:hRule="exact"/>
                <w:jc w:val="center"/>
              </w:trPr>
              <w:tc>
                <w:tcPr>
                  <w:tcW w:w="627" w:type="dxa"/>
                  <w:noWrap w:val="0"/>
                  <w:vAlign w:val="center"/>
                </w:tcPr>
                <w:p w14:paraId="39FA3FD2">
                  <w:pPr>
                    <w:jc w:val="center"/>
                    <w:rPr>
                      <w:b/>
                      <w:bCs/>
                      <w:color w:val="000000"/>
                      <w:sz w:val="21"/>
                      <w:szCs w:val="21"/>
                    </w:rPr>
                  </w:pPr>
                  <w:r>
                    <w:rPr>
                      <w:b/>
                      <w:bCs/>
                      <w:color w:val="000000"/>
                      <w:sz w:val="21"/>
                      <w:szCs w:val="21"/>
                    </w:rPr>
                    <w:t>序号</w:t>
                  </w:r>
                </w:p>
              </w:tc>
              <w:tc>
                <w:tcPr>
                  <w:tcW w:w="940" w:type="dxa"/>
                  <w:noWrap w:val="0"/>
                  <w:vAlign w:val="center"/>
                </w:tcPr>
                <w:p w14:paraId="6E71716B">
                  <w:pPr>
                    <w:jc w:val="center"/>
                    <w:rPr>
                      <w:b/>
                      <w:bCs/>
                      <w:color w:val="000000"/>
                      <w:sz w:val="21"/>
                      <w:szCs w:val="21"/>
                    </w:rPr>
                  </w:pPr>
                  <w:r>
                    <w:rPr>
                      <w:b/>
                      <w:bCs/>
                      <w:color w:val="000000"/>
                      <w:sz w:val="21"/>
                      <w:szCs w:val="21"/>
                    </w:rPr>
                    <w:t>产品名称</w:t>
                  </w:r>
                </w:p>
              </w:tc>
              <w:tc>
                <w:tcPr>
                  <w:tcW w:w="1709" w:type="dxa"/>
                  <w:tcBorders>
                    <w:right w:val="single" w:color="000000" w:sz="6" w:space="0"/>
                  </w:tcBorders>
                  <w:noWrap w:val="0"/>
                  <w:vAlign w:val="center"/>
                </w:tcPr>
                <w:p w14:paraId="48931A84">
                  <w:pPr>
                    <w:jc w:val="center"/>
                    <w:rPr>
                      <w:b/>
                      <w:bCs/>
                      <w:color w:val="000000"/>
                      <w:sz w:val="21"/>
                      <w:szCs w:val="21"/>
                    </w:rPr>
                  </w:pPr>
                  <w:r>
                    <w:rPr>
                      <w:rFonts w:hint="eastAsia"/>
                      <w:b/>
                      <w:bCs/>
                      <w:color w:val="000000"/>
                      <w:sz w:val="21"/>
                      <w:szCs w:val="21"/>
                      <w:lang w:val="en-US" w:eastAsia="zh-CN"/>
                    </w:rPr>
                    <w:t>技改</w:t>
                  </w:r>
                  <w:r>
                    <w:rPr>
                      <w:b/>
                      <w:bCs/>
                      <w:color w:val="000000"/>
                      <w:sz w:val="21"/>
                      <w:szCs w:val="21"/>
                    </w:rPr>
                    <w:t>前</w:t>
                  </w:r>
                  <w:r>
                    <w:rPr>
                      <w:rFonts w:hint="eastAsia"/>
                      <w:b/>
                      <w:bCs/>
                      <w:color w:val="000000"/>
                      <w:sz w:val="21"/>
                      <w:szCs w:val="21"/>
                      <w:lang w:val="en-US" w:eastAsia="zh-CN"/>
                    </w:rPr>
                    <w:t>全厂生产能力</w:t>
                  </w:r>
                </w:p>
              </w:tc>
              <w:tc>
                <w:tcPr>
                  <w:tcW w:w="1315" w:type="dxa"/>
                  <w:tcBorders>
                    <w:left w:val="single" w:color="000000" w:sz="6" w:space="0"/>
                  </w:tcBorders>
                  <w:noWrap w:val="0"/>
                  <w:vAlign w:val="center"/>
                </w:tcPr>
                <w:p w14:paraId="2C72ACF7">
                  <w:pPr>
                    <w:jc w:val="center"/>
                    <w:rPr>
                      <w:rFonts w:hint="default" w:eastAsia="宋体"/>
                      <w:b/>
                      <w:bCs/>
                      <w:color w:val="000000"/>
                      <w:sz w:val="21"/>
                      <w:szCs w:val="21"/>
                      <w:u w:val="single"/>
                      <w:lang w:val="en-US" w:eastAsia="zh-CN"/>
                    </w:rPr>
                  </w:pPr>
                  <w:r>
                    <w:rPr>
                      <w:rFonts w:hint="eastAsia"/>
                      <w:b/>
                      <w:bCs/>
                      <w:color w:val="000000"/>
                      <w:sz w:val="21"/>
                      <w:szCs w:val="21"/>
                      <w:u w:val="single"/>
                      <w:lang w:val="en-US" w:eastAsia="zh-CN"/>
                    </w:rPr>
                    <w:t>本次技改项目</w:t>
                  </w:r>
                </w:p>
              </w:tc>
              <w:tc>
                <w:tcPr>
                  <w:tcW w:w="1577" w:type="dxa"/>
                  <w:tcBorders>
                    <w:right w:val="single" w:color="000000" w:sz="6" w:space="0"/>
                  </w:tcBorders>
                  <w:noWrap w:val="0"/>
                  <w:vAlign w:val="center"/>
                </w:tcPr>
                <w:p w14:paraId="007D2A58">
                  <w:pPr>
                    <w:jc w:val="center"/>
                    <w:rPr>
                      <w:b/>
                      <w:bCs/>
                      <w:color w:val="000000"/>
                      <w:sz w:val="21"/>
                      <w:szCs w:val="21"/>
                    </w:rPr>
                  </w:pPr>
                  <w:r>
                    <w:rPr>
                      <w:rFonts w:hint="eastAsia"/>
                      <w:b/>
                      <w:bCs/>
                      <w:color w:val="000000"/>
                      <w:sz w:val="21"/>
                      <w:szCs w:val="21"/>
                      <w:lang w:val="en-US" w:eastAsia="zh-CN"/>
                    </w:rPr>
                    <w:t>技改后全厂生产能力</w:t>
                  </w:r>
                </w:p>
              </w:tc>
              <w:tc>
                <w:tcPr>
                  <w:tcW w:w="2248" w:type="dxa"/>
                  <w:tcBorders>
                    <w:left w:val="single" w:color="000000" w:sz="6" w:space="0"/>
                    <w:right w:val="single" w:color="000000" w:sz="6" w:space="0"/>
                  </w:tcBorders>
                  <w:noWrap w:val="0"/>
                  <w:vAlign w:val="center"/>
                </w:tcPr>
                <w:p w14:paraId="504009B8">
                  <w:pPr>
                    <w:jc w:val="center"/>
                    <w:rPr>
                      <w:rFonts w:hint="default" w:ascii="Times New Roman" w:hAnsi="Times New Roman" w:eastAsia="宋体" w:cs="Times New Roman"/>
                      <w:b/>
                      <w:bCs/>
                      <w:color w:val="000000"/>
                      <w:sz w:val="21"/>
                      <w:szCs w:val="21"/>
                      <w:lang w:val="en-US" w:eastAsia="zh-CN"/>
                    </w:rPr>
                  </w:pPr>
                  <w:r>
                    <w:rPr>
                      <w:rFonts w:hint="eastAsia" w:cs="Times New Roman"/>
                      <w:b/>
                      <w:bCs/>
                      <w:color w:val="000000"/>
                      <w:sz w:val="21"/>
                      <w:szCs w:val="21"/>
                      <w:lang w:val="en-US" w:eastAsia="zh-CN"/>
                    </w:rPr>
                    <w:t>产品质量标准</w:t>
                  </w:r>
                </w:p>
              </w:tc>
            </w:tr>
            <w:tr w14:paraId="7F7C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6" w:hRule="atLeast"/>
                <w:jc w:val="center"/>
              </w:trPr>
              <w:tc>
                <w:tcPr>
                  <w:tcW w:w="627" w:type="dxa"/>
                  <w:noWrap w:val="0"/>
                  <w:vAlign w:val="center"/>
                </w:tcPr>
                <w:p w14:paraId="4997AF84">
                  <w:pPr>
                    <w:adjustRightInd w:val="0"/>
                    <w:snapToGrid w:val="0"/>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w:t>
                  </w:r>
                </w:p>
              </w:tc>
              <w:tc>
                <w:tcPr>
                  <w:tcW w:w="940" w:type="dxa"/>
                  <w:noWrap w:val="0"/>
                  <w:vAlign w:val="center"/>
                </w:tcPr>
                <w:p w14:paraId="515D2710">
                  <w:pPr>
                    <w:adjustRightInd w:val="0"/>
                    <w:snapToGrid w:val="0"/>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rPr>
                    <w:t>锂离子电池负极材料</w:t>
                  </w:r>
                </w:p>
              </w:tc>
              <w:tc>
                <w:tcPr>
                  <w:tcW w:w="1709" w:type="dxa"/>
                  <w:tcBorders>
                    <w:right w:val="single" w:color="000000" w:sz="6" w:space="0"/>
                  </w:tcBorders>
                  <w:noWrap w:val="0"/>
                  <w:vAlign w:val="center"/>
                </w:tcPr>
                <w:p w14:paraId="13332A75">
                  <w:pPr>
                    <w:adjustRightInd w:val="0"/>
                    <w:snapToGrid w:val="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4000t</w:t>
                  </w:r>
                  <w:r>
                    <w:rPr>
                      <w:rFonts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val="en-US" w:eastAsia="zh-CN"/>
                    </w:rPr>
                    <w:t>a</w:t>
                  </w:r>
                </w:p>
              </w:tc>
              <w:tc>
                <w:tcPr>
                  <w:tcW w:w="1315" w:type="dxa"/>
                  <w:tcBorders>
                    <w:left w:val="single" w:color="000000" w:sz="6" w:space="0"/>
                  </w:tcBorders>
                  <w:noWrap w:val="0"/>
                  <w:vAlign w:val="center"/>
                </w:tcPr>
                <w:p w14:paraId="12F3D640">
                  <w:pPr>
                    <w:adjustRightInd w:val="0"/>
                    <w:snapToGrid w:val="0"/>
                    <w:jc w:val="center"/>
                    <w:rPr>
                      <w:rFonts w:hint="default" w:ascii="Times New Roman" w:hAnsi="Times New Roman" w:eastAsia="宋体" w:cs="Times New Roman"/>
                      <w:b/>
                      <w:bCs/>
                      <w:color w:val="000000"/>
                      <w:sz w:val="21"/>
                      <w:szCs w:val="21"/>
                      <w:u w:val="single"/>
                      <w:lang w:val="en-US" w:eastAsia="zh-CN"/>
                    </w:rPr>
                  </w:pPr>
                  <w:r>
                    <w:rPr>
                      <w:rFonts w:hint="eastAsia" w:ascii="Times New Roman" w:hAnsi="Times New Roman" w:eastAsia="宋体" w:cs="Times New Roman"/>
                      <w:b/>
                      <w:bCs/>
                      <w:color w:val="000000"/>
                      <w:sz w:val="21"/>
                      <w:szCs w:val="21"/>
                      <w:u w:val="single"/>
                      <w:lang w:val="en-US" w:eastAsia="zh-CN"/>
                    </w:rPr>
                    <w:t>-2000</w:t>
                  </w:r>
                  <w:r>
                    <w:rPr>
                      <w:rFonts w:hint="eastAsia" w:ascii="Times New Roman" w:hAnsi="Times New Roman" w:eastAsia="宋体" w:cs="Times New Roman"/>
                      <w:color w:val="000000"/>
                      <w:sz w:val="21"/>
                      <w:szCs w:val="21"/>
                      <w:lang w:val="en-US" w:eastAsia="zh-CN"/>
                    </w:rPr>
                    <w:t>t</w:t>
                  </w:r>
                  <w:r>
                    <w:rPr>
                      <w:rFonts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val="en-US" w:eastAsia="zh-CN"/>
                    </w:rPr>
                    <w:t>a</w:t>
                  </w:r>
                </w:p>
              </w:tc>
              <w:tc>
                <w:tcPr>
                  <w:tcW w:w="1577" w:type="dxa"/>
                  <w:tcBorders>
                    <w:right w:val="single" w:color="000000" w:sz="6" w:space="0"/>
                  </w:tcBorders>
                  <w:noWrap w:val="0"/>
                  <w:vAlign w:val="center"/>
                </w:tcPr>
                <w:p w14:paraId="07292415">
                  <w:pPr>
                    <w:adjustRightInd w:val="0"/>
                    <w:snapToGrid w:val="0"/>
                    <w:jc w:val="center"/>
                    <w:rPr>
                      <w:rFonts w:hint="default" w:ascii="Times New Roman" w:hAnsi="Times New Roman" w:eastAsia="宋体" w:cs="Times New Roman"/>
                      <w:color w:val="000000"/>
                      <w:sz w:val="21"/>
                      <w:szCs w:val="21"/>
                      <w:lang w:val="en-US"/>
                    </w:rPr>
                  </w:pPr>
                  <w:r>
                    <w:rPr>
                      <w:rFonts w:hint="eastAsia" w:ascii="Times New Roman" w:hAnsi="Times New Roman" w:eastAsia="宋体" w:cs="Times New Roman"/>
                      <w:color w:val="000000"/>
                      <w:sz w:val="21"/>
                      <w:szCs w:val="21"/>
                      <w:lang w:val="en-US" w:eastAsia="zh-CN"/>
                    </w:rPr>
                    <w:t>2000t</w:t>
                  </w:r>
                  <w:r>
                    <w:rPr>
                      <w:rFonts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val="en-US" w:eastAsia="zh-CN"/>
                    </w:rPr>
                    <w:t>a</w:t>
                  </w:r>
                </w:p>
              </w:tc>
              <w:tc>
                <w:tcPr>
                  <w:tcW w:w="2248" w:type="dxa"/>
                  <w:tcBorders>
                    <w:left w:val="single" w:color="000000" w:sz="6" w:space="0"/>
                    <w:right w:val="single" w:color="000000" w:sz="6" w:space="0"/>
                  </w:tcBorders>
                  <w:noWrap w:val="0"/>
                  <w:vAlign w:val="center"/>
                </w:tcPr>
                <w:p w14:paraId="3331B9EE">
                  <w:pPr>
                    <w:adjustRightInd w:val="0"/>
                    <w:snapToGrid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rPr>
                    <w:t>《锂离子电池石墨负极材料》（GB/T24533-2009）中人造石墨类（AG）中针状焦类（NAG）Ⅰ类级别</w:t>
                  </w:r>
                </w:p>
              </w:tc>
            </w:tr>
            <w:tr w14:paraId="0928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6" w:hRule="atLeast"/>
                <w:jc w:val="center"/>
              </w:trPr>
              <w:tc>
                <w:tcPr>
                  <w:tcW w:w="627" w:type="dxa"/>
                  <w:noWrap w:val="0"/>
                  <w:vAlign w:val="center"/>
                </w:tcPr>
                <w:p w14:paraId="410A3C51">
                  <w:pPr>
                    <w:adjustRightInd w:val="0"/>
                    <w:snapToGrid w:val="0"/>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w:t>
                  </w:r>
                </w:p>
              </w:tc>
              <w:tc>
                <w:tcPr>
                  <w:tcW w:w="940" w:type="dxa"/>
                  <w:noWrap w:val="0"/>
                  <w:vAlign w:val="center"/>
                </w:tcPr>
                <w:p w14:paraId="0FC5DEF2">
                  <w:pPr>
                    <w:adjustRightInd w:val="0"/>
                    <w:snapToGrid w:val="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负极粉</w:t>
                  </w:r>
                </w:p>
              </w:tc>
              <w:tc>
                <w:tcPr>
                  <w:tcW w:w="1709" w:type="dxa"/>
                  <w:tcBorders>
                    <w:right w:val="single" w:color="000000" w:sz="6" w:space="0"/>
                  </w:tcBorders>
                  <w:noWrap w:val="0"/>
                  <w:vAlign w:val="center"/>
                </w:tcPr>
                <w:p w14:paraId="68E67D64">
                  <w:pPr>
                    <w:adjustRightInd w:val="0"/>
                    <w:snapToGrid w:val="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0</w:t>
                  </w:r>
                </w:p>
              </w:tc>
              <w:tc>
                <w:tcPr>
                  <w:tcW w:w="1315" w:type="dxa"/>
                  <w:tcBorders>
                    <w:left w:val="single" w:color="000000" w:sz="6" w:space="0"/>
                  </w:tcBorders>
                  <w:noWrap w:val="0"/>
                  <w:vAlign w:val="center"/>
                </w:tcPr>
                <w:p w14:paraId="687FE38A">
                  <w:pPr>
                    <w:adjustRightInd w:val="0"/>
                    <w:snapToGrid w:val="0"/>
                    <w:jc w:val="center"/>
                    <w:rPr>
                      <w:rFonts w:hint="default" w:ascii="Times New Roman" w:hAnsi="Times New Roman" w:eastAsia="宋体" w:cs="Times New Roman"/>
                      <w:b/>
                      <w:bCs/>
                      <w:color w:val="000000"/>
                      <w:sz w:val="21"/>
                      <w:szCs w:val="21"/>
                      <w:u w:val="single"/>
                      <w:lang w:val="en-US" w:eastAsia="zh-CN"/>
                    </w:rPr>
                  </w:pPr>
                  <w:r>
                    <w:rPr>
                      <w:rFonts w:hint="eastAsia" w:ascii="Times New Roman" w:hAnsi="Times New Roman" w:eastAsia="宋体" w:cs="Times New Roman"/>
                      <w:b/>
                      <w:bCs/>
                      <w:color w:val="000000"/>
                      <w:sz w:val="21"/>
                      <w:szCs w:val="21"/>
                      <w:u w:val="single"/>
                      <w:lang w:val="en-US" w:eastAsia="zh-CN"/>
                    </w:rPr>
                    <w:t>40000</w:t>
                  </w:r>
                  <w:r>
                    <w:rPr>
                      <w:rFonts w:hint="eastAsia" w:ascii="Times New Roman" w:hAnsi="Times New Roman" w:eastAsia="宋体" w:cs="Times New Roman"/>
                      <w:color w:val="000000"/>
                      <w:sz w:val="21"/>
                      <w:szCs w:val="21"/>
                      <w:lang w:val="en-US" w:eastAsia="zh-CN"/>
                    </w:rPr>
                    <w:t>t</w:t>
                  </w:r>
                  <w:r>
                    <w:rPr>
                      <w:rFonts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val="en-US" w:eastAsia="zh-CN"/>
                    </w:rPr>
                    <w:t>a</w:t>
                  </w:r>
                </w:p>
              </w:tc>
              <w:tc>
                <w:tcPr>
                  <w:tcW w:w="1577" w:type="dxa"/>
                  <w:tcBorders>
                    <w:right w:val="single" w:color="000000" w:sz="6" w:space="0"/>
                  </w:tcBorders>
                  <w:noWrap w:val="0"/>
                  <w:vAlign w:val="center"/>
                </w:tcPr>
                <w:p w14:paraId="72CFFCB3">
                  <w:pPr>
                    <w:adjustRightInd w:val="0"/>
                    <w:snapToGrid w:val="0"/>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b/>
                      <w:bCs/>
                      <w:color w:val="000000"/>
                      <w:sz w:val="21"/>
                      <w:szCs w:val="21"/>
                      <w:u w:val="single"/>
                      <w:lang w:val="en-US" w:eastAsia="zh-CN"/>
                    </w:rPr>
                    <w:t>40000</w:t>
                  </w:r>
                  <w:r>
                    <w:rPr>
                      <w:rFonts w:hint="eastAsia" w:ascii="Times New Roman" w:hAnsi="Times New Roman" w:eastAsia="宋体" w:cs="Times New Roman"/>
                      <w:color w:val="000000"/>
                      <w:sz w:val="21"/>
                      <w:szCs w:val="21"/>
                      <w:lang w:val="en-US" w:eastAsia="zh-CN"/>
                    </w:rPr>
                    <w:t>t</w:t>
                  </w:r>
                  <w:r>
                    <w:rPr>
                      <w:rFonts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val="en-US" w:eastAsia="zh-CN"/>
                    </w:rPr>
                    <w:t>a</w:t>
                  </w:r>
                </w:p>
              </w:tc>
              <w:tc>
                <w:tcPr>
                  <w:tcW w:w="2248" w:type="dxa"/>
                  <w:tcBorders>
                    <w:left w:val="single" w:color="000000" w:sz="6" w:space="0"/>
                    <w:right w:val="single" w:color="000000" w:sz="6" w:space="0"/>
                  </w:tcBorders>
                  <w:noWrap w:val="0"/>
                  <w:vAlign w:val="center"/>
                </w:tcPr>
                <w:p w14:paraId="15027B52">
                  <w:pPr>
                    <w:adjustRightInd w:val="0"/>
                    <w:snapToGrid w:val="0"/>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半成品，用于下游企业进一步加工</w:t>
                  </w:r>
                </w:p>
              </w:tc>
            </w:tr>
          </w:tbl>
          <w:p w14:paraId="271266F6">
            <w:pPr>
              <w:tabs>
                <w:tab w:val="center" w:pos="4200"/>
                <w:tab w:val="left" w:pos="6035"/>
              </w:tabs>
              <w:jc w:val="center"/>
              <w:rPr>
                <w:rFonts w:hint="default" w:ascii="Times New Roman" w:hAnsi="Times New Roman" w:cs="Times New Roman"/>
                <w:b/>
                <w:bCs/>
                <w:color w:val="000000"/>
                <w:sz w:val="24"/>
              </w:rPr>
            </w:pPr>
          </w:p>
          <w:p w14:paraId="23D0A87F">
            <w:pPr>
              <w:pStyle w:val="106"/>
              <w:spacing w:before="156" w:line="350" w:lineRule="auto"/>
              <w:ind w:left="110" w:right="103" w:firstLine="479"/>
              <w:rPr>
                <w:spacing w:val="-2"/>
              </w:rPr>
            </w:pPr>
            <w:r>
              <w:rPr>
                <w:spacing w:val="-1"/>
              </w:rPr>
              <w:t>本项目负极粉（中间产品）无行业质量标准，</w:t>
            </w:r>
            <w:r>
              <w:rPr>
                <w:rFonts w:hint="eastAsia"/>
                <w:spacing w:val="-1"/>
                <w:lang w:val="en-US" w:eastAsia="zh-CN"/>
              </w:rPr>
              <w:t>用于外售下游企业进行进一步加工，</w:t>
            </w:r>
            <w:r>
              <w:rPr>
                <w:spacing w:val="-1"/>
              </w:rPr>
              <w:t>本项目负极粉</w:t>
            </w:r>
            <w:r>
              <w:rPr>
                <w:spacing w:val="-2"/>
              </w:rPr>
              <w:t>成分控制如下：</w:t>
            </w:r>
          </w:p>
          <w:tbl>
            <w:tblPr>
              <w:tblStyle w:val="100"/>
              <w:tblW w:w="84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8"/>
              <w:gridCol w:w="1575"/>
              <w:gridCol w:w="2130"/>
              <w:gridCol w:w="1478"/>
              <w:gridCol w:w="1751"/>
            </w:tblGrid>
            <w:tr w14:paraId="5416F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468" w:type="dxa"/>
                  <w:tcBorders>
                    <w:top w:val="single" w:color="000000" w:sz="10" w:space="0"/>
                    <w:left w:val="nil"/>
                  </w:tcBorders>
                  <w:noWrap w:val="0"/>
                  <w:vAlign w:val="top"/>
                </w:tcPr>
                <w:p w14:paraId="4D51D816">
                  <w:pPr>
                    <w:pStyle w:val="10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b/>
                      <w:bCs/>
                      <w:spacing w:val="2"/>
                      <w:sz w:val="20"/>
                      <w:szCs w:val="20"/>
                    </w:rPr>
                    <w:t>名称</w:t>
                  </w:r>
                </w:p>
              </w:tc>
              <w:tc>
                <w:tcPr>
                  <w:tcW w:w="1575" w:type="dxa"/>
                  <w:tcBorders>
                    <w:top w:val="single" w:color="000000" w:sz="10" w:space="0"/>
                  </w:tcBorders>
                  <w:noWrap w:val="0"/>
                  <w:vAlign w:val="top"/>
                </w:tcPr>
                <w:p w14:paraId="06B9F106">
                  <w:pPr>
                    <w:pStyle w:val="10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Times New Roman" w:cs="Times New Roman"/>
                      <w:sz w:val="20"/>
                      <w:szCs w:val="20"/>
                    </w:rPr>
                  </w:pPr>
                  <w:r>
                    <w:rPr>
                      <w:rFonts w:hint="default" w:ascii="Times New Roman" w:hAnsi="Times New Roman" w:cs="Times New Roman"/>
                      <w:b/>
                      <w:bCs/>
                      <w:spacing w:val="6"/>
                      <w:sz w:val="20"/>
                      <w:szCs w:val="20"/>
                    </w:rPr>
                    <w:t>碳含量</w:t>
                  </w:r>
                  <w:r>
                    <w:rPr>
                      <w:rFonts w:hint="default" w:ascii="Times New Roman" w:hAnsi="Times New Roman" w:eastAsia="Times New Roman" w:cs="Times New Roman"/>
                      <w:b/>
                      <w:bCs/>
                      <w:spacing w:val="6"/>
                      <w:sz w:val="20"/>
                      <w:szCs w:val="20"/>
                    </w:rPr>
                    <w:t>%</w:t>
                  </w:r>
                </w:p>
              </w:tc>
              <w:tc>
                <w:tcPr>
                  <w:tcW w:w="2130" w:type="dxa"/>
                  <w:tcBorders>
                    <w:top w:val="single" w:color="000000" w:sz="10" w:space="0"/>
                  </w:tcBorders>
                  <w:noWrap w:val="0"/>
                  <w:vAlign w:val="top"/>
                </w:tcPr>
                <w:p w14:paraId="6FE1EC6C">
                  <w:pPr>
                    <w:pStyle w:val="10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Times New Roman" w:cs="Times New Roman"/>
                      <w:sz w:val="20"/>
                      <w:szCs w:val="20"/>
                    </w:rPr>
                  </w:pPr>
                  <w:r>
                    <w:rPr>
                      <w:rFonts w:hint="default" w:ascii="Times New Roman" w:hAnsi="Times New Roman" w:cs="Times New Roman"/>
                      <w:b/>
                      <w:bCs/>
                      <w:spacing w:val="6"/>
                      <w:sz w:val="20"/>
                      <w:szCs w:val="20"/>
                    </w:rPr>
                    <w:t>挥发分</w:t>
                  </w:r>
                  <w:r>
                    <w:rPr>
                      <w:rFonts w:hint="default" w:ascii="Times New Roman" w:hAnsi="Times New Roman" w:eastAsia="Times New Roman" w:cs="Times New Roman"/>
                      <w:b/>
                      <w:bCs/>
                      <w:spacing w:val="6"/>
                      <w:sz w:val="20"/>
                      <w:szCs w:val="20"/>
                    </w:rPr>
                    <w:t>%</w:t>
                  </w:r>
                </w:p>
              </w:tc>
              <w:tc>
                <w:tcPr>
                  <w:tcW w:w="1478" w:type="dxa"/>
                  <w:tcBorders>
                    <w:top w:val="single" w:color="000000" w:sz="10" w:space="0"/>
                  </w:tcBorders>
                  <w:noWrap w:val="0"/>
                  <w:vAlign w:val="top"/>
                </w:tcPr>
                <w:p w14:paraId="2D4FEA43">
                  <w:pPr>
                    <w:pStyle w:val="10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Times New Roman" w:cs="Times New Roman"/>
                      <w:sz w:val="20"/>
                      <w:szCs w:val="20"/>
                    </w:rPr>
                  </w:pPr>
                  <w:r>
                    <w:rPr>
                      <w:rFonts w:hint="default" w:ascii="Times New Roman" w:hAnsi="Times New Roman" w:cs="Times New Roman"/>
                      <w:b/>
                      <w:bCs/>
                      <w:spacing w:val="5"/>
                      <w:sz w:val="20"/>
                      <w:szCs w:val="20"/>
                    </w:rPr>
                    <w:t>灰分</w:t>
                  </w:r>
                  <w:r>
                    <w:rPr>
                      <w:rFonts w:hint="default" w:ascii="Times New Roman" w:hAnsi="Times New Roman" w:eastAsia="Times New Roman" w:cs="Times New Roman"/>
                      <w:b/>
                      <w:bCs/>
                      <w:spacing w:val="5"/>
                      <w:sz w:val="20"/>
                      <w:szCs w:val="20"/>
                    </w:rPr>
                    <w:t>%</w:t>
                  </w:r>
                </w:p>
              </w:tc>
              <w:tc>
                <w:tcPr>
                  <w:tcW w:w="1751" w:type="dxa"/>
                  <w:tcBorders>
                    <w:top w:val="single" w:color="000000" w:sz="10" w:space="0"/>
                    <w:right w:val="nil"/>
                  </w:tcBorders>
                  <w:noWrap w:val="0"/>
                  <w:vAlign w:val="top"/>
                </w:tcPr>
                <w:p w14:paraId="62117A37">
                  <w:pPr>
                    <w:pStyle w:val="10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Times New Roman" w:cs="Times New Roman"/>
                      <w:sz w:val="20"/>
                      <w:szCs w:val="20"/>
                    </w:rPr>
                  </w:pPr>
                  <w:r>
                    <w:rPr>
                      <w:rFonts w:hint="default" w:ascii="Times New Roman" w:hAnsi="Times New Roman" w:cs="Times New Roman"/>
                      <w:b/>
                      <w:bCs/>
                      <w:spacing w:val="6"/>
                      <w:sz w:val="20"/>
                      <w:szCs w:val="20"/>
                    </w:rPr>
                    <w:t>硫分</w:t>
                  </w:r>
                  <w:r>
                    <w:rPr>
                      <w:rFonts w:hint="default" w:ascii="Times New Roman" w:hAnsi="Times New Roman" w:eastAsia="Times New Roman" w:cs="Times New Roman"/>
                      <w:b/>
                      <w:bCs/>
                      <w:spacing w:val="6"/>
                      <w:sz w:val="20"/>
                      <w:szCs w:val="20"/>
                    </w:rPr>
                    <w:t>%</w:t>
                  </w:r>
                </w:p>
              </w:tc>
            </w:tr>
            <w:tr w14:paraId="3B9C1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468" w:type="dxa"/>
                  <w:tcBorders>
                    <w:left w:val="nil"/>
                    <w:bottom w:val="single" w:color="000000" w:sz="10" w:space="0"/>
                  </w:tcBorders>
                  <w:noWrap w:val="0"/>
                  <w:vAlign w:val="top"/>
                </w:tcPr>
                <w:p w14:paraId="32C2AE09">
                  <w:pPr>
                    <w:pStyle w:val="10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负极粉</w:t>
                  </w:r>
                </w:p>
              </w:tc>
              <w:tc>
                <w:tcPr>
                  <w:tcW w:w="1575" w:type="dxa"/>
                  <w:tcBorders>
                    <w:bottom w:val="single" w:color="000000" w:sz="10" w:space="0"/>
                  </w:tcBorders>
                  <w:noWrap w:val="0"/>
                  <w:vAlign w:val="top"/>
                </w:tcPr>
                <w:p w14:paraId="02E4C54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sz w:val="21"/>
                      <w:lang w:val="en-US" w:eastAsia="zh-CN"/>
                    </w:rPr>
                  </w:pPr>
                  <w:r>
                    <w:rPr>
                      <w:rFonts w:hint="default" w:ascii="Times New Roman" w:hAnsi="Times New Roman" w:cs="Times New Roman"/>
                      <w:sz w:val="21"/>
                      <w:lang w:val="en-US" w:eastAsia="zh-CN"/>
                    </w:rPr>
                    <w:t>≥98.5</w:t>
                  </w:r>
                </w:p>
              </w:tc>
              <w:tc>
                <w:tcPr>
                  <w:tcW w:w="2130" w:type="dxa"/>
                  <w:tcBorders>
                    <w:bottom w:val="single" w:color="000000" w:sz="10" w:space="0"/>
                  </w:tcBorders>
                  <w:noWrap w:val="0"/>
                  <w:vAlign w:val="top"/>
                </w:tcPr>
                <w:p w14:paraId="3F3350E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sz w:val="21"/>
                      <w:lang w:val="en-US" w:eastAsia="zh-CN"/>
                    </w:rPr>
                  </w:pPr>
                  <w:r>
                    <w:rPr>
                      <w:rFonts w:hint="default" w:ascii="Times New Roman" w:hAnsi="Times New Roman" w:cs="Times New Roman"/>
                      <w:sz w:val="21"/>
                      <w:lang w:val="en-US" w:eastAsia="zh-CN"/>
                    </w:rPr>
                    <w:t>≤0.25</w:t>
                  </w:r>
                </w:p>
              </w:tc>
              <w:tc>
                <w:tcPr>
                  <w:tcW w:w="1478" w:type="dxa"/>
                  <w:tcBorders>
                    <w:bottom w:val="single" w:color="000000" w:sz="10" w:space="0"/>
                  </w:tcBorders>
                  <w:noWrap w:val="0"/>
                  <w:vAlign w:val="top"/>
                </w:tcPr>
                <w:p w14:paraId="0E36C1E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z w:val="21"/>
                    </w:rPr>
                  </w:pPr>
                  <w:r>
                    <w:rPr>
                      <w:rFonts w:hint="default" w:ascii="Times New Roman" w:hAnsi="Times New Roman" w:cs="Times New Roman"/>
                      <w:sz w:val="21"/>
                      <w:lang w:val="en-US" w:eastAsia="zh-CN"/>
                    </w:rPr>
                    <w:t>≤0.2</w:t>
                  </w:r>
                </w:p>
              </w:tc>
              <w:tc>
                <w:tcPr>
                  <w:tcW w:w="1751" w:type="dxa"/>
                  <w:tcBorders>
                    <w:bottom w:val="single" w:color="000000" w:sz="10" w:space="0"/>
                    <w:right w:val="nil"/>
                  </w:tcBorders>
                  <w:noWrap w:val="0"/>
                  <w:vAlign w:val="top"/>
                </w:tcPr>
                <w:p w14:paraId="5500F78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z w:val="21"/>
                    </w:rPr>
                  </w:pPr>
                  <w:r>
                    <w:rPr>
                      <w:rFonts w:hint="default" w:ascii="Times New Roman" w:hAnsi="Times New Roman" w:cs="Times New Roman"/>
                      <w:sz w:val="21"/>
                      <w:lang w:val="en-US" w:eastAsia="zh-CN"/>
                    </w:rPr>
                    <w:t>≤0.5</w:t>
                  </w:r>
                </w:p>
              </w:tc>
            </w:tr>
          </w:tbl>
          <w:p w14:paraId="51407711">
            <w:pPr>
              <w:tabs>
                <w:tab w:val="center" w:pos="4200"/>
                <w:tab w:val="left" w:pos="6035"/>
              </w:tabs>
              <w:jc w:val="center"/>
              <w:rPr>
                <w:rFonts w:hint="default" w:ascii="Times New Roman" w:hAnsi="Times New Roman" w:cs="Times New Roman"/>
                <w:b/>
                <w:bCs/>
                <w:color w:val="000000"/>
                <w:sz w:val="24"/>
              </w:rPr>
            </w:pPr>
          </w:p>
          <w:p w14:paraId="3CCB6351">
            <w:pPr>
              <w:pStyle w:val="10"/>
              <w:keepNext w:val="0"/>
              <w:keepLines w:val="0"/>
              <w:pageBreakBefore w:val="0"/>
              <w:widowControl/>
              <w:kinsoku/>
              <w:wordWrap/>
              <w:overflowPunct/>
              <w:topLinePunct w:val="0"/>
              <w:autoSpaceDE/>
              <w:autoSpaceDN/>
              <w:bidi w:val="0"/>
              <w:adjustRightInd/>
              <w:snapToGrid w:val="0"/>
              <w:spacing w:before="0" w:after="0" w:line="360" w:lineRule="auto"/>
              <w:ind w:right="0" w:firstLine="482" w:firstLineChars="200"/>
              <w:textAlignment w:val="auto"/>
              <w:rPr>
                <w:rFonts w:hint="default" w:ascii="Times New Roman" w:hAnsi="Times New Roman" w:cs="Times New Roman"/>
                <w:b/>
                <w:bCs/>
                <w:color w:val="000000"/>
                <w:sz w:val="24"/>
                <w:szCs w:val="24"/>
              </w:rPr>
            </w:pPr>
            <w:r>
              <w:rPr>
                <w:rFonts w:hint="eastAsia" w:ascii="Times New Roman" w:hAnsi="Times New Roman" w:cs="Times New Roman"/>
                <w:b/>
                <w:bCs/>
                <w:color w:val="000000"/>
                <w:sz w:val="24"/>
                <w:szCs w:val="24"/>
                <w:lang w:eastAsia="zh-CN"/>
              </w:rPr>
              <w:t>4.</w:t>
            </w:r>
            <w:r>
              <w:rPr>
                <w:rFonts w:hint="default" w:ascii="Times New Roman" w:hAnsi="Times New Roman" w:cs="Times New Roman"/>
                <w:b/>
                <w:bCs/>
                <w:color w:val="000000"/>
                <w:sz w:val="24"/>
                <w:szCs w:val="24"/>
              </w:rPr>
              <w:t>项目组成及主要环境问题</w:t>
            </w:r>
          </w:p>
          <w:p w14:paraId="38F1510F">
            <w:pPr>
              <w:pStyle w:val="21"/>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ascii="Times New Roman" w:hAnsi="Times New Roman" w:eastAsia="宋体" w:cs="Times New Roman"/>
                <w:b/>
                <w:bCs/>
                <w:color w:val="000000"/>
              </w:rPr>
            </w:pPr>
            <w:r>
              <w:rPr>
                <w:rFonts w:hint="default" w:ascii="Times New Roman" w:hAnsi="Times New Roman" w:eastAsia="宋体" w:cs="Times New Roman"/>
                <w:color w:val="000000"/>
              </w:rPr>
              <w:t>本项目的主要建设内容、项目组成及主要环境问题见表2-</w:t>
            </w:r>
            <w:r>
              <w:rPr>
                <w:rFonts w:hint="eastAsia" w:ascii="Times New Roman" w:hAnsi="Times New Roman" w:eastAsia="宋体" w:cs="Times New Roman"/>
                <w:color w:val="000000"/>
                <w:lang w:val="en-US" w:eastAsia="zh-CN"/>
              </w:rPr>
              <w:t>3</w:t>
            </w:r>
            <w:r>
              <w:rPr>
                <w:rFonts w:hint="default" w:ascii="Times New Roman" w:hAnsi="Times New Roman" w:eastAsia="宋体" w:cs="Times New Roman"/>
                <w:color w:val="000000"/>
              </w:rPr>
              <w:t>。</w:t>
            </w:r>
          </w:p>
          <w:p w14:paraId="1B5DC8A3">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auto"/>
              <w:ind w:right="0" w:rightChars="0" w:firstLine="560" w:firstLineChars="200"/>
              <w:jc w:val="both"/>
              <w:textAlignment w:val="auto"/>
              <w:rPr>
                <w:rFonts w:hint="default" w:hAnsi="Times New Roman" w:eastAsia="宋体" w:cs="Times New Roman"/>
                <w:color w:val="000000"/>
                <w:lang w:val="en-US" w:eastAsia="zh-CN"/>
              </w:rPr>
            </w:pPr>
          </w:p>
        </w:tc>
      </w:tr>
    </w:tbl>
    <w:p w14:paraId="6587CFC1">
      <w:pPr>
        <w:pStyle w:val="27"/>
        <w:numPr>
          <w:ilvl w:val="0"/>
          <w:numId w:val="0"/>
        </w:numPr>
        <w:jc w:val="both"/>
        <w:outlineLvl w:val="0"/>
        <w:rPr>
          <w:rFonts w:hint="eastAsia" w:ascii="宋体" w:hAnsi="宋体" w:eastAsia="宋体" w:cs="宋体"/>
          <w:snapToGrid w:val="0"/>
          <w:sz w:val="30"/>
          <w:szCs w:val="30"/>
          <w:lang w:eastAsia="zh-CN"/>
        </w:rPr>
        <w:sectPr>
          <w:pgSz w:w="11905" w:h="16838"/>
          <w:pgMar w:top="1644" w:right="1531" w:bottom="1644" w:left="1531" w:header="851" w:footer="1077" w:gutter="0"/>
          <w:pgNumType w:fmt="decimal"/>
          <w:cols w:space="720" w:num="1"/>
          <w:rtlGutter w:val="0"/>
          <w:docGrid w:linePitch="312" w:charSpace="0"/>
        </w:sectPr>
      </w:pPr>
    </w:p>
    <w:tbl>
      <w:tblPr>
        <w:tblStyle w:val="31"/>
        <w:tblW w:w="133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3"/>
        <w:gridCol w:w="12897"/>
      </w:tblGrid>
      <w:tr w14:paraId="55D95E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29" w:hRule="atLeast"/>
          <w:jc w:val="center"/>
        </w:trPr>
        <w:tc>
          <w:tcPr>
            <w:tcW w:w="473" w:type="dxa"/>
            <w:noWrap w:val="0"/>
            <w:vAlign w:val="center"/>
          </w:tcPr>
          <w:p w14:paraId="6A8FA82A">
            <w:pPr>
              <w:pStyle w:val="27"/>
              <w:adjustRightInd w:val="0"/>
              <w:snapToGrid w:val="0"/>
              <w:spacing w:before="0" w:beforeAutospacing="0" w:after="0" w:afterAutospacing="0"/>
              <w:jc w:val="center"/>
              <w:rPr>
                <w:rFonts w:hint="default" w:ascii="Times New Roman" w:hAnsi="Times New Roman" w:eastAsia="宋体" w:cs="Times New Roman"/>
                <w:color w:val="000000"/>
                <w:szCs w:val="24"/>
                <w:lang w:val="en-US" w:eastAsia="zh-CN"/>
              </w:rPr>
            </w:pPr>
            <w:r>
              <w:rPr>
                <w:rFonts w:hint="eastAsia" w:ascii="Times New Roman" w:hAnsi="Times New Roman" w:cs="Times New Roman"/>
                <w:color w:val="000000"/>
                <w:szCs w:val="24"/>
                <w:lang w:val="en-US" w:eastAsia="zh-CN"/>
              </w:rPr>
              <w:t>建设内容</w:t>
            </w:r>
          </w:p>
        </w:tc>
        <w:tc>
          <w:tcPr>
            <w:tcW w:w="12897" w:type="dxa"/>
            <w:noWrap w:val="0"/>
            <w:vAlign w:val="top"/>
          </w:tcPr>
          <w:p w14:paraId="40EA82EC">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default" w:ascii="Times New Roman" w:hAnsi="Times New Roman" w:eastAsia="宋体" w:cs="Times New Roman"/>
                <w:b/>
                <w:bCs/>
                <w:color w:val="FF0000"/>
                <w:sz w:val="24"/>
                <w:lang w:val="en-US" w:eastAsia="zh-CN"/>
              </w:rPr>
              <w:t xml:space="preserve">  </w:t>
            </w:r>
            <w:r>
              <w:rPr>
                <w:rFonts w:hint="default" w:ascii="Times New Roman" w:hAnsi="Times New Roman" w:eastAsia="宋体" w:cs="Times New Roman"/>
                <w:b/>
                <w:bCs/>
                <w:color w:val="000000"/>
                <w:sz w:val="24"/>
                <w:lang w:val="en-US" w:eastAsia="zh-CN"/>
              </w:rPr>
              <w:t>项目组成及主要环境问题</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857"/>
              <w:gridCol w:w="731"/>
              <w:gridCol w:w="3266"/>
              <w:gridCol w:w="3364"/>
              <w:gridCol w:w="1260"/>
              <w:gridCol w:w="1155"/>
              <w:gridCol w:w="1012"/>
            </w:tblGrid>
            <w:tr w14:paraId="3C36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restart"/>
                  <w:noWrap w:val="0"/>
                  <w:vAlign w:val="center"/>
                </w:tcPr>
                <w:p w14:paraId="4D98DF52">
                  <w:pPr>
                    <w:pStyle w:val="94"/>
                    <w:keepNext w:val="0"/>
                    <w:keepLines w:val="0"/>
                    <w:pageBreakBefore w:val="0"/>
                    <w:widowControl w:val="0"/>
                    <w:kinsoku/>
                    <w:wordWrap/>
                    <w:overflowPunct/>
                    <w:topLinePunct w:val="0"/>
                    <w:autoSpaceDE/>
                    <w:autoSpaceDN/>
                    <w:bidi w:val="0"/>
                    <w:ind w:firstLine="0" w:firstLineChars="0"/>
                    <w:textAlignment w:val="auto"/>
                    <w:rPr>
                      <w:b/>
                      <w:bCs/>
                      <w:color w:val="000000"/>
                      <w:szCs w:val="21"/>
                    </w:rPr>
                  </w:pPr>
                  <w:r>
                    <w:rPr>
                      <w:b/>
                      <w:bCs/>
                      <w:color w:val="000000"/>
                      <w:szCs w:val="21"/>
                    </w:rPr>
                    <w:t>工程类别</w:t>
                  </w:r>
                </w:p>
              </w:tc>
              <w:tc>
                <w:tcPr>
                  <w:tcW w:w="857" w:type="dxa"/>
                  <w:vMerge w:val="restart"/>
                  <w:noWrap w:val="0"/>
                  <w:vAlign w:val="center"/>
                </w:tcPr>
                <w:p w14:paraId="664DE242">
                  <w:pPr>
                    <w:pStyle w:val="94"/>
                    <w:keepNext w:val="0"/>
                    <w:keepLines w:val="0"/>
                    <w:pageBreakBefore w:val="0"/>
                    <w:widowControl w:val="0"/>
                    <w:kinsoku/>
                    <w:wordWrap/>
                    <w:overflowPunct/>
                    <w:topLinePunct w:val="0"/>
                    <w:autoSpaceDE/>
                    <w:autoSpaceDN/>
                    <w:bidi w:val="0"/>
                    <w:ind w:firstLine="0" w:firstLineChars="0"/>
                    <w:textAlignment w:val="auto"/>
                    <w:rPr>
                      <w:b/>
                      <w:bCs/>
                      <w:color w:val="000000"/>
                      <w:szCs w:val="21"/>
                    </w:rPr>
                  </w:pPr>
                  <w:r>
                    <w:rPr>
                      <w:b/>
                      <w:bCs/>
                      <w:color w:val="000000"/>
                      <w:szCs w:val="21"/>
                    </w:rPr>
                    <w:t>项目名称</w:t>
                  </w:r>
                </w:p>
              </w:tc>
              <w:tc>
                <w:tcPr>
                  <w:tcW w:w="3997" w:type="dxa"/>
                  <w:gridSpan w:val="2"/>
                  <w:vMerge w:val="restart"/>
                  <w:noWrap w:val="0"/>
                  <w:vAlign w:val="center"/>
                </w:tcPr>
                <w:p w14:paraId="27056598">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b/>
                      <w:bCs/>
                      <w:color w:val="000000"/>
                      <w:szCs w:val="21"/>
                      <w:lang w:val="en-US" w:eastAsia="zh-CN"/>
                    </w:rPr>
                  </w:pPr>
                  <w:r>
                    <w:rPr>
                      <w:rFonts w:hint="eastAsia"/>
                      <w:b/>
                      <w:bCs/>
                      <w:color w:val="000000"/>
                      <w:szCs w:val="21"/>
                      <w:lang w:val="en-US" w:eastAsia="zh-CN"/>
                    </w:rPr>
                    <w:t>厂区已建</w:t>
                  </w:r>
                </w:p>
              </w:tc>
              <w:tc>
                <w:tcPr>
                  <w:tcW w:w="3364" w:type="dxa"/>
                  <w:vMerge w:val="restart"/>
                  <w:noWrap w:val="0"/>
                  <w:vAlign w:val="center"/>
                </w:tcPr>
                <w:p w14:paraId="6D499416">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b/>
                      <w:bCs/>
                      <w:color w:val="000000"/>
                      <w:szCs w:val="21"/>
                      <w:lang w:val="en-US" w:eastAsia="zh-CN"/>
                    </w:rPr>
                  </w:pPr>
                  <w:r>
                    <w:rPr>
                      <w:rFonts w:hint="eastAsia"/>
                      <w:b/>
                      <w:bCs/>
                      <w:color w:val="000000"/>
                      <w:szCs w:val="21"/>
                      <w:lang w:val="en-US" w:eastAsia="zh-CN"/>
                    </w:rPr>
                    <w:t>本项目拟建</w:t>
                  </w:r>
                </w:p>
              </w:tc>
              <w:tc>
                <w:tcPr>
                  <w:tcW w:w="2415" w:type="dxa"/>
                  <w:gridSpan w:val="2"/>
                  <w:noWrap w:val="0"/>
                  <w:vAlign w:val="center"/>
                </w:tcPr>
                <w:p w14:paraId="156BC2B6">
                  <w:pPr>
                    <w:pStyle w:val="94"/>
                    <w:keepNext w:val="0"/>
                    <w:keepLines w:val="0"/>
                    <w:pageBreakBefore w:val="0"/>
                    <w:widowControl w:val="0"/>
                    <w:kinsoku/>
                    <w:wordWrap/>
                    <w:overflowPunct/>
                    <w:topLinePunct w:val="0"/>
                    <w:autoSpaceDE/>
                    <w:autoSpaceDN/>
                    <w:bidi w:val="0"/>
                    <w:ind w:firstLine="0" w:firstLineChars="0"/>
                    <w:textAlignment w:val="auto"/>
                    <w:rPr>
                      <w:b/>
                      <w:bCs/>
                      <w:color w:val="000000"/>
                      <w:szCs w:val="21"/>
                    </w:rPr>
                  </w:pPr>
                  <w:r>
                    <w:rPr>
                      <w:b/>
                      <w:bCs/>
                      <w:color w:val="000000"/>
                      <w:szCs w:val="21"/>
                    </w:rPr>
                    <w:t>环境问题</w:t>
                  </w:r>
                </w:p>
              </w:tc>
              <w:tc>
                <w:tcPr>
                  <w:tcW w:w="1012" w:type="dxa"/>
                  <w:vMerge w:val="restart"/>
                  <w:noWrap w:val="0"/>
                  <w:vAlign w:val="center"/>
                </w:tcPr>
                <w:p w14:paraId="772FF78A">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b/>
                      <w:bCs/>
                      <w:color w:val="000000"/>
                      <w:szCs w:val="21"/>
                      <w:lang w:eastAsia="zh-CN"/>
                    </w:rPr>
                  </w:pPr>
                  <w:r>
                    <w:rPr>
                      <w:rFonts w:hint="eastAsia"/>
                      <w:b/>
                      <w:bCs/>
                      <w:color w:val="000000"/>
                      <w:szCs w:val="21"/>
                      <w:lang w:eastAsia="zh-CN"/>
                    </w:rPr>
                    <w:t>备注</w:t>
                  </w:r>
                </w:p>
              </w:tc>
            </w:tr>
            <w:tr w14:paraId="1287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125D2BA5">
                  <w:pPr>
                    <w:pStyle w:val="94"/>
                    <w:keepNext w:val="0"/>
                    <w:keepLines w:val="0"/>
                    <w:pageBreakBefore w:val="0"/>
                    <w:widowControl w:val="0"/>
                    <w:kinsoku/>
                    <w:wordWrap/>
                    <w:overflowPunct/>
                    <w:topLinePunct w:val="0"/>
                    <w:autoSpaceDE/>
                    <w:autoSpaceDN/>
                    <w:bidi w:val="0"/>
                    <w:ind w:firstLine="0" w:firstLineChars="0"/>
                    <w:textAlignment w:val="auto"/>
                    <w:rPr>
                      <w:b/>
                      <w:bCs/>
                      <w:color w:val="FF0000"/>
                      <w:szCs w:val="21"/>
                    </w:rPr>
                  </w:pPr>
                </w:p>
              </w:tc>
              <w:tc>
                <w:tcPr>
                  <w:tcW w:w="857" w:type="dxa"/>
                  <w:vMerge w:val="continue"/>
                  <w:noWrap w:val="0"/>
                  <w:vAlign w:val="center"/>
                </w:tcPr>
                <w:p w14:paraId="741A4622">
                  <w:pPr>
                    <w:pStyle w:val="94"/>
                    <w:keepNext w:val="0"/>
                    <w:keepLines w:val="0"/>
                    <w:pageBreakBefore w:val="0"/>
                    <w:widowControl w:val="0"/>
                    <w:kinsoku/>
                    <w:wordWrap/>
                    <w:overflowPunct/>
                    <w:topLinePunct w:val="0"/>
                    <w:autoSpaceDE/>
                    <w:autoSpaceDN/>
                    <w:bidi w:val="0"/>
                    <w:ind w:firstLine="0" w:firstLineChars="0"/>
                    <w:textAlignment w:val="auto"/>
                    <w:rPr>
                      <w:b/>
                      <w:bCs/>
                      <w:color w:val="FF0000"/>
                      <w:szCs w:val="21"/>
                    </w:rPr>
                  </w:pPr>
                </w:p>
              </w:tc>
              <w:tc>
                <w:tcPr>
                  <w:tcW w:w="3997" w:type="dxa"/>
                  <w:gridSpan w:val="2"/>
                  <w:vMerge w:val="continue"/>
                  <w:noWrap w:val="0"/>
                  <w:vAlign w:val="center"/>
                </w:tcPr>
                <w:p w14:paraId="69430DED">
                  <w:pPr>
                    <w:pStyle w:val="94"/>
                    <w:keepNext w:val="0"/>
                    <w:keepLines w:val="0"/>
                    <w:pageBreakBefore w:val="0"/>
                    <w:widowControl w:val="0"/>
                    <w:kinsoku/>
                    <w:wordWrap/>
                    <w:overflowPunct/>
                    <w:topLinePunct w:val="0"/>
                    <w:autoSpaceDE/>
                    <w:autoSpaceDN/>
                    <w:bidi w:val="0"/>
                    <w:ind w:firstLine="0" w:firstLineChars="0"/>
                    <w:textAlignment w:val="auto"/>
                    <w:rPr>
                      <w:b/>
                      <w:bCs/>
                      <w:color w:val="FF0000"/>
                      <w:szCs w:val="21"/>
                    </w:rPr>
                  </w:pPr>
                </w:p>
              </w:tc>
              <w:tc>
                <w:tcPr>
                  <w:tcW w:w="3364" w:type="dxa"/>
                  <w:vMerge w:val="continue"/>
                  <w:noWrap w:val="0"/>
                  <w:vAlign w:val="center"/>
                </w:tcPr>
                <w:p w14:paraId="15924525">
                  <w:pPr>
                    <w:pStyle w:val="94"/>
                    <w:keepNext w:val="0"/>
                    <w:keepLines w:val="0"/>
                    <w:pageBreakBefore w:val="0"/>
                    <w:widowControl w:val="0"/>
                    <w:kinsoku/>
                    <w:wordWrap/>
                    <w:overflowPunct/>
                    <w:topLinePunct w:val="0"/>
                    <w:autoSpaceDE/>
                    <w:autoSpaceDN/>
                    <w:bidi w:val="0"/>
                    <w:ind w:firstLine="0" w:firstLineChars="0"/>
                    <w:textAlignment w:val="auto"/>
                    <w:rPr>
                      <w:b/>
                      <w:bCs/>
                      <w:color w:val="FF0000"/>
                      <w:szCs w:val="21"/>
                    </w:rPr>
                  </w:pPr>
                </w:p>
              </w:tc>
              <w:tc>
                <w:tcPr>
                  <w:tcW w:w="1260" w:type="dxa"/>
                  <w:noWrap w:val="0"/>
                  <w:vAlign w:val="center"/>
                </w:tcPr>
                <w:p w14:paraId="7D72989E">
                  <w:pPr>
                    <w:keepNext w:val="0"/>
                    <w:keepLines w:val="0"/>
                    <w:pageBreakBefore w:val="0"/>
                    <w:widowControl w:val="0"/>
                    <w:kinsoku/>
                    <w:wordWrap/>
                    <w:overflowPunct/>
                    <w:topLinePunct w:val="0"/>
                    <w:autoSpaceDE/>
                    <w:autoSpaceDN/>
                    <w:bidi w:val="0"/>
                    <w:jc w:val="center"/>
                    <w:textAlignment w:val="auto"/>
                    <w:rPr>
                      <w:b/>
                      <w:bCs/>
                      <w:color w:val="000000"/>
                      <w:szCs w:val="21"/>
                    </w:rPr>
                  </w:pPr>
                  <w:r>
                    <w:rPr>
                      <w:b/>
                      <w:bCs/>
                      <w:color w:val="000000"/>
                      <w:sz w:val="21"/>
                      <w:szCs w:val="21"/>
                    </w:rPr>
                    <w:t>施工期</w:t>
                  </w:r>
                </w:p>
              </w:tc>
              <w:tc>
                <w:tcPr>
                  <w:tcW w:w="1155" w:type="dxa"/>
                  <w:noWrap w:val="0"/>
                  <w:vAlign w:val="center"/>
                </w:tcPr>
                <w:p w14:paraId="0D351C0E">
                  <w:pPr>
                    <w:keepNext w:val="0"/>
                    <w:keepLines w:val="0"/>
                    <w:pageBreakBefore w:val="0"/>
                    <w:widowControl w:val="0"/>
                    <w:kinsoku/>
                    <w:wordWrap/>
                    <w:overflowPunct/>
                    <w:topLinePunct w:val="0"/>
                    <w:autoSpaceDE/>
                    <w:autoSpaceDN/>
                    <w:bidi w:val="0"/>
                    <w:jc w:val="center"/>
                    <w:textAlignment w:val="auto"/>
                    <w:rPr>
                      <w:b/>
                      <w:bCs/>
                      <w:color w:val="000000"/>
                      <w:szCs w:val="21"/>
                    </w:rPr>
                  </w:pPr>
                  <w:r>
                    <w:rPr>
                      <w:b/>
                      <w:bCs/>
                      <w:color w:val="000000"/>
                      <w:sz w:val="21"/>
                      <w:szCs w:val="21"/>
                    </w:rPr>
                    <w:t>运行期</w:t>
                  </w:r>
                </w:p>
              </w:tc>
              <w:tc>
                <w:tcPr>
                  <w:tcW w:w="1012" w:type="dxa"/>
                  <w:vMerge w:val="continue"/>
                  <w:noWrap w:val="0"/>
                  <w:vAlign w:val="center"/>
                </w:tcPr>
                <w:p w14:paraId="4C33969F">
                  <w:pPr>
                    <w:pStyle w:val="94"/>
                    <w:keepNext w:val="0"/>
                    <w:keepLines w:val="0"/>
                    <w:pageBreakBefore w:val="0"/>
                    <w:widowControl w:val="0"/>
                    <w:kinsoku/>
                    <w:wordWrap/>
                    <w:overflowPunct/>
                    <w:topLinePunct w:val="0"/>
                    <w:autoSpaceDE/>
                    <w:autoSpaceDN/>
                    <w:bidi w:val="0"/>
                    <w:ind w:firstLine="0" w:firstLineChars="0"/>
                    <w:textAlignment w:val="auto"/>
                    <w:rPr>
                      <w:b/>
                      <w:bCs/>
                      <w:color w:val="FF0000"/>
                      <w:szCs w:val="21"/>
                    </w:rPr>
                  </w:pPr>
                </w:p>
              </w:tc>
            </w:tr>
            <w:tr w14:paraId="34FE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696" w:type="dxa"/>
                  <w:vMerge w:val="restart"/>
                  <w:noWrap w:val="0"/>
                  <w:vAlign w:val="center"/>
                </w:tcPr>
                <w:p w14:paraId="0C1FA4C5">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主体工程</w:t>
                  </w:r>
                </w:p>
              </w:tc>
              <w:tc>
                <w:tcPr>
                  <w:tcW w:w="857" w:type="dxa"/>
                  <w:noWrap w:val="0"/>
                  <w:vAlign w:val="center"/>
                </w:tcPr>
                <w:p w14:paraId="2C782D09">
                  <w:pPr>
                    <w:pStyle w:val="94"/>
                    <w:keepNext w:val="0"/>
                    <w:keepLines w:val="0"/>
                    <w:pageBreakBefore w:val="0"/>
                    <w:widowControl w:val="0"/>
                    <w:kinsoku/>
                    <w:wordWrap/>
                    <w:overflowPunct/>
                    <w:topLinePunct w:val="0"/>
                    <w:autoSpaceDE/>
                    <w:autoSpaceDN/>
                    <w:bidi w:val="0"/>
                    <w:adjustRightInd w:val="0"/>
                    <w:snapToGrid w:val="0"/>
                    <w:ind w:left="-42" w:leftChars="-20" w:right="-42" w:rightChars="-20" w:firstLine="0" w:firstLineChars="0"/>
                    <w:textAlignment w:val="auto"/>
                    <w:rPr>
                      <w:rFonts w:hint="eastAsia" w:eastAsia="宋体"/>
                      <w:bCs/>
                      <w:color w:val="000000"/>
                      <w:kern w:val="0"/>
                      <w:sz w:val="21"/>
                      <w:szCs w:val="21"/>
                      <w:lang w:val="en-US" w:eastAsia="zh-CN" w:bidi="ar-SA"/>
                    </w:rPr>
                  </w:pPr>
                  <w:r>
                    <w:rPr>
                      <w:rFonts w:hint="eastAsia"/>
                      <w:bCs/>
                      <w:color w:val="000000"/>
                      <w:szCs w:val="21"/>
                      <w:lang w:val="en-US" w:eastAsia="zh-CN"/>
                    </w:rPr>
                    <w:t>1#生产厂房</w:t>
                  </w:r>
                </w:p>
              </w:tc>
              <w:tc>
                <w:tcPr>
                  <w:tcW w:w="3997" w:type="dxa"/>
                  <w:gridSpan w:val="2"/>
                  <w:noWrap w:val="0"/>
                  <w:vAlign w:val="center"/>
                </w:tcPr>
                <w:p w14:paraId="4FDB7E3E">
                  <w:pPr>
                    <w:pStyle w:val="95"/>
                    <w:spacing w:line="240" w:lineRule="auto"/>
                    <w:ind w:firstLine="0" w:firstLineChars="0"/>
                    <w:jc w:val="center"/>
                    <w:rPr>
                      <w:rFonts w:hint="default" w:eastAsia="宋体"/>
                      <w:color w:val="000000"/>
                      <w:kern w:val="2"/>
                      <w:sz w:val="21"/>
                      <w:szCs w:val="21"/>
                      <w:lang w:val="en-US" w:eastAsia="zh-CN" w:bidi="ar-SA"/>
                    </w:rPr>
                  </w:pPr>
                  <w:r>
                    <w:rPr>
                      <w:color w:val="000000"/>
                      <w:szCs w:val="21"/>
                    </w:rPr>
                    <w:t>1F，位于厂区</w:t>
                  </w:r>
                  <w:r>
                    <w:rPr>
                      <w:rFonts w:hint="eastAsia"/>
                      <w:color w:val="000000"/>
                      <w:szCs w:val="21"/>
                    </w:rPr>
                    <w:t>中部</w:t>
                  </w:r>
                  <w:r>
                    <w:rPr>
                      <w:color w:val="000000"/>
                      <w:szCs w:val="21"/>
                    </w:rPr>
                    <w:t>，进场大门旁</w:t>
                  </w:r>
                  <w:r>
                    <w:rPr>
                      <w:rFonts w:hint="eastAsia"/>
                      <w:color w:val="000000"/>
                      <w:szCs w:val="21"/>
                    </w:rPr>
                    <w:t>，</w:t>
                  </w:r>
                  <w:r>
                    <w:rPr>
                      <w:color w:val="000000"/>
                      <w:szCs w:val="21"/>
                    </w:rPr>
                    <w:t>标准厂房，建筑面积为9165.45m</w:t>
                  </w:r>
                  <w:r>
                    <w:rPr>
                      <w:color w:val="000000"/>
                      <w:szCs w:val="21"/>
                      <w:vertAlign w:val="superscript"/>
                    </w:rPr>
                    <w:t>2</w:t>
                  </w:r>
                  <w:r>
                    <w:rPr>
                      <w:rFonts w:hint="eastAsia"/>
                      <w:color w:val="000000"/>
                      <w:szCs w:val="21"/>
                      <w:vertAlign w:val="baseline"/>
                      <w:lang w:eastAsia="zh-CN"/>
                    </w:rPr>
                    <w:t>，</w:t>
                  </w:r>
                  <w:r>
                    <w:rPr>
                      <w:rFonts w:hint="eastAsia"/>
                      <w:color w:val="000000"/>
                      <w:szCs w:val="21"/>
                      <w:vertAlign w:val="baseline"/>
                      <w:lang w:val="en-US" w:eastAsia="zh-CN"/>
                    </w:rPr>
                    <w:t>厂区南侧为成品仓库（面积约4500</w:t>
                  </w:r>
                  <w:r>
                    <w:rPr>
                      <w:color w:val="000000"/>
                      <w:szCs w:val="21"/>
                    </w:rPr>
                    <w:t>m</w:t>
                  </w:r>
                  <w:r>
                    <w:rPr>
                      <w:color w:val="000000"/>
                      <w:szCs w:val="21"/>
                      <w:vertAlign w:val="superscript"/>
                    </w:rPr>
                    <w:t>2</w:t>
                  </w:r>
                  <w:r>
                    <w:rPr>
                      <w:rFonts w:hint="eastAsia"/>
                      <w:color w:val="000000"/>
                      <w:szCs w:val="21"/>
                      <w:vertAlign w:val="baseline"/>
                      <w:lang w:val="en-US" w:eastAsia="zh-CN"/>
                    </w:rPr>
                    <w:t>），其余空置</w:t>
                  </w:r>
                </w:p>
              </w:tc>
              <w:tc>
                <w:tcPr>
                  <w:tcW w:w="3364" w:type="dxa"/>
                  <w:noWrap w:val="0"/>
                  <w:vAlign w:val="center"/>
                </w:tcPr>
                <w:p w14:paraId="3B51B481">
                  <w:pPr>
                    <w:pStyle w:val="95"/>
                    <w:spacing w:line="240" w:lineRule="auto"/>
                    <w:ind w:firstLine="0" w:firstLineChars="0"/>
                    <w:jc w:val="center"/>
                    <w:rPr>
                      <w:rFonts w:hint="eastAsia" w:eastAsia="宋体"/>
                      <w:color w:val="000000"/>
                      <w:kern w:val="2"/>
                      <w:sz w:val="21"/>
                      <w:szCs w:val="21"/>
                      <w:lang w:val="en-US" w:eastAsia="zh-CN" w:bidi="ar-SA"/>
                    </w:rPr>
                  </w:pPr>
                  <w:r>
                    <w:rPr>
                      <w:rFonts w:hint="eastAsia"/>
                      <w:color w:val="000000"/>
                      <w:szCs w:val="21"/>
                    </w:rPr>
                    <w:t>利用已建成1</w:t>
                  </w:r>
                  <w:r>
                    <w:rPr>
                      <w:rFonts w:hint="eastAsia"/>
                      <w:color w:val="000000"/>
                      <w:szCs w:val="21"/>
                      <w:lang w:val="en-US" w:eastAsia="zh-CN"/>
                    </w:rPr>
                    <w:t>#生产</w:t>
                  </w:r>
                  <w:r>
                    <w:rPr>
                      <w:rFonts w:hint="eastAsia"/>
                      <w:color w:val="000000"/>
                      <w:szCs w:val="21"/>
                    </w:rPr>
                    <w:t>厂房，</w:t>
                  </w:r>
                  <w:r>
                    <w:rPr>
                      <w:color w:val="000000"/>
                      <w:szCs w:val="21"/>
                    </w:rPr>
                    <w:t>，</w:t>
                  </w:r>
                  <w:r>
                    <w:rPr>
                      <w:rFonts w:hint="eastAsia"/>
                      <w:color w:val="000000"/>
                      <w:szCs w:val="21"/>
                      <w:lang w:val="en-US" w:eastAsia="zh-CN"/>
                    </w:rPr>
                    <w:t>将2#生产厂房内1号辊道窑（成品碳化工艺）搬迁至1#车间北侧，年产2000吨</w:t>
                  </w:r>
                  <w:r>
                    <w:rPr>
                      <w:rFonts w:hint="eastAsia" w:ascii="Times New Roman" w:hAnsi="Times New Roman" w:eastAsia="宋体" w:cs="Times New Roman"/>
                      <w:color w:val="000000"/>
                      <w:sz w:val="21"/>
                      <w:szCs w:val="21"/>
                    </w:rPr>
                    <w:t>锂离子电池负极材料</w:t>
                  </w:r>
                  <w:r>
                    <w:rPr>
                      <w:color w:val="000000"/>
                      <w:szCs w:val="21"/>
                    </w:rPr>
                    <w:t>。</w:t>
                  </w:r>
                </w:p>
              </w:tc>
              <w:tc>
                <w:tcPr>
                  <w:tcW w:w="1260" w:type="dxa"/>
                  <w:vMerge w:val="restart"/>
                  <w:noWrap w:val="0"/>
                  <w:vAlign w:val="center"/>
                </w:tcPr>
                <w:p w14:paraId="2EB2037F">
                  <w:pPr>
                    <w:pStyle w:val="94"/>
                    <w:keepNext w:val="0"/>
                    <w:keepLines w:val="0"/>
                    <w:pageBreakBefore w:val="0"/>
                    <w:widowControl w:val="0"/>
                    <w:kinsoku/>
                    <w:wordWrap/>
                    <w:overflowPunct/>
                    <w:topLinePunct w:val="0"/>
                    <w:autoSpaceDE/>
                    <w:autoSpaceDN/>
                    <w:bidi w:val="0"/>
                    <w:ind w:firstLine="0" w:firstLineChars="0"/>
                    <w:jc w:val="center"/>
                    <w:textAlignment w:val="auto"/>
                    <w:rPr>
                      <w:rFonts w:hint="eastAsia" w:eastAsia="宋体"/>
                      <w:color w:val="000000"/>
                      <w:szCs w:val="21"/>
                      <w:lang w:eastAsia="zh-CN"/>
                    </w:rPr>
                  </w:pPr>
                  <w:r>
                    <w:rPr>
                      <w:rFonts w:hint="eastAsia"/>
                      <w:color w:val="000000"/>
                      <w:szCs w:val="21"/>
                    </w:rPr>
                    <w:t>生活污水</w:t>
                  </w:r>
                  <w:r>
                    <w:rPr>
                      <w:rFonts w:hint="eastAsia"/>
                      <w:color w:val="000000"/>
                      <w:szCs w:val="21"/>
                      <w:lang w:eastAsia="zh-CN"/>
                    </w:rPr>
                    <w:t>、</w:t>
                  </w:r>
                  <w:r>
                    <w:rPr>
                      <w:rFonts w:hint="eastAsia"/>
                      <w:color w:val="000000"/>
                      <w:szCs w:val="21"/>
                    </w:rPr>
                    <w:t>施工粉尘</w:t>
                  </w:r>
                  <w:r>
                    <w:rPr>
                      <w:rFonts w:hint="eastAsia"/>
                      <w:color w:val="000000"/>
                      <w:szCs w:val="21"/>
                      <w:lang w:eastAsia="zh-CN"/>
                    </w:rPr>
                    <w:t>、</w:t>
                  </w:r>
                </w:p>
                <w:p w14:paraId="575D2305">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kern w:val="0"/>
                      <w:sz w:val="21"/>
                      <w:szCs w:val="21"/>
                      <w:lang w:val="en-US" w:eastAsia="zh-CN" w:bidi="ar-SA"/>
                    </w:rPr>
                  </w:pPr>
                  <w:r>
                    <w:rPr>
                      <w:rFonts w:hint="eastAsia"/>
                      <w:color w:val="000000"/>
                      <w:szCs w:val="21"/>
                    </w:rPr>
                    <w:t>施工噪声</w:t>
                  </w:r>
                  <w:r>
                    <w:rPr>
                      <w:rFonts w:hint="eastAsia"/>
                      <w:color w:val="000000"/>
                      <w:szCs w:val="21"/>
                      <w:lang w:eastAsia="zh-CN"/>
                    </w:rPr>
                    <w:t>、</w:t>
                  </w:r>
                  <w:r>
                    <w:rPr>
                      <w:rFonts w:hint="eastAsia"/>
                      <w:color w:val="000000"/>
                      <w:szCs w:val="21"/>
                    </w:rPr>
                    <w:t>建筑垃圾</w:t>
                  </w:r>
                </w:p>
                <w:p w14:paraId="2199205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vMerge w:val="restart"/>
                  <w:noWrap w:val="0"/>
                  <w:vAlign w:val="center"/>
                </w:tcPr>
                <w:p w14:paraId="366AC8E8">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废水、噪声、固废</w:t>
                  </w:r>
                </w:p>
              </w:tc>
              <w:tc>
                <w:tcPr>
                  <w:tcW w:w="1012" w:type="dxa"/>
                  <w:noWrap w:val="0"/>
                  <w:vAlign w:val="center"/>
                </w:tcPr>
                <w:p w14:paraId="73ED6B89">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szCs w:val="21"/>
                      <w:lang w:val="en-US" w:eastAsia="zh-CN"/>
                    </w:rPr>
                  </w:pPr>
                  <w:r>
                    <w:rPr>
                      <w:rFonts w:hint="eastAsia"/>
                      <w:color w:val="000000"/>
                      <w:szCs w:val="21"/>
                      <w:lang w:val="en-US" w:eastAsia="zh-CN"/>
                    </w:rPr>
                    <w:t>厂房利旧，将2#车间1号辊道窑搬迁至1#车间</w:t>
                  </w:r>
                </w:p>
              </w:tc>
            </w:tr>
            <w:tr w14:paraId="0EB8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0A02D78B">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69E348EC">
                  <w:pPr>
                    <w:pStyle w:val="94"/>
                    <w:keepNext w:val="0"/>
                    <w:keepLines w:val="0"/>
                    <w:pageBreakBefore w:val="0"/>
                    <w:widowControl w:val="0"/>
                    <w:kinsoku/>
                    <w:wordWrap/>
                    <w:overflowPunct/>
                    <w:topLinePunct w:val="0"/>
                    <w:autoSpaceDE/>
                    <w:autoSpaceDN/>
                    <w:bidi w:val="0"/>
                    <w:adjustRightInd w:val="0"/>
                    <w:snapToGrid w:val="0"/>
                    <w:ind w:left="-42" w:leftChars="-20" w:right="-42" w:rightChars="-20" w:firstLine="0" w:firstLineChars="0"/>
                    <w:textAlignment w:val="auto"/>
                    <w:rPr>
                      <w:rFonts w:hint="eastAsia"/>
                      <w:bCs/>
                      <w:color w:val="000000"/>
                      <w:kern w:val="0"/>
                      <w:sz w:val="21"/>
                      <w:szCs w:val="21"/>
                      <w:lang w:val="en-US" w:eastAsia="zh-CN" w:bidi="ar-SA"/>
                    </w:rPr>
                  </w:pPr>
                  <w:r>
                    <w:rPr>
                      <w:rFonts w:hint="eastAsia"/>
                      <w:bCs/>
                      <w:color w:val="000000"/>
                      <w:szCs w:val="21"/>
                      <w:lang w:val="en-US" w:eastAsia="zh-CN"/>
                    </w:rPr>
                    <w:t>2#生产厂房</w:t>
                  </w:r>
                </w:p>
              </w:tc>
              <w:tc>
                <w:tcPr>
                  <w:tcW w:w="3997" w:type="dxa"/>
                  <w:gridSpan w:val="2"/>
                  <w:noWrap w:val="0"/>
                  <w:vAlign w:val="center"/>
                </w:tcPr>
                <w:p w14:paraId="6241A37F">
                  <w:pPr>
                    <w:pStyle w:val="95"/>
                    <w:spacing w:line="240" w:lineRule="auto"/>
                    <w:ind w:firstLine="0" w:firstLineChars="0"/>
                    <w:jc w:val="center"/>
                    <w:rPr>
                      <w:rFonts w:hint="eastAsia"/>
                      <w:color w:val="000000"/>
                      <w:szCs w:val="21"/>
                      <w:lang w:val="en-US" w:eastAsia="zh-CN"/>
                    </w:rPr>
                  </w:pPr>
                  <w:r>
                    <w:rPr>
                      <w:color w:val="auto"/>
                      <w:szCs w:val="21"/>
                    </w:rPr>
                    <w:t>1F，位于厂区</w:t>
                  </w:r>
                  <w:r>
                    <w:rPr>
                      <w:rFonts w:hint="eastAsia"/>
                      <w:color w:val="auto"/>
                      <w:szCs w:val="21"/>
                    </w:rPr>
                    <w:t>西南侧</w:t>
                  </w:r>
                  <w:r>
                    <w:rPr>
                      <w:color w:val="auto"/>
                      <w:szCs w:val="21"/>
                    </w:rPr>
                    <w:t>，标准厂房，建筑面积为9174.48m</w:t>
                  </w:r>
                  <w:r>
                    <w:rPr>
                      <w:color w:val="auto"/>
                      <w:szCs w:val="21"/>
                      <w:vertAlign w:val="superscript"/>
                    </w:rPr>
                    <w:t>2</w:t>
                  </w:r>
                  <w:r>
                    <w:rPr>
                      <w:color w:val="auto"/>
                      <w:szCs w:val="21"/>
                    </w:rPr>
                    <w:t>，</w:t>
                  </w:r>
                  <w:r>
                    <w:rPr>
                      <w:rFonts w:hint="eastAsia"/>
                      <w:color w:val="auto"/>
                      <w:szCs w:val="21"/>
                    </w:rPr>
                    <w:t>主要用于烘干、整形和成品碳化生产。车间内</w:t>
                  </w:r>
                  <w:r>
                    <w:rPr>
                      <w:rFonts w:hint="eastAsia"/>
                      <w:color w:val="auto"/>
                      <w:szCs w:val="21"/>
                      <w:lang w:val="en-US" w:eastAsia="zh-CN"/>
                    </w:rPr>
                    <w:t>东北</w:t>
                  </w:r>
                  <w:r>
                    <w:rPr>
                      <w:color w:val="auto"/>
                      <w:szCs w:val="21"/>
                    </w:rPr>
                    <w:t>侧主要布设1个原料区（面积</w:t>
                  </w:r>
                  <w:r>
                    <w:rPr>
                      <w:rFonts w:hint="eastAsia"/>
                      <w:color w:val="auto"/>
                      <w:szCs w:val="21"/>
                    </w:rPr>
                    <w:t>1485</w:t>
                  </w:r>
                  <w:r>
                    <w:rPr>
                      <w:color w:val="auto"/>
                      <w:szCs w:val="21"/>
                    </w:rPr>
                    <w:t>m</w:t>
                  </w:r>
                  <w:r>
                    <w:rPr>
                      <w:color w:val="auto"/>
                      <w:szCs w:val="21"/>
                      <w:vertAlign w:val="superscript"/>
                    </w:rPr>
                    <w:t>2</w:t>
                  </w:r>
                  <w:r>
                    <w:rPr>
                      <w:color w:val="auto"/>
                      <w:szCs w:val="21"/>
                    </w:rPr>
                    <w:t>）、1个</w:t>
                  </w:r>
                  <w:r>
                    <w:rPr>
                      <w:rFonts w:hint="eastAsia"/>
                      <w:color w:val="auto"/>
                      <w:szCs w:val="21"/>
                    </w:rPr>
                    <w:t>预处理</w:t>
                  </w:r>
                  <w:r>
                    <w:rPr>
                      <w:color w:val="auto"/>
                      <w:szCs w:val="21"/>
                    </w:rPr>
                    <w:t>区（面积</w:t>
                  </w:r>
                  <w:r>
                    <w:rPr>
                      <w:rFonts w:hint="eastAsia"/>
                      <w:color w:val="auto"/>
                      <w:szCs w:val="21"/>
                    </w:rPr>
                    <w:t>2</w:t>
                  </w:r>
                  <w:r>
                    <w:rPr>
                      <w:color w:val="auto"/>
                      <w:szCs w:val="21"/>
                    </w:rPr>
                    <w:t>80m</w:t>
                  </w:r>
                  <w:r>
                    <w:rPr>
                      <w:color w:val="auto"/>
                      <w:szCs w:val="21"/>
                      <w:vertAlign w:val="superscript"/>
                    </w:rPr>
                    <w:t>2</w:t>
                  </w:r>
                  <w:r>
                    <w:rPr>
                      <w:rFonts w:hint="eastAsia"/>
                      <w:color w:val="auto"/>
                      <w:szCs w:val="21"/>
                    </w:rPr>
                    <w:t>，烘干机两台，一用一备</w:t>
                  </w:r>
                  <w:r>
                    <w:rPr>
                      <w:color w:val="auto"/>
                      <w:szCs w:val="21"/>
                    </w:rPr>
                    <w:t>）、1个</w:t>
                  </w:r>
                  <w:r>
                    <w:rPr>
                      <w:rFonts w:hint="eastAsia"/>
                      <w:color w:val="auto"/>
                      <w:szCs w:val="21"/>
                    </w:rPr>
                    <w:t>粉碎</w:t>
                  </w:r>
                  <w:r>
                    <w:rPr>
                      <w:color w:val="auto"/>
                      <w:szCs w:val="21"/>
                    </w:rPr>
                    <w:t>整形区（面积</w:t>
                  </w:r>
                  <w:r>
                    <w:rPr>
                      <w:rFonts w:hint="eastAsia"/>
                      <w:color w:val="auto"/>
                      <w:szCs w:val="21"/>
                    </w:rPr>
                    <w:t>3</w:t>
                  </w:r>
                  <w:r>
                    <w:rPr>
                      <w:color w:val="auto"/>
                      <w:szCs w:val="21"/>
                    </w:rPr>
                    <w:t>70m</w:t>
                  </w:r>
                  <w:r>
                    <w:rPr>
                      <w:color w:val="auto"/>
                      <w:szCs w:val="21"/>
                      <w:vertAlign w:val="superscript"/>
                    </w:rPr>
                    <w:t>2</w:t>
                  </w:r>
                  <w:r>
                    <w:rPr>
                      <w:rFonts w:hint="eastAsia"/>
                      <w:color w:val="auto"/>
                      <w:szCs w:val="21"/>
                    </w:rPr>
                    <w:t>，整形粉碎设备一套</w:t>
                  </w:r>
                  <w:r>
                    <w:rPr>
                      <w:color w:val="auto"/>
                      <w:szCs w:val="21"/>
                    </w:rPr>
                    <w:t>）、1个变压器区（面积</w:t>
                  </w:r>
                  <w:r>
                    <w:rPr>
                      <w:rFonts w:hint="eastAsia"/>
                      <w:color w:val="auto"/>
                      <w:szCs w:val="21"/>
                    </w:rPr>
                    <w:t>10</w:t>
                  </w:r>
                  <w:r>
                    <w:rPr>
                      <w:color w:val="auto"/>
                      <w:szCs w:val="21"/>
                    </w:rPr>
                    <w:t>0m</w:t>
                  </w:r>
                  <w:r>
                    <w:rPr>
                      <w:color w:val="auto"/>
                      <w:szCs w:val="21"/>
                      <w:vertAlign w:val="superscript"/>
                    </w:rPr>
                    <w:t>2</w:t>
                  </w:r>
                  <w:r>
                    <w:rPr>
                      <w:color w:val="auto"/>
                      <w:szCs w:val="21"/>
                    </w:rPr>
                    <w:t>）、</w:t>
                  </w:r>
                  <w:r>
                    <w:rPr>
                      <w:rFonts w:hint="eastAsia"/>
                      <w:color w:val="auto"/>
                      <w:szCs w:val="21"/>
                      <w:lang w:val="en-US" w:eastAsia="zh-CN"/>
                    </w:rPr>
                    <w:t>1个</w:t>
                  </w:r>
                  <w:r>
                    <w:rPr>
                      <w:rFonts w:hint="eastAsia"/>
                      <w:color w:val="auto"/>
                      <w:szCs w:val="21"/>
                    </w:rPr>
                    <w:t>中控室及备件库（面积约210</w:t>
                  </w:r>
                  <w:r>
                    <w:rPr>
                      <w:color w:val="auto"/>
                      <w:szCs w:val="21"/>
                    </w:rPr>
                    <w:t>m</w:t>
                  </w:r>
                  <w:r>
                    <w:rPr>
                      <w:color w:val="auto"/>
                      <w:szCs w:val="21"/>
                      <w:vertAlign w:val="superscript"/>
                    </w:rPr>
                    <w:t>2</w:t>
                  </w:r>
                  <w:r>
                    <w:rPr>
                      <w:rFonts w:hint="eastAsia"/>
                      <w:color w:val="auto"/>
                      <w:szCs w:val="21"/>
                    </w:rPr>
                    <w:t>）1个</w:t>
                  </w:r>
                  <w:r>
                    <w:rPr>
                      <w:rFonts w:hint="eastAsia"/>
                      <w:color w:val="auto"/>
                      <w:szCs w:val="21"/>
                      <w:lang w:val="en-US" w:eastAsia="zh-CN"/>
                    </w:rPr>
                    <w:t>半成品暂存区</w:t>
                  </w:r>
                  <w:r>
                    <w:rPr>
                      <w:rFonts w:hint="eastAsia"/>
                      <w:color w:val="auto"/>
                      <w:szCs w:val="21"/>
                      <w:lang w:eastAsia="zh-CN"/>
                    </w:rPr>
                    <w:t>；</w:t>
                  </w:r>
                  <w:r>
                    <w:rPr>
                      <w:rFonts w:hint="eastAsia"/>
                      <w:color w:val="auto"/>
                      <w:szCs w:val="21"/>
                      <w:lang w:val="en-US" w:eastAsia="zh-CN"/>
                    </w:rPr>
                    <w:t>厂区中部：</w:t>
                  </w:r>
                  <w:r>
                    <w:rPr>
                      <w:rFonts w:hint="eastAsia"/>
                      <w:color w:val="auto"/>
                      <w:szCs w:val="21"/>
                    </w:rPr>
                    <w:t>一个成品碳化区（面积约1000</w:t>
                  </w:r>
                  <w:r>
                    <w:rPr>
                      <w:color w:val="auto"/>
                      <w:szCs w:val="21"/>
                    </w:rPr>
                    <w:t>m</w:t>
                  </w:r>
                  <w:r>
                    <w:rPr>
                      <w:color w:val="auto"/>
                      <w:szCs w:val="21"/>
                      <w:vertAlign w:val="superscript"/>
                    </w:rPr>
                    <w:t>2</w:t>
                  </w:r>
                  <w:r>
                    <w:rPr>
                      <w:rFonts w:hint="eastAsia"/>
                      <w:color w:val="auto"/>
                      <w:szCs w:val="21"/>
                    </w:rPr>
                    <w:t>）。</w:t>
                  </w:r>
                </w:p>
              </w:tc>
              <w:tc>
                <w:tcPr>
                  <w:tcW w:w="3364" w:type="dxa"/>
                  <w:noWrap w:val="0"/>
                  <w:vAlign w:val="center"/>
                </w:tcPr>
                <w:p w14:paraId="384A4AED">
                  <w:pPr>
                    <w:pStyle w:val="95"/>
                    <w:spacing w:line="240" w:lineRule="auto"/>
                    <w:ind w:firstLine="0" w:firstLineChars="0"/>
                    <w:jc w:val="center"/>
                    <w:rPr>
                      <w:rFonts w:hint="eastAsia"/>
                      <w:color w:val="000000"/>
                      <w:kern w:val="2"/>
                      <w:sz w:val="21"/>
                      <w:szCs w:val="21"/>
                      <w:lang w:val="en-US" w:eastAsia="zh-CN" w:bidi="ar-SA"/>
                    </w:rPr>
                  </w:pPr>
                  <w:r>
                    <w:rPr>
                      <w:color w:val="000000"/>
                      <w:szCs w:val="21"/>
                    </w:rPr>
                    <w:t>1F，位于厂区</w:t>
                  </w:r>
                  <w:r>
                    <w:rPr>
                      <w:rFonts w:hint="eastAsia"/>
                      <w:color w:val="000000"/>
                      <w:szCs w:val="21"/>
                    </w:rPr>
                    <w:t>西南侧</w:t>
                  </w:r>
                  <w:r>
                    <w:rPr>
                      <w:color w:val="000000"/>
                      <w:szCs w:val="21"/>
                    </w:rPr>
                    <w:t>，标准厂房，建筑面积为9174.48m</w:t>
                  </w:r>
                  <w:r>
                    <w:rPr>
                      <w:color w:val="000000"/>
                      <w:szCs w:val="21"/>
                      <w:vertAlign w:val="superscript"/>
                    </w:rPr>
                    <w:t>2</w:t>
                  </w:r>
                  <w:r>
                    <w:rPr>
                      <w:color w:val="000000"/>
                      <w:szCs w:val="21"/>
                    </w:rPr>
                    <w:t>，</w:t>
                  </w:r>
                  <w:r>
                    <w:rPr>
                      <w:rFonts w:hint="eastAsia"/>
                      <w:color w:val="000000"/>
                      <w:szCs w:val="21"/>
                    </w:rPr>
                    <w:t>主要用于</w:t>
                  </w:r>
                  <w:r>
                    <w:rPr>
                      <w:rFonts w:hint="eastAsia"/>
                      <w:color w:val="000000"/>
                      <w:szCs w:val="21"/>
                      <w:lang w:val="en-US" w:eastAsia="zh-CN"/>
                    </w:rPr>
                    <w:t>预</w:t>
                  </w:r>
                  <w:r>
                    <w:rPr>
                      <w:rFonts w:hint="eastAsia"/>
                      <w:color w:val="000000"/>
                      <w:szCs w:val="21"/>
                    </w:rPr>
                    <w:t>碳化生产。</w:t>
                  </w:r>
                  <w:r>
                    <w:rPr>
                      <w:rFonts w:hint="eastAsia"/>
                      <w:color w:val="000000"/>
                      <w:szCs w:val="21"/>
                      <w:lang w:val="en-US" w:eastAsia="zh-CN"/>
                    </w:rPr>
                    <w:t>拆除2#车间内与处理区、粉碎整形区相应的设备，拆除现有2条辊道窑，新增3条隧道窑，新增年产4万吨负极粉。</w:t>
                  </w:r>
                </w:p>
              </w:tc>
              <w:tc>
                <w:tcPr>
                  <w:tcW w:w="1260" w:type="dxa"/>
                  <w:vMerge w:val="continue"/>
                  <w:noWrap w:val="0"/>
                  <w:vAlign w:val="center"/>
                </w:tcPr>
                <w:p w14:paraId="3F0D6798">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vMerge w:val="continue"/>
                  <w:noWrap w:val="0"/>
                  <w:vAlign w:val="center"/>
                </w:tcPr>
                <w:p w14:paraId="423B5589">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012" w:type="dxa"/>
                  <w:noWrap w:val="0"/>
                  <w:vAlign w:val="center"/>
                </w:tcPr>
                <w:p w14:paraId="045A89BE">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val="en-US" w:eastAsia="zh-CN"/>
                    </w:rPr>
                    <w:t>厂房利旧，更换生产线改建</w:t>
                  </w:r>
                </w:p>
              </w:tc>
            </w:tr>
            <w:tr w14:paraId="68A8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78B1FBFA">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7305A9E9">
                  <w:pPr>
                    <w:pStyle w:val="94"/>
                    <w:keepNext w:val="0"/>
                    <w:keepLines w:val="0"/>
                    <w:pageBreakBefore w:val="0"/>
                    <w:widowControl w:val="0"/>
                    <w:kinsoku/>
                    <w:wordWrap/>
                    <w:overflowPunct/>
                    <w:topLinePunct w:val="0"/>
                    <w:autoSpaceDE/>
                    <w:autoSpaceDN/>
                    <w:bidi w:val="0"/>
                    <w:adjustRightInd w:val="0"/>
                    <w:snapToGrid w:val="0"/>
                    <w:ind w:left="-42" w:leftChars="-20" w:right="-42" w:rightChars="-20" w:firstLine="0" w:firstLineChars="0"/>
                    <w:textAlignment w:val="auto"/>
                    <w:rPr>
                      <w:rFonts w:hint="default"/>
                      <w:bCs/>
                      <w:color w:val="000000"/>
                      <w:szCs w:val="21"/>
                      <w:lang w:val="en-US" w:eastAsia="zh-CN"/>
                    </w:rPr>
                  </w:pPr>
                  <w:r>
                    <w:rPr>
                      <w:rFonts w:hint="eastAsia"/>
                      <w:bCs/>
                      <w:color w:val="000000"/>
                      <w:szCs w:val="21"/>
                      <w:lang w:val="en-US" w:eastAsia="zh-CN"/>
                    </w:rPr>
                    <w:t>3#厂房</w:t>
                  </w:r>
                </w:p>
              </w:tc>
              <w:tc>
                <w:tcPr>
                  <w:tcW w:w="3997" w:type="dxa"/>
                  <w:gridSpan w:val="2"/>
                  <w:noWrap w:val="0"/>
                  <w:vAlign w:val="center"/>
                </w:tcPr>
                <w:p w14:paraId="66BEC8FD">
                  <w:pPr>
                    <w:pStyle w:val="95"/>
                    <w:spacing w:line="240" w:lineRule="auto"/>
                    <w:ind w:firstLine="0" w:firstLineChars="0"/>
                    <w:jc w:val="center"/>
                    <w:rPr>
                      <w:rFonts w:hint="default" w:eastAsia="宋体"/>
                      <w:color w:val="000000"/>
                      <w:szCs w:val="21"/>
                      <w:lang w:val="en-US" w:eastAsia="zh-CN"/>
                    </w:rPr>
                  </w:pPr>
                  <w:r>
                    <w:rPr>
                      <w:rFonts w:hint="eastAsia" w:eastAsia="宋体"/>
                      <w:color w:val="000000"/>
                      <w:szCs w:val="21"/>
                      <w:lang w:val="en-US" w:eastAsia="zh-CN"/>
                    </w:rPr>
                    <w:t>/</w:t>
                  </w:r>
                </w:p>
              </w:tc>
              <w:tc>
                <w:tcPr>
                  <w:tcW w:w="3364" w:type="dxa"/>
                  <w:noWrap w:val="0"/>
                  <w:vAlign w:val="center"/>
                </w:tcPr>
                <w:p w14:paraId="1B00CA83">
                  <w:pPr>
                    <w:pStyle w:val="95"/>
                    <w:spacing w:line="240" w:lineRule="auto"/>
                    <w:ind w:firstLine="0" w:firstLineChars="0"/>
                    <w:jc w:val="center"/>
                    <w:rPr>
                      <w:rFonts w:hint="eastAsia" w:eastAsia="宋体"/>
                      <w:color w:val="000000"/>
                      <w:kern w:val="2"/>
                      <w:sz w:val="21"/>
                      <w:szCs w:val="21"/>
                      <w:lang w:val="en-US" w:eastAsia="zh-CN" w:bidi="ar-SA"/>
                    </w:rPr>
                  </w:pPr>
                  <w:r>
                    <w:rPr>
                      <w:rFonts w:hint="eastAsia"/>
                      <w:color w:val="000000"/>
                      <w:szCs w:val="21"/>
                      <w:lang w:val="en-US" w:eastAsia="zh-CN"/>
                    </w:rPr>
                    <w:t>在厂区南侧新建3#厂房，1F，建筑面积为500m</w:t>
                  </w:r>
                  <w:r>
                    <w:rPr>
                      <w:rFonts w:hint="eastAsia"/>
                      <w:color w:val="000000"/>
                      <w:szCs w:val="21"/>
                      <w:vertAlign w:val="superscript"/>
                      <w:lang w:val="en-US" w:eastAsia="zh-CN"/>
                    </w:rPr>
                    <w:t>2</w:t>
                  </w:r>
                  <w:r>
                    <w:rPr>
                      <w:rFonts w:hint="eastAsia"/>
                      <w:color w:val="000000"/>
                      <w:szCs w:val="21"/>
                    </w:rPr>
                    <w:t>。</w:t>
                  </w:r>
                  <w:r>
                    <w:rPr>
                      <w:rFonts w:hint="eastAsia"/>
                      <w:color w:val="000000"/>
                      <w:szCs w:val="21"/>
                      <w:lang w:val="en-US" w:eastAsia="zh-CN"/>
                    </w:rPr>
                    <w:t>将2#车间内现有原辅料预处理（</w:t>
                  </w:r>
                  <w:r>
                    <w:rPr>
                      <w:rFonts w:hint="eastAsia"/>
                      <w:color w:val="auto"/>
                      <w:szCs w:val="21"/>
                    </w:rPr>
                    <w:t>烘干、整形</w:t>
                  </w:r>
                  <w:r>
                    <w:rPr>
                      <w:rFonts w:hint="eastAsia"/>
                      <w:color w:val="auto"/>
                      <w:szCs w:val="21"/>
                      <w:lang w:eastAsia="zh-CN"/>
                    </w:rPr>
                    <w:t>、</w:t>
                  </w:r>
                  <w:r>
                    <w:rPr>
                      <w:rFonts w:hint="eastAsia"/>
                      <w:color w:val="auto"/>
                      <w:szCs w:val="21"/>
                      <w:lang w:val="en-US" w:eastAsia="zh-CN"/>
                    </w:rPr>
                    <w:t>破碎等</w:t>
                  </w:r>
                  <w:r>
                    <w:rPr>
                      <w:rFonts w:hint="eastAsia"/>
                      <w:color w:val="000000"/>
                      <w:szCs w:val="21"/>
                      <w:lang w:val="en-US" w:eastAsia="zh-CN"/>
                    </w:rPr>
                    <w:t>）工艺搬迁至3#厂房。</w:t>
                  </w:r>
                </w:p>
              </w:tc>
              <w:tc>
                <w:tcPr>
                  <w:tcW w:w="1260" w:type="dxa"/>
                  <w:vMerge w:val="continue"/>
                  <w:noWrap w:val="0"/>
                  <w:vAlign w:val="center"/>
                </w:tcPr>
                <w:p w14:paraId="0B092D0B">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vMerge w:val="continue"/>
                  <w:noWrap w:val="0"/>
                  <w:vAlign w:val="center"/>
                </w:tcPr>
                <w:p w14:paraId="27F5489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012" w:type="dxa"/>
                  <w:noWrap w:val="0"/>
                  <w:vAlign w:val="center"/>
                </w:tcPr>
                <w:p w14:paraId="24C7EEAF">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szCs w:val="21"/>
                      <w:lang w:val="en-US" w:eastAsia="zh-CN"/>
                    </w:rPr>
                  </w:pPr>
                  <w:r>
                    <w:rPr>
                      <w:rFonts w:hint="eastAsia"/>
                      <w:color w:val="000000"/>
                      <w:szCs w:val="21"/>
                      <w:lang w:val="en-US" w:eastAsia="zh-CN"/>
                    </w:rPr>
                    <w:t>生产线利旧，厂房新建</w:t>
                  </w:r>
                </w:p>
              </w:tc>
            </w:tr>
            <w:tr w14:paraId="404B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restart"/>
                  <w:noWrap w:val="0"/>
                  <w:vAlign w:val="center"/>
                </w:tcPr>
                <w:p w14:paraId="44A2CADB">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rFonts w:hint="eastAsia"/>
                      <w:color w:val="000000"/>
                      <w:szCs w:val="21"/>
                      <w:lang w:val="en-US" w:eastAsia="zh-CN"/>
                    </w:rPr>
                    <w:t>储运</w:t>
                  </w:r>
                  <w:r>
                    <w:rPr>
                      <w:color w:val="000000"/>
                      <w:szCs w:val="21"/>
                    </w:rPr>
                    <w:t>工程</w:t>
                  </w:r>
                </w:p>
              </w:tc>
              <w:tc>
                <w:tcPr>
                  <w:tcW w:w="857" w:type="dxa"/>
                  <w:noWrap w:val="0"/>
                  <w:vAlign w:val="center"/>
                </w:tcPr>
                <w:p w14:paraId="68CEF646">
                  <w:pPr>
                    <w:pStyle w:val="94"/>
                    <w:keepNext w:val="0"/>
                    <w:keepLines w:val="0"/>
                    <w:pageBreakBefore w:val="0"/>
                    <w:widowControl/>
                    <w:kinsoku/>
                    <w:wordWrap/>
                    <w:overflowPunct/>
                    <w:topLinePunct w:val="0"/>
                    <w:autoSpaceDE/>
                    <w:autoSpaceDN/>
                    <w:bidi w:val="0"/>
                    <w:adjustRightInd w:val="0"/>
                    <w:snapToGrid w:val="0"/>
                    <w:spacing w:after="0"/>
                    <w:ind w:left="-42" w:leftChars="-20" w:right="-42" w:rightChars="-20" w:firstLine="0" w:firstLineChars="0"/>
                    <w:textAlignment w:val="auto"/>
                    <w:rPr>
                      <w:rFonts w:hint="eastAsia"/>
                      <w:bCs/>
                      <w:color w:val="000000"/>
                      <w:kern w:val="0"/>
                      <w:sz w:val="21"/>
                      <w:szCs w:val="21"/>
                      <w:lang w:val="en-US" w:eastAsia="zh-CN" w:bidi="ar-SA"/>
                    </w:rPr>
                  </w:pPr>
                  <w:r>
                    <w:rPr>
                      <w:bCs/>
                      <w:color w:val="000000"/>
                      <w:sz w:val="21"/>
                      <w:szCs w:val="21"/>
                    </w:rPr>
                    <w:t>原料</w:t>
                  </w:r>
                  <w:r>
                    <w:rPr>
                      <w:rFonts w:hint="eastAsia"/>
                      <w:bCs/>
                      <w:color w:val="000000"/>
                      <w:sz w:val="21"/>
                      <w:szCs w:val="21"/>
                      <w:lang w:val="en-US" w:eastAsia="zh-CN"/>
                    </w:rPr>
                    <w:t>暂存</w:t>
                  </w:r>
                  <w:r>
                    <w:rPr>
                      <w:color w:val="000000"/>
                      <w:sz w:val="21"/>
                      <w:szCs w:val="21"/>
                    </w:rPr>
                    <w:t>区</w:t>
                  </w:r>
                </w:p>
              </w:tc>
              <w:tc>
                <w:tcPr>
                  <w:tcW w:w="3997" w:type="dxa"/>
                  <w:gridSpan w:val="2"/>
                  <w:noWrap w:val="0"/>
                  <w:vAlign w:val="center"/>
                </w:tcPr>
                <w:p w14:paraId="4793307E">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kern w:val="2"/>
                      <w:sz w:val="21"/>
                      <w:szCs w:val="21"/>
                      <w:lang w:val="en-US" w:eastAsia="zh-CN" w:bidi="ar-SA"/>
                    </w:rPr>
                  </w:pPr>
                  <w:r>
                    <w:rPr>
                      <w:rFonts w:hint="eastAsia"/>
                      <w:color w:val="000000"/>
                      <w:sz w:val="21"/>
                      <w:szCs w:val="21"/>
                    </w:rPr>
                    <w:t>位于</w:t>
                  </w:r>
                  <w:r>
                    <w:rPr>
                      <w:rFonts w:hint="eastAsia"/>
                      <w:color w:val="000000"/>
                      <w:sz w:val="21"/>
                      <w:szCs w:val="21"/>
                      <w:lang w:val="en-US" w:eastAsia="zh-CN"/>
                    </w:rPr>
                    <w:t>厂区西北</w:t>
                  </w:r>
                  <w:r>
                    <w:rPr>
                      <w:rFonts w:hint="eastAsia"/>
                      <w:color w:val="000000"/>
                      <w:sz w:val="21"/>
                      <w:szCs w:val="21"/>
                    </w:rPr>
                    <w:t>侧，</w:t>
                  </w:r>
                  <w:r>
                    <w:rPr>
                      <w:color w:val="000000"/>
                      <w:sz w:val="21"/>
                      <w:szCs w:val="21"/>
                    </w:rPr>
                    <w:t>设置1个原料</w:t>
                  </w:r>
                  <w:r>
                    <w:rPr>
                      <w:rFonts w:hint="eastAsia"/>
                      <w:color w:val="000000"/>
                      <w:sz w:val="21"/>
                      <w:szCs w:val="21"/>
                      <w:lang w:val="en-US" w:eastAsia="zh-CN"/>
                    </w:rPr>
                    <w:t>暂存</w:t>
                  </w:r>
                  <w:r>
                    <w:rPr>
                      <w:color w:val="000000"/>
                      <w:sz w:val="21"/>
                      <w:szCs w:val="21"/>
                    </w:rPr>
                    <w:t>区（面积</w:t>
                  </w:r>
                  <w:r>
                    <w:rPr>
                      <w:rFonts w:hint="eastAsia"/>
                      <w:color w:val="000000"/>
                      <w:sz w:val="21"/>
                      <w:szCs w:val="21"/>
                      <w:lang w:val="en-US" w:eastAsia="zh-CN"/>
                    </w:rPr>
                    <w:t>1000</w:t>
                  </w:r>
                  <w:r>
                    <w:rPr>
                      <w:color w:val="000000"/>
                      <w:sz w:val="21"/>
                      <w:szCs w:val="21"/>
                    </w:rPr>
                    <w:t>m</w:t>
                  </w:r>
                  <w:r>
                    <w:rPr>
                      <w:color w:val="000000"/>
                      <w:sz w:val="21"/>
                      <w:szCs w:val="21"/>
                      <w:vertAlign w:val="superscript"/>
                    </w:rPr>
                    <w:t>2</w:t>
                  </w:r>
                  <w:r>
                    <w:rPr>
                      <w:color w:val="000000"/>
                      <w:sz w:val="21"/>
                      <w:szCs w:val="21"/>
                    </w:rPr>
                    <w:t>）</w:t>
                  </w:r>
                  <w:r>
                    <w:rPr>
                      <w:rFonts w:hint="eastAsia"/>
                      <w:color w:val="000000"/>
                      <w:sz w:val="21"/>
                      <w:szCs w:val="21"/>
                    </w:rPr>
                    <w:t>用于原辅料</w:t>
                  </w:r>
                  <w:r>
                    <w:rPr>
                      <w:rFonts w:hint="eastAsia"/>
                      <w:color w:val="000000"/>
                      <w:sz w:val="21"/>
                      <w:szCs w:val="21"/>
                      <w:lang w:val="en-US" w:eastAsia="zh-CN"/>
                    </w:rPr>
                    <w:t>暂存</w:t>
                  </w:r>
                  <w:r>
                    <w:rPr>
                      <w:color w:val="000000"/>
                      <w:sz w:val="21"/>
                      <w:szCs w:val="21"/>
                    </w:rPr>
                    <w:t>。</w:t>
                  </w:r>
                </w:p>
              </w:tc>
              <w:tc>
                <w:tcPr>
                  <w:tcW w:w="3364" w:type="dxa"/>
                  <w:noWrap w:val="0"/>
                  <w:vAlign w:val="center"/>
                </w:tcPr>
                <w:p w14:paraId="2CC8B641">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kern w:val="2"/>
                      <w:sz w:val="21"/>
                      <w:szCs w:val="21"/>
                      <w:lang w:val="en-US" w:eastAsia="zh-CN" w:bidi="ar-SA"/>
                    </w:rPr>
                  </w:pPr>
                  <w:r>
                    <w:rPr>
                      <w:rFonts w:hint="eastAsia"/>
                      <w:color w:val="000000"/>
                      <w:sz w:val="21"/>
                      <w:szCs w:val="21"/>
                    </w:rPr>
                    <w:t>位于</w:t>
                  </w:r>
                  <w:r>
                    <w:rPr>
                      <w:rFonts w:hint="eastAsia"/>
                      <w:color w:val="000000"/>
                      <w:sz w:val="21"/>
                      <w:szCs w:val="21"/>
                      <w:lang w:val="en-US" w:eastAsia="zh-CN"/>
                    </w:rPr>
                    <w:t>厂区西北</w:t>
                  </w:r>
                  <w:r>
                    <w:rPr>
                      <w:rFonts w:hint="eastAsia"/>
                      <w:color w:val="000000"/>
                      <w:sz w:val="21"/>
                      <w:szCs w:val="21"/>
                    </w:rPr>
                    <w:t>侧，</w:t>
                  </w:r>
                  <w:r>
                    <w:rPr>
                      <w:color w:val="000000"/>
                      <w:sz w:val="21"/>
                      <w:szCs w:val="21"/>
                    </w:rPr>
                    <w:t>设置1个原料堆放区（面积</w:t>
                  </w:r>
                  <w:r>
                    <w:rPr>
                      <w:rFonts w:hint="eastAsia"/>
                      <w:color w:val="000000"/>
                      <w:sz w:val="21"/>
                      <w:szCs w:val="21"/>
                      <w:lang w:val="en-US" w:eastAsia="zh-CN"/>
                    </w:rPr>
                    <w:t>1000</w:t>
                  </w:r>
                  <w:r>
                    <w:rPr>
                      <w:color w:val="000000"/>
                      <w:sz w:val="21"/>
                      <w:szCs w:val="21"/>
                    </w:rPr>
                    <w:t>m</w:t>
                  </w:r>
                  <w:r>
                    <w:rPr>
                      <w:color w:val="000000"/>
                      <w:sz w:val="21"/>
                      <w:szCs w:val="21"/>
                      <w:vertAlign w:val="superscript"/>
                    </w:rPr>
                    <w:t>2</w:t>
                  </w:r>
                  <w:r>
                    <w:rPr>
                      <w:color w:val="000000"/>
                      <w:sz w:val="21"/>
                      <w:szCs w:val="21"/>
                    </w:rPr>
                    <w:t>）</w:t>
                  </w:r>
                  <w:r>
                    <w:rPr>
                      <w:rFonts w:hint="eastAsia"/>
                      <w:color w:val="000000"/>
                      <w:sz w:val="21"/>
                      <w:szCs w:val="21"/>
                    </w:rPr>
                    <w:t>用于原辅料</w:t>
                  </w:r>
                  <w:r>
                    <w:rPr>
                      <w:rFonts w:hint="eastAsia"/>
                      <w:color w:val="000000"/>
                      <w:sz w:val="21"/>
                      <w:szCs w:val="21"/>
                      <w:lang w:val="en-US" w:eastAsia="zh-CN"/>
                    </w:rPr>
                    <w:t>暂存</w:t>
                  </w:r>
                  <w:r>
                    <w:rPr>
                      <w:color w:val="000000"/>
                      <w:sz w:val="21"/>
                      <w:szCs w:val="21"/>
                    </w:rPr>
                    <w:t>。</w:t>
                  </w:r>
                </w:p>
              </w:tc>
              <w:tc>
                <w:tcPr>
                  <w:tcW w:w="1260" w:type="dxa"/>
                  <w:vMerge w:val="continue"/>
                  <w:noWrap w:val="0"/>
                  <w:vAlign w:val="center"/>
                </w:tcPr>
                <w:p w14:paraId="1D5DA8F8">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noWrap w:val="0"/>
                  <w:vAlign w:val="center"/>
                </w:tcPr>
                <w:p w14:paraId="70407C34">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rFonts w:hint="eastAsia"/>
                      <w:color w:val="000000"/>
                      <w:szCs w:val="21"/>
                    </w:rPr>
                    <w:t>/</w:t>
                  </w:r>
                </w:p>
              </w:tc>
              <w:tc>
                <w:tcPr>
                  <w:tcW w:w="1012" w:type="dxa"/>
                  <w:noWrap w:val="0"/>
                  <w:vAlign w:val="center"/>
                </w:tcPr>
                <w:p w14:paraId="711B9554">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val="en-US" w:eastAsia="zh-CN"/>
                    </w:rPr>
                    <w:t>依托</w:t>
                  </w:r>
                </w:p>
              </w:tc>
            </w:tr>
            <w:tr w14:paraId="2222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76784721">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303E9B00">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default" w:eastAsia="宋体"/>
                      <w:bCs/>
                      <w:color w:val="000000"/>
                      <w:kern w:val="0"/>
                      <w:sz w:val="21"/>
                      <w:szCs w:val="21"/>
                      <w:lang w:val="en-US" w:eastAsia="zh-CN" w:bidi="ar-SA"/>
                    </w:rPr>
                  </w:pPr>
                  <w:r>
                    <w:rPr>
                      <w:rFonts w:hint="eastAsia"/>
                      <w:bCs/>
                      <w:szCs w:val="21"/>
                      <w:lang w:val="en-US" w:eastAsia="zh-CN"/>
                    </w:rPr>
                    <w:t>预处理暂存区</w:t>
                  </w:r>
                </w:p>
              </w:tc>
              <w:tc>
                <w:tcPr>
                  <w:tcW w:w="3997" w:type="dxa"/>
                  <w:gridSpan w:val="2"/>
                  <w:noWrap w:val="0"/>
                  <w:vAlign w:val="center"/>
                </w:tcPr>
                <w:p w14:paraId="4D7E611C">
                  <w:pPr>
                    <w:pStyle w:val="95"/>
                    <w:spacing w:line="240" w:lineRule="auto"/>
                    <w:ind w:firstLine="0" w:firstLineChars="0"/>
                    <w:jc w:val="center"/>
                    <w:rPr>
                      <w:rFonts w:hint="eastAsia"/>
                      <w:color w:val="000000"/>
                      <w:kern w:val="2"/>
                      <w:sz w:val="21"/>
                      <w:szCs w:val="21"/>
                      <w:lang w:val="en-US" w:eastAsia="zh-CN" w:bidi="ar-SA"/>
                    </w:rPr>
                  </w:pPr>
                  <w:r>
                    <w:rPr>
                      <w:rFonts w:hint="eastAsia"/>
                      <w:color w:val="auto"/>
                      <w:szCs w:val="21"/>
                      <w:lang w:val="en-US" w:eastAsia="zh-CN"/>
                    </w:rPr>
                    <w:t>位于2#厂房西侧，烘干区东北侧（</w:t>
                  </w:r>
                  <w:r>
                    <w:rPr>
                      <w:color w:val="auto"/>
                      <w:szCs w:val="21"/>
                    </w:rPr>
                    <w:t>面积</w:t>
                  </w:r>
                  <w:r>
                    <w:rPr>
                      <w:rFonts w:hint="eastAsia"/>
                      <w:color w:val="auto"/>
                      <w:szCs w:val="21"/>
                      <w:lang w:val="en-US" w:eastAsia="zh-CN"/>
                    </w:rPr>
                    <w:t>100</w:t>
                  </w:r>
                  <w:r>
                    <w:rPr>
                      <w:color w:val="auto"/>
                      <w:szCs w:val="21"/>
                    </w:rPr>
                    <w:t>m</w:t>
                  </w:r>
                  <w:r>
                    <w:rPr>
                      <w:color w:val="auto"/>
                      <w:szCs w:val="21"/>
                      <w:vertAlign w:val="superscript"/>
                    </w:rPr>
                    <w:t>2</w:t>
                  </w:r>
                  <w:r>
                    <w:rPr>
                      <w:rFonts w:hint="eastAsia"/>
                      <w:color w:val="auto"/>
                      <w:szCs w:val="21"/>
                      <w:lang w:val="en-US" w:eastAsia="zh-CN"/>
                    </w:rPr>
                    <w:t>），用于预处理后的暂存。</w:t>
                  </w:r>
                </w:p>
              </w:tc>
              <w:tc>
                <w:tcPr>
                  <w:tcW w:w="3364" w:type="dxa"/>
                  <w:noWrap w:val="0"/>
                  <w:vAlign w:val="center"/>
                </w:tcPr>
                <w:p w14:paraId="30D0A57F">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kern w:val="2"/>
                      <w:sz w:val="21"/>
                      <w:szCs w:val="21"/>
                      <w:lang w:val="en-US" w:eastAsia="zh-CN" w:bidi="ar-SA"/>
                    </w:rPr>
                  </w:pPr>
                  <w:r>
                    <w:rPr>
                      <w:rFonts w:hint="eastAsia"/>
                      <w:color w:val="000000"/>
                      <w:sz w:val="21"/>
                      <w:szCs w:val="21"/>
                      <w:lang w:val="en-US" w:eastAsia="zh-CN"/>
                    </w:rPr>
                    <w:t>该区域用于</w:t>
                  </w:r>
                  <w:r>
                    <w:rPr>
                      <w:rFonts w:hint="eastAsia"/>
                      <w:color w:val="000000"/>
                      <w:sz w:val="21"/>
                      <w:szCs w:val="21"/>
                    </w:rPr>
                    <w:t>原辅料（</w:t>
                  </w:r>
                  <w:r>
                    <w:rPr>
                      <w:rFonts w:hint="eastAsia" w:ascii="宋体" w:hAnsi="宋体" w:cs="宋体"/>
                      <w:color w:val="000000"/>
                      <w:kern w:val="0"/>
                      <w:szCs w:val="21"/>
                      <w:lang w:val="en-US" w:eastAsia="zh-CN" w:bidi="ar"/>
                    </w:rPr>
                    <w:t>负极材料半成品</w:t>
                  </w:r>
                  <w:r>
                    <w:rPr>
                      <w:rFonts w:hint="eastAsia"/>
                      <w:color w:val="000000"/>
                      <w:sz w:val="21"/>
                      <w:szCs w:val="21"/>
                    </w:rPr>
                    <w:t>）</w:t>
                  </w:r>
                  <w:r>
                    <w:rPr>
                      <w:rFonts w:hint="eastAsia"/>
                      <w:color w:val="000000"/>
                      <w:sz w:val="21"/>
                      <w:szCs w:val="21"/>
                      <w:lang w:val="en-US" w:eastAsia="zh-CN"/>
                    </w:rPr>
                    <w:t>。</w:t>
                  </w:r>
                </w:p>
              </w:tc>
              <w:tc>
                <w:tcPr>
                  <w:tcW w:w="1260" w:type="dxa"/>
                  <w:vMerge w:val="continue"/>
                  <w:noWrap w:val="0"/>
                  <w:vAlign w:val="center"/>
                </w:tcPr>
                <w:p w14:paraId="2DA9198B">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noWrap w:val="0"/>
                  <w:vAlign w:val="center"/>
                </w:tcPr>
                <w:p w14:paraId="1F9342CA">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012" w:type="dxa"/>
                  <w:noWrap w:val="0"/>
                  <w:vAlign w:val="center"/>
                </w:tcPr>
                <w:p w14:paraId="74510EB8">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szCs w:val="21"/>
                      <w:lang w:val="en-US" w:eastAsia="zh-CN"/>
                    </w:rPr>
                  </w:pPr>
                  <w:r>
                    <w:rPr>
                      <w:rFonts w:hint="eastAsia"/>
                      <w:color w:val="000000"/>
                      <w:szCs w:val="21"/>
                      <w:lang w:val="en-US" w:eastAsia="zh-CN"/>
                    </w:rPr>
                    <w:t>新建</w:t>
                  </w:r>
                </w:p>
              </w:tc>
            </w:tr>
            <w:tr w14:paraId="7CC5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3E01ACAC">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04ACD832">
                  <w:pPr>
                    <w:pStyle w:val="94"/>
                    <w:keepNext w:val="0"/>
                    <w:keepLines w:val="0"/>
                    <w:pageBreakBefore w:val="0"/>
                    <w:widowControl/>
                    <w:kinsoku/>
                    <w:wordWrap/>
                    <w:overflowPunct/>
                    <w:topLinePunct w:val="0"/>
                    <w:autoSpaceDE/>
                    <w:autoSpaceDN/>
                    <w:bidi w:val="0"/>
                    <w:adjustRightInd w:val="0"/>
                    <w:snapToGrid w:val="0"/>
                    <w:spacing w:after="0"/>
                    <w:ind w:left="-42" w:leftChars="-20" w:right="-42" w:rightChars="-20" w:firstLine="0" w:firstLineChars="0"/>
                    <w:textAlignment w:val="auto"/>
                    <w:rPr>
                      <w:rFonts w:hint="default" w:eastAsia="宋体"/>
                      <w:bCs/>
                      <w:color w:val="000000"/>
                      <w:kern w:val="0"/>
                      <w:sz w:val="21"/>
                      <w:szCs w:val="21"/>
                      <w:lang w:val="en-US" w:eastAsia="zh-CN" w:bidi="ar-SA"/>
                    </w:rPr>
                  </w:pPr>
                  <w:r>
                    <w:rPr>
                      <w:rFonts w:hint="eastAsia"/>
                      <w:bCs/>
                      <w:color w:val="000000"/>
                      <w:sz w:val="21"/>
                      <w:szCs w:val="21"/>
                      <w:lang w:val="en-US" w:eastAsia="zh-CN"/>
                    </w:rPr>
                    <w:t>成品库房</w:t>
                  </w:r>
                </w:p>
              </w:tc>
              <w:tc>
                <w:tcPr>
                  <w:tcW w:w="3997" w:type="dxa"/>
                  <w:gridSpan w:val="2"/>
                  <w:noWrap w:val="0"/>
                  <w:vAlign w:val="center"/>
                </w:tcPr>
                <w:p w14:paraId="4118872B">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kern w:val="2"/>
                      <w:sz w:val="21"/>
                      <w:szCs w:val="21"/>
                      <w:lang w:val="en-US" w:eastAsia="zh-CN" w:bidi="ar-SA"/>
                    </w:rPr>
                  </w:pPr>
                  <w:r>
                    <w:rPr>
                      <w:rFonts w:hint="eastAsia"/>
                      <w:bCs/>
                      <w:color w:val="000000"/>
                      <w:sz w:val="21"/>
                      <w:szCs w:val="21"/>
                    </w:rPr>
                    <w:t>位于</w:t>
                  </w:r>
                  <w:r>
                    <w:rPr>
                      <w:rFonts w:hint="eastAsia"/>
                      <w:bCs/>
                      <w:color w:val="000000"/>
                      <w:sz w:val="21"/>
                      <w:szCs w:val="21"/>
                      <w:lang w:val="en-US" w:eastAsia="zh-CN"/>
                    </w:rPr>
                    <w:t>1</w:t>
                  </w:r>
                  <w:r>
                    <w:rPr>
                      <w:bCs/>
                      <w:color w:val="000000"/>
                      <w:sz w:val="21"/>
                      <w:szCs w:val="21"/>
                    </w:rPr>
                    <w:t>#厂房</w:t>
                  </w:r>
                  <w:r>
                    <w:rPr>
                      <w:rFonts w:hint="eastAsia"/>
                      <w:bCs/>
                      <w:color w:val="000000"/>
                      <w:sz w:val="21"/>
                      <w:szCs w:val="21"/>
                    </w:rPr>
                    <w:t>内</w:t>
                  </w:r>
                  <w:r>
                    <w:rPr>
                      <w:rFonts w:hint="eastAsia"/>
                      <w:bCs/>
                      <w:color w:val="000000"/>
                      <w:sz w:val="21"/>
                      <w:szCs w:val="21"/>
                      <w:lang w:val="en-US" w:eastAsia="zh-CN"/>
                    </w:rPr>
                    <w:t>南侧（</w:t>
                  </w:r>
                  <w:r>
                    <w:rPr>
                      <w:color w:val="000000"/>
                      <w:sz w:val="21"/>
                      <w:szCs w:val="21"/>
                    </w:rPr>
                    <w:t>面积</w:t>
                  </w:r>
                  <w:r>
                    <w:rPr>
                      <w:rFonts w:hint="eastAsia"/>
                      <w:color w:val="000000"/>
                      <w:sz w:val="21"/>
                      <w:szCs w:val="21"/>
                      <w:lang w:val="en-US" w:eastAsia="zh-CN"/>
                    </w:rPr>
                    <w:t>4500</w:t>
                  </w:r>
                  <w:r>
                    <w:rPr>
                      <w:color w:val="000000"/>
                      <w:sz w:val="21"/>
                      <w:szCs w:val="21"/>
                    </w:rPr>
                    <w:t>m</w:t>
                  </w:r>
                  <w:r>
                    <w:rPr>
                      <w:color w:val="000000"/>
                      <w:sz w:val="21"/>
                      <w:szCs w:val="21"/>
                      <w:vertAlign w:val="superscript"/>
                    </w:rPr>
                    <w:t>2</w:t>
                  </w:r>
                  <w:r>
                    <w:rPr>
                      <w:rFonts w:hint="eastAsia"/>
                      <w:bCs/>
                      <w:color w:val="000000"/>
                      <w:sz w:val="21"/>
                      <w:szCs w:val="21"/>
                      <w:lang w:val="en-US" w:eastAsia="zh-CN"/>
                    </w:rPr>
                    <w:t>）</w:t>
                  </w:r>
                  <w:r>
                    <w:rPr>
                      <w:rFonts w:hint="eastAsia"/>
                      <w:color w:val="000000"/>
                      <w:sz w:val="21"/>
                      <w:szCs w:val="21"/>
                    </w:rPr>
                    <w:t>，用于项目</w:t>
                  </w:r>
                  <w:r>
                    <w:rPr>
                      <w:rFonts w:hint="eastAsia"/>
                      <w:color w:val="000000"/>
                      <w:sz w:val="21"/>
                      <w:szCs w:val="21"/>
                      <w:lang w:val="en-US" w:eastAsia="zh-CN"/>
                    </w:rPr>
                    <w:t>锂离子</w:t>
                  </w:r>
                  <w:r>
                    <w:rPr>
                      <w:rFonts w:hint="eastAsia"/>
                      <w:color w:val="000000"/>
                      <w:sz w:val="21"/>
                      <w:szCs w:val="21"/>
                    </w:rPr>
                    <w:t>负极材料成品堆放</w:t>
                  </w:r>
                  <w:r>
                    <w:rPr>
                      <w:color w:val="000000"/>
                      <w:sz w:val="21"/>
                      <w:szCs w:val="21"/>
                    </w:rPr>
                    <w:t>。</w:t>
                  </w:r>
                </w:p>
              </w:tc>
              <w:tc>
                <w:tcPr>
                  <w:tcW w:w="3364" w:type="dxa"/>
                  <w:noWrap w:val="0"/>
                  <w:vAlign w:val="center"/>
                </w:tcPr>
                <w:p w14:paraId="5FB2C5A5">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kern w:val="2"/>
                      <w:sz w:val="21"/>
                      <w:szCs w:val="21"/>
                      <w:lang w:val="en-US" w:eastAsia="zh-CN" w:bidi="ar-SA"/>
                    </w:rPr>
                  </w:pPr>
                  <w:r>
                    <w:rPr>
                      <w:rFonts w:hint="eastAsia"/>
                      <w:bCs/>
                      <w:color w:val="000000"/>
                      <w:sz w:val="21"/>
                      <w:szCs w:val="21"/>
                    </w:rPr>
                    <w:t>位于</w:t>
                  </w:r>
                  <w:r>
                    <w:rPr>
                      <w:rFonts w:hint="eastAsia"/>
                      <w:bCs/>
                      <w:color w:val="000000"/>
                      <w:sz w:val="21"/>
                      <w:szCs w:val="21"/>
                      <w:lang w:val="en-US" w:eastAsia="zh-CN"/>
                    </w:rPr>
                    <w:t>1</w:t>
                  </w:r>
                  <w:r>
                    <w:rPr>
                      <w:bCs/>
                      <w:color w:val="000000"/>
                      <w:sz w:val="21"/>
                      <w:szCs w:val="21"/>
                    </w:rPr>
                    <w:t>#厂房</w:t>
                  </w:r>
                  <w:r>
                    <w:rPr>
                      <w:rFonts w:hint="eastAsia"/>
                      <w:bCs/>
                      <w:color w:val="000000"/>
                      <w:sz w:val="21"/>
                      <w:szCs w:val="21"/>
                    </w:rPr>
                    <w:t>内</w:t>
                  </w:r>
                  <w:r>
                    <w:rPr>
                      <w:rFonts w:hint="eastAsia"/>
                      <w:bCs/>
                      <w:color w:val="000000"/>
                      <w:sz w:val="21"/>
                      <w:szCs w:val="21"/>
                      <w:lang w:val="en-US" w:eastAsia="zh-CN"/>
                    </w:rPr>
                    <w:t>南侧（</w:t>
                  </w:r>
                  <w:r>
                    <w:rPr>
                      <w:color w:val="000000"/>
                      <w:sz w:val="21"/>
                      <w:szCs w:val="21"/>
                    </w:rPr>
                    <w:t>面积</w:t>
                  </w:r>
                  <w:r>
                    <w:rPr>
                      <w:rFonts w:hint="eastAsia"/>
                      <w:color w:val="000000"/>
                      <w:sz w:val="21"/>
                      <w:szCs w:val="21"/>
                      <w:lang w:val="en-US" w:eastAsia="zh-CN"/>
                    </w:rPr>
                    <w:t>4500</w:t>
                  </w:r>
                  <w:r>
                    <w:rPr>
                      <w:color w:val="000000"/>
                      <w:sz w:val="21"/>
                      <w:szCs w:val="21"/>
                    </w:rPr>
                    <w:t>m</w:t>
                  </w:r>
                  <w:r>
                    <w:rPr>
                      <w:color w:val="000000"/>
                      <w:sz w:val="21"/>
                      <w:szCs w:val="21"/>
                      <w:vertAlign w:val="superscript"/>
                    </w:rPr>
                    <w:t>2</w:t>
                  </w:r>
                  <w:r>
                    <w:rPr>
                      <w:rFonts w:hint="eastAsia"/>
                      <w:bCs/>
                      <w:color w:val="000000"/>
                      <w:sz w:val="21"/>
                      <w:szCs w:val="21"/>
                      <w:lang w:val="en-US" w:eastAsia="zh-CN"/>
                    </w:rPr>
                    <w:t>）</w:t>
                  </w:r>
                  <w:r>
                    <w:rPr>
                      <w:rFonts w:hint="eastAsia"/>
                      <w:color w:val="000000"/>
                      <w:sz w:val="21"/>
                      <w:szCs w:val="21"/>
                    </w:rPr>
                    <w:t>，用于</w:t>
                  </w:r>
                  <w:r>
                    <w:rPr>
                      <w:rFonts w:hint="eastAsia"/>
                      <w:color w:val="000000"/>
                      <w:sz w:val="21"/>
                      <w:szCs w:val="21"/>
                      <w:lang w:val="en-US" w:eastAsia="zh-CN"/>
                    </w:rPr>
                    <w:t>存放锂离子</w:t>
                  </w:r>
                  <w:r>
                    <w:rPr>
                      <w:rFonts w:hint="eastAsia"/>
                      <w:color w:val="000000"/>
                      <w:sz w:val="21"/>
                      <w:szCs w:val="21"/>
                    </w:rPr>
                    <w:t>负极材料</w:t>
                  </w:r>
                  <w:r>
                    <w:rPr>
                      <w:rFonts w:hint="eastAsia"/>
                      <w:color w:val="000000"/>
                      <w:sz w:val="21"/>
                      <w:szCs w:val="21"/>
                      <w:lang w:val="en-US" w:eastAsia="zh-CN"/>
                    </w:rPr>
                    <w:t>与本项目负极粉的成品</w:t>
                  </w:r>
                  <w:r>
                    <w:rPr>
                      <w:rFonts w:hint="eastAsia"/>
                      <w:color w:val="000000"/>
                      <w:sz w:val="21"/>
                      <w:szCs w:val="21"/>
                    </w:rPr>
                    <w:t>堆放</w:t>
                  </w:r>
                  <w:r>
                    <w:rPr>
                      <w:color w:val="000000"/>
                      <w:sz w:val="21"/>
                      <w:szCs w:val="21"/>
                    </w:rPr>
                    <w:t>。</w:t>
                  </w:r>
                </w:p>
              </w:tc>
              <w:tc>
                <w:tcPr>
                  <w:tcW w:w="1260" w:type="dxa"/>
                  <w:vMerge w:val="continue"/>
                  <w:noWrap w:val="0"/>
                  <w:vAlign w:val="center"/>
                </w:tcPr>
                <w:p w14:paraId="38E9BE71">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noWrap w:val="0"/>
                  <w:vAlign w:val="center"/>
                </w:tcPr>
                <w:p w14:paraId="6A38090A">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szCs w:val="21"/>
                      <w:lang w:val="en-US" w:eastAsia="zh-CN"/>
                    </w:rPr>
                  </w:pPr>
                  <w:r>
                    <w:rPr>
                      <w:rFonts w:hint="eastAsia"/>
                      <w:color w:val="000000"/>
                      <w:szCs w:val="21"/>
                      <w:lang w:val="en-US" w:eastAsia="zh-CN"/>
                    </w:rPr>
                    <w:t>/</w:t>
                  </w:r>
                </w:p>
              </w:tc>
              <w:tc>
                <w:tcPr>
                  <w:tcW w:w="1012" w:type="dxa"/>
                  <w:noWrap w:val="0"/>
                  <w:vAlign w:val="center"/>
                </w:tcPr>
                <w:p w14:paraId="531D24D3">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val="en-US" w:eastAsia="zh-CN"/>
                    </w:rPr>
                  </w:pPr>
                  <w:r>
                    <w:rPr>
                      <w:rFonts w:hint="eastAsia"/>
                      <w:color w:val="000000"/>
                      <w:szCs w:val="21"/>
                      <w:lang w:val="en-US" w:eastAsia="zh-CN"/>
                    </w:rPr>
                    <w:t>新建</w:t>
                  </w:r>
                </w:p>
              </w:tc>
            </w:tr>
            <w:tr w14:paraId="1049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52A4A88A">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048C3404">
                  <w:pPr>
                    <w:pStyle w:val="94"/>
                    <w:keepNext w:val="0"/>
                    <w:keepLines w:val="0"/>
                    <w:pageBreakBefore w:val="0"/>
                    <w:widowControl/>
                    <w:kinsoku/>
                    <w:wordWrap/>
                    <w:overflowPunct/>
                    <w:topLinePunct w:val="0"/>
                    <w:autoSpaceDE/>
                    <w:autoSpaceDN/>
                    <w:bidi w:val="0"/>
                    <w:adjustRightInd w:val="0"/>
                    <w:snapToGrid w:val="0"/>
                    <w:spacing w:after="0"/>
                    <w:ind w:left="-42" w:leftChars="-20" w:right="-42" w:rightChars="-20" w:firstLine="0" w:firstLineChars="0"/>
                    <w:textAlignment w:val="auto"/>
                    <w:rPr>
                      <w:rFonts w:hint="eastAsia"/>
                      <w:bCs/>
                      <w:color w:val="000000"/>
                      <w:sz w:val="21"/>
                      <w:szCs w:val="21"/>
                      <w:lang w:val="en-US" w:eastAsia="zh-CN"/>
                    </w:rPr>
                  </w:pPr>
                  <w:r>
                    <w:rPr>
                      <w:rFonts w:hint="eastAsia"/>
                      <w:bCs/>
                      <w:color w:val="000000"/>
                      <w:sz w:val="21"/>
                      <w:szCs w:val="21"/>
                      <w:lang w:val="en-US" w:eastAsia="zh-CN"/>
                    </w:rPr>
                    <w:t>辅料库房</w:t>
                  </w:r>
                </w:p>
              </w:tc>
              <w:tc>
                <w:tcPr>
                  <w:tcW w:w="3997" w:type="dxa"/>
                  <w:gridSpan w:val="2"/>
                  <w:noWrap w:val="0"/>
                  <w:vAlign w:val="center"/>
                </w:tcPr>
                <w:p w14:paraId="1675C47B">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bCs/>
                      <w:color w:val="000000"/>
                      <w:sz w:val="21"/>
                      <w:szCs w:val="21"/>
                    </w:rPr>
                  </w:pPr>
                  <w:r>
                    <w:rPr>
                      <w:rFonts w:hint="eastAsia"/>
                      <w:bCs/>
                      <w:color w:val="000000"/>
                      <w:sz w:val="21"/>
                      <w:szCs w:val="21"/>
                      <w:lang w:val="en-US" w:eastAsia="zh-CN"/>
                    </w:rPr>
                    <w:t>位于厂区东南侧，约200</w:t>
                  </w:r>
                  <w:r>
                    <w:rPr>
                      <w:color w:val="auto"/>
                      <w:szCs w:val="21"/>
                    </w:rPr>
                    <w:t>m</w:t>
                  </w:r>
                  <w:r>
                    <w:rPr>
                      <w:color w:val="auto"/>
                      <w:szCs w:val="21"/>
                      <w:vertAlign w:val="superscript"/>
                    </w:rPr>
                    <w:t>2</w:t>
                  </w:r>
                  <w:r>
                    <w:rPr>
                      <w:rFonts w:hint="eastAsia"/>
                      <w:color w:val="auto"/>
                      <w:szCs w:val="21"/>
                      <w:lang w:val="en-US" w:eastAsia="zh-CN"/>
                    </w:rPr>
                    <w:t>，用于暂存机油/润滑油，以及废气处理系统药剂。</w:t>
                  </w:r>
                </w:p>
              </w:tc>
              <w:tc>
                <w:tcPr>
                  <w:tcW w:w="3364" w:type="dxa"/>
                  <w:noWrap w:val="0"/>
                  <w:vAlign w:val="center"/>
                </w:tcPr>
                <w:p w14:paraId="641269CB">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bCs/>
                      <w:color w:val="000000"/>
                      <w:sz w:val="21"/>
                      <w:szCs w:val="21"/>
                      <w:lang w:val="en-US" w:eastAsia="zh-CN"/>
                    </w:rPr>
                  </w:pPr>
                  <w:r>
                    <w:rPr>
                      <w:rFonts w:hint="eastAsia"/>
                      <w:bCs/>
                      <w:color w:val="000000"/>
                      <w:sz w:val="21"/>
                      <w:szCs w:val="21"/>
                      <w:lang w:val="en-US" w:eastAsia="zh-CN"/>
                    </w:rPr>
                    <w:t>依托已建</w:t>
                  </w:r>
                </w:p>
              </w:tc>
              <w:tc>
                <w:tcPr>
                  <w:tcW w:w="1260" w:type="dxa"/>
                  <w:vMerge w:val="continue"/>
                  <w:noWrap w:val="0"/>
                  <w:vAlign w:val="center"/>
                </w:tcPr>
                <w:p w14:paraId="1E6DC7EC">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noWrap w:val="0"/>
                  <w:vAlign w:val="center"/>
                </w:tcPr>
                <w:p w14:paraId="5A6B087B">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lang w:val="en-US" w:eastAsia="zh-CN"/>
                    </w:rPr>
                  </w:pPr>
                </w:p>
              </w:tc>
              <w:tc>
                <w:tcPr>
                  <w:tcW w:w="1012" w:type="dxa"/>
                  <w:noWrap w:val="0"/>
                  <w:vAlign w:val="center"/>
                </w:tcPr>
                <w:p w14:paraId="72BE1EC1">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szCs w:val="21"/>
                      <w:lang w:val="en-US" w:eastAsia="zh-CN"/>
                    </w:rPr>
                  </w:pPr>
                  <w:r>
                    <w:rPr>
                      <w:rFonts w:hint="eastAsia"/>
                      <w:color w:val="000000"/>
                      <w:szCs w:val="21"/>
                      <w:lang w:val="en-US" w:eastAsia="zh-CN"/>
                    </w:rPr>
                    <w:t>依托</w:t>
                  </w:r>
                </w:p>
              </w:tc>
            </w:tr>
            <w:tr w14:paraId="5787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restart"/>
                  <w:noWrap w:val="0"/>
                  <w:vAlign w:val="center"/>
                </w:tcPr>
                <w:p w14:paraId="598B8121">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公用工程</w:t>
                  </w:r>
                </w:p>
              </w:tc>
              <w:tc>
                <w:tcPr>
                  <w:tcW w:w="857" w:type="dxa"/>
                  <w:noWrap w:val="0"/>
                  <w:vAlign w:val="center"/>
                </w:tcPr>
                <w:p w14:paraId="576C02A6">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eastAsia" w:eastAsia="宋体"/>
                      <w:color w:val="000000"/>
                      <w:szCs w:val="21"/>
                      <w:lang w:eastAsia="zh-CN"/>
                    </w:rPr>
                  </w:pPr>
                  <w:r>
                    <w:rPr>
                      <w:color w:val="000000"/>
                      <w:szCs w:val="21"/>
                    </w:rPr>
                    <w:t>给水</w:t>
                  </w:r>
                </w:p>
              </w:tc>
              <w:tc>
                <w:tcPr>
                  <w:tcW w:w="3997" w:type="dxa"/>
                  <w:gridSpan w:val="2"/>
                  <w:noWrap w:val="0"/>
                  <w:vAlign w:val="center"/>
                </w:tcPr>
                <w:p w14:paraId="51D5428E">
                  <w:pPr>
                    <w:pStyle w:val="95"/>
                    <w:spacing w:line="240" w:lineRule="auto"/>
                    <w:ind w:firstLine="0" w:firstLineChars="0"/>
                    <w:jc w:val="center"/>
                    <w:rPr>
                      <w:color w:val="000000"/>
                      <w:kern w:val="2"/>
                      <w:sz w:val="21"/>
                      <w:szCs w:val="21"/>
                      <w:lang w:val="en-US" w:eastAsia="zh-CN" w:bidi="ar-SA"/>
                    </w:rPr>
                  </w:pPr>
                  <w:r>
                    <w:rPr>
                      <w:color w:val="000000"/>
                      <w:szCs w:val="21"/>
                    </w:rPr>
                    <w:t>用水为自来水，供水水源来源于市政给水管网</w:t>
                  </w:r>
                </w:p>
              </w:tc>
              <w:tc>
                <w:tcPr>
                  <w:tcW w:w="3364" w:type="dxa"/>
                  <w:noWrap w:val="0"/>
                  <w:vAlign w:val="center"/>
                </w:tcPr>
                <w:p w14:paraId="344BB9D3">
                  <w:pPr>
                    <w:pStyle w:val="95"/>
                    <w:spacing w:line="240" w:lineRule="auto"/>
                    <w:ind w:firstLine="0" w:firstLineChars="0"/>
                    <w:jc w:val="center"/>
                    <w:rPr>
                      <w:color w:val="000000"/>
                      <w:kern w:val="2"/>
                      <w:sz w:val="21"/>
                      <w:szCs w:val="21"/>
                      <w:lang w:val="en-US" w:eastAsia="zh-CN" w:bidi="ar-SA"/>
                    </w:rPr>
                  </w:pPr>
                  <w:r>
                    <w:rPr>
                      <w:rFonts w:hint="eastAsia"/>
                      <w:color w:val="000000"/>
                      <w:kern w:val="2"/>
                      <w:sz w:val="21"/>
                      <w:szCs w:val="21"/>
                      <w:lang w:val="en-US" w:eastAsia="zh-CN" w:bidi="ar-SA"/>
                    </w:rPr>
                    <w:t>依托已建</w:t>
                  </w:r>
                </w:p>
              </w:tc>
              <w:tc>
                <w:tcPr>
                  <w:tcW w:w="1260" w:type="dxa"/>
                  <w:vMerge w:val="continue"/>
                  <w:noWrap w:val="0"/>
                  <w:vAlign w:val="center"/>
                </w:tcPr>
                <w:p w14:paraId="340AE75F">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lang w:eastAsia="zh-CN"/>
                    </w:rPr>
                  </w:pPr>
                </w:p>
              </w:tc>
              <w:tc>
                <w:tcPr>
                  <w:tcW w:w="1155" w:type="dxa"/>
                  <w:noWrap w:val="0"/>
                  <w:vAlign w:val="center"/>
                </w:tcPr>
                <w:p w14:paraId="10E7304F">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val="en-US" w:eastAsia="zh-CN"/>
                    </w:rPr>
                    <w:t>/</w:t>
                  </w:r>
                </w:p>
              </w:tc>
              <w:tc>
                <w:tcPr>
                  <w:tcW w:w="1012" w:type="dxa"/>
                  <w:noWrap w:val="0"/>
                  <w:vAlign w:val="center"/>
                </w:tcPr>
                <w:p w14:paraId="6E1DC128">
                  <w:pPr>
                    <w:pStyle w:val="94"/>
                    <w:ind w:firstLine="0" w:firstLineChars="0"/>
                    <w:rPr>
                      <w:rFonts w:hint="eastAsia"/>
                      <w:color w:val="000000"/>
                      <w:szCs w:val="21"/>
                      <w:lang w:eastAsia="zh-CN"/>
                    </w:rPr>
                  </w:pPr>
                  <w:r>
                    <w:rPr>
                      <w:rFonts w:hint="eastAsia"/>
                      <w:color w:val="000000"/>
                      <w:szCs w:val="21"/>
                      <w:lang w:val="en-US" w:eastAsia="zh-CN"/>
                    </w:rPr>
                    <w:t>依托</w:t>
                  </w:r>
                </w:p>
              </w:tc>
            </w:tr>
            <w:tr w14:paraId="2A83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vMerge w:val="continue"/>
                  <w:noWrap w:val="0"/>
                  <w:vAlign w:val="center"/>
                </w:tcPr>
                <w:p w14:paraId="1EBF1C92">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5DF6A322">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color w:val="000000"/>
                      <w:szCs w:val="21"/>
                    </w:rPr>
                  </w:pPr>
                  <w:r>
                    <w:rPr>
                      <w:rFonts w:hint="eastAsia"/>
                      <w:color w:val="000000"/>
                      <w:szCs w:val="21"/>
                    </w:rPr>
                    <w:t>雨水</w:t>
                  </w:r>
                </w:p>
              </w:tc>
              <w:tc>
                <w:tcPr>
                  <w:tcW w:w="3997" w:type="dxa"/>
                  <w:gridSpan w:val="2"/>
                  <w:noWrap w:val="0"/>
                  <w:vAlign w:val="center"/>
                </w:tcPr>
                <w:p w14:paraId="3A27C8C7">
                  <w:pPr>
                    <w:pStyle w:val="95"/>
                    <w:spacing w:line="240" w:lineRule="auto"/>
                    <w:ind w:firstLine="0" w:firstLineChars="0"/>
                    <w:jc w:val="center"/>
                    <w:rPr>
                      <w:rFonts w:hint="default" w:eastAsia="宋体"/>
                      <w:color w:val="000000"/>
                      <w:kern w:val="2"/>
                      <w:sz w:val="21"/>
                      <w:szCs w:val="21"/>
                      <w:lang w:val="en-US" w:eastAsia="zh-CN" w:bidi="ar-SA"/>
                    </w:rPr>
                  </w:pPr>
                  <w:r>
                    <w:rPr>
                      <w:rFonts w:hint="eastAsia" w:eastAsia="宋体"/>
                      <w:color w:val="000000"/>
                      <w:kern w:val="2"/>
                      <w:sz w:val="21"/>
                      <w:szCs w:val="21"/>
                      <w:lang w:val="en-US" w:eastAsia="zh-CN" w:bidi="ar-SA"/>
                    </w:rPr>
                    <w:t>未建</w:t>
                  </w:r>
                </w:p>
              </w:tc>
              <w:tc>
                <w:tcPr>
                  <w:tcW w:w="3364" w:type="dxa"/>
                  <w:noWrap w:val="0"/>
                  <w:vAlign w:val="center"/>
                </w:tcPr>
                <w:p w14:paraId="5089417D">
                  <w:pPr>
                    <w:pStyle w:val="95"/>
                    <w:spacing w:line="240" w:lineRule="auto"/>
                    <w:ind w:firstLine="0" w:firstLineChars="0"/>
                    <w:jc w:val="center"/>
                    <w:rPr>
                      <w:rFonts w:hint="eastAsia" w:eastAsia="宋体"/>
                      <w:color w:val="000000"/>
                      <w:kern w:val="2"/>
                      <w:sz w:val="21"/>
                      <w:szCs w:val="21"/>
                      <w:lang w:val="en-US" w:eastAsia="zh-CN" w:bidi="ar-SA"/>
                    </w:rPr>
                  </w:pPr>
                  <w:r>
                    <w:rPr>
                      <w:rFonts w:hint="eastAsia"/>
                      <w:color w:val="000000"/>
                      <w:szCs w:val="21"/>
                      <w:lang w:val="en-US" w:eastAsia="zh-CN"/>
                    </w:rPr>
                    <w:t>新建</w:t>
                  </w:r>
                  <w:r>
                    <w:rPr>
                      <w:rFonts w:hint="eastAsia"/>
                      <w:color w:val="000000"/>
                      <w:szCs w:val="21"/>
                    </w:rPr>
                    <w:t>雨水收集池（</w:t>
                  </w:r>
                  <w:r>
                    <w:rPr>
                      <w:rFonts w:hint="eastAsia"/>
                      <w:color w:val="000000"/>
                      <w:szCs w:val="21"/>
                      <w:lang w:val="en-US" w:eastAsia="zh-CN"/>
                    </w:rPr>
                    <w:t>240</w:t>
                  </w:r>
                  <w:r>
                    <w:rPr>
                      <w:color w:val="000000"/>
                      <w:szCs w:val="21"/>
                    </w:rPr>
                    <w:t>m</w:t>
                  </w:r>
                  <w:r>
                    <w:rPr>
                      <w:color w:val="000000"/>
                      <w:szCs w:val="21"/>
                      <w:vertAlign w:val="superscript"/>
                    </w:rPr>
                    <w:t>3</w:t>
                  </w:r>
                  <w:r>
                    <w:rPr>
                      <w:rFonts w:hint="eastAsia"/>
                      <w:color w:val="000000"/>
                      <w:szCs w:val="21"/>
                    </w:rPr>
                    <w:t>），</w:t>
                  </w:r>
                  <w:r>
                    <w:rPr>
                      <w:rFonts w:hint="eastAsia"/>
                      <w:color w:val="000000"/>
                      <w:szCs w:val="21"/>
                      <w:lang w:val="en-US" w:eastAsia="zh-CN"/>
                    </w:rPr>
                    <w:t>位于厂区东北侧、办公生活楼后方；</w:t>
                  </w:r>
                  <w:r>
                    <w:rPr>
                      <w:rFonts w:hint="eastAsia"/>
                      <w:color w:val="000000"/>
                      <w:szCs w:val="21"/>
                    </w:rPr>
                    <w:t>初期雨水收集经沉淀处理后，达标排入园区污水管网。</w:t>
                  </w:r>
                </w:p>
              </w:tc>
              <w:tc>
                <w:tcPr>
                  <w:tcW w:w="1260" w:type="dxa"/>
                  <w:vMerge w:val="continue"/>
                  <w:noWrap w:val="0"/>
                  <w:vAlign w:val="center"/>
                </w:tcPr>
                <w:p w14:paraId="56C890CD">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rPr>
                  </w:pPr>
                </w:p>
              </w:tc>
              <w:tc>
                <w:tcPr>
                  <w:tcW w:w="1155" w:type="dxa"/>
                  <w:noWrap w:val="0"/>
                  <w:vAlign w:val="center"/>
                </w:tcPr>
                <w:p w14:paraId="1F7BF8AC">
                  <w:pPr>
                    <w:keepNext w:val="0"/>
                    <w:keepLines w:val="0"/>
                    <w:pageBreakBefore w:val="0"/>
                    <w:widowControl w:val="0"/>
                    <w:kinsoku/>
                    <w:wordWrap/>
                    <w:overflowPunct/>
                    <w:topLinePunct w:val="0"/>
                    <w:autoSpaceDE/>
                    <w:autoSpaceDN/>
                    <w:bidi w:val="0"/>
                    <w:ind w:firstLine="0" w:firstLineChars="0"/>
                    <w:jc w:val="center"/>
                    <w:textAlignment w:val="auto"/>
                    <w:rPr>
                      <w:rFonts w:hint="default" w:eastAsia="宋体"/>
                      <w:color w:val="000000"/>
                      <w:szCs w:val="21"/>
                      <w:lang w:val="en-US" w:eastAsia="zh-CN"/>
                    </w:rPr>
                  </w:pPr>
                  <w:r>
                    <w:rPr>
                      <w:rFonts w:hint="eastAsia"/>
                      <w:color w:val="000000"/>
                      <w:szCs w:val="21"/>
                      <w:lang w:val="en-US" w:eastAsia="zh-CN"/>
                    </w:rPr>
                    <w:t>/</w:t>
                  </w:r>
                </w:p>
              </w:tc>
              <w:tc>
                <w:tcPr>
                  <w:tcW w:w="1012" w:type="dxa"/>
                  <w:noWrap w:val="0"/>
                  <w:vAlign w:val="center"/>
                </w:tcPr>
                <w:p w14:paraId="66F26664">
                  <w:pPr>
                    <w:pStyle w:val="94"/>
                    <w:ind w:firstLine="0" w:firstLineChars="0"/>
                    <w:rPr>
                      <w:rFonts w:hint="eastAsia"/>
                      <w:color w:val="000000"/>
                      <w:szCs w:val="21"/>
                    </w:rPr>
                  </w:pPr>
                  <w:r>
                    <w:rPr>
                      <w:rFonts w:hint="eastAsia"/>
                      <w:color w:val="000000"/>
                      <w:szCs w:val="21"/>
                      <w:lang w:val="en-US" w:eastAsia="zh-CN"/>
                    </w:rPr>
                    <w:t>依托</w:t>
                  </w:r>
                </w:p>
              </w:tc>
            </w:tr>
            <w:tr w14:paraId="3E3A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vMerge w:val="continue"/>
                  <w:noWrap w:val="0"/>
                  <w:vAlign w:val="center"/>
                </w:tcPr>
                <w:p w14:paraId="18D67AC7">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15358C8F">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color w:val="000000"/>
                      <w:szCs w:val="21"/>
                    </w:rPr>
                  </w:pPr>
                  <w:r>
                    <w:rPr>
                      <w:color w:val="000000"/>
                      <w:szCs w:val="21"/>
                    </w:rPr>
                    <w:t>排水</w:t>
                  </w:r>
                </w:p>
              </w:tc>
              <w:tc>
                <w:tcPr>
                  <w:tcW w:w="3997" w:type="dxa"/>
                  <w:gridSpan w:val="2"/>
                  <w:noWrap w:val="0"/>
                  <w:vAlign w:val="center"/>
                </w:tcPr>
                <w:p w14:paraId="6D479B68">
                  <w:pPr>
                    <w:pStyle w:val="95"/>
                    <w:spacing w:line="240" w:lineRule="auto"/>
                    <w:ind w:firstLine="0" w:firstLineChars="0"/>
                    <w:jc w:val="center"/>
                    <w:rPr>
                      <w:color w:val="000000"/>
                      <w:kern w:val="2"/>
                      <w:sz w:val="21"/>
                      <w:szCs w:val="21"/>
                      <w:lang w:val="en-US" w:eastAsia="zh-CN" w:bidi="ar-SA"/>
                    </w:rPr>
                  </w:pPr>
                  <w:r>
                    <w:rPr>
                      <w:color w:val="000000"/>
                      <w:szCs w:val="21"/>
                    </w:rPr>
                    <w:t>采用雨污分流，雨水通过雨水收集沟</w:t>
                  </w:r>
                  <w:r>
                    <w:rPr>
                      <w:rFonts w:hint="eastAsia"/>
                      <w:color w:val="000000"/>
                      <w:szCs w:val="21"/>
                    </w:rPr>
                    <w:t>收集，通过厂区雨水排口接园区</w:t>
                  </w:r>
                  <w:r>
                    <w:rPr>
                      <w:rFonts w:hint="eastAsia"/>
                      <w:color w:val="000000"/>
                      <w:szCs w:val="21"/>
                      <w:lang w:val="en-US" w:eastAsia="zh-CN"/>
                    </w:rPr>
                    <w:t>雨水</w:t>
                  </w:r>
                  <w:r>
                    <w:rPr>
                      <w:rFonts w:hint="eastAsia"/>
                      <w:color w:val="000000"/>
                      <w:szCs w:val="21"/>
                    </w:rPr>
                    <w:t>管网排放，</w:t>
                  </w:r>
                  <w:r>
                    <w:rPr>
                      <w:rFonts w:hint="eastAsia"/>
                      <w:color w:val="000000"/>
                      <w:szCs w:val="21"/>
                      <w:lang w:val="en-US" w:eastAsia="zh-CN"/>
                    </w:rPr>
                    <w:t>生产循环冷却水经循环冷却水池沉淀后定期排入脱硫塔沉淀循环水池回用，不外排，</w:t>
                  </w:r>
                  <w:r>
                    <w:rPr>
                      <w:color w:val="000000"/>
                      <w:szCs w:val="21"/>
                    </w:rPr>
                    <w:t>生活污水经预处理</w:t>
                  </w:r>
                  <w:r>
                    <w:rPr>
                      <w:rFonts w:hint="eastAsia"/>
                      <w:color w:val="000000"/>
                      <w:szCs w:val="21"/>
                      <w:lang w:val="en-US" w:eastAsia="zh-CN"/>
                    </w:rPr>
                    <w:t>池</w:t>
                  </w:r>
                  <w:r>
                    <w:rPr>
                      <w:rFonts w:hint="eastAsia"/>
                      <w:color w:val="000000"/>
                      <w:szCs w:val="21"/>
                    </w:rPr>
                    <w:t>（1</w:t>
                  </w:r>
                  <w:r>
                    <w:rPr>
                      <w:color w:val="000000"/>
                      <w:szCs w:val="21"/>
                    </w:rPr>
                    <w:t>00m</w:t>
                  </w:r>
                  <w:r>
                    <w:rPr>
                      <w:color w:val="000000"/>
                      <w:szCs w:val="21"/>
                      <w:vertAlign w:val="superscript"/>
                    </w:rPr>
                    <w:t>3</w:t>
                  </w:r>
                  <w:r>
                    <w:rPr>
                      <w:rFonts w:hint="eastAsia"/>
                      <w:color w:val="000000"/>
                      <w:szCs w:val="21"/>
                    </w:rPr>
                    <w:t>）</w:t>
                  </w:r>
                  <w:r>
                    <w:rPr>
                      <w:rFonts w:hint="eastAsia"/>
                      <w:color w:val="000000"/>
                      <w:szCs w:val="21"/>
                      <w:lang w:val="en-US" w:eastAsia="zh-CN"/>
                    </w:rPr>
                    <w:t>处理</w:t>
                  </w:r>
                  <w:r>
                    <w:rPr>
                      <w:color w:val="000000"/>
                      <w:szCs w:val="21"/>
                    </w:rPr>
                    <w:t>后满足《污水综合排放标准》（GB8978-1996）三级标准排入园区污水管网。</w:t>
                  </w:r>
                </w:p>
              </w:tc>
              <w:tc>
                <w:tcPr>
                  <w:tcW w:w="3364" w:type="dxa"/>
                  <w:noWrap w:val="0"/>
                  <w:vAlign w:val="center"/>
                </w:tcPr>
                <w:p w14:paraId="26D2366B">
                  <w:pPr>
                    <w:pStyle w:val="95"/>
                    <w:spacing w:line="240" w:lineRule="auto"/>
                    <w:ind w:firstLine="0" w:firstLineChars="0"/>
                    <w:jc w:val="center"/>
                    <w:rPr>
                      <w:color w:val="000000"/>
                      <w:kern w:val="2"/>
                      <w:sz w:val="21"/>
                      <w:szCs w:val="21"/>
                      <w:lang w:val="en-US" w:eastAsia="zh-CN" w:bidi="ar-SA"/>
                    </w:rPr>
                  </w:pPr>
                  <w:r>
                    <w:rPr>
                      <w:color w:val="000000"/>
                      <w:szCs w:val="21"/>
                    </w:rPr>
                    <w:t>采用雨污分流，雨水通过雨水收集沟</w:t>
                  </w:r>
                  <w:r>
                    <w:rPr>
                      <w:rFonts w:hint="eastAsia"/>
                      <w:color w:val="000000"/>
                      <w:szCs w:val="21"/>
                    </w:rPr>
                    <w:t>收集，通过厂区雨水排口接园区</w:t>
                  </w:r>
                  <w:r>
                    <w:rPr>
                      <w:rFonts w:hint="eastAsia"/>
                      <w:color w:val="000000"/>
                      <w:szCs w:val="21"/>
                      <w:lang w:val="en-US" w:eastAsia="zh-CN"/>
                    </w:rPr>
                    <w:t>雨水</w:t>
                  </w:r>
                  <w:r>
                    <w:rPr>
                      <w:rFonts w:hint="eastAsia"/>
                      <w:color w:val="000000"/>
                      <w:szCs w:val="21"/>
                    </w:rPr>
                    <w:t>管网排放，初期雨水单独收集</w:t>
                  </w:r>
                  <w:r>
                    <w:rPr>
                      <w:rFonts w:hint="eastAsia"/>
                      <w:color w:val="000000"/>
                      <w:szCs w:val="21"/>
                      <w:lang w:val="en-US" w:eastAsia="zh-CN"/>
                    </w:rPr>
                    <w:t>沉淀</w:t>
                  </w:r>
                  <w:r>
                    <w:rPr>
                      <w:rFonts w:hint="eastAsia"/>
                      <w:color w:val="000000"/>
                      <w:szCs w:val="21"/>
                    </w:rPr>
                    <w:t>后接</w:t>
                  </w:r>
                  <w:r>
                    <w:rPr>
                      <w:rFonts w:hint="eastAsia"/>
                      <w:color w:val="000000"/>
                      <w:szCs w:val="21"/>
                      <w:lang w:val="en-US" w:eastAsia="zh-CN"/>
                    </w:rPr>
                    <w:t>回用于脱硫塔补充用水，不外排</w:t>
                  </w:r>
                  <w:r>
                    <w:rPr>
                      <w:color w:val="000000"/>
                      <w:szCs w:val="21"/>
                    </w:rPr>
                    <w:t>；</w:t>
                  </w:r>
                  <w:r>
                    <w:rPr>
                      <w:rFonts w:hint="eastAsia"/>
                      <w:color w:val="000000"/>
                      <w:szCs w:val="21"/>
                      <w:lang w:val="en-US" w:eastAsia="zh-CN"/>
                    </w:rPr>
                    <w:t>生产循环冷却水经循环冷却水池沉淀后定期排入脱硫塔沉淀循环水池回用，不外排，</w:t>
                  </w:r>
                  <w:r>
                    <w:rPr>
                      <w:color w:val="000000"/>
                      <w:szCs w:val="21"/>
                    </w:rPr>
                    <w:t>生活污水经预处理</w:t>
                  </w:r>
                  <w:r>
                    <w:rPr>
                      <w:rFonts w:hint="eastAsia"/>
                      <w:color w:val="000000"/>
                      <w:szCs w:val="21"/>
                      <w:lang w:val="en-US" w:eastAsia="zh-CN"/>
                    </w:rPr>
                    <w:t>池</w:t>
                  </w:r>
                  <w:r>
                    <w:rPr>
                      <w:rFonts w:hint="eastAsia"/>
                      <w:color w:val="000000"/>
                      <w:szCs w:val="21"/>
                    </w:rPr>
                    <w:t>（1</w:t>
                  </w:r>
                  <w:r>
                    <w:rPr>
                      <w:color w:val="000000"/>
                      <w:szCs w:val="21"/>
                    </w:rPr>
                    <w:t>00m</w:t>
                  </w:r>
                  <w:r>
                    <w:rPr>
                      <w:color w:val="000000"/>
                      <w:szCs w:val="21"/>
                      <w:vertAlign w:val="superscript"/>
                    </w:rPr>
                    <w:t>3</w:t>
                  </w:r>
                  <w:r>
                    <w:rPr>
                      <w:rFonts w:hint="eastAsia"/>
                      <w:color w:val="000000"/>
                      <w:szCs w:val="21"/>
                    </w:rPr>
                    <w:t>）</w:t>
                  </w:r>
                  <w:r>
                    <w:rPr>
                      <w:rFonts w:hint="eastAsia"/>
                      <w:color w:val="000000"/>
                      <w:szCs w:val="21"/>
                      <w:lang w:val="en-US" w:eastAsia="zh-CN"/>
                    </w:rPr>
                    <w:t>处理</w:t>
                  </w:r>
                  <w:r>
                    <w:rPr>
                      <w:color w:val="000000"/>
                      <w:szCs w:val="21"/>
                    </w:rPr>
                    <w:t>后满足《污水综合排放标准》（GB8978-1996）三级标准排入园区污水管网。</w:t>
                  </w:r>
                </w:p>
              </w:tc>
              <w:tc>
                <w:tcPr>
                  <w:tcW w:w="1260" w:type="dxa"/>
                  <w:vMerge w:val="continue"/>
                  <w:noWrap w:val="0"/>
                  <w:vAlign w:val="center"/>
                </w:tcPr>
                <w:p w14:paraId="3EEE2BF9">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rPr>
                  </w:pPr>
                </w:p>
              </w:tc>
              <w:tc>
                <w:tcPr>
                  <w:tcW w:w="1155" w:type="dxa"/>
                  <w:noWrap w:val="0"/>
                  <w:vAlign w:val="center"/>
                </w:tcPr>
                <w:p w14:paraId="6E778C29">
                  <w:pPr>
                    <w:keepNext w:val="0"/>
                    <w:keepLines w:val="0"/>
                    <w:pageBreakBefore w:val="0"/>
                    <w:widowControl w:val="0"/>
                    <w:kinsoku/>
                    <w:wordWrap/>
                    <w:overflowPunct/>
                    <w:topLinePunct w:val="0"/>
                    <w:autoSpaceDE/>
                    <w:autoSpaceDN/>
                    <w:bidi w:val="0"/>
                    <w:ind w:firstLine="0" w:firstLineChars="0"/>
                    <w:jc w:val="center"/>
                    <w:textAlignment w:val="auto"/>
                    <w:rPr>
                      <w:rFonts w:hint="eastAsia" w:eastAsia="宋体"/>
                      <w:bCs/>
                      <w:color w:val="000000"/>
                      <w:szCs w:val="21"/>
                      <w:lang w:eastAsia="zh-CN"/>
                    </w:rPr>
                  </w:pPr>
                  <w:r>
                    <w:rPr>
                      <w:rFonts w:hint="eastAsia"/>
                      <w:color w:val="000000"/>
                      <w:szCs w:val="21"/>
                      <w:lang w:val="en-US" w:eastAsia="zh-CN"/>
                    </w:rPr>
                    <w:t>/</w:t>
                  </w:r>
                </w:p>
              </w:tc>
              <w:tc>
                <w:tcPr>
                  <w:tcW w:w="1012" w:type="dxa"/>
                  <w:noWrap w:val="0"/>
                  <w:vAlign w:val="center"/>
                </w:tcPr>
                <w:p w14:paraId="2E110E56">
                  <w:pPr>
                    <w:jc w:val="center"/>
                    <w:rPr>
                      <w:rFonts w:hint="default" w:eastAsia="宋体"/>
                      <w:color w:val="000000"/>
                      <w:szCs w:val="21"/>
                      <w:lang w:val="en-US" w:eastAsia="zh-CN"/>
                    </w:rPr>
                  </w:pPr>
                  <w:r>
                    <w:rPr>
                      <w:rFonts w:hint="eastAsia"/>
                      <w:color w:val="000000"/>
                      <w:szCs w:val="21"/>
                      <w:lang w:val="en-US" w:eastAsia="zh-CN"/>
                    </w:rPr>
                    <w:t>整改、依托</w:t>
                  </w:r>
                </w:p>
              </w:tc>
            </w:tr>
            <w:tr w14:paraId="4A7F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57D04860">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08F4E6A0">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eastAsia" w:eastAsia="宋体"/>
                      <w:color w:val="000000"/>
                      <w:szCs w:val="21"/>
                      <w:lang w:eastAsia="zh-CN"/>
                    </w:rPr>
                  </w:pPr>
                  <w:r>
                    <w:rPr>
                      <w:color w:val="000000"/>
                      <w:szCs w:val="21"/>
                    </w:rPr>
                    <w:t>供电</w:t>
                  </w:r>
                </w:p>
              </w:tc>
              <w:tc>
                <w:tcPr>
                  <w:tcW w:w="3997" w:type="dxa"/>
                  <w:gridSpan w:val="2"/>
                  <w:noWrap w:val="0"/>
                  <w:vAlign w:val="center"/>
                </w:tcPr>
                <w:p w14:paraId="54FC3FB0">
                  <w:pPr>
                    <w:pStyle w:val="95"/>
                    <w:spacing w:line="240" w:lineRule="auto"/>
                    <w:ind w:firstLine="0" w:firstLineChars="0"/>
                    <w:jc w:val="center"/>
                    <w:rPr>
                      <w:color w:val="000000"/>
                      <w:kern w:val="2"/>
                      <w:sz w:val="21"/>
                      <w:szCs w:val="21"/>
                      <w:lang w:val="en-US" w:eastAsia="zh-CN" w:bidi="ar-SA"/>
                    </w:rPr>
                  </w:pPr>
                  <w:r>
                    <w:rPr>
                      <w:color w:val="000000"/>
                      <w:szCs w:val="21"/>
                    </w:rPr>
                    <w:t>已建的</w:t>
                  </w:r>
                  <w:r>
                    <w:rPr>
                      <w:rFonts w:hint="eastAsia"/>
                      <w:color w:val="000000"/>
                      <w:szCs w:val="21"/>
                    </w:rPr>
                    <w:t>1个</w:t>
                  </w:r>
                  <w:r>
                    <w:rPr>
                      <w:color w:val="000000"/>
                      <w:szCs w:val="21"/>
                    </w:rPr>
                    <w:t>10KV电源，一个2万KVA的变压器。</w:t>
                  </w:r>
                </w:p>
              </w:tc>
              <w:tc>
                <w:tcPr>
                  <w:tcW w:w="3364" w:type="dxa"/>
                  <w:noWrap w:val="0"/>
                  <w:vAlign w:val="center"/>
                </w:tcPr>
                <w:p w14:paraId="19D9E067">
                  <w:pPr>
                    <w:pStyle w:val="95"/>
                    <w:spacing w:line="240" w:lineRule="auto"/>
                    <w:ind w:firstLine="0" w:firstLineChars="0"/>
                    <w:jc w:val="center"/>
                    <w:rPr>
                      <w:color w:val="000000"/>
                      <w:kern w:val="2"/>
                      <w:sz w:val="21"/>
                      <w:szCs w:val="21"/>
                      <w:lang w:val="en-US" w:eastAsia="zh-CN" w:bidi="ar-SA"/>
                    </w:rPr>
                  </w:pPr>
                  <w:r>
                    <w:rPr>
                      <w:rFonts w:hint="eastAsia"/>
                      <w:color w:val="000000"/>
                      <w:kern w:val="2"/>
                      <w:sz w:val="21"/>
                      <w:szCs w:val="21"/>
                      <w:lang w:val="en-US" w:eastAsia="zh-CN" w:bidi="ar-SA"/>
                    </w:rPr>
                    <w:t>依托已建</w:t>
                  </w:r>
                </w:p>
              </w:tc>
              <w:tc>
                <w:tcPr>
                  <w:tcW w:w="1260" w:type="dxa"/>
                  <w:vMerge w:val="continue"/>
                  <w:noWrap w:val="0"/>
                  <w:vAlign w:val="center"/>
                </w:tcPr>
                <w:p w14:paraId="5C27EBE1">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rPr>
                  </w:pPr>
                </w:p>
              </w:tc>
              <w:tc>
                <w:tcPr>
                  <w:tcW w:w="1155" w:type="dxa"/>
                  <w:noWrap w:val="0"/>
                  <w:vAlign w:val="center"/>
                </w:tcPr>
                <w:p w14:paraId="5C79962D">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lang w:val="en-US" w:eastAsia="zh-CN"/>
                    </w:rPr>
                  </w:pPr>
                  <w:r>
                    <w:rPr>
                      <w:rFonts w:hint="eastAsia"/>
                      <w:color w:val="000000"/>
                      <w:szCs w:val="21"/>
                      <w:lang w:val="en-US" w:eastAsia="zh-CN"/>
                    </w:rPr>
                    <w:t>/</w:t>
                  </w:r>
                </w:p>
              </w:tc>
              <w:tc>
                <w:tcPr>
                  <w:tcW w:w="1012" w:type="dxa"/>
                  <w:noWrap w:val="0"/>
                  <w:vAlign w:val="center"/>
                </w:tcPr>
                <w:p w14:paraId="5B0F9DD2">
                  <w:pPr>
                    <w:jc w:val="center"/>
                    <w:rPr>
                      <w:rFonts w:hint="default" w:eastAsia="宋体"/>
                      <w:color w:val="000000"/>
                      <w:szCs w:val="21"/>
                      <w:lang w:val="en-US" w:eastAsia="zh-CN"/>
                    </w:rPr>
                  </w:pPr>
                  <w:r>
                    <w:rPr>
                      <w:rFonts w:hint="eastAsia"/>
                      <w:color w:val="000000"/>
                      <w:szCs w:val="21"/>
                    </w:rPr>
                    <w:t>依托</w:t>
                  </w:r>
                </w:p>
              </w:tc>
            </w:tr>
            <w:tr w14:paraId="2461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4F863EAE">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2220CA9C">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eastAsia"/>
                      <w:color w:val="000000"/>
                      <w:szCs w:val="21"/>
                      <w:lang w:eastAsia="zh-CN"/>
                    </w:rPr>
                  </w:pPr>
                  <w:r>
                    <w:rPr>
                      <w:color w:val="000000"/>
                      <w:szCs w:val="21"/>
                    </w:rPr>
                    <w:t>供气系统</w:t>
                  </w:r>
                </w:p>
              </w:tc>
              <w:tc>
                <w:tcPr>
                  <w:tcW w:w="3997" w:type="dxa"/>
                  <w:gridSpan w:val="2"/>
                  <w:noWrap w:val="0"/>
                  <w:vAlign w:val="center"/>
                </w:tcPr>
                <w:p w14:paraId="7BD4B7A6">
                  <w:pPr>
                    <w:pStyle w:val="95"/>
                    <w:spacing w:line="240" w:lineRule="auto"/>
                    <w:ind w:firstLine="0" w:firstLineChars="0"/>
                    <w:jc w:val="center"/>
                    <w:rPr>
                      <w:rFonts w:hint="eastAsia"/>
                      <w:color w:val="000000"/>
                      <w:kern w:val="2"/>
                      <w:sz w:val="21"/>
                      <w:szCs w:val="21"/>
                      <w:lang w:val="en-US" w:eastAsia="zh-CN" w:bidi="ar-SA"/>
                    </w:rPr>
                  </w:pPr>
                  <w:r>
                    <w:rPr>
                      <w:color w:val="000000"/>
                      <w:szCs w:val="21"/>
                    </w:rPr>
                    <w:t>园区管网供应天然气</w:t>
                  </w:r>
                </w:p>
              </w:tc>
              <w:tc>
                <w:tcPr>
                  <w:tcW w:w="3364" w:type="dxa"/>
                  <w:noWrap w:val="0"/>
                  <w:vAlign w:val="center"/>
                </w:tcPr>
                <w:p w14:paraId="5B11C0E3">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kern w:val="2"/>
                      <w:sz w:val="21"/>
                      <w:szCs w:val="21"/>
                      <w:lang w:val="en-US" w:eastAsia="zh-CN" w:bidi="ar-SA"/>
                    </w:rPr>
                    <w:t>依托已建</w:t>
                  </w:r>
                </w:p>
              </w:tc>
              <w:tc>
                <w:tcPr>
                  <w:tcW w:w="1260" w:type="dxa"/>
                  <w:vMerge w:val="continue"/>
                  <w:noWrap w:val="0"/>
                  <w:vAlign w:val="center"/>
                </w:tcPr>
                <w:p w14:paraId="2035A74E">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rPr>
                  </w:pPr>
                </w:p>
              </w:tc>
              <w:tc>
                <w:tcPr>
                  <w:tcW w:w="1155" w:type="dxa"/>
                  <w:noWrap w:val="0"/>
                  <w:vAlign w:val="center"/>
                </w:tcPr>
                <w:p w14:paraId="55CE309F">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lang w:val="en-US" w:eastAsia="zh-CN"/>
                    </w:rPr>
                  </w:pPr>
                  <w:r>
                    <w:rPr>
                      <w:rFonts w:hint="eastAsia"/>
                      <w:color w:val="000000"/>
                      <w:szCs w:val="21"/>
                      <w:lang w:val="en-US" w:eastAsia="zh-CN"/>
                    </w:rPr>
                    <w:t>/</w:t>
                  </w:r>
                </w:p>
              </w:tc>
              <w:tc>
                <w:tcPr>
                  <w:tcW w:w="1012" w:type="dxa"/>
                  <w:noWrap w:val="0"/>
                  <w:vAlign w:val="center"/>
                </w:tcPr>
                <w:p w14:paraId="7EA0B96E">
                  <w:pPr>
                    <w:jc w:val="center"/>
                    <w:rPr>
                      <w:rFonts w:hint="eastAsia"/>
                      <w:color w:val="000000"/>
                      <w:szCs w:val="21"/>
                      <w:lang w:eastAsia="zh-CN"/>
                    </w:rPr>
                  </w:pPr>
                  <w:r>
                    <w:rPr>
                      <w:rFonts w:hint="eastAsia"/>
                      <w:color w:val="000000"/>
                      <w:szCs w:val="21"/>
                    </w:rPr>
                    <w:t>依托</w:t>
                  </w:r>
                </w:p>
              </w:tc>
            </w:tr>
            <w:tr w14:paraId="6644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721D96E5">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5E03119F">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eastAsia" w:eastAsia="宋体"/>
                      <w:color w:val="000000"/>
                      <w:kern w:val="0"/>
                      <w:sz w:val="21"/>
                      <w:szCs w:val="21"/>
                      <w:lang w:val="en-US" w:eastAsia="zh-CN" w:bidi="ar-SA"/>
                    </w:rPr>
                  </w:pPr>
                  <w:r>
                    <w:rPr>
                      <w:rFonts w:hint="eastAsia"/>
                      <w:color w:val="000000"/>
                      <w:szCs w:val="21"/>
                    </w:rPr>
                    <w:t>循环</w:t>
                  </w:r>
                  <w:r>
                    <w:rPr>
                      <w:rFonts w:hint="eastAsia"/>
                      <w:color w:val="000000"/>
                      <w:szCs w:val="21"/>
                      <w:lang w:val="en-US" w:eastAsia="zh-CN"/>
                    </w:rPr>
                    <w:t>冷却</w:t>
                  </w:r>
                  <w:r>
                    <w:rPr>
                      <w:rFonts w:hint="eastAsia"/>
                      <w:color w:val="000000"/>
                      <w:szCs w:val="21"/>
                    </w:rPr>
                    <w:t>水池</w:t>
                  </w:r>
                  <w:r>
                    <w:rPr>
                      <w:rFonts w:hint="eastAsia"/>
                      <w:color w:val="000000"/>
                      <w:szCs w:val="21"/>
                      <w:lang w:eastAsia="zh-CN"/>
                    </w:rPr>
                    <w:t>（</w:t>
                  </w:r>
                  <w:r>
                    <w:rPr>
                      <w:rFonts w:hint="eastAsia"/>
                      <w:color w:val="000000"/>
                      <w:szCs w:val="21"/>
                      <w:lang w:val="en-US" w:eastAsia="zh-CN"/>
                    </w:rPr>
                    <w:t>生产</w:t>
                  </w:r>
                  <w:r>
                    <w:rPr>
                      <w:rFonts w:hint="eastAsia"/>
                      <w:color w:val="000000"/>
                      <w:szCs w:val="21"/>
                      <w:lang w:eastAsia="zh-CN"/>
                    </w:rPr>
                    <w:t>）</w:t>
                  </w:r>
                </w:p>
              </w:tc>
              <w:tc>
                <w:tcPr>
                  <w:tcW w:w="3997" w:type="dxa"/>
                  <w:gridSpan w:val="2"/>
                  <w:noWrap w:val="0"/>
                  <w:vAlign w:val="center"/>
                </w:tcPr>
                <w:p w14:paraId="6336ECE5">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szCs w:val="21"/>
                    </w:rPr>
                    <w:t>位于厂区</w:t>
                  </w:r>
                  <w:r>
                    <w:rPr>
                      <w:rFonts w:hint="eastAsia"/>
                      <w:color w:val="000000"/>
                      <w:szCs w:val="21"/>
                      <w:lang w:val="en-US" w:eastAsia="zh-CN"/>
                    </w:rPr>
                    <w:t>西</w:t>
                  </w:r>
                  <w:r>
                    <w:rPr>
                      <w:rFonts w:hint="eastAsia"/>
                      <w:color w:val="000000"/>
                      <w:szCs w:val="21"/>
                    </w:rPr>
                    <w:t>南侧，1#厂房南侧</w:t>
                  </w:r>
                  <w:r>
                    <w:rPr>
                      <w:rFonts w:hint="eastAsia"/>
                      <w:color w:val="000000"/>
                      <w:szCs w:val="21"/>
                      <w:lang w:eastAsia="zh-CN"/>
                    </w:rPr>
                    <w:t>（</w:t>
                  </w:r>
                  <w:r>
                    <w:rPr>
                      <w:rFonts w:hint="eastAsia"/>
                      <w:color w:val="000000"/>
                      <w:szCs w:val="21"/>
                      <w:lang w:val="en-US" w:eastAsia="zh-CN"/>
                    </w:rPr>
                    <w:t>2个，共计40</w:t>
                  </w:r>
                  <w:r>
                    <w:rPr>
                      <w:rFonts w:hint="eastAsia"/>
                      <w:color w:val="000000"/>
                      <w:szCs w:val="21"/>
                    </w:rPr>
                    <w:t>m</w:t>
                  </w:r>
                  <w:r>
                    <w:rPr>
                      <w:rFonts w:hint="eastAsia"/>
                      <w:color w:val="000000"/>
                      <w:szCs w:val="21"/>
                      <w:vertAlign w:val="superscript"/>
                      <w:lang w:val="en-US" w:eastAsia="zh-CN"/>
                    </w:rPr>
                    <w:t>3</w:t>
                  </w:r>
                  <w:r>
                    <w:rPr>
                      <w:rFonts w:hint="eastAsia"/>
                      <w:color w:val="000000"/>
                      <w:szCs w:val="21"/>
                      <w:vertAlign w:val="baseline"/>
                      <w:lang w:eastAsia="zh-CN"/>
                    </w:rPr>
                    <w:t>）</w:t>
                  </w:r>
                  <w:r>
                    <w:rPr>
                      <w:rFonts w:hint="eastAsia"/>
                      <w:color w:val="000000"/>
                      <w:szCs w:val="21"/>
                    </w:rPr>
                    <w:t>用于厂区冷却水循环水池。</w:t>
                  </w:r>
                </w:p>
              </w:tc>
              <w:tc>
                <w:tcPr>
                  <w:tcW w:w="3364" w:type="dxa"/>
                  <w:noWrap w:val="0"/>
                  <w:vAlign w:val="center"/>
                </w:tcPr>
                <w:p w14:paraId="36D0A2AE">
                  <w:pPr>
                    <w:pStyle w:val="95"/>
                    <w:spacing w:line="240" w:lineRule="auto"/>
                    <w:ind w:firstLine="0" w:firstLineChars="0"/>
                    <w:jc w:val="center"/>
                    <w:rPr>
                      <w:rFonts w:hint="default"/>
                      <w:color w:val="000000"/>
                      <w:kern w:val="2"/>
                      <w:sz w:val="21"/>
                      <w:szCs w:val="21"/>
                      <w:lang w:val="en-US" w:eastAsia="zh-CN" w:bidi="ar-SA"/>
                    </w:rPr>
                  </w:pPr>
                  <w:r>
                    <w:rPr>
                      <w:rFonts w:hint="eastAsia"/>
                      <w:color w:val="000000"/>
                      <w:kern w:val="2"/>
                      <w:sz w:val="21"/>
                      <w:szCs w:val="21"/>
                      <w:lang w:val="en-US" w:eastAsia="zh-CN" w:bidi="ar-SA"/>
                    </w:rPr>
                    <w:t>对现有循环水池进行改建扩容，拆除现有循环水池，新建1个循环冷却水池（60m</w:t>
                  </w:r>
                  <w:r>
                    <w:rPr>
                      <w:rFonts w:hint="eastAsia"/>
                      <w:color w:val="000000"/>
                      <w:kern w:val="2"/>
                      <w:sz w:val="21"/>
                      <w:szCs w:val="21"/>
                      <w:vertAlign w:val="superscript"/>
                      <w:lang w:val="en-US" w:eastAsia="zh-CN" w:bidi="ar-SA"/>
                    </w:rPr>
                    <w:t>3</w:t>
                  </w:r>
                  <w:r>
                    <w:rPr>
                      <w:rFonts w:hint="eastAsia"/>
                      <w:color w:val="000000"/>
                      <w:kern w:val="2"/>
                      <w:sz w:val="21"/>
                      <w:szCs w:val="21"/>
                      <w:lang w:val="en-US" w:eastAsia="zh-CN" w:bidi="ar-SA"/>
                    </w:rPr>
                    <w:t>）。</w:t>
                  </w:r>
                </w:p>
              </w:tc>
              <w:tc>
                <w:tcPr>
                  <w:tcW w:w="1260" w:type="dxa"/>
                  <w:vMerge w:val="continue"/>
                  <w:noWrap w:val="0"/>
                  <w:vAlign w:val="center"/>
                </w:tcPr>
                <w:p w14:paraId="2991A28D">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kern w:val="0"/>
                      <w:sz w:val="21"/>
                      <w:szCs w:val="21"/>
                      <w:lang w:val="en-US" w:eastAsia="zh-CN" w:bidi="ar-SA"/>
                    </w:rPr>
                  </w:pPr>
                </w:p>
              </w:tc>
              <w:tc>
                <w:tcPr>
                  <w:tcW w:w="1155" w:type="dxa"/>
                  <w:noWrap w:val="0"/>
                  <w:vAlign w:val="center"/>
                </w:tcPr>
                <w:p w14:paraId="4B0A4765">
                  <w:pPr>
                    <w:pStyle w:val="94"/>
                    <w:ind w:firstLine="0" w:firstLineChars="0"/>
                    <w:rPr>
                      <w:rFonts w:hint="eastAsia"/>
                      <w:color w:val="000000"/>
                      <w:kern w:val="0"/>
                      <w:sz w:val="21"/>
                      <w:szCs w:val="21"/>
                      <w:lang w:val="en-US" w:eastAsia="zh-CN" w:bidi="ar-SA"/>
                    </w:rPr>
                  </w:pPr>
                  <w:r>
                    <w:rPr>
                      <w:rFonts w:hint="eastAsia"/>
                      <w:color w:val="000000"/>
                      <w:szCs w:val="21"/>
                    </w:rPr>
                    <w:t>废水</w:t>
                  </w:r>
                </w:p>
              </w:tc>
              <w:tc>
                <w:tcPr>
                  <w:tcW w:w="1012" w:type="dxa"/>
                  <w:noWrap w:val="0"/>
                  <w:vAlign w:val="center"/>
                </w:tcPr>
                <w:p w14:paraId="6136B5C1">
                  <w:pPr>
                    <w:jc w:val="center"/>
                    <w:rPr>
                      <w:rFonts w:hint="eastAsia" w:eastAsia="宋体"/>
                      <w:color w:val="000000"/>
                      <w:kern w:val="2"/>
                      <w:sz w:val="21"/>
                      <w:szCs w:val="21"/>
                      <w:lang w:val="en-US" w:eastAsia="zh-CN" w:bidi="ar-SA"/>
                    </w:rPr>
                  </w:pPr>
                  <w:r>
                    <w:rPr>
                      <w:rFonts w:hint="eastAsia"/>
                      <w:color w:val="000000"/>
                      <w:szCs w:val="21"/>
                      <w:lang w:val="en-US" w:eastAsia="zh-CN"/>
                    </w:rPr>
                    <w:t>改建</w:t>
                  </w:r>
                </w:p>
              </w:tc>
            </w:tr>
            <w:tr w14:paraId="0E30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7937DEC7">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0967F1CA">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default" w:eastAsia="宋体"/>
                      <w:color w:val="000000"/>
                      <w:szCs w:val="21"/>
                      <w:lang w:val="en-US" w:eastAsia="zh-CN"/>
                    </w:rPr>
                  </w:pPr>
                  <w:r>
                    <w:rPr>
                      <w:rFonts w:hint="eastAsia"/>
                      <w:color w:val="000000"/>
                      <w:szCs w:val="21"/>
                      <w:lang w:val="en-US" w:eastAsia="zh-CN"/>
                    </w:rPr>
                    <w:t>废气处理系统沉淀循环水池</w:t>
                  </w:r>
                </w:p>
              </w:tc>
              <w:tc>
                <w:tcPr>
                  <w:tcW w:w="3997" w:type="dxa"/>
                  <w:gridSpan w:val="2"/>
                  <w:noWrap w:val="0"/>
                  <w:vAlign w:val="center"/>
                </w:tcPr>
                <w:p w14:paraId="0F065AAA">
                  <w:pPr>
                    <w:pStyle w:val="95"/>
                    <w:spacing w:line="240" w:lineRule="auto"/>
                    <w:ind w:firstLine="0" w:firstLineChars="0"/>
                    <w:jc w:val="center"/>
                    <w:rPr>
                      <w:rFonts w:hint="eastAsia"/>
                      <w:color w:val="000000"/>
                      <w:szCs w:val="21"/>
                    </w:rPr>
                  </w:pPr>
                  <w:r>
                    <w:rPr>
                      <w:rFonts w:hint="eastAsia"/>
                      <w:color w:val="000000"/>
                      <w:szCs w:val="21"/>
                    </w:rPr>
                    <w:t>位于厂区南侧，</w:t>
                  </w:r>
                  <w:r>
                    <w:rPr>
                      <w:rFonts w:hint="eastAsia"/>
                      <w:color w:val="000000"/>
                      <w:szCs w:val="21"/>
                      <w:lang w:eastAsia="zh-CN"/>
                    </w:rPr>
                    <w:t>（</w:t>
                  </w:r>
                  <w:r>
                    <w:rPr>
                      <w:rFonts w:hint="eastAsia"/>
                      <w:color w:val="000000"/>
                      <w:szCs w:val="21"/>
                      <w:lang w:val="en-US" w:eastAsia="zh-CN"/>
                    </w:rPr>
                    <w:t>2个，每个40</w:t>
                  </w:r>
                  <w:r>
                    <w:rPr>
                      <w:rFonts w:hint="eastAsia"/>
                      <w:color w:val="000000"/>
                      <w:szCs w:val="21"/>
                    </w:rPr>
                    <w:t>m</w:t>
                  </w:r>
                  <w:r>
                    <w:rPr>
                      <w:rFonts w:hint="eastAsia"/>
                      <w:color w:val="000000"/>
                      <w:szCs w:val="21"/>
                      <w:vertAlign w:val="superscript"/>
                      <w:lang w:val="en-US" w:eastAsia="zh-CN"/>
                    </w:rPr>
                    <w:t>3</w:t>
                  </w:r>
                  <w:r>
                    <w:rPr>
                      <w:rFonts w:hint="eastAsia"/>
                      <w:color w:val="000000"/>
                      <w:szCs w:val="21"/>
                      <w:vertAlign w:val="baseline"/>
                      <w:lang w:eastAsia="zh-CN"/>
                    </w:rPr>
                    <w:t>）</w:t>
                  </w:r>
                  <w:r>
                    <w:rPr>
                      <w:rFonts w:hint="eastAsia"/>
                      <w:color w:val="000000"/>
                      <w:szCs w:val="21"/>
                    </w:rPr>
                    <w:t>用于</w:t>
                  </w:r>
                  <w:r>
                    <w:rPr>
                      <w:rFonts w:hint="eastAsia"/>
                      <w:color w:val="000000"/>
                      <w:szCs w:val="21"/>
                      <w:lang w:val="en-US" w:eastAsia="zh-CN"/>
                    </w:rPr>
                    <w:t>废水处理设施沉淀</w:t>
                  </w:r>
                  <w:r>
                    <w:rPr>
                      <w:rFonts w:hint="eastAsia"/>
                      <w:color w:val="000000"/>
                      <w:szCs w:val="21"/>
                    </w:rPr>
                    <w:t>循环水池</w:t>
                  </w:r>
                </w:p>
              </w:tc>
              <w:tc>
                <w:tcPr>
                  <w:tcW w:w="3364" w:type="dxa"/>
                  <w:noWrap w:val="0"/>
                  <w:vAlign w:val="center"/>
                </w:tcPr>
                <w:p w14:paraId="236D23C0">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kern w:val="2"/>
                      <w:sz w:val="21"/>
                      <w:szCs w:val="21"/>
                      <w:lang w:val="en-US" w:eastAsia="zh-CN" w:bidi="ar-SA"/>
                    </w:rPr>
                    <w:t>对现有</w:t>
                  </w:r>
                  <w:r>
                    <w:rPr>
                      <w:rFonts w:hint="eastAsia"/>
                      <w:color w:val="000000"/>
                      <w:szCs w:val="21"/>
                      <w:lang w:val="en-US" w:eastAsia="zh-CN"/>
                    </w:rPr>
                    <w:t>废水处理设施沉淀</w:t>
                  </w:r>
                  <w:r>
                    <w:rPr>
                      <w:rFonts w:hint="eastAsia"/>
                      <w:color w:val="000000"/>
                      <w:szCs w:val="21"/>
                    </w:rPr>
                    <w:t>循环水池</w:t>
                  </w:r>
                  <w:r>
                    <w:rPr>
                      <w:rFonts w:hint="eastAsia"/>
                      <w:color w:val="000000"/>
                      <w:szCs w:val="21"/>
                      <w:lang w:val="en-US" w:eastAsia="zh-CN"/>
                    </w:rPr>
                    <w:t>进行</w:t>
                  </w:r>
                  <w:r>
                    <w:rPr>
                      <w:rFonts w:hint="eastAsia"/>
                      <w:color w:val="000000"/>
                      <w:kern w:val="2"/>
                      <w:sz w:val="21"/>
                      <w:szCs w:val="21"/>
                      <w:lang w:val="en-US" w:eastAsia="zh-CN" w:bidi="ar-SA"/>
                    </w:rPr>
                    <w:t>改建扩容，拆除现有循环水池，新建1个废水处理系统沉淀循环水池（120m</w:t>
                  </w:r>
                  <w:r>
                    <w:rPr>
                      <w:rFonts w:hint="eastAsia"/>
                      <w:color w:val="000000"/>
                      <w:kern w:val="2"/>
                      <w:sz w:val="21"/>
                      <w:szCs w:val="21"/>
                      <w:vertAlign w:val="superscript"/>
                      <w:lang w:val="en-US" w:eastAsia="zh-CN" w:bidi="ar-SA"/>
                    </w:rPr>
                    <w:t>3</w:t>
                  </w:r>
                  <w:r>
                    <w:rPr>
                      <w:rFonts w:hint="eastAsia"/>
                      <w:color w:val="000000"/>
                      <w:kern w:val="2"/>
                      <w:sz w:val="21"/>
                      <w:szCs w:val="21"/>
                      <w:lang w:val="en-US" w:eastAsia="zh-CN" w:bidi="ar-SA"/>
                    </w:rPr>
                    <w:t>）。</w:t>
                  </w:r>
                </w:p>
              </w:tc>
              <w:tc>
                <w:tcPr>
                  <w:tcW w:w="1260" w:type="dxa"/>
                  <w:vMerge w:val="continue"/>
                  <w:noWrap w:val="0"/>
                  <w:vAlign w:val="center"/>
                </w:tcPr>
                <w:p w14:paraId="47420169">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kern w:val="0"/>
                      <w:sz w:val="21"/>
                      <w:szCs w:val="21"/>
                      <w:lang w:val="en-US" w:eastAsia="zh-CN" w:bidi="ar-SA"/>
                    </w:rPr>
                  </w:pPr>
                </w:p>
              </w:tc>
              <w:tc>
                <w:tcPr>
                  <w:tcW w:w="1155" w:type="dxa"/>
                  <w:noWrap w:val="0"/>
                  <w:vAlign w:val="center"/>
                </w:tcPr>
                <w:p w14:paraId="478E8A76">
                  <w:pPr>
                    <w:pStyle w:val="94"/>
                    <w:ind w:firstLine="0" w:firstLineChars="0"/>
                    <w:rPr>
                      <w:rFonts w:hint="eastAsia" w:eastAsia="宋体"/>
                      <w:color w:val="000000"/>
                      <w:szCs w:val="21"/>
                      <w:lang w:val="en-US" w:eastAsia="zh-CN"/>
                    </w:rPr>
                  </w:pPr>
                  <w:r>
                    <w:rPr>
                      <w:rFonts w:hint="eastAsia"/>
                      <w:color w:val="000000"/>
                      <w:szCs w:val="21"/>
                      <w:lang w:val="en-US" w:eastAsia="zh-CN"/>
                    </w:rPr>
                    <w:t>废水</w:t>
                  </w:r>
                </w:p>
              </w:tc>
              <w:tc>
                <w:tcPr>
                  <w:tcW w:w="1012" w:type="dxa"/>
                  <w:noWrap w:val="0"/>
                  <w:vAlign w:val="center"/>
                </w:tcPr>
                <w:p w14:paraId="0F39140D">
                  <w:pPr>
                    <w:jc w:val="center"/>
                    <w:rPr>
                      <w:rFonts w:hint="eastAsia"/>
                      <w:color w:val="000000"/>
                      <w:szCs w:val="21"/>
                      <w:lang w:val="en-US" w:eastAsia="zh-CN"/>
                    </w:rPr>
                  </w:pPr>
                  <w:r>
                    <w:rPr>
                      <w:rFonts w:hint="eastAsia"/>
                      <w:color w:val="000000"/>
                      <w:szCs w:val="21"/>
                      <w:lang w:val="en-US" w:eastAsia="zh-CN"/>
                    </w:rPr>
                    <w:t>改建</w:t>
                  </w:r>
                </w:p>
              </w:tc>
            </w:tr>
            <w:tr w14:paraId="05D0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restart"/>
                  <w:noWrap w:val="0"/>
                  <w:vAlign w:val="center"/>
                </w:tcPr>
                <w:p w14:paraId="2DB3C469">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辅助</w:t>
                  </w:r>
                </w:p>
                <w:p w14:paraId="482995B9">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工程</w:t>
                  </w:r>
                </w:p>
              </w:tc>
              <w:tc>
                <w:tcPr>
                  <w:tcW w:w="857" w:type="dxa"/>
                  <w:noWrap w:val="0"/>
                  <w:vAlign w:val="center"/>
                </w:tcPr>
                <w:p w14:paraId="3F238F9C">
                  <w:pPr>
                    <w:pStyle w:val="94"/>
                    <w:ind w:firstLine="0" w:firstLineChars="0"/>
                    <w:rPr>
                      <w:color w:val="000000"/>
                      <w:szCs w:val="21"/>
                    </w:rPr>
                  </w:pPr>
                  <w:r>
                    <w:rPr>
                      <w:color w:val="000000"/>
                      <w:szCs w:val="21"/>
                    </w:rPr>
                    <w:t>办公、住宿楼</w:t>
                  </w:r>
                </w:p>
              </w:tc>
              <w:tc>
                <w:tcPr>
                  <w:tcW w:w="3997" w:type="dxa"/>
                  <w:gridSpan w:val="2"/>
                  <w:noWrap w:val="0"/>
                  <w:vAlign w:val="center"/>
                </w:tcPr>
                <w:p w14:paraId="0B42EE47">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szCs w:val="21"/>
                    </w:rPr>
                    <w:t>利用已建办公楼，位于厂区东侧，</w:t>
                  </w:r>
                  <w:r>
                    <w:rPr>
                      <w:color w:val="000000"/>
                      <w:szCs w:val="21"/>
                    </w:rPr>
                    <w:t>进场大门旁</w:t>
                  </w:r>
                  <w:r>
                    <w:rPr>
                      <w:rFonts w:hint="eastAsia"/>
                      <w:color w:val="000000"/>
                      <w:szCs w:val="21"/>
                    </w:rPr>
                    <w:t>，</w:t>
                  </w:r>
                  <w:r>
                    <w:rPr>
                      <w:color w:val="000000"/>
                      <w:szCs w:val="21"/>
                    </w:rPr>
                    <w:t>1栋，6层，钢混结构，用作项目办公、员工住宿，建筑面积共6913.31m</w:t>
                  </w:r>
                  <w:r>
                    <w:rPr>
                      <w:color w:val="000000"/>
                      <w:szCs w:val="21"/>
                      <w:vertAlign w:val="superscript"/>
                    </w:rPr>
                    <w:t>2</w:t>
                  </w:r>
                  <w:r>
                    <w:rPr>
                      <w:color w:val="000000"/>
                      <w:szCs w:val="21"/>
                    </w:rPr>
                    <w:t>。</w:t>
                  </w:r>
                </w:p>
              </w:tc>
              <w:tc>
                <w:tcPr>
                  <w:tcW w:w="3364" w:type="dxa"/>
                  <w:noWrap w:val="0"/>
                  <w:vAlign w:val="center"/>
                </w:tcPr>
                <w:p w14:paraId="7F9DF781">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kern w:val="2"/>
                      <w:sz w:val="21"/>
                      <w:szCs w:val="21"/>
                      <w:lang w:val="en-US" w:eastAsia="zh-CN" w:bidi="ar-SA"/>
                    </w:rPr>
                    <w:t>依托已建</w:t>
                  </w:r>
                </w:p>
              </w:tc>
              <w:tc>
                <w:tcPr>
                  <w:tcW w:w="1260" w:type="dxa"/>
                  <w:vMerge w:val="continue"/>
                  <w:noWrap w:val="0"/>
                  <w:vAlign w:val="center"/>
                </w:tcPr>
                <w:p w14:paraId="6B5934DC">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noWrap w:val="0"/>
                  <w:vAlign w:val="center"/>
                </w:tcPr>
                <w:p w14:paraId="4921A251">
                  <w:pPr>
                    <w:pStyle w:val="94"/>
                    <w:ind w:firstLine="0" w:firstLineChars="0"/>
                    <w:rPr>
                      <w:rFonts w:hint="eastAsia" w:eastAsia="宋体"/>
                      <w:bCs/>
                      <w:color w:val="000000"/>
                      <w:szCs w:val="21"/>
                      <w:lang w:val="en-US" w:eastAsia="zh-CN"/>
                    </w:rPr>
                  </w:pPr>
                  <w:r>
                    <w:rPr>
                      <w:rFonts w:hint="eastAsia"/>
                      <w:color w:val="000000"/>
                      <w:szCs w:val="21"/>
                    </w:rPr>
                    <w:t>/</w:t>
                  </w:r>
                </w:p>
              </w:tc>
              <w:tc>
                <w:tcPr>
                  <w:tcW w:w="1012" w:type="dxa"/>
                  <w:noWrap w:val="0"/>
                  <w:vAlign w:val="center"/>
                </w:tcPr>
                <w:p w14:paraId="45664E84">
                  <w:pPr>
                    <w:jc w:val="center"/>
                    <w:rPr>
                      <w:rFonts w:hint="eastAsia" w:eastAsia="宋体"/>
                      <w:color w:val="000000"/>
                      <w:szCs w:val="21"/>
                      <w:lang w:eastAsia="zh-CN"/>
                    </w:rPr>
                  </w:pPr>
                  <w:r>
                    <w:rPr>
                      <w:rFonts w:hint="eastAsia"/>
                      <w:color w:val="000000"/>
                      <w:szCs w:val="21"/>
                    </w:rPr>
                    <w:t>依托</w:t>
                  </w:r>
                </w:p>
              </w:tc>
            </w:tr>
            <w:tr w14:paraId="1F90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502F03C0">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1D4B6550">
                  <w:pPr>
                    <w:pStyle w:val="94"/>
                    <w:ind w:firstLine="0" w:firstLineChars="0"/>
                    <w:rPr>
                      <w:color w:val="000000"/>
                      <w:szCs w:val="21"/>
                    </w:rPr>
                  </w:pPr>
                  <w:r>
                    <w:rPr>
                      <w:color w:val="000000"/>
                      <w:szCs w:val="21"/>
                    </w:rPr>
                    <w:t>食堂</w:t>
                  </w:r>
                </w:p>
              </w:tc>
              <w:tc>
                <w:tcPr>
                  <w:tcW w:w="3997" w:type="dxa"/>
                  <w:gridSpan w:val="2"/>
                  <w:noWrap w:val="0"/>
                  <w:vAlign w:val="center"/>
                </w:tcPr>
                <w:p w14:paraId="0CFD53CC">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szCs w:val="21"/>
                    </w:rPr>
                    <w:t>利用已建食堂，位于厂区东南侧，1栋</w:t>
                  </w:r>
                  <w:r>
                    <w:rPr>
                      <w:color w:val="000000"/>
                      <w:szCs w:val="21"/>
                    </w:rPr>
                    <w:t>，2层，钢混结构，用作项目员工就餐，建筑面积共924.16m</w:t>
                  </w:r>
                  <w:r>
                    <w:rPr>
                      <w:color w:val="000000"/>
                      <w:szCs w:val="21"/>
                      <w:vertAlign w:val="superscript"/>
                    </w:rPr>
                    <w:t>2</w:t>
                  </w:r>
                  <w:r>
                    <w:rPr>
                      <w:color w:val="000000"/>
                      <w:szCs w:val="21"/>
                    </w:rPr>
                    <w:t>。</w:t>
                  </w:r>
                </w:p>
              </w:tc>
              <w:tc>
                <w:tcPr>
                  <w:tcW w:w="3364" w:type="dxa"/>
                  <w:noWrap w:val="0"/>
                  <w:vAlign w:val="center"/>
                </w:tcPr>
                <w:p w14:paraId="0FE6F3AA">
                  <w:pPr>
                    <w:pStyle w:val="95"/>
                    <w:spacing w:line="240" w:lineRule="auto"/>
                    <w:ind w:firstLine="0" w:firstLineChars="0"/>
                    <w:jc w:val="center"/>
                    <w:rPr>
                      <w:rFonts w:hint="eastAsia"/>
                      <w:color w:val="000000"/>
                      <w:kern w:val="2"/>
                      <w:sz w:val="21"/>
                      <w:szCs w:val="21"/>
                      <w:lang w:val="en-US" w:eastAsia="zh-CN" w:bidi="ar-SA"/>
                    </w:rPr>
                  </w:pPr>
                  <w:r>
                    <w:rPr>
                      <w:rFonts w:hint="eastAsia"/>
                      <w:color w:val="000000"/>
                      <w:kern w:val="2"/>
                      <w:sz w:val="21"/>
                      <w:szCs w:val="21"/>
                      <w:lang w:val="en-US" w:eastAsia="zh-CN" w:bidi="ar-SA"/>
                    </w:rPr>
                    <w:t>依托已建</w:t>
                  </w:r>
                </w:p>
              </w:tc>
              <w:tc>
                <w:tcPr>
                  <w:tcW w:w="1260" w:type="dxa"/>
                  <w:vMerge w:val="continue"/>
                  <w:noWrap w:val="0"/>
                  <w:vAlign w:val="center"/>
                </w:tcPr>
                <w:p w14:paraId="300366BC">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noWrap w:val="0"/>
                  <w:vAlign w:val="center"/>
                </w:tcPr>
                <w:p w14:paraId="245F2571">
                  <w:pPr>
                    <w:pStyle w:val="94"/>
                    <w:ind w:firstLine="0" w:firstLineChars="0"/>
                    <w:rPr>
                      <w:color w:val="000000"/>
                      <w:szCs w:val="21"/>
                    </w:rPr>
                  </w:pPr>
                  <w:r>
                    <w:rPr>
                      <w:color w:val="000000"/>
                      <w:szCs w:val="21"/>
                    </w:rPr>
                    <w:t>废水、餐厨垃圾</w:t>
                  </w:r>
                </w:p>
              </w:tc>
              <w:tc>
                <w:tcPr>
                  <w:tcW w:w="1012" w:type="dxa"/>
                  <w:noWrap w:val="0"/>
                  <w:vAlign w:val="center"/>
                </w:tcPr>
                <w:p w14:paraId="6053F6A7">
                  <w:pPr>
                    <w:jc w:val="center"/>
                    <w:rPr>
                      <w:rFonts w:hint="eastAsia" w:eastAsia="宋体"/>
                      <w:color w:val="000000"/>
                      <w:szCs w:val="21"/>
                      <w:lang w:eastAsia="zh-CN"/>
                    </w:rPr>
                  </w:pPr>
                  <w:r>
                    <w:rPr>
                      <w:rFonts w:hint="eastAsia"/>
                      <w:color w:val="000000"/>
                      <w:szCs w:val="21"/>
                    </w:rPr>
                    <w:t>依托</w:t>
                  </w:r>
                </w:p>
              </w:tc>
            </w:tr>
            <w:tr w14:paraId="67F6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96" w:type="dxa"/>
                  <w:vMerge w:val="restart"/>
                  <w:noWrap w:val="0"/>
                  <w:vAlign w:val="center"/>
                </w:tcPr>
                <w:p w14:paraId="7D1F43E0">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环保工程</w:t>
                  </w:r>
                </w:p>
              </w:tc>
              <w:tc>
                <w:tcPr>
                  <w:tcW w:w="857" w:type="dxa"/>
                  <w:vMerge w:val="restart"/>
                  <w:noWrap w:val="0"/>
                  <w:vAlign w:val="center"/>
                </w:tcPr>
                <w:p w14:paraId="73E286C9">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废气治理措施</w:t>
                  </w:r>
                </w:p>
              </w:tc>
              <w:tc>
                <w:tcPr>
                  <w:tcW w:w="731" w:type="dxa"/>
                  <w:noWrap w:val="0"/>
                  <w:vAlign w:val="center"/>
                </w:tcPr>
                <w:p w14:paraId="65F387FB">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000000"/>
                      <w:kern w:val="2"/>
                      <w:sz w:val="21"/>
                      <w:szCs w:val="21"/>
                      <w:lang w:val="en-US" w:eastAsia="zh-CN" w:bidi="ar-SA"/>
                    </w:rPr>
                  </w:pPr>
                  <w:r>
                    <w:rPr>
                      <w:rFonts w:hint="eastAsia"/>
                      <w:color w:val="000000"/>
                      <w:szCs w:val="21"/>
                      <w:lang w:eastAsia="zh-CN"/>
                    </w:rPr>
                    <w:t>半成品包装、成品包装</w:t>
                  </w:r>
                </w:p>
              </w:tc>
              <w:tc>
                <w:tcPr>
                  <w:tcW w:w="3266" w:type="dxa"/>
                  <w:noWrap w:val="0"/>
                  <w:vAlign w:val="center"/>
                </w:tcPr>
                <w:p w14:paraId="4B5B6686">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kern w:val="2"/>
                      <w:sz w:val="21"/>
                      <w:szCs w:val="21"/>
                      <w:lang w:val="en-US" w:eastAsia="zh-CN" w:bidi="ar-SA"/>
                    </w:rPr>
                  </w:pPr>
                  <w:r>
                    <w:rPr>
                      <w:rFonts w:hint="eastAsia"/>
                      <w:color w:val="000000"/>
                      <w:kern w:val="2"/>
                      <w:sz w:val="21"/>
                      <w:szCs w:val="21"/>
                      <w:lang w:val="en-US" w:eastAsia="zh-CN" w:bidi="ar-SA"/>
                    </w:rPr>
                    <w:t>成品包装废气经布袋除尘器处理后车间无组织排放</w:t>
                  </w:r>
                </w:p>
              </w:tc>
              <w:tc>
                <w:tcPr>
                  <w:tcW w:w="3364" w:type="dxa"/>
                  <w:noWrap w:val="0"/>
                  <w:vAlign w:val="center"/>
                </w:tcPr>
                <w:p w14:paraId="1DC1FEEE">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color w:val="000000"/>
                      <w:szCs w:val="21"/>
                    </w:rPr>
                    <w:t xml:space="preserve">装料粉尘、打包粉尘经密闭管道收集后进入布袋除尘器进行处理，处理后经 1 根 </w:t>
                  </w:r>
                  <w:r>
                    <w:rPr>
                      <w:rFonts w:hint="eastAsia"/>
                      <w:color w:val="000000"/>
                      <w:szCs w:val="21"/>
                      <w:lang w:val="en-US" w:eastAsia="zh-CN"/>
                    </w:rPr>
                    <w:t>15</w:t>
                  </w:r>
                  <w:r>
                    <w:rPr>
                      <w:rFonts w:hint="eastAsia"/>
                      <w:color w:val="000000"/>
                      <w:szCs w:val="21"/>
                    </w:rPr>
                    <w:t>m 排气筒（DA00</w:t>
                  </w:r>
                  <w:r>
                    <w:rPr>
                      <w:rFonts w:hint="eastAsia"/>
                      <w:color w:val="000000"/>
                      <w:szCs w:val="21"/>
                      <w:lang w:val="en-US" w:eastAsia="zh-CN"/>
                    </w:rPr>
                    <w:t>2</w:t>
                  </w:r>
                  <w:r>
                    <w:rPr>
                      <w:rFonts w:hint="eastAsia"/>
                      <w:color w:val="000000"/>
                      <w:szCs w:val="21"/>
                    </w:rPr>
                    <w:t>）排放</w:t>
                  </w:r>
                </w:p>
              </w:tc>
              <w:tc>
                <w:tcPr>
                  <w:tcW w:w="1260" w:type="dxa"/>
                  <w:vMerge w:val="continue"/>
                  <w:noWrap w:val="0"/>
                  <w:vAlign w:val="center"/>
                </w:tcPr>
                <w:p w14:paraId="5E8EF068">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noWrap w:val="0"/>
                  <w:vAlign w:val="center"/>
                </w:tcPr>
                <w:p w14:paraId="24381225">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kern w:val="0"/>
                      <w:sz w:val="21"/>
                      <w:szCs w:val="21"/>
                      <w:lang w:val="en-US" w:eastAsia="zh-CN" w:bidi="ar-SA"/>
                    </w:rPr>
                  </w:pPr>
                  <w:r>
                    <w:rPr>
                      <w:rFonts w:hint="eastAsia"/>
                      <w:color w:val="000000"/>
                      <w:szCs w:val="21"/>
                      <w:lang w:eastAsia="zh-CN"/>
                    </w:rPr>
                    <w:t>颗粒物</w:t>
                  </w:r>
                </w:p>
              </w:tc>
              <w:tc>
                <w:tcPr>
                  <w:tcW w:w="1012" w:type="dxa"/>
                  <w:noWrap w:val="0"/>
                  <w:vAlign w:val="center"/>
                </w:tcPr>
                <w:p w14:paraId="324DCE4C">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kern w:val="0"/>
                      <w:sz w:val="21"/>
                      <w:szCs w:val="21"/>
                      <w:lang w:val="en-US" w:eastAsia="zh-CN" w:bidi="ar-SA"/>
                    </w:rPr>
                  </w:pPr>
                  <w:r>
                    <w:rPr>
                      <w:rFonts w:hint="eastAsia"/>
                      <w:color w:val="000000"/>
                      <w:szCs w:val="21"/>
                      <w:lang w:val="en-US" w:eastAsia="zh-CN"/>
                    </w:rPr>
                    <w:t>整改</w:t>
                  </w:r>
                </w:p>
              </w:tc>
            </w:tr>
            <w:tr w14:paraId="29D9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96" w:type="dxa"/>
                  <w:vMerge w:val="continue"/>
                  <w:noWrap w:val="0"/>
                  <w:vAlign w:val="center"/>
                </w:tcPr>
                <w:p w14:paraId="533FEB04">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28D5CC66">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100D0C5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000000"/>
                      <w:kern w:val="2"/>
                      <w:sz w:val="21"/>
                      <w:szCs w:val="21"/>
                      <w:lang w:val="en-US" w:eastAsia="zh-CN" w:bidi="ar-SA"/>
                    </w:rPr>
                  </w:pPr>
                  <w:r>
                    <w:rPr>
                      <w:rFonts w:hint="eastAsia"/>
                      <w:color w:val="000000"/>
                      <w:szCs w:val="21"/>
                      <w:lang w:val="en-US" w:eastAsia="zh-CN"/>
                    </w:rPr>
                    <w:t>成品</w:t>
                  </w:r>
                  <w:r>
                    <w:rPr>
                      <w:rFonts w:hint="eastAsia"/>
                      <w:color w:val="000000"/>
                      <w:szCs w:val="21"/>
                    </w:rPr>
                    <w:t>碳化废气</w:t>
                  </w:r>
                </w:p>
              </w:tc>
              <w:tc>
                <w:tcPr>
                  <w:tcW w:w="3266" w:type="dxa"/>
                  <w:noWrap w:val="0"/>
                  <w:vAlign w:val="center"/>
                </w:tcPr>
                <w:p w14:paraId="56F77FEB">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color w:val="000000"/>
                      <w:szCs w:val="21"/>
                      <w:lang w:eastAsia="zh-CN"/>
                    </w:rPr>
                    <w:t>高温碳化废气采用“</w:t>
                  </w:r>
                  <w:r>
                    <w:rPr>
                      <w:rFonts w:hint="eastAsia" w:ascii="Times New Roman" w:hAnsi="Times New Roman" w:eastAsia="宋体" w:cs="Times New Roman"/>
                      <w:bCs/>
                      <w:color w:val="000000"/>
                      <w:highlight w:val="none"/>
                      <w:lang w:eastAsia="zh-CN"/>
                    </w:rPr>
                    <w:t>降温塔</w:t>
                  </w:r>
                  <w:r>
                    <w:rPr>
                      <w:rFonts w:hint="eastAsia" w:ascii="Times New Roman" w:hAnsi="Times New Roman" w:eastAsia="宋体" w:cs="Times New Roman"/>
                      <w:bCs/>
                      <w:color w:val="000000"/>
                      <w:highlight w:val="none"/>
                      <w:lang w:val="en-US" w:eastAsia="zh-CN"/>
                    </w:rPr>
                    <w:t>+</w:t>
                  </w:r>
                  <w:r>
                    <w:rPr>
                      <w:rFonts w:hint="default" w:ascii="Times New Roman" w:hAnsi="Times New Roman" w:eastAsia="宋体" w:cs="Times New Roman"/>
                      <w:bCs/>
                      <w:color w:val="000000"/>
                      <w:highlight w:val="none"/>
                    </w:rPr>
                    <w:t>脱硫塔</w:t>
                  </w:r>
                  <w:r>
                    <w:rPr>
                      <w:rFonts w:hint="default" w:ascii="Times New Roman" w:hAnsi="Times New Roman" w:cs="Times New Roman"/>
                      <w:bCs/>
                      <w:color w:val="000000"/>
                      <w:highlight w:val="none"/>
                      <w:lang w:val="en-US" w:eastAsia="zh-CN"/>
                    </w:rPr>
                    <w:t>(双碱法)+</w:t>
                  </w:r>
                  <w:r>
                    <w:rPr>
                      <w:rFonts w:hint="eastAsia" w:ascii="Times New Roman" w:hAnsi="Times New Roman" w:cs="Times New Roman"/>
                      <w:bCs/>
                      <w:color w:val="000000"/>
                      <w:highlight w:val="none"/>
                      <w:lang w:val="en-US" w:eastAsia="zh-CN"/>
                    </w:rPr>
                    <w:t>电捕焦油器</w:t>
                  </w:r>
                  <w:r>
                    <w:rPr>
                      <w:rFonts w:hint="eastAsia"/>
                      <w:color w:val="000000"/>
                      <w:szCs w:val="21"/>
                      <w:lang w:eastAsia="zh-CN"/>
                    </w:rPr>
                    <w:t>”（</w:t>
                  </w:r>
                  <w:r>
                    <w:rPr>
                      <w:rFonts w:hint="eastAsia"/>
                      <w:color w:val="000000"/>
                      <w:szCs w:val="21"/>
                      <w:lang w:val="en-US" w:eastAsia="zh-CN"/>
                    </w:rPr>
                    <w:t>2套</w:t>
                  </w:r>
                  <w:r>
                    <w:rPr>
                      <w:rFonts w:hint="eastAsia"/>
                      <w:color w:val="000000"/>
                      <w:szCs w:val="21"/>
                      <w:lang w:eastAsia="zh-CN"/>
                    </w:rPr>
                    <w:t>）</w:t>
                  </w:r>
                  <w:r>
                    <w:rPr>
                      <w:rFonts w:hint="eastAsia" w:ascii="Times New Roman" w:hAnsi="Times New Roman" w:cs="Times New Roman"/>
                      <w:bCs/>
                      <w:color w:val="000000"/>
                      <w:highlight w:val="none"/>
                      <w:lang w:val="en-US" w:eastAsia="zh-CN"/>
                    </w:rPr>
                    <w:t>处理</w:t>
                  </w:r>
                  <w:r>
                    <w:rPr>
                      <w:rFonts w:hint="default" w:ascii="Times New Roman" w:hAnsi="Times New Roman" w:eastAsia="宋体" w:cs="Times New Roman"/>
                      <w:bCs/>
                      <w:color w:val="000000"/>
                      <w:highlight w:val="none"/>
                    </w:rPr>
                    <w:t>后</w:t>
                  </w:r>
                  <w:r>
                    <w:rPr>
                      <w:rFonts w:hint="eastAsia" w:ascii="Times New Roman" w:hAnsi="Times New Roman" w:eastAsia="宋体" w:cs="Times New Roman"/>
                      <w:bCs/>
                      <w:color w:val="000000"/>
                      <w:highlight w:val="none"/>
                      <w:lang w:val="en-US" w:eastAsia="zh-CN"/>
                    </w:rPr>
                    <w:t>汇集至</w:t>
                  </w:r>
                  <w:r>
                    <w:rPr>
                      <w:rFonts w:hint="default" w:ascii="Times New Roman" w:hAnsi="Times New Roman" w:eastAsia="宋体" w:cs="Times New Roman"/>
                      <w:bCs/>
                      <w:color w:val="000000"/>
                      <w:highlight w:val="none"/>
                    </w:rPr>
                    <w:t>1根</w:t>
                  </w:r>
                  <w:r>
                    <w:rPr>
                      <w:rFonts w:hint="eastAsia" w:ascii="Times New Roman" w:hAnsi="Times New Roman" w:eastAsia="宋体" w:cs="Times New Roman"/>
                      <w:bCs/>
                      <w:color w:val="000000"/>
                      <w:highlight w:val="none"/>
                      <w:lang w:val="en-US" w:eastAsia="zh-CN"/>
                    </w:rPr>
                    <w:t>33</w:t>
                  </w:r>
                  <w:r>
                    <w:rPr>
                      <w:rFonts w:hint="default" w:ascii="Times New Roman" w:hAnsi="Times New Roman" w:eastAsia="宋体" w:cs="Times New Roman"/>
                      <w:bCs/>
                      <w:color w:val="000000"/>
                      <w:highlight w:val="none"/>
                    </w:rPr>
                    <w:t>m排气筒排放</w:t>
                  </w:r>
                </w:p>
              </w:tc>
              <w:tc>
                <w:tcPr>
                  <w:tcW w:w="3364" w:type="dxa"/>
                  <w:noWrap w:val="0"/>
                  <w:vAlign w:val="center"/>
                </w:tcPr>
                <w:p w14:paraId="3AE20435">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kern w:val="2"/>
                      <w:sz w:val="21"/>
                      <w:szCs w:val="21"/>
                      <w:lang w:val="en-US" w:eastAsia="zh-CN" w:bidi="ar-SA"/>
                    </w:rPr>
                  </w:pPr>
                  <w:r>
                    <w:rPr>
                      <w:rFonts w:hint="eastAsia"/>
                      <w:color w:val="000000"/>
                      <w:szCs w:val="21"/>
                      <w:lang w:val="en-US" w:eastAsia="zh-CN"/>
                    </w:rPr>
                    <w:t>高温碳化生产线拆除1条，故</w:t>
                  </w:r>
                  <w:r>
                    <w:rPr>
                      <w:rFonts w:hint="eastAsia"/>
                      <w:color w:val="000000"/>
                      <w:szCs w:val="21"/>
                      <w:lang w:eastAsia="zh-CN"/>
                    </w:rPr>
                    <w:t>高温碳化废气采用“</w:t>
                  </w:r>
                  <w:r>
                    <w:rPr>
                      <w:rFonts w:hint="eastAsia" w:ascii="Times New Roman" w:hAnsi="Times New Roman" w:eastAsia="宋体" w:cs="Times New Roman"/>
                      <w:bCs/>
                      <w:color w:val="000000"/>
                      <w:highlight w:val="none"/>
                      <w:lang w:eastAsia="zh-CN"/>
                    </w:rPr>
                    <w:t>降温塔</w:t>
                  </w:r>
                  <w:r>
                    <w:rPr>
                      <w:rFonts w:hint="eastAsia" w:ascii="Times New Roman" w:hAnsi="Times New Roman" w:eastAsia="宋体" w:cs="Times New Roman"/>
                      <w:bCs/>
                      <w:color w:val="000000"/>
                      <w:highlight w:val="none"/>
                      <w:lang w:val="en-US" w:eastAsia="zh-CN"/>
                    </w:rPr>
                    <w:t>+</w:t>
                  </w:r>
                  <w:r>
                    <w:rPr>
                      <w:rFonts w:hint="default" w:ascii="Times New Roman" w:hAnsi="Times New Roman" w:eastAsia="宋体" w:cs="Times New Roman"/>
                      <w:bCs/>
                      <w:color w:val="000000"/>
                      <w:highlight w:val="none"/>
                    </w:rPr>
                    <w:t>脱硫塔</w:t>
                  </w:r>
                  <w:r>
                    <w:rPr>
                      <w:rFonts w:hint="default" w:ascii="Times New Roman" w:hAnsi="Times New Roman" w:cs="Times New Roman"/>
                      <w:bCs/>
                      <w:color w:val="000000"/>
                      <w:highlight w:val="none"/>
                      <w:lang w:val="en-US" w:eastAsia="zh-CN"/>
                    </w:rPr>
                    <w:t>(双碱法)+</w:t>
                  </w:r>
                  <w:r>
                    <w:rPr>
                      <w:rFonts w:hint="eastAsia" w:ascii="Times New Roman" w:hAnsi="Times New Roman" w:cs="Times New Roman"/>
                      <w:bCs/>
                      <w:color w:val="000000"/>
                      <w:highlight w:val="none"/>
                      <w:lang w:val="en-US" w:eastAsia="zh-CN"/>
                    </w:rPr>
                    <w:t>电捕焦油器</w:t>
                  </w:r>
                  <w:r>
                    <w:rPr>
                      <w:rFonts w:hint="eastAsia"/>
                      <w:color w:val="000000"/>
                      <w:szCs w:val="21"/>
                      <w:lang w:eastAsia="zh-CN"/>
                    </w:rPr>
                    <w:t>”（</w:t>
                  </w:r>
                  <w:r>
                    <w:rPr>
                      <w:rFonts w:hint="eastAsia"/>
                      <w:color w:val="000000"/>
                      <w:szCs w:val="21"/>
                      <w:lang w:val="en-US" w:eastAsia="zh-CN"/>
                    </w:rPr>
                    <w:t>1套</w:t>
                  </w:r>
                  <w:r>
                    <w:rPr>
                      <w:rFonts w:hint="eastAsia"/>
                      <w:color w:val="000000"/>
                      <w:szCs w:val="21"/>
                      <w:lang w:eastAsia="zh-CN"/>
                    </w:rPr>
                    <w:t>）</w:t>
                  </w:r>
                  <w:r>
                    <w:rPr>
                      <w:rFonts w:hint="eastAsia" w:ascii="Times New Roman" w:hAnsi="Times New Roman" w:cs="Times New Roman"/>
                      <w:bCs/>
                      <w:color w:val="000000"/>
                      <w:highlight w:val="none"/>
                      <w:lang w:val="en-US" w:eastAsia="zh-CN"/>
                    </w:rPr>
                    <w:t>处理</w:t>
                  </w:r>
                  <w:r>
                    <w:rPr>
                      <w:rFonts w:hint="default" w:ascii="Times New Roman" w:hAnsi="Times New Roman" w:eastAsia="宋体" w:cs="Times New Roman"/>
                      <w:bCs/>
                      <w:color w:val="000000"/>
                      <w:highlight w:val="none"/>
                    </w:rPr>
                    <w:t>后通过1根</w:t>
                  </w:r>
                  <w:r>
                    <w:rPr>
                      <w:rFonts w:hint="eastAsia" w:ascii="Times New Roman" w:hAnsi="Times New Roman" w:eastAsia="宋体" w:cs="Times New Roman"/>
                      <w:bCs/>
                      <w:color w:val="000000"/>
                      <w:highlight w:val="none"/>
                      <w:lang w:val="en-US" w:eastAsia="zh-CN"/>
                    </w:rPr>
                    <w:t>33</w:t>
                  </w:r>
                  <w:r>
                    <w:rPr>
                      <w:rFonts w:hint="default" w:ascii="Times New Roman" w:hAnsi="Times New Roman" w:eastAsia="宋体" w:cs="Times New Roman"/>
                      <w:bCs/>
                      <w:color w:val="000000"/>
                      <w:highlight w:val="none"/>
                    </w:rPr>
                    <w:t>m排气筒</w:t>
                  </w:r>
                  <w:r>
                    <w:rPr>
                      <w:rFonts w:hint="eastAsia" w:ascii="Times New Roman" w:hAnsi="Times New Roman" w:eastAsia="宋体" w:cs="Times New Roman"/>
                      <w:bCs/>
                      <w:color w:val="000000"/>
                      <w:highlight w:val="none"/>
                      <w:lang w:eastAsia="zh-CN"/>
                    </w:rPr>
                    <w:t>（</w:t>
                  </w:r>
                  <w:r>
                    <w:rPr>
                      <w:rFonts w:hint="eastAsia" w:ascii="Times New Roman" w:hAnsi="Times New Roman" w:eastAsia="宋体" w:cs="Times New Roman"/>
                      <w:bCs/>
                      <w:color w:val="000000"/>
                      <w:highlight w:val="none"/>
                      <w:lang w:val="en-US" w:eastAsia="zh-CN"/>
                    </w:rPr>
                    <w:t>DA001</w:t>
                  </w:r>
                  <w:r>
                    <w:rPr>
                      <w:rFonts w:hint="eastAsia" w:ascii="Times New Roman" w:hAnsi="Times New Roman" w:eastAsia="宋体" w:cs="Times New Roman"/>
                      <w:bCs/>
                      <w:color w:val="000000"/>
                      <w:highlight w:val="none"/>
                      <w:lang w:eastAsia="zh-CN"/>
                    </w:rPr>
                    <w:t>）</w:t>
                  </w:r>
                  <w:r>
                    <w:rPr>
                      <w:rFonts w:hint="default" w:ascii="Times New Roman" w:hAnsi="Times New Roman" w:eastAsia="宋体" w:cs="Times New Roman"/>
                      <w:bCs/>
                      <w:color w:val="000000"/>
                      <w:highlight w:val="none"/>
                    </w:rPr>
                    <w:t>排放</w:t>
                  </w:r>
                </w:p>
              </w:tc>
              <w:tc>
                <w:tcPr>
                  <w:tcW w:w="1260" w:type="dxa"/>
                  <w:vMerge w:val="continue"/>
                  <w:noWrap w:val="0"/>
                  <w:vAlign w:val="center"/>
                </w:tcPr>
                <w:p w14:paraId="47A92A1E">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vMerge w:val="restart"/>
                  <w:noWrap w:val="0"/>
                  <w:vAlign w:val="center"/>
                </w:tcPr>
                <w:p w14:paraId="79680F50">
                  <w:pPr>
                    <w:keepNext w:val="0"/>
                    <w:keepLines w:val="0"/>
                    <w:pageBreakBefore w:val="0"/>
                    <w:widowControl w:val="0"/>
                    <w:kinsoku/>
                    <w:wordWrap/>
                    <w:overflowPunct/>
                    <w:topLinePunct w:val="0"/>
                    <w:autoSpaceDE/>
                    <w:autoSpaceDN/>
                    <w:bidi w:val="0"/>
                    <w:ind w:firstLine="0" w:firstLineChars="0"/>
                    <w:jc w:val="center"/>
                    <w:textAlignment w:val="auto"/>
                    <w:rPr>
                      <w:rFonts w:hint="default" w:eastAsia="宋体"/>
                      <w:color w:val="000000"/>
                      <w:kern w:val="2"/>
                      <w:sz w:val="21"/>
                      <w:szCs w:val="21"/>
                      <w:vertAlign w:val="baseline"/>
                      <w:lang w:val="en-US" w:eastAsia="zh-CN" w:bidi="ar-SA"/>
                    </w:rPr>
                  </w:pPr>
                  <w:r>
                    <w:rPr>
                      <w:rFonts w:hint="eastAsia"/>
                      <w:color w:val="000000"/>
                      <w:szCs w:val="21"/>
                      <w:lang w:eastAsia="zh-CN"/>
                    </w:rPr>
                    <w:t>颗粒物、</w:t>
                  </w:r>
                  <w:r>
                    <w:rPr>
                      <w:rFonts w:hint="eastAsia"/>
                      <w:color w:val="000000"/>
                      <w:szCs w:val="21"/>
                      <w:lang w:val="en-US" w:eastAsia="zh-CN"/>
                    </w:rPr>
                    <w:t>SO</w:t>
                  </w:r>
                  <w:r>
                    <w:rPr>
                      <w:rFonts w:hint="eastAsia"/>
                      <w:color w:val="000000"/>
                      <w:szCs w:val="21"/>
                      <w:vertAlign w:val="subscript"/>
                      <w:lang w:val="en-US" w:eastAsia="zh-CN"/>
                    </w:rPr>
                    <w:t>2</w:t>
                  </w:r>
                  <w:r>
                    <w:rPr>
                      <w:rFonts w:hint="eastAsia"/>
                      <w:color w:val="000000"/>
                      <w:szCs w:val="21"/>
                      <w:lang w:val="en-US" w:eastAsia="zh-CN"/>
                    </w:rPr>
                    <w:t>、NO</w:t>
                  </w:r>
                  <w:r>
                    <w:rPr>
                      <w:rFonts w:hint="eastAsia"/>
                      <w:color w:val="000000"/>
                      <w:szCs w:val="21"/>
                      <w:vertAlign w:val="subscript"/>
                      <w:lang w:val="en-US" w:eastAsia="zh-CN"/>
                    </w:rPr>
                    <w:t>X</w:t>
                  </w:r>
                  <w:r>
                    <w:rPr>
                      <w:rFonts w:hint="eastAsia"/>
                      <w:color w:val="000000"/>
                      <w:szCs w:val="21"/>
                      <w:vertAlign w:val="baseline"/>
                      <w:lang w:val="en-US" w:eastAsia="zh-CN"/>
                    </w:rPr>
                    <w:t>、VOCs、苯并（a）芘、沥青烟</w:t>
                  </w:r>
                </w:p>
              </w:tc>
              <w:tc>
                <w:tcPr>
                  <w:tcW w:w="1012" w:type="dxa"/>
                  <w:noWrap w:val="0"/>
                  <w:vAlign w:val="center"/>
                </w:tcPr>
                <w:p w14:paraId="33ED0CD9">
                  <w:pPr>
                    <w:keepNext w:val="0"/>
                    <w:keepLines w:val="0"/>
                    <w:pageBreakBefore w:val="0"/>
                    <w:widowControl w:val="0"/>
                    <w:kinsoku/>
                    <w:wordWrap/>
                    <w:overflowPunct/>
                    <w:topLinePunct w:val="0"/>
                    <w:autoSpaceDE/>
                    <w:autoSpaceDN/>
                    <w:bidi w:val="0"/>
                    <w:ind w:firstLine="0" w:firstLineChars="0"/>
                    <w:jc w:val="center"/>
                    <w:textAlignment w:val="auto"/>
                    <w:rPr>
                      <w:rFonts w:hint="default" w:eastAsia="宋体"/>
                      <w:color w:val="000000"/>
                      <w:kern w:val="2"/>
                      <w:sz w:val="21"/>
                      <w:szCs w:val="21"/>
                      <w:lang w:val="en-US" w:eastAsia="zh-CN" w:bidi="ar-SA"/>
                    </w:rPr>
                  </w:pPr>
                  <w:r>
                    <w:rPr>
                      <w:rFonts w:hint="eastAsia"/>
                      <w:color w:val="000000"/>
                      <w:szCs w:val="21"/>
                      <w:lang w:val="en-US" w:eastAsia="zh-CN"/>
                    </w:rPr>
                    <w:t>减少1套</w:t>
                  </w:r>
                </w:p>
              </w:tc>
            </w:tr>
            <w:tr w14:paraId="202E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696" w:type="dxa"/>
                  <w:vMerge w:val="continue"/>
                  <w:noWrap w:val="0"/>
                  <w:vAlign w:val="center"/>
                </w:tcPr>
                <w:p w14:paraId="27CEA44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341B28C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36ECFEA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eastAsia="宋体"/>
                      <w:color w:val="000000"/>
                      <w:szCs w:val="21"/>
                      <w:lang w:val="en-US" w:eastAsia="zh-CN"/>
                    </w:rPr>
                  </w:pPr>
                  <w:r>
                    <w:rPr>
                      <w:rFonts w:hint="eastAsia"/>
                      <w:color w:val="000000"/>
                      <w:szCs w:val="21"/>
                      <w:lang w:val="en-US" w:eastAsia="zh-CN"/>
                    </w:rPr>
                    <w:t>预碳化废气</w:t>
                  </w:r>
                </w:p>
              </w:tc>
              <w:tc>
                <w:tcPr>
                  <w:tcW w:w="3266" w:type="dxa"/>
                  <w:noWrap w:val="0"/>
                  <w:vAlign w:val="center"/>
                </w:tcPr>
                <w:p w14:paraId="23869EF4">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szCs w:val="21"/>
                      <w:lang w:val="en-US" w:eastAsia="zh-CN"/>
                    </w:rPr>
                  </w:pPr>
                  <w:r>
                    <w:rPr>
                      <w:rFonts w:hint="eastAsia"/>
                      <w:color w:val="000000"/>
                      <w:szCs w:val="21"/>
                      <w:lang w:val="en-US" w:eastAsia="zh-CN"/>
                    </w:rPr>
                    <w:t>/</w:t>
                  </w:r>
                </w:p>
              </w:tc>
              <w:tc>
                <w:tcPr>
                  <w:tcW w:w="3364" w:type="dxa"/>
                  <w:noWrap w:val="0"/>
                  <w:vAlign w:val="center"/>
                </w:tcPr>
                <w:p w14:paraId="1F273C08">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kern w:val="2"/>
                      <w:sz w:val="21"/>
                      <w:szCs w:val="21"/>
                      <w:lang w:val="en-US" w:eastAsia="zh-CN" w:bidi="ar-SA"/>
                    </w:rPr>
                  </w:pPr>
                  <w:r>
                    <w:rPr>
                      <w:rFonts w:hint="eastAsia"/>
                      <w:color w:val="000000"/>
                      <w:kern w:val="2"/>
                      <w:sz w:val="21"/>
                      <w:szCs w:val="21"/>
                      <w:lang w:val="en-US" w:eastAsia="zh-CN" w:bidi="ar-SA"/>
                    </w:rPr>
                    <w:t>1#隧道窑预碳化废气汇同成品碳化废气经1套</w:t>
                  </w:r>
                  <w:r>
                    <w:rPr>
                      <w:rFonts w:hint="eastAsia"/>
                      <w:color w:val="000000"/>
                      <w:szCs w:val="21"/>
                      <w:lang w:eastAsia="zh-CN"/>
                    </w:rPr>
                    <w:t>“</w:t>
                  </w:r>
                  <w:r>
                    <w:rPr>
                      <w:rFonts w:hint="eastAsia" w:ascii="Times New Roman" w:hAnsi="Times New Roman" w:eastAsia="宋体" w:cs="Times New Roman"/>
                      <w:bCs/>
                      <w:color w:val="000000"/>
                      <w:highlight w:val="none"/>
                      <w:lang w:eastAsia="zh-CN"/>
                    </w:rPr>
                    <w:t>降温塔</w:t>
                  </w:r>
                  <w:r>
                    <w:rPr>
                      <w:rFonts w:hint="eastAsia" w:ascii="Times New Roman" w:hAnsi="Times New Roman" w:eastAsia="宋体" w:cs="Times New Roman"/>
                      <w:bCs/>
                      <w:color w:val="000000"/>
                      <w:highlight w:val="none"/>
                      <w:lang w:val="en-US" w:eastAsia="zh-CN"/>
                    </w:rPr>
                    <w:t>+</w:t>
                  </w:r>
                  <w:r>
                    <w:rPr>
                      <w:rFonts w:hint="default" w:ascii="Times New Roman" w:hAnsi="Times New Roman" w:eastAsia="宋体" w:cs="Times New Roman"/>
                      <w:bCs/>
                      <w:color w:val="000000"/>
                      <w:highlight w:val="none"/>
                    </w:rPr>
                    <w:t>脱硫塔</w:t>
                  </w:r>
                  <w:r>
                    <w:rPr>
                      <w:rFonts w:hint="default" w:ascii="Times New Roman" w:hAnsi="Times New Roman" w:cs="Times New Roman"/>
                      <w:bCs/>
                      <w:color w:val="000000"/>
                      <w:highlight w:val="none"/>
                      <w:lang w:val="en-US" w:eastAsia="zh-CN"/>
                    </w:rPr>
                    <w:t>(双碱法)+</w:t>
                  </w:r>
                  <w:r>
                    <w:rPr>
                      <w:rFonts w:hint="eastAsia" w:ascii="Times New Roman" w:hAnsi="Times New Roman" w:cs="Times New Roman"/>
                      <w:bCs/>
                      <w:color w:val="000000"/>
                      <w:highlight w:val="none"/>
                      <w:lang w:val="en-US" w:eastAsia="zh-CN"/>
                    </w:rPr>
                    <w:t>电捕焦油器</w:t>
                  </w:r>
                  <w:r>
                    <w:rPr>
                      <w:rFonts w:hint="eastAsia"/>
                      <w:color w:val="000000"/>
                      <w:szCs w:val="21"/>
                      <w:lang w:eastAsia="zh-CN"/>
                    </w:rPr>
                    <w:t>”</w:t>
                  </w:r>
                  <w:r>
                    <w:rPr>
                      <w:rFonts w:hint="eastAsia"/>
                      <w:color w:val="000000"/>
                      <w:szCs w:val="21"/>
                      <w:lang w:val="en-US" w:eastAsia="zh-CN"/>
                    </w:rPr>
                    <w:t>处理；</w:t>
                  </w:r>
                </w:p>
                <w:p w14:paraId="6A784DFB">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kern w:val="2"/>
                      <w:sz w:val="21"/>
                      <w:szCs w:val="21"/>
                      <w:lang w:val="en-US" w:eastAsia="zh-CN" w:bidi="ar-SA"/>
                    </w:rPr>
                  </w:pPr>
                  <w:r>
                    <w:rPr>
                      <w:rFonts w:hint="eastAsia"/>
                      <w:color w:val="000000"/>
                      <w:kern w:val="2"/>
                      <w:sz w:val="21"/>
                      <w:szCs w:val="21"/>
                      <w:lang w:val="en-US" w:eastAsia="zh-CN" w:bidi="ar-SA"/>
                    </w:rPr>
                    <w:t>2#隧道窑预碳化废气利用已建“1套</w:t>
                  </w:r>
                  <w:r>
                    <w:rPr>
                      <w:rFonts w:hint="eastAsia"/>
                      <w:color w:val="000000"/>
                      <w:szCs w:val="21"/>
                      <w:lang w:eastAsia="zh-CN"/>
                    </w:rPr>
                    <w:t>“</w:t>
                  </w:r>
                  <w:r>
                    <w:rPr>
                      <w:rFonts w:hint="eastAsia" w:ascii="Times New Roman" w:hAnsi="Times New Roman" w:eastAsia="宋体" w:cs="Times New Roman"/>
                      <w:bCs/>
                      <w:color w:val="000000"/>
                      <w:highlight w:val="none"/>
                      <w:lang w:eastAsia="zh-CN"/>
                    </w:rPr>
                    <w:t>降温塔</w:t>
                  </w:r>
                  <w:r>
                    <w:rPr>
                      <w:rFonts w:hint="eastAsia" w:ascii="Times New Roman" w:hAnsi="Times New Roman" w:eastAsia="宋体" w:cs="Times New Roman"/>
                      <w:bCs/>
                      <w:color w:val="000000"/>
                      <w:highlight w:val="none"/>
                      <w:lang w:val="en-US" w:eastAsia="zh-CN"/>
                    </w:rPr>
                    <w:t>+</w:t>
                  </w:r>
                  <w:r>
                    <w:rPr>
                      <w:rFonts w:hint="default" w:ascii="Times New Roman" w:hAnsi="Times New Roman" w:eastAsia="宋体" w:cs="Times New Roman"/>
                      <w:bCs/>
                      <w:color w:val="000000"/>
                      <w:highlight w:val="none"/>
                    </w:rPr>
                    <w:t>脱硫塔</w:t>
                  </w:r>
                  <w:r>
                    <w:rPr>
                      <w:rFonts w:hint="default" w:ascii="Times New Roman" w:hAnsi="Times New Roman" w:cs="Times New Roman"/>
                      <w:bCs/>
                      <w:color w:val="000000"/>
                      <w:highlight w:val="none"/>
                      <w:lang w:val="en-US" w:eastAsia="zh-CN"/>
                    </w:rPr>
                    <w:t>(双碱法)+</w:t>
                  </w:r>
                  <w:r>
                    <w:rPr>
                      <w:rFonts w:hint="eastAsia" w:ascii="Times New Roman" w:hAnsi="Times New Roman" w:cs="Times New Roman"/>
                      <w:bCs/>
                      <w:color w:val="000000"/>
                      <w:highlight w:val="none"/>
                      <w:lang w:val="en-US" w:eastAsia="zh-CN"/>
                    </w:rPr>
                    <w:t>电捕焦油器</w:t>
                  </w:r>
                  <w:r>
                    <w:rPr>
                      <w:rFonts w:hint="eastAsia"/>
                      <w:color w:val="000000"/>
                      <w:szCs w:val="21"/>
                      <w:lang w:eastAsia="zh-CN"/>
                    </w:rPr>
                    <w:t>”</w:t>
                  </w:r>
                  <w:r>
                    <w:rPr>
                      <w:rFonts w:hint="eastAsia"/>
                      <w:color w:val="000000"/>
                      <w:szCs w:val="21"/>
                      <w:lang w:val="en-US" w:eastAsia="zh-CN"/>
                    </w:rPr>
                    <w:t>处理；</w:t>
                  </w:r>
                </w:p>
                <w:p w14:paraId="0A6F7A10">
                  <w:pPr>
                    <w:keepNext w:val="0"/>
                    <w:keepLines w:val="0"/>
                    <w:pageBreakBefore w:val="0"/>
                    <w:widowControl w:val="0"/>
                    <w:kinsoku/>
                    <w:wordWrap/>
                    <w:overflowPunct/>
                    <w:topLinePunct w:val="0"/>
                    <w:autoSpaceDE/>
                    <w:autoSpaceDN/>
                    <w:bidi w:val="0"/>
                    <w:ind w:firstLine="0" w:firstLineChars="0"/>
                    <w:jc w:val="center"/>
                    <w:textAlignment w:val="auto"/>
                    <w:rPr>
                      <w:rFonts w:hint="eastAsia" w:ascii="Times New Roman" w:hAnsi="Times New Roman" w:cs="Times New Roman"/>
                      <w:bCs/>
                      <w:color w:val="000000"/>
                      <w:highlight w:val="none"/>
                      <w:lang w:val="en-US" w:eastAsia="zh-CN"/>
                    </w:rPr>
                  </w:pPr>
                  <w:r>
                    <w:rPr>
                      <w:rFonts w:hint="eastAsia"/>
                      <w:color w:val="000000"/>
                      <w:kern w:val="2"/>
                      <w:sz w:val="21"/>
                      <w:szCs w:val="21"/>
                      <w:lang w:val="en-US" w:eastAsia="zh-CN" w:bidi="ar-SA"/>
                    </w:rPr>
                    <w:t>3#隧道窑预碳化废气新增一套“</w:t>
                  </w:r>
                  <w:r>
                    <w:rPr>
                      <w:rFonts w:hint="eastAsia" w:ascii="Times New Roman" w:hAnsi="Times New Roman" w:eastAsia="宋体" w:cs="Times New Roman"/>
                      <w:bCs/>
                      <w:color w:val="000000"/>
                      <w:highlight w:val="none"/>
                      <w:lang w:eastAsia="zh-CN"/>
                    </w:rPr>
                    <w:t>降温塔</w:t>
                  </w:r>
                  <w:r>
                    <w:rPr>
                      <w:rFonts w:hint="eastAsia" w:ascii="Times New Roman" w:hAnsi="Times New Roman" w:eastAsia="宋体" w:cs="Times New Roman"/>
                      <w:bCs/>
                      <w:color w:val="000000"/>
                      <w:highlight w:val="none"/>
                      <w:lang w:val="en-US" w:eastAsia="zh-CN"/>
                    </w:rPr>
                    <w:t>+</w:t>
                  </w:r>
                  <w:r>
                    <w:rPr>
                      <w:rFonts w:hint="default" w:ascii="Times New Roman" w:hAnsi="Times New Roman" w:eastAsia="宋体" w:cs="Times New Roman"/>
                      <w:bCs/>
                      <w:color w:val="000000"/>
                      <w:highlight w:val="none"/>
                    </w:rPr>
                    <w:t>脱硫塔</w:t>
                  </w:r>
                  <w:r>
                    <w:rPr>
                      <w:rFonts w:hint="default" w:ascii="Times New Roman" w:hAnsi="Times New Roman" w:cs="Times New Roman"/>
                      <w:bCs/>
                      <w:color w:val="000000"/>
                      <w:highlight w:val="none"/>
                      <w:lang w:val="en-US" w:eastAsia="zh-CN"/>
                    </w:rPr>
                    <w:t>(双碱法)+</w:t>
                  </w:r>
                  <w:r>
                    <w:rPr>
                      <w:rFonts w:hint="eastAsia" w:ascii="Times New Roman" w:hAnsi="Times New Roman" w:cs="Times New Roman"/>
                      <w:bCs/>
                      <w:color w:val="000000"/>
                      <w:highlight w:val="none"/>
                      <w:lang w:val="en-US" w:eastAsia="zh-CN"/>
                    </w:rPr>
                    <w:t>电捕焦油器</w:t>
                  </w:r>
                  <w:r>
                    <w:rPr>
                      <w:rFonts w:hint="eastAsia"/>
                      <w:color w:val="000000"/>
                      <w:kern w:val="2"/>
                      <w:sz w:val="21"/>
                      <w:szCs w:val="21"/>
                      <w:lang w:val="en-US" w:eastAsia="zh-CN" w:bidi="ar-SA"/>
                    </w:rPr>
                    <w:t>”</w:t>
                  </w:r>
                  <w:r>
                    <w:rPr>
                      <w:rFonts w:hint="eastAsia" w:ascii="Times New Roman" w:hAnsi="Times New Roman" w:cs="Times New Roman"/>
                      <w:bCs/>
                      <w:color w:val="000000"/>
                      <w:highlight w:val="none"/>
                      <w:lang w:val="en-US" w:eastAsia="zh-CN"/>
                    </w:rPr>
                    <w:t>处理；</w:t>
                  </w:r>
                </w:p>
                <w:p w14:paraId="3C66BF84">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ascii="Times New Roman" w:hAnsi="Times New Roman" w:eastAsia="宋体" w:cs="Times New Roman"/>
                      <w:bCs/>
                      <w:color w:val="000000"/>
                      <w:highlight w:val="none"/>
                      <w:lang w:val="en-US" w:eastAsia="zh-CN"/>
                    </w:rPr>
                    <w:t>经处理后汇至</w:t>
                  </w:r>
                  <w:r>
                    <w:rPr>
                      <w:rFonts w:hint="default" w:ascii="Times New Roman" w:hAnsi="Times New Roman" w:eastAsia="宋体" w:cs="Times New Roman"/>
                      <w:bCs/>
                      <w:color w:val="000000"/>
                      <w:highlight w:val="none"/>
                    </w:rPr>
                    <w:t>1根</w:t>
                  </w:r>
                  <w:r>
                    <w:rPr>
                      <w:rFonts w:hint="eastAsia" w:ascii="Times New Roman" w:hAnsi="Times New Roman" w:eastAsia="宋体" w:cs="Times New Roman"/>
                      <w:bCs/>
                      <w:color w:val="000000"/>
                      <w:highlight w:val="none"/>
                      <w:lang w:val="en-US" w:eastAsia="zh-CN"/>
                    </w:rPr>
                    <w:t>33</w:t>
                  </w:r>
                  <w:r>
                    <w:rPr>
                      <w:rFonts w:hint="default" w:ascii="Times New Roman" w:hAnsi="Times New Roman" w:eastAsia="宋体" w:cs="Times New Roman"/>
                      <w:bCs/>
                      <w:color w:val="000000"/>
                      <w:highlight w:val="none"/>
                    </w:rPr>
                    <w:t>m排气筒</w:t>
                  </w:r>
                  <w:r>
                    <w:rPr>
                      <w:rFonts w:hint="eastAsia" w:ascii="Times New Roman" w:hAnsi="Times New Roman" w:eastAsia="宋体" w:cs="Times New Roman"/>
                      <w:bCs/>
                      <w:color w:val="000000"/>
                      <w:highlight w:val="none"/>
                      <w:lang w:eastAsia="zh-CN"/>
                    </w:rPr>
                    <w:t>（</w:t>
                  </w:r>
                  <w:r>
                    <w:rPr>
                      <w:rFonts w:hint="eastAsia" w:ascii="Times New Roman" w:hAnsi="Times New Roman" w:eastAsia="宋体" w:cs="Times New Roman"/>
                      <w:bCs/>
                      <w:color w:val="000000"/>
                      <w:highlight w:val="none"/>
                      <w:lang w:val="en-US" w:eastAsia="zh-CN"/>
                    </w:rPr>
                    <w:t>DA001</w:t>
                  </w:r>
                  <w:r>
                    <w:rPr>
                      <w:rFonts w:hint="eastAsia" w:ascii="Times New Roman" w:hAnsi="Times New Roman" w:eastAsia="宋体" w:cs="Times New Roman"/>
                      <w:bCs/>
                      <w:color w:val="000000"/>
                      <w:highlight w:val="none"/>
                      <w:lang w:eastAsia="zh-CN"/>
                    </w:rPr>
                    <w:t>）</w:t>
                  </w:r>
                  <w:r>
                    <w:rPr>
                      <w:rFonts w:hint="default" w:ascii="Times New Roman" w:hAnsi="Times New Roman" w:eastAsia="宋体" w:cs="Times New Roman"/>
                      <w:bCs/>
                      <w:color w:val="000000"/>
                      <w:highlight w:val="none"/>
                    </w:rPr>
                    <w:t>排放</w:t>
                  </w:r>
                </w:p>
              </w:tc>
              <w:tc>
                <w:tcPr>
                  <w:tcW w:w="1260" w:type="dxa"/>
                  <w:vMerge w:val="continue"/>
                  <w:noWrap w:val="0"/>
                  <w:vAlign w:val="center"/>
                </w:tcPr>
                <w:p w14:paraId="791CBEC4">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vMerge w:val="continue"/>
                  <w:noWrap w:val="0"/>
                  <w:vAlign w:val="center"/>
                </w:tcPr>
                <w:p w14:paraId="2993B963">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lang w:eastAsia="zh-CN"/>
                    </w:rPr>
                  </w:pPr>
                </w:p>
              </w:tc>
              <w:tc>
                <w:tcPr>
                  <w:tcW w:w="1012" w:type="dxa"/>
                  <w:noWrap w:val="0"/>
                  <w:vAlign w:val="center"/>
                </w:tcPr>
                <w:p w14:paraId="0FA83B65">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szCs w:val="21"/>
                      <w:lang w:val="en-US" w:eastAsia="zh-CN"/>
                    </w:rPr>
                  </w:pPr>
                  <w:r>
                    <w:rPr>
                      <w:rFonts w:hint="eastAsia"/>
                      <w:color w:val="000000"/>
                      <w:szCs w:val="21"/>
                      <w:lang w:val="en-US" w:eastAsia="zh-CN"/>
                    </w:rPr>
                    <w:t>利旧2套，新增1套</w:t>
                  </w:r>
                </w:p>
              </w:tc>
            </w:tr>
            <w:tr w14:paraId="36E3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textDirection w:val="tbRlV"/>
                  <w:vAlign w:val="center"/>
                </w:tcPr>
                <w:p w14:paraId="5B956417">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7D36BE42">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23D6596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000000"/>
                      <w:kern w:val="2"/>
                      <w:sz w:val="21"/>
                      <w:szCs w:val="21"/>
                      <w:lang w:val="en-US" w:eastAsia="zh-CN" w:bidi="ar-SA"/>
                    </w:rPr>
                  </w:pPr>
                  <w:r>
                    <w:rPr>
                      <w:rFonts w:hint="eastAsia"/>
                      <w:color w:val="000000"/>
                      <w:szCs w:val="21"/>
                    </w:rPr>
                    <w:t>道路扬尘</w:t>
                  </w:r>
                </w:p>
              </w:tc>
              <w:tc>
                <w:tcPr>
                  <w:tcW w:w="3266" w:type="dxa"/>
                  <w:noWrap w:val="0"/>
                  <w:vAlign w:val="center"/>
                </w:tcPr>
                <w:p w14:paraId="0BC0AEA4">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color w:val="000000"/>
                      <w:szCs w:val="21"/>
                      <w:lang w:eastAsia="zh-CN"/>
                    </w:rPr>
                    <w:t>厂区运输道路定期洒水，原料、半成品、成品均采用密闭的吨包装袋包装等措施</w:t>
                  </w:r>
                </w:p>
              </w:tc>
              <w:tc>
                <w:tcPr>
                  <w:tcW w:w="3364" w:type="dxa"/>
                  <w:noWrap w:val="0"/>
                  <w:vAlign w:val="center"/>
                </w:tcPr>
                <w:p w14:paraId="30B83BC7">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color w:val="000000"/>
                      <w:szCs w:val="21"/>
                      <w:lang w:eastAsia="zh-CN"/>
                    </w:rPr>
                    <w:t>厂区运输道路定期洒水，原料、半成品、成品均采用密闭的吨包装袋包装等措施</w:t>
                  </w:r>
                </w:p>
              </w:tc>
              <w:tc>
                <w:tcPr>
                  <w:tcW w:w="1260" w:type="dxa"/>
                  <w:vMerge w:val="continue"/>
                  <w:noWrap w:val="0"/>
                  <w:vAlign w:val="center"/>
                </w:tcPr>
                <w:p w14:paraId="49B6660B">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rPr>
                  </w:pPr>
                </w:p>
              </w:tc>
              <w:tc>
                <w:tcPr>
                  <w:tcW w:w="1155" w:type="dxa"/>
                  <w:noWrap w:val="0"/>
                  <w:vAlign w:val="center"/>
                </w:tcPr>
                <w:p w14:paraId="69727A23">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color w:val="000000"/>
                      <w:szCs w:val="21"/>
                      <w:lang w:eastAsia="zh-CN"/>
                    </w:rPr>
                    <w:t>颗粒物</w:t>
                  </w:r>
                </w:p>
              </w:tc>
              <w:tc>
                <w:tcPr>
                  <w:tcW w:w="1012" w:type="dxa"/>
                  <w:noWrap w:val="0"/>
                  <w:vAlign w:val="center"/>
                </w:tcPr>
                <w:p w14:paraId="42BED062">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kern w:val="2"/>
                      <w:sz w:val="21"/>
                      <w:szCs w:val="21"/>
                      <w:lang w:val="en-US" w:eastAsia="zh-CN" w:bidi="ar-SA"/>
                    </w:rPr>
                  </w:pPr>
                  <w:r>
                    <w:rPr>
                      <w:rFonts w:hint="eastAsia"/>
                      <w:color w:val="000000"/>
                      <w:szCs w:val="21"/>
                      <w:lang w:val="en-US" w:eastAsia="zh-CN"/>
                    </w:rPr>
                    <w:t>利旧</w:t>
                  </w:r>
                </w:p>
              </w:tc>
            </w:tr>
            <w:tr w14:paraId="4FCB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textDirection w:val="tbRlV"/>
                  <w:vAlign w:val="center"/>
                </w:tcPr>
                <w:p w14:paraId="43BE0A10">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46FE2D09">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4B191BD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000000"/>
                      <w:kern w:val="2"/>
                      <w:sz w:val="21"/>
                      <w:szCs w:val="21"/>
                      <w:lang w:val="en-US" w:eastAsia="zh-CN" w:bidi="ar-SA"/>
                    </w:rPr>
                  </w:pPr>
                  <w:r>
                    <w:rPr>
                      <w:rFonts w:hint="eastAsia"/>
                      <w:color w:val="000000"/>
                      <w:szCs w:val="21"/>
                      <w:lang w:eastAsia="zh-CN"/>
                    </w:rPr>
                    <w:t>食堂油烟</w:t>
                  </w:r>
                </w:p>
              </w:tc>
              <w:tc>
                <w:tcPr>
                  <w:tcW w:w="3266" w:type="dxa"/>
                  <w:noWrap w:val="0"/>
                  <w:vAlign w:val="center"/>
                </w:tcPr>
                <w:p w14:paraId="5D48B8FE">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kern w:val="2"/>
                      <w:sz w:val="21"/>
                      <w:szCs w:val="21"/>
                      <w:lang w:val="en-US" w:eastAsia="zh-CN" w:bidi="ar-SA"/>
                    </w:rPr>
                  </w:pPr>
                  <w:r>
                    <w:rPr>
                      <w:rFonts w:hint="eastAsia"/>
                      <w:color w:val="000000"/>
                      <w:szCs w:val="21"/>
                    </w:rPr>
                    <w:t>食堂油烟收集后由1套油烟净化器进行处理，然后用专用烟道引至食堂楼顶排放</w:t>
                  </w:r>
                </w:p>
              </w:tc>
              <w:tc>
                <w:tcPr>
                  <w:tcW w:w="3364" w:type="dxa"/>
                  <w:noWrap w:val="0"/>
                  <w:vAlign w:val="center"/>
                </w:tcPr>
                <w:p w14:paraId="46D2B42D">
                  <w:pPr>
                    <w:keepNext w:val="0"/>
                    <w:keepLines w:val="0"/>
                    <w:pageBreakBefore w:val="0"/>
                    <w:widowControl w:val="0"/>
                    <w:kinsoku/>
                    <w:wordWrap/>
                    <w:overflowPunct/>
                    <w:topLinePunct w:val="0"/>
                    <w:autoSpaceDE/>
                    <w:autoSpaceDN/>
                    <w:bidi w:val="0"/>
                    <w:ind w:firstLine="0" w:firstLineChars="0"/>
                    <w:jc w:val="center"/>
                    <w:textAlignment w:val="auto"/>
                    <w:rPr>
                      <w:rFonts w:hint="default"/>
                      <w:color w:val="000000"/>
                      <w:kern w:val="2"/>
                      <w:sz w:val="21"/>
                      <w:szCs w:val="21"/>
                      <w:lang w:val="en-US" w:eastAsia="zh-CN" w:bidi="ar-SA"/>
                    </w:rPr>
                  </w:pPr>
                  <w:r>
                    <w:rPr>
                      <w:rFonts w:hint="eastAsia"/>
                      <w:color w:val="000000"/>
                      <w:kern w:val="2"/>
                      <w:sz w:val="21"/>
                      <w:szCs w:val="21"/>
                      <w:lang w:val="en-US" w:eastAsia="zh-CN" w:bidi="ar-SA"/>
                    </w:rPr>
                    <w:t>依托已建</w:t>
                  </w:r>
                </w:p>
              </w:tc>
              <w:tc>
                <w:tcPr>
                  <w:tcW w:w="1260" w:type="dxa"/>
                  <w:vMerge w:val="continue"/>
                  <w:noWrap w:val="0"/>
                  <w:vAlign w:val="center"/>
                </w:tcPr>
                <w:p w14:paraId="5CC3B682">
                  <w:pPr>
                    <w:keepNext w:val="0"/>
                    <w:keepLines w:val="0"/>
                    <w:pageBreakBefore w:val="0"/>
                    <w:widowControl w:val="0"/>
                    <w:kinsoku/>
                    <w:wordWrap/>
                    <w:overflowPunct/>
                    <w:topLinePunct w:val="0"/>
                    <w:autoSpaceDE/>
                    <w:autoSpaceDN/>
                    <w:bidi w:val="0"/>
                    <w:ind w:firstLine="0" w:firstLineChars="0"/>
                    <w:jc w:val="center"/>
                    <w:textAlignment w:val="auto"/>
                    <w:rPr>
                      <w:rFonts w:hint="eastAsia"/>
                      <w:color w:val="000000"/>
                      <w:szCs w:val="21"/>
                    </w:rPr>
                  </w:pPr>
                </w:p>
              </w:tc>
              <w:tc>
                <w:tcPr>
                  <w:tcW w:w="1155" w:type="dxa"/>
                  <w:noWrap w:val="0"/>
                  <w:vAlign w:val="center"/>
                </w:tcPr>
                <w:p w14:paraId="302B5578">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kern w:val="0"/>
                      <w:sz w:val="21"/>
                      <w:szCs w:val="21"/>
                      <w:lang w:val="en-US" w:eastAsia="zh-CN" w:bidi="ar-SA"/>
                    </w:rPr>
                  </w:pPr>
                  <w:r>
                    <w:rPr>
                      <w:rFonts w:hint="eastAsia"/>
                      <w:color w:val="000000"/>
                      <w:szCs w:val="21"/>
                      <w:lang w:eastAsia="zh-CN"/>
                    </w:rPr>
                    <w:t>油烟</w:t>
                  </w:r>
                </w:p>
              </w:tc>
              <w:tc>
                <w:tcPr>
                  <w:tcW w:w="1012" w:type="dxa"/>
                  <w:noWrap w:val="0"/>
                  <w:vAlign w:val="center"/>
                </w:tcPr>
                <w:p w14:paraId="3EC74827">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kern w:val="0"/>
                      <w:sz w:val="21"/>
                      <w:szCs w:val="21"/>
                      <w:lang w:val="en-US" w:eastAsia="zh-CN" w:bidi="ar-SA"/>
                    </w:rPr>
                  </w:pPr>
                  <w:r>
                    <w:rPr>
                      <w:rFonts w:hint="eastAsia" w:eastAsia="宋体"/>
                      <w:color w:val="000000"/>
                      <w:szCs w:val="21"/>
                      <w:lang w:val="en-US" w:eastAsia="zh-CN"/>
                    </w:rPr>
                    <w:t>依托</w:t>
                  </w:r>
                </w:p>
              </w:tc>
            </w:tr>
            <w:tr w14:paraId="27F4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696" w:type="dxa"/>
                  <w:vMerge w:val="continue"/>
                  <w:noWrap w:val="0"/>
                  <w:vAlign w:val="center"/>
                </w:tcPr>
                <w:p w14:paraId="4B79233A">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restart"/>
                  <w:noWrap w:val="0"/>
                  <w:vAlign w:val="center"/>
                </w:tcPr>
                <w:p w14:paraId="1C61B00A">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废水</w:t>
                  </w:r>
                </w:p>
                <w:p w14:paraId="2BB56177">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处理措施</w:t>
                  </w:r>
                </w:p>
              </w:tc>
              <w:tc>
                <w:tcPr>
                  <w:tcW w:w="731" w:type="dxa"/>
                  <w:vMerge w:val="restart"/>
                  <w:noWrap w:val="0"/>
                  <w:vAlign w:val="center"/>
                </w:tcPr>
                <w:p w14:paraId="1AE8F9A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000000"/>
                      <w:kern w:val="0"/>
                      <w:sz w:val="21"/>
                      <w:szCs w:val="21"/>
                      <w:lang w:val="en-US" w:eastAsia="zh-CN" w:bidi="ar-SA"/>
                    </w:rPr>
                  </w:pPr>
                  <w:r>
                    <w:rPr>
                      <w:color w:val="000000"/>
                      <w:szCs w:val="21"/>
                    </w:rPr>
                    <w:t>生活污水</w:t>
                  </w:r>
                </w:p>
              </w:tc>
              <w:tc>
                <w:tcPr>
                  <w:tcW w:w="3266" w:type="dxa"/>
                  <w:vMerge w:val="restart"/>
                  <w:noWrap w:val="0"/>
                  <w:vAlign w:val="center"/>
                </w:tcPr>
                <w:p w14:paraId="1C19E3FD">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both"/>
                    <w:textAlignment w:val="auto"/>
                    <w:rPr>
                      <w:rFonts w:hint="eastAsia" w:eastAsia="宋体"/>
                      <w:color w:val="000000"/>
                      <w:kern w:val="2"/>
                      <w:sz w:val="21"/>
                      <w:szCs w:val="21"/>
                      <w:lang w:val="en-US" w:eastAsia="zh-CN" w:bidi="ar-SA"/>
                    </w:rPr>
                  </w:pPr>
                  <w:r>
                    <w:rPr>
                      <w:rFonts w:hint="eastAsia"/>
                      <w:color w:val="000000"/>
                      <w:szCs w:val="21"/>
                    </w:rPr>
                    <w:t>食堂废水经隔油池</w:t>
                  </w:r>
                  <w:r>
                    <w:rPr>
                      <w:rFonts w:hint="eastAsia"/>
                      <w:color w:val="000000"/>
                      <w:szCs w:val="21"/>
                      <w:lang w:eastAsia="zh-CN"/>
                    </w:rPr>
                    <w:t>（</w:t>
                  </w:r>
                  <w:r>
                    <w:rPr>
                      <w:rFonts w:hint="eastAsia"/>
                      <w:color w:val="000000"/>
                      <w:szCs w:val="21"/>
                      <w:lang w:val="en-US" w:eastAsia="zh-CN"/>
                    </w:rPr>
                    <w:t>3m</w:t>
                  </w:r>
                  <w:r>
                    <w:rPr>
                      <w:rFonts w:hint="eastAsia"/>
                      <w:color w:val="000000"/>
                      <w:szCs w:val="21"/>
                      <w:vertAlign w:val="superscript"/>
                      <w:lang w:val="en-US" w:eastAsia="zh-CN"/>
                    </w:rPr>
                    <w:t>3</w:t>
                  </w:r>
                  <w:r>
                    <w:rPr>
                      <w:rFonts w:hint="eastAsia"/>
                      <w:color w:val="000000"/>
                      <w:szCs w:val="21"/>
                      <w:lang w:eastAsia="zh-CN"/>
                    </w:rPr>
                    <w:t>）</w:t>
                  </w:r>
                  <w:r>
                    <w:rPr>
                      <w:rFonts w:hint="eastAsia"/>
                      <w:color w:val="000000"/>
                      <w:szCs w:val="21"/>
                    </w:rPr>
                    <w:t>处理后与生活污水进入已建预处理池</w:t>
                  </w:r>
                  <w:r>
                    <w:rPr>
                      <w:rFonts w:hint="eastAsia"/>
                      <w:color w:val="000000"/>
                      <w:szCs w:val="21"/>
                      <w:lang w:eastAsia="zh-CN"/>
                    </w:rPr>
                    <w:t>（</w:t>
                  </w:r>
                  <w:r>
                    <w:rPr>
                      <w:rFonts w:hint="eastAsia"/>
                      <w:color w:val="000000"/>
                      <w:szCs w:val="21"/>
                      <w:lang w:val="en-US" w:eastAsia="zh-CN"/>
                    </w:rPr>
                    <w:t>100m</w:t>
                  </w:r>
                  <w:r>
                    <w:rPr>
                      <w:rFonts w:hint="eastAsia"/>
                      <w:color w:val="000000"/>
                      <w:szCs w:val="21"/>
                      <w:vertAlign w:val="superscript"/>
                      <w:lang w:val="en-US" w:eastAsia="zh-CN"/>
                    </w:rPr>
                    <w:t>3</w:t>
                  </w:r>
                  <w:r>
                    <w:rPr>
                      <w:rFonts w:hint="eastAsia"/>
                      <w:color w:val="000000"/>
                      <w:szCs w:val="21"/>
                      <w:lang w:eastAsia="zh-CN"/>
                    </w:rPr>
                    <w:t>）</w:t>
                  </w:r>
                  <w:r>
                    <w:rPr>
                      <w:rFonts w:hint="eastAsia"/>
                      <w:color w:val="000000"/>
                      <w:szCs w:val="21"/>
                    </w:rPr>
                    <w:t>处理达《污水综合排放标准》（GB8978-1996）三级标准后进入</w:t>
                  </w:r>
                  <w:r>
                    <w:rPr>
                      <w:rFonts w:hint="eastAsia"/>
                      <w:color w:val="000000"/>
                      <w:szCs w:val="21"/>
                      <w:lang w:eastAsia="zh-CN"/>
                    </w:rPr>
                    <w:t>星光工业园区污水处理厂</w:t>
                  </w:r>
                  <w:r>
                    <w:rPr>
                      <w:rFonts w:hint="eastAsia"/>
                      <w:color w:val="000000"/>
                      <w:szCs w:val="21"/>
                    </w:rPr>
                    <w:t>，处理后达《城镇污水处理厂污染物排放标准》</w:t>
                  </w:r>
                  <w:r>
                    <w:rPr>
                      <w:rFonts w:hint="eastAsia"/>
                      <w:color w:val="000000"/>
                      <w:szCs w:val="21"/>
                      <w:lang w:eastAsia="zh-CN"/>
                    </w:rPr>
                    <w:t>（</w:t>
                  </w:r>
                  <w:r>
                    <w:rPr>
                      <w:rFonts w:hint="eastAsia"/>
                      <w:color w:val="000000"/>
                      <w:szCs w:val="21"/>
                    </w:rPr>
                    <w:t>GB18918-2002）水污染物排放标准的一级A标准排入</w:t>
                  </w:r>
                  <w:r>
                    <w:rPr>
                      <w:rFonts w:hint="eastAsia"/>
                      <w:color w:val="000000"/>
                      <w:szCs w:val="21"/>
                      <w:lang w:eastAsia="zh-CN"/>
                    </w:rPr>
                    <w:t>巴河。</w:t>
                  </w:r>
                </w:p>
              </w:tc>
              <w:tc>
                <w:tcPr>
                  <w:tcW w:w="3364" w:type="dxa"/>
                  <w:vMerge w:val="restart"/>
                  <w:noWrap w:val="0"/>
                  <w:vAlign w:val="center"/>
                </w:tcPr>
                <w:p w14:paraId="28DB1E49">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center"/>
                    <w:textAlignment w:val="auto"/>
                    <w:rPr>
                      <w:rFonts w:hint="default" w:eastAsia="宋体"/>
                      <w:color w:val="000000"/>
                      <w:kern w:val="2"/>
                      <w:sz w:val="21"/>
                      <w:szCs w:val="21"/>
                      <w:lang w:val="en-US" w:eastAsia="zh-CN" w:bidi="ar-SA"/>
                    </w:rPr>
                  </w:pPr>
                  <w:r>
                    <w:rPr>
                      <w:rFonts w:hint="eastAsia"/>
                      <w:color w:val="000000"/>
                      <w:kern w:val="2"/>
                      <w:sz w:val="21"/>
                      <w:szCs w:val="21"/>
                      <w:lang w:val="en-US" w:eastAsia="zh-CN" w:bidi="ar-SA"/>
                    </w:rPr>
                    <w:t>依托已建</w:t>
                  </w:r>
                  <w:r>
                    <w:rPr>
                      <w:rFonts w:hint="eastAsia"/>
                      <w:color w:val="000000"/>
                      <w:szCs w:val="21"/>
                      <w:lang w:eastAsia="zh-CN"/>
                    </w:rPr>
                    <w:t>。</w:t>
                  </w:r>
                </w:p>
              </w:tc>
              <w:tc>
                <w:tcPr>
                  <w:tcW w:w="1260" w:type="dxa"/>
                  <w:vMerge w:val="continue"/>
                  <w:noWrap w:val="0"/>
                  <w:vAlign w:val="center"/>
                </w:tcPr>
                <w:p w14:paraId="4D77314E">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vMerge w:val="restart"/>
                  <w:noWrap w:val="0"/>
                  <w:vAlign w:val="center"/>
                </w:tcPr>
                <w:p w14:paraId="6EF09F6D">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eastAsia="zh-CN"/>
                    </w:rPr>
                    <w:t>废水</w:t>
                  </w:r>
                </w:p>
              </w:tc>
              <w:tc>
                <w:tcPr>
                  <w:tcW w:w="1012" w:type="dxa"/>
                  <w:noWrap w:val="0"/>
                  <w:vAlign w:val="center"/>
                </w:tcPr>
                <w:p w14:paraId="6CC5E8AA">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eastAsia="zh-CN"/>
                    </w:rPr>
                    <w:t>依托</w:t>
                  </w:r>
                </w:p>
              </w:tc>
            </w:tr>
            <w:tr w14:paraId="5911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96" w:type="dxa"/>
                  <w:vMerge w:val="continue"/>
                  <w:noWrap w:val="0"/>
                  <w:vAlign w:val="center"/>
                </w:tcPr>
                <w:p w14:paraId="590E5F97">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2E90208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31FC311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eastAsia="宋体"/>
                      <w:color w:val="000000"/>
                      <w:szCs w:val="21"/>
                      <w:lang w:val="en-US" w:eastAsia="zh-CN"/>
                    </w:rPr>
                  </w:pPr>
                  <w:r>
                    <w:rPr>
                      <w:rFonts w:hint="eastAsia"/>
                      <w:color w:val="000000"/>
                      <w:szCs w:val="21"/>
                      <w:lang w:val="en-US" w:eastAsia="zh-CN"/>
                    </w:rPr>
                    <w:t>初期雨水</w:t>
                  </w:r>
                </w:p>
              </w:tc>
              <w:tc>
                <w:tcPr>
                  <w:tcW w:w="3266" w:type="dxa"/>
                  <w:noWrap w:val="0"/>
                  <w:vAlign w:val="center"/>
                </w:tcPr>
                <w:p w14:paraId="68C95728">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center"/>
                    <w:textAlignment w:val="auto"/>
                    <w:rPr>
                      <w:rFonts w:hint="eastAsia" w:eastAsia="宋体"/>
                      <w:color w:val="000000"/>
                      <w:szCs w:val="21"/>
                      <w:lang w:val="en-US" w:eastAsia="zh-CN"/>
                    </w:rPr>
                  </w:pPr>
                  <w:r>
                    <w:rPr>
                      <w:rFonts w:hint="eastAsia"/>
                      <w:color w:val="000000"/>
                      <w:szCs w:val="21"/>
                      <w:lang w:val="en-US" w:eastAsia="zh-CN"/>
                    </w:rPr>
                    <w:t>/</w:t>
                  </w:r>
                </w:p>
              </w:tc>
              <w:tc>
                <w:tcPr>
                  <w:tcW w:w="3364" w:type="dxa"/>
                  <w:noWrap w:val="0"/>
                  <w:vAlign w:val="center"/>
                </w:tcPr>
                <w:p w14:paraId="7404111B">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center"/>
                    <w:textAlignment w:val="auto"/>
                    <w:rPr>
                      <w:rFonts w:hint="eastAsia"/>
                      <w:color w:val="000000"/>
                      <w:kern w:val="2"/>
                      <w:sz w:val="21"/>
                      <w:szCs w:val="21"/>
                      <w:lang w:val="en-US" w:eastAsia="zh-CN" w:bidi="ar-SA"/>
                    </w:rPr>
                  </w:pPr>
                  <w:r>
                    <w:rPr>
                      <w:rFonts w:hint="eastAsia"/>
                      <w:color w:val="000000"/>
                      <w:kern w:val="2"/>
                      <w:sz w:val="21"/>
                      <w:szCs w:val="21"/>
                      <w:lang w:val="en-US" w:eastAsia="zh-CN" w:bidi="ar-SA"/>
                    </w:rPr>
                    <w:t>新建初期雨水池1个，240m</w:t>
                  </w:r>
                  <w:r>
                    <w:rPr>
                      <w:rFonts w:hint="eastAsia"/>
                      <w:color w:val="000000"/>
                      <w:kern w:val="2"/>
                      <w:sz w:val="21"/>
                      <w:szCs w:val="21"/>
                      <w:vertAlign w:val="superscript"/>
                      <w:lang w:val="en-US" w:eastAsia="zh-CN" w:bidi="ar-SA"/>
                    </w:rPr>
                    <w:t>3</w:t>
                  </w:r>
                </w:p>
              </w:tc>
              <w:tc>
                <w:tcPr>
                  <w:tcW w:w="1260" w:type="dxa"/>
                  <w:vMerge w:val="continue"/>
                  <w:noWrap w:val="0"/>
                  <w:vAlign w:val="center"/>
                </w:tcPr>
                <w:p w14:paraId="27A03A0D">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vMerge w:val="continue"/>
                  <w:noWrap w:val="0"/>
                  <w:vAlign w:val="center"/>
                </w:tcPr>
                <w:p w14:paraId="5DDA11F5">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lang w:eastAsia="zh-CN"/>
                    </w:rPr>
                  </w:pPr>
                </w:p>
              </w:tc>
              <w:tc>
                <w:tcPr>
                  <w:tcW w:w="1012" w:type="dxa"/>
                  <w:noWrap w:val="0"/>
                  <w:vAlign w:val="center"/>
                </w:tcPr>
                <w:p w14:paraId="5F2C89D5">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szCs w:val="21"/>
                      <w:lang w:val="en-US" w:eastAsia="zh-CN"/>
                    </w:rPr>
                  </w:pPr>
                  <w:r>
                    <w:rPr>
                      <w:rFonts w:hint="eastAsia"/>
                      <w:color w:val="000000"/>
                      <w:szCs w:val="21"/>
                      <w:lang w:val="en-US" w:eastAsia="zh-CN"/>
                    </w:rPr>
                    <w:t>新建</w:t>
                  </w:r>
                </w:p>
              </w:tc>
            </w:tr>
            <w:tr w14:paraId="3855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vMerge w:val="continue"/>
                  <w:noWrap w:val="0"/>
                  <w:vAlign w:val="center"/>
                </w:tcPr>
                <w:p w14:paraId="1F7A4B5B">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2869D716">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10647E06">
                  <w:pPr>
                    <w:adjustRightInd w:val="0"/>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生产废水</w:t>
                  </w:r>
                </w:p>
              </w:tc>
              <w:tc>
                <w:tcPr>
                  <w:tcW w:w="3266" w:type="dxa"/>
                  <w:noWrap w:val="0"/>
                  <w:vAlign w:val="center"/>
                </w:tcPr>
                <w:p w14:paraId="3F41AD4D">
                  <w:pPr>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lang w:bidi="ar"/>
                    </w:rPr>
                    <w:t>变压器、炉头冷却水进入循环水池</w:t>
                  </w:r>
                  <w:r>
                    <w:rPr>
                      <w:rFonts w:hint="default" w:ascii="Times New Roman" w:hAnsi="Times New Roman" w:cs="Times New Roman"/>
                      <w:color w:val="000000"/>
                      <w:kern w:val="0"/>
                      <w:szCs w:val="21"/>
                      <w:lang w:eastAsia="zh-CN" w:bidi="ar"/>
                    </w:rPr>
                    <w:t>（</w:t>
                  </w:r>
                  <w:r>
                    <w:rPr>
                      <w:rFonts w:hint="default" w:ascii="Times New Roman" w:hAnsi="Times New Roman" w:cs="Times New Roman"/>
                      <w:color w:val="000000"/>
                      <w:kern w:val="0"/>
                      <w:szCs w:val="21"/>
                      <w:lang w:val="en-US" w:eastAsia="zh-CN" w:bidi="ar"/>
                    </w:rPr>
                    <w:t>2个，共40m</w:t>
                  </w:r>
                  <w:r>
                    <w:rPr>
                      <w:rFonts w:hint="default" w:ascii="Times New Roman" w:hAnsi="Times New Roman" w:cs="Times New Roman"/>
                      <w:color w:val="000000"/>
                      <w:kern w:val="0"/>
                      <w:szCs w:val="21"/>
                      <w:vertAlign w:val="superscript"/>
                      <w:lang w:val="en-US" w:eastAsia="zh-CN" w:bidi="ar"/>
                    </w:rPr>
                    <w:t>3</w:t>
                  </w:r>
                  <w:r>
                    <w:rPr>
                      <w:rFonts w:hint="default" w:ascii="Times New Roman" w:hAnsi="Times New Roman" w:cs="Times New Roman"/>
                      <w:color w:val="000000"/>
                      <w:kern w:val="0"/>
                      <w:szCs w:val="21"/>
                      <w:lang w:eastAsia="zh-CN" w:bidi="ar"/>
                    </w:rPr>
                    <w:t>）</w:t>
                  </w:r>
                  <w:r>
                    <w:rPr>
                      <w:rFonts w:hint="default" w:ascii="Times New Roman" w:hAnsi="Times New Roman" w:cs="Times New Roman"/>
                      <w:color w:val="000000"/>
                      <w:kern w:val="0"/>
                      <w:szCs w:val="21"/>
                      <w:lang w:bidi="ar"/>
                    </w:rPr>
                    <w:t>，循环使用，</w:t>
                  </w:r>
                  <w:r>
                    <w:rPr>
                      <w:rFonts w:hint="default" w:ascii="Times New Roman" w:hAnsi="Times New Roman" w:cs="Times New Roman"/>
                      <w:color w:val="000000"/>
                      <w:kern w:val="0"/>
                      <w:szCs w:val="21"/>
                      <w:lang w:val="en-US" w:eastAsia="zh-CN" w:bidi="ar"/>
                    </w:rPr>
                    <w:t>不外排。</w:t>
                  </w:r>
                  <w:r>
                    <w:rPr>
                      <w:rFonts w:hint="default" w:ascii="Times New Roman" w:hAnsi="Times New Roman" w:cs="Times New Roman"/>
                      <w:color w:val="000000"/>
                      <w:kern w:val="0"/>
                      <w:sz w:val="21"/>
                      <w:szCs w:val="21"/>
                      <w:highlight w:val="none"/>
                      <w:vertAlign w:val="baseline"/>
                      <w:lang w:val="en-US" w:eastAsia="zh-CN"/>
                    </w:rPr>
                    <w:t>脱硫废水经循环沉淀水池（2个，共60m</w:t>
                  </w:r>
                  <w:r>
                    <w:rPr>
                      <w:rFonts w:hint="default" w:ascii="Times New Roman" w:hAnsi="Times New Roman" w:cs="Times New Roman"/>
                      <w:color w:val="000000"/>
                      <w:kern w:val="0"/>
                      <w:sz w:val="21"/>
                      <w:szCs w:val="21"/>
                      <w:highlight w:val="none"/>
                      <w:vertAlign w:val="superscript"/>
                      <w:lang w:val="en-US" w:eastAsia="zh-CN"/>
                    </w:rPr>
                    <w:t>3</w:t>
                  </w:r>
                  <w:r>
                    <w:rPr>
                      <w:rFonts w:hint="default" w:ascii="Times New Roman" w:hAnsi="Times New Roman" w:cs="Times New Roman"/>
                      <w:color w:val="000000"/>
                      <w:kern w:val="0"/>
                      <w:sz w:val="21"/>
                      <w:szCs w:val="21"/>
                      <w:highlight w:val="none"/>
                      <w:vertAlign w:val="baseline"/>
                      <w:lang w:val="en-US" w:eastAsia="zh-CN"/>
                    </w:rPr>
                    <w:t>）处理后回用脱硫塔补充用水，不外排。</w:t>
                  </w:r>
                </w:p>
              </w:tc>
              <w:tc>
                <w:tcPr>
                  <w:tcW w:w="3364" w:type="dxa"/>
                  <w:noWrap w:val="0"/>
                  <w:vAlign w:val="center"/>
                </w:tcPr>
                <w:p w14:paraId="1D42F616">
                  <w:pPr>
                    <w:jc w:val="center"/>
                    <w:rPr>
                      <w:rFonts w:hint="default" w:ascii="Times New Roman" w:hAnsi="Times New Roman" w:cs="Times New Roman"/>
                      <w:color w:val="000000"/>
                      <w:kern w:val="2"/>
                      <w:sz w:val="21"/>
                      <w:szCs w:val="21"/>
                      <w:lang w:val="en-US" w:eastAsia="zh-CN" w:bidi="ar-SA"/>
                    </w:rPr>
                  </w:pPr>
                  <w:r>
                    <w:rPr>
                      <w:rFonts w:hint="default" w:ascii="Times New Roman" w:hAnsi="Times New Roman" w:cs="Times New Roman"/>
                      <w:color w:val="000000"/>
                      <w:kern w:val="0"/>
                      <w:sz w:val="21"/>
                      <w:szCs w:val="21"/>
                      <w:highlight w:val="none"/>
                      <w:vertAlign w:val="baseline"/>
                      <w:lang w:val="en-US" w:eastAsia="zh-CN"/>
                    </w:rPr>
                    <w:t>冷却塔定期排污水经沉淀池（1个，60m</w:t>
                  </w:r>
                  <w:r>
                    <w:rPr>
                      <w:rFonts w:hint="default" w:ascii="Times New Roman" w:hAnsi="Times New Roman" w:cs="Times New Roman"/>
                      <w:color w:val="000000"/>
                      <w:kern w:val="0"/>
                      <w:sz w:val="21"/>
                      <w:szCs w:val="21"/>
                      <w:highlight w:val="none"/>
                      <w:vertAlign w:val="superscript"/>
                      <w:lang w:val="en-US" w:eastAsia="zh-CN"/>
                    </w:rPr>
                    <w:t>3</w:t>
                  </w:r>
                  <w:r>
                    <w:rPr>
                      <w:rFonts w:hint="default" w:ascii="Times New Roman" w:hAnsi="Times New Roman" w:cs="Times New Roman"/>
                      <w:color w:val="000000"/>
                      <w:kern w:val="0"/>
                      <w:sz w:val="21"/>
                      <w:szCs w:val="21"/>
                      <w:highlight w:val="none"/>
                      <w:vertAlign w:val="baseline"/>
                      <w:lang w:val="en-US" w:eastAsia="zh-CN"/>
                    </w:rPr>
                    <w:t>）处理后回用脱硫塔补充用水，不外排；脱硫废水经循环沉淀水池（1个，120m</w:t>
                  </w:r>
                  <w:r>
                    <w:rPr>
                      <w:rFonts w:hint="default" w:ascii="Times New Roman" w:hAnsi="Times New Roman" w:cs="Times New Roman"/>
                      <w:color w:val="000000"/>
                      <w:kern w:val="0"/>
                      <w:sz w:val="21"/>
                      <w:szCs w:val="21"/>
                      <w:highlight w:val="none"/>
                      <w:vertAlign w:val="superscript"/>
                      <w:lang w:val="en-US" w:eastAsia="zh-CN"/>
                    </w:rPr>
                    <w:t>3</w:t>
                  </w:r>
                  <w:r>
                    <w:rPr>
                      <w:rFonts w:hint="default" w:ascii="Times New Roman" w:hAnsi="Times New Roman" w:cs="Times New Roman"/>
                      <w:color w:val="000000"/>
                      <w:kern w:val="0"/>
                      <w:sz w:val="21"/>
                      <w:szCs w:val="21"/>
                      <w:highlight w:val="none"/>
                      <w:vertAlign w:val="baseline"/>
                      <w:lang w:val="en-US" w:eastAsia="zh-CN"/>
                    </w:rPr>
                    <w:t>）处理后回用脱硫塔补充用水，不外排。</w:t>
                  </w:r>
                </w:p>
              </w:tc>
              <w:tc>
                <w:tcPr>
                  <w:tcW w:w="1260" w:type="dxa"/>
                  <w:vMerge w:val="continue"/>
                  <w:noWrap w:val="0"/>
                  <w:vAlign w:val="center"/>
                </w:tcPr>
                <w:p w14:paraId="62662548">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rPr>
                  </w:pPr>
                </w:p>
              </w:tc>
              <w:tc>
                <w:tcPr>
                  <w:tcW w:w="1155" w:type="dxa"/>
                  <w:vMerge w:val="continue"/>
                  <w:noWrap w:val="0"/>
                  <w:vAlign w:val="center"/>
                </w:tcPr>
                <w:p w14:paraId="20A0926D">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lang w:eastAsia="zh-CN"/>
                    </w:rPr>
                  </w:pPr>
                </w:p>
              </w:tc>
              <w:tc>
                <w:tcPr>
                  <w:tcW w:w="1012" w:type="dxa"/>
                  <w:noWrap w:val="0"/>
                  <w:vAlign w:val="center"/>
                </w:tcPr>
                <w:p w14:paraId="7F195C0D">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szCs w:val="21"/>
                      <w:lang w:val="en-US" w:eastAsia="zh-CN"/>
                    </w:rPr>
                  </w:pPr>
                  <w:r>
                    <w:rPr>
                      <w:rFonts w:hint="eastAsia"/>
                      <w:color w:val="000000"/>
                      <w:szCs w:val="21"/>
                      <w:lang w:val="en-US" w:eastAsia="zh-CN"/>
                    </w:rPr>
                    <w:t>改建</w:t>
                  </w:r>
                </w:p>
              </w:tc>
            </w:tr>
            <w:tr w14:paraId="0283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4B74038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restart"/>
                  <w:noWrap w:val="0"/>
                  <w:vAlign w:val="center"/>
                </w:tcPr>
                <w:p w14:paraId="2781FFDB">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固废</w:t>
                  </w:r>
                </w:p>
                <w:p w14:paraId="3FA2CF11">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处置措施</w:t>
                  </w:r>
                </w:p>
              </w:tc>
              <w:tc>
                <w:tcPr>
                  <w:tcW w:w="731" w:type="dxa"/>
                  <w:noWrap w:val="0"/>
                  <w:vAlign w:val="center"/>
                </w:tcPr>
                <w:p w14:paraId="4ACADCD8">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rFonts w:hint="eastAsia"/>
                      <w:bCs/>
                      <w:color w:val="000000"/>
                      <w:szCs w:val="21"/>
                    </w:rPr>
                    <w:t>危险废物</w:t>
                  </w:r>
                </w:p>
              </w:tc>
              <w:tc>
                <w:tcPr>
                  <w:tcW w:w="3266" w:type="dxa"/>
                  <w:noWrap w:val="0"/>
                  <w:vAlign w:val="center"/>
                </w:tcPr>
                <w:p w14:paraId="0B34EB95">
                  <w:pPr>
                    <w:pStyle w:val="94"/>
                    <w:keepNext w:val="0"/>
                    <w:keepLines w:val="0"/>
                    <w:pageBreakBefore w:val="0"/>
                    <w:widowControl w:val="0"/>
                    <w:kinsoku/>
                    <w:wordWrap/>
                    <w:overflowPunct/>
                    <w:topLinePunct w:val="0"/>
                    <w:autoSpaceDE/>
                    <w:autoSpaceDN/>
                    <w:bidi w:val="0"/>
                    <w:ind w:firstLine="0" w:firstLineChars="0"/>
                    <w:textAlignment w:val="auto"/>
                    <w:rPr>
                      <w:color w:val="000000"/>
                      <w:kern w:val="0"/>
                      <w:sz w:val="21"/>
                      <w:szCs w:val="21"/>
                      <w:lang w:val="en-US" w:eastAsia="zh-CN" w:bidi="ar-SA"/>
                    </w:rPr>
                  </w:pPr>
                  <w:r>
                    <w:rPr>
                      <w:rFonts w:hint="eastAsia"/>
                      <w:bCs/>
                      <w:color w:val="000000"/>
                      <w:lang w:val="en-US" w:eastAsia="zh-CN"/>
                    </w:rPr>
                    <w:t>厂区西南侧</w:t>
                  </w:r>
                  <w:r>
                    <w:rPr>
                      <w:rFonts w:hint="eastAsia"/>
                      <w:bCs/>
                      <w:color w:val="000000"/>
                      <w:lang w:eastAsia="zh-CN"/>
                    </w:rPr>
                    <w:t>设置</w:t>
                  </w:r>
                  <w:r>
                    <w:rPr>
                      <w:rFonts w:hint="eastAsia"/>
                      <w:bCs/>
                      <w:color w:val="000000"/>
                      <w:lang w:val="en-US" w:eastAsia="zh-CN"/>
                    </w:rPr>
                    <w:t>1个危废暂存间</w:t>
                  </w:r>
                  <w:r>
                    <w:rPr>
                      <w:rFonts w:hint="eastAsia"/>
                      <w:bCs/>
                      <w:color w:val="000000"/>
                    </w:rPr>
                    <w:t>，占地面积为</w:t>
                  </w:r>
                  <w:r>
                    <w:rPr>
                      <w:rFonts w:hint="eastAsia"/>
                      <w:bCs/>
                      <w:color w:val="000000"/>
                      <w:lang w:val="en-US" w:eastAsia="zh-CN"/>
                    </w:rPr>
                    <w:t>10</w:t>
                  </w:r>
                  <w:r>
                    <w:rPr>
                      <w:rFonts w:hint="eastAsia"/>
                      <w:bCs/>
                      <w:color w:val="000000"/>
                    </w:rPr>
                    <w:t>m</w:t>
                  </w:r>
                  <w:r>
                    <w:rPr>
                      <w:rFonts w:hint="eastAsia"/>
                      <w:bCs/>
                      <w:color w:val="000000"/>
                      <w:vertAlign w:val="superscript"/>
                    </w:rPr>
                    <w:t>2</w:t>
                  </w:r>
                  <w:r>
                    <w:rPr>
                      <w:rFonts w:hint="eastAsia"/>
                      <w:bCs/>
                      <w:color w:val="000000"/>
                    </w:rPr>
                    <w:t>，</w:t>
                  </w:r>
                  <w:r>
                    <w:rPr>
                      <w:rFonts w:hint="eastAsia"/>
                      <w:bCs/>
                      <w:color w:val="000000"/>
                      <w:lang w:val="en-US" w:eastAsia="zh-CN"/>
                    </w:rPr>
                    <w:t>防渗混凝土+</w:t>
                  </w:r>
                  <w:r>
                    <w:rPr>
                      <w:rFonts w:hint="eastAsia"/>
                      <w:bCs/>
                      <w:color w:val="000000"/>
                    </w:rPr>
                    <w:t>2mm</w:t>
                  </w:r>
                  <w:r>
                    <w:rPr>
                      <w:rFonts w:hint="eastAsia"/>
                      <w:bCs/>
                      <w:color w:val="000000"/>
                      <w:lang w:val="en-US" w:eastAsia="zh-CN"/>
                    </w:rPr>
                    <w:t>环氧树脂地坪</w:t>
                  </w:r>
                  <w:r>
                    <w:rPr>
                      <w:rFonts w:hint="eastAsia"/>
                      <w:bCs/>
                      <w:color w:val="000000"/>
                    </w:rPr>
                    <w:t>进行防渗处理。产生的危废分类收集后，存放于危废暂存间内，定期交由有资质的单位处置。</w:t>
                  </w:r>
                </w:p>
              </w:tc>
              <w:tc>
                <w:tcPr>
                  <w:tcW w:w="3364" w:type="dxa"/>
                  <w:noWrap w:val="0"/>
                  <w:vAlign w:val="center"/>
                </w:tcPr>
                <w:p w14:paraId="1BDED172">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kern w:val="0"/>
                      <w:sz w:val="21"/>
                      <w:szCs w:val="21"/>
                      <w:lang w:val="en-US" w:eastAsia="zh-CN" w:bidi="ar-SA"/>
                    </w:rPr>
                  </w:pPr>
                  <w:r>
                    <w:rPr>
                      <w:rFonts w:hint="eastAsia"/>
                      <w:color w:val="000000"/>
                      <w:kern w:val="2"/>
                      <w:sz w:val="21"/>
                      <w:szCs w:val="21"/>
                      <w:lang w:val="en-US" w:eastAsia="zh-CN" w:bidi="ar-SA"/>
                    </w:rPr>
                    <w:t>拆除现有危废暂存间，在厂区东北侧新建一个危废暂存间，面积为10m</w:t>
                  </w:r>
                  <w:r>
                    <w:rPr>
                      <w:rFonts w:hint="eastAsia"/>
                      <w:color w:val="000000"/>
                      <w:kern w:val="2"/>
                      <w:sz w:val="21"/>
                      <w:szCs w:val="21"/>
                      <w:vertAlign w:val="superscript"/>
                      <w:lang w:val="en-US" w:eastAsia="zh-CN" w:bidi="ar-SA"/>
                    </w:rPr>
                    <w:t>2</w:t>
                  </w:r>
                  <w:r>
                    <w:rPr>
                      <w:rFonts w:hint="eastAsia"/>
                      <w:bCs/>
                      <w:color w:val="000000"/>
                    </w:rPr>
                    <w:t>，</w:t>
                  </w:r>
                  <w:r>
                    <w:rPr>
                      <w:color w:val="000000"/>
                      <w:sz w:val="21"/>
                      <w:szCs w:val="21"/>
                    </w:rPr>
                    <w:t>采用防渗混凝土基础上，</w:t>
                  </w:r>
                  <w:r>
                    <w:rPr>
                      <w:rFonts w:hint="eastAsia"/>
                      <w:bCs/>
                      <w:color w:val="000000"/>
                    </w:rPr>
                    <w:t>铺设2mm厚高密度聚乙烯膜进行防渗处理、设置防渗漏托盘。项目产生的危废分类收集后，存放于危废暂存间内，定期交由有资质的单位处置。</w:t>
                  </w:r>
                </w:p>
              </w:tc>
              <w:tc>
                <w:tcPr>
                  <w:tcW w:w="1260" w:type="dxa"/>
                  <w:vMerge w:val="continue"/>
                  <w:noWrap w:val="0"/>
                  <w:vAlign w:val="center"/>
                </w:tcPr>
                <w:p w14:paraId="5021BAB9">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noWrap w:val="0"/>
                  <w:vAlign w:val="center"/>
                </w:tcPr>
                <w:p w14:paraId="6A75B55F">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bCs/>
                      <w:color w:val="000000"/>
                      <w:szCs w:val="21"/>
                    </w:rPr>
                    <w:t>危废</w:t>
                  </w:r>
                </w:p>
              </w:tc>
              <w:tc>
                <w:tcPr>
                  <w:tcW w:w="1012" w:type="dxa"/>
                  <w:noWrap w:val="0"/>
                  <w:vAlign w:val="center"/>
                </w:tcPr>
                <w:p w14:paraId="0C982BE3">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szCs w:val="21"/>
                      <w:lang w:val="en-US" w:eastAsia="zh-CN"/>
                    </w:rPr>
                  </w:pPr>
                  <w:r>
                    <w:rPr>
                      <w:rFonts w:hint="eastAsia" w:eastAsia="宋体"/>
                      <w:color w:val="000000"/>
                      <w:szCs w:val="21"/>
                      <w:lang w:val="en-US" w:eastAsia="zh-CN"/>
                    </w:rPr>
                    <w:t>新建</w:t>
                  </w:r>
                </w:p>
              </w:tc>
            </w:tr>
            <w:tr w14:paraId="1B8D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289F552B">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vMerge w:val="continue"/>
                  <w:noWrap w:val="0"/>
                  <w:vAlign w:val="center"/>
                </w:tcPr>
                <w:p w14:paraId="1849ED6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731" w:type="dxa"/>
                  <w:noWrap w:val="0"/>
                  <w:vAlign w:val="center"/>
                </w:tcPr>
                <w:p w14:paraId="58DBD090">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一般工业固废</w:t>
                  </w:r>
                </w:p>
              </w:tc>
              <w:tc>
                <w:tcPr>
                  <w:tcW w:w="3266" w:type="dxa"/>
                  <w:noWrap w:val="0"/>
                  <w:vAlign w:val="center"/>
                </w:tcPr>
                <w:p w14:paraId="79FC39F3">
                  <w:pPr>
                    <w:pStyle w:val="94"/>
                    <w:keepNext w:val="0"/>
                    <w:keepLines w:val="0"/>
                    <w:pageBreakBefore w:val="0"/>
                    <w:widowControl w:val="0"/>
                    <w:kinsoku/>
                    <w:wordWrap/>
                    <w:overflowPunct/>
                    <w:topLinePunct w:val="0"/>
                    <w:autoSpaceDE/>
                    <w:autoSpaceDN/>
                    <w:bidi w:val="0"/>
                    <w:ind w:firstLine="0" w:firstLineChars="0"/>
                    <w:textAlignment w:val="auto"/>
                    <w:rPr>
                      <w:color w:val="000000"/>
                      <w:kern w:val="0"/>
                      <w:sz w:val="21"/>
                      <w:szCs w:val="21"/>
                      <w:lang w:val="en-US" w:eastAsia="zh-CN" w:bidi="ar-SA"/>
                    </w:rPr>
                  </w:pPr>
                  <w:r>
                    <w:rPr>
                      <w:rFonts w:hint="eastAsia"/>
                      <w:bCs/>
                      <w:color w:val="000000"/>
                      <w:sz w:val="21"/>
                      <w:szCs w:val="21"/>
                      <w:lang w:val="en-US" w:eastAsia="zh-CN"/>
                    </w:rPr>
                    <w:t>/</w:t>
                  </w:r>
                </w:p>
              </w:tc>
              <w:tc>
                <w:tcPr>
                  <w:tcW w:w="3364" w:type="dxa"/>
                  <w:noWrap w:val="0"/>
                  <w:vAlign w:val="center"/>
                </w:tcPr>
                <w:p w14:paraId="21F89481">
                  <w:pPr>
                    <w:pStyle w:val="94"/>
                    <w:keepNext w:val="0"/>
                    <w:keepLines w:val="0"/>
                    <w:pageBreakBefore w:val="0"/>
                    <w:widowControl w:val="0"/>
                    <w:kinsoku/>
                    <w:wordWrap/>
                    <w:overflowPunct/>
                    <w:topLinePunct w:val="0"/>
                    <w:autoSpaceDE/>
                    <w:autoSpaceDN/>
                    <w:bidi w:val="0"/>
                    <w:ind w:firstLine="0" w:firstLineChars="0"/>
                    <w:textAlignment w:val="auto"/>
                    <w:rPr>
                      <w:rFonts w:hint="default"/>
                      <w:color w:val="000000"/>
                      <w:kern w:val="0"/>
                      <w:sz w:val="21"/>
                      <w:szCs w:val="21"/>
                      <w:lang w:val="en-US" w:eastAsia="zh-CN" w:bidi="ar-SA"/>
                    </w:rPr>
                  </w:pPr>
                  <w:r>
                    <w:rPr>
                      <w:rFonts w:hint="eastAsia"/>
                      <w:color w:val="000000"/>
                      <w:kern w:val="2"/>
                      <w:sz w:val="21"/>
                      <w:szCs w:val="21"/>
                      <w:lang w:val="en-US" w:eastAsia="zh-CN" w:bidi="ar-SA"/>
                    </w:rPr>
                    <w:t>厂区东北侧新建一般固废暂存间1个，面积为10m</w:t>
                  </w:r>
                  <w:r>
                    <w:rPr>
                      <w:rFonts w:hint="eastAsia"/>
                      <w:color w:val="000000"/>
                      <w:kern w:val="2"/>
                      <w:sz w:val="21"/>
                      <w:szCs w:val="21"/>
                      <w:vertAlign w:val="superscript"/>
                      <w:lang w:val="en-US" w:eastAsia="zh-CN" w:bidi="ar-SA"/>
                    </w:rPr>
                    <w:t>2</w:t>
                  </w:r>
                  <w:r>
                    <w:rPr>
                      <w:rFonts w:hint="eastAsia"/>
                      <w:bCs/>
                      <w:color w:val="000000"/>
                    </w:rPr>
                    <w:t>。</w:t>
                  </w:r>
                </w:p>
              </w:tc>
              <w:tc>
                <w:tcPr>
                  <w:tcW w:w="1260" w:type="dxa"/>
                  <w:vMerge w:val="continue"/>
                  <w:noWrap w:val="0"/>
                  <w:vAlign w:val="center"/>
                </w:tcPr>
                <w:p w14:paraId="34A8F054">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noWrap w:val="0"/>
                  <w:vAlign w:val="center"/>
                </w:tcPr>
                <w:p w14:paraId="0D1D082D">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eastAsia="zh-CN"/>
                    </w:rPr>
                    <w:t>一般固废</w:t>
                  </w:r>
                </w:p>
              </w:tc>
              <w:tc>
                <w:tcPr>
                  <w:tcW w:w="1012" w:type="dxa"/>
                  <w:noWrap w:val="0"/>
                  <w:vAlign w:val="center"/>
                </w:tcPr>
                <w:p w14:paraId="54D21570">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szCs w:val="21"/>
                      <w:lang w:val="en-US" w:eastAsia="zh-CN"/>
                    </w:rPr>
                  </w:pPr>
                  <w:r>
                    <w:rPr>
                      <w:rFonts w:hint="eastAsia" w:eastAsia="宋体"/>
                      <w:color w:val="000000"/>
                      <w:szCs w:val="21"/>
                      <w:lang w:val="en-US" w:eastAsia="zh-CN"/>
                    </w:rPr>
                    <w:t>新建</w:t>
                  </w:r>
                </w:p>
              </w:tc>
            </w:tr>
            <w:tr w14:paraId="4BE5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17A45728">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11C123A5">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噪声</w:t>
                  </w:r>
                </w:p>
                <w:p w14:paraId="330E11EA">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防治措施</w:t>
                  </w:r>
                </w:p>
              </w:tc>
              <w:tc>
                <w:tcPr>
                  <w:tcW w:w="3997" w:type="dxa"/>
                  <w:gridSpan w:val="2"/>
                  <w:noWrap w:val="0"/>
                  <w:vAlign w:val="center"/>
                </w:tcPr>
                <w:p w14:paraId="164B99B5">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合理布局基础减振、厂房隔音、距离衰减、定期维护设备、合理安排作业时间及厂区绿化等</w:t>
                  </w:r>
                </w:p>
              </w:tc>
              <w:tc>
                <w:tcPr>
                  <w:tcW w:w="3364" w:type="dxa"/>
                  <w:noWrap w:val="0"/>
                  <w:vAlign w:val="center"/>
                </w:tcPr>
                <w:p w14:paraId="68A52524">
                  <w:pPr>
                    <w:pStyle w:val="94"/>
                    <w:keepNext w:val="0"/>
                    <w:keepLines w:val="0"/>
                    <w:pageBreakBefore w:val="0"/>
                    <w:widowControl w:val="0"/>
                    <w:kinsoku/>
                    <w:wordWrap/>
                    <w:overflowPunct/>
                    <w:topLinePunct w:val="0"/>
                    <w:autoSpaceDE/>
                    <w:autoSpaceDN/>
                    <w:bidi w:val="0"/>
                    <w:ind w:firstLine="0" w:firstLineChars="0"/>
                    <w:textAlignment w:val="auto"/>
                    <w:rPr>
                      <w:color w:val="000000"/>
                      <w:kern w:val="0"/>
                      <w:sz w:val="21"/>
                      <w:szCs w:val="21"/>
                      <w:lang w:val="en-US" w:eastAsia="zh-CN" w:bidi="ar-SA"/>
                    </w:rPr>
                  </w:pPr>
                  <w:r>
                    <w:rPr>
                      <w:color w:val="000000"/>
                      <w:szCs w:val="21"/>
                    </w:rPr>
                    <w:t>合理布局基础减振、厂房隔音、距离衰减、定期维护设备、合理安排作业时间及厂区绿化等</w:t>
                  </w:r>
                </w:p>
              </w:tc>
              <w:tc>
                <w:tcPr>
                  <w:tcW w:w="1260" w:type="dxa"/>
                  <w:vMerge w:val="continue"/>
                  <w:noWrap w:val="0"/>
                  <w:vAlign w:val="center"/>
                </w:tcPr>
                <w:p w14:paraId="434CFF48">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noWrap w:val="0"/>
                  <w:vAlign w:val="center"/>
                </w:tcPr>
                <w:p w14:paraId="393090EC">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val="en-US" w:eastAsia="zh-CN"/>
                    </w:rPr>
                  </w:pPr>
                  <w:r>
                    <w:rPr>
                      <w:rFonts w:hint="eastAsia"/>
                      <w:color w:val="000000"/>
                      <w:szCs w:val="21"/>
                      <w:lang w:val="en-US" w:eastAsia="zh-CN"/>
                    </w:rPr>
                    <w:t>噪声</w:t>
                  </w:r>
                </w:p>
              </w:tc>
              <w:tc>
                <w:tcPr>
                  <w:tcW w:w="1012" w:type="dxa"/>
                  <w:noWrap w:val="0"/>
                  <w:vAlign w:val="center"/>
                </w:tcPr>
                <w:p w14:paraId="72EB2588">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eastAsia="zh-CN"/>
                    </w:rPr>
                    <w:t>新建</w:t>
                  </w:r>
                </w:p>
              </w:tc>
            </w:tr>
            <w:tr w14:paraId="7628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416CD73E">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1DD1D7B3">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地下水防治措施</w:t>
                  </w:r>
                </w:p>
              </w:tc>
              <w:tc>
                <w:tcPr>
                  <w:tcW w:w="3997" w:type="dxa"/>
                  <w:gridSpan w:val="2"/>
                  <w:noWrap w:val="0"/>
                  <w:vAlign w:val="center"/>
                </w:tcPr>
                <w:p w14:paraId="578BB9DF">
                  <w:pPr>
                    <w:keepNext w:val="0"/>
                    <w:keepLines w:val="0"/>
                    <w:pageBreakBefore w:val="0"/>
                    <w:widowControl w:val="0"/>
                    <w:kinsoku/>
                    <w:wordWrap/>
                    <w:overflowPunct/>
                    <w:topLinePunct w:val="0"/>
                    <w:autoSpaceDE/>
                    <w:autoSpaceDN/>
                    <w:bidi w:val="0"/>
                    <w:adjustRightInd/>
                    <w:spacing w:line="240" w:lineRule="auto"/>
                    <w:ind w:firstLine="420" w:firstLineChars="200"/>
                    <w:jc w:val="left"/>
                    <w:textAlignment w:val="auto"/>
                    <w:rPr>
                      <w:rFonts w:hint="eastAsia"/>
                      <w:b w:val="0"/>
                      <w:bCs w:val="0"/>
                      <w:color w:val="000000"/>
                      <w:sz w:val="21"/>
                      <w:szCs w:val="21"/>
                    </w:rPr>
                  </w:pPr>
                  <w:r>
                    <w:rPr>
                      <w:rFonts w:hint="eastAsia"/>
                      <w:b w:val="0"/>
                      <w:bCs w:val="0"/>
                      <w:color w:val="000000"/>
                      <w:sz w:val="21"/>
                      <w:szCs w:val="21"/>
                      <w:lang w:val="en-US" w:eastAsia="zh-CN"/>
                    </w:rPr>
                    <w:t>本项目</w:t>
                  </w:r>
                  <w:r>
                    <w:rPr>
                      <w:rFonts w:hint="eastAsia"/>
                      <w:b w:val="0"/>
                      <w:bCs w:val="0"/>
                      <w:color w:val="000000"/>
                      <w:sz w:val="21"/>
                      <w:szCs w:val="21"/>
                    </w:rPr>
                    <w:t>将厂区划分为重点防渗区、一般防渗区和简单防渗区。</w:t>
                  </w:r>
                </w:p>
                <w:p w14:paraId="0937F7A9">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color w:val="000000"/>
                      <w:sz w:val="21"/>
                      <w:szCs w:val="21"/>
                      <w:lang w:eastAsia="zh-CN"/>
                    </w:rPr>
                  </w:pPr>
                  <w:r>
                    <w:rPr>
                      <w:b w:val="0"/>
                      <w:bCs w:val="0"/>
                      <w:color w:val="000000"/>
                      <w:sz w:val="21"/>
                      <w:szCs w:val="21"/>
                    </w:rPr>
                    <w:t>重点防渗区防渗措施</w:t>
                  </w:r>
                  <w:r>
                    <w:rPr>
                      <w:rFonts w:hint="eastAsia"/>
                      <w:b w:val="0"/>
                      <w:bCs w:val="0"/>
                      <w:color w:val="000000"/>
                      <w:sz w:val="21"/>
                      <w:szCs w:val="21"/>
                    </w:rPr>
                    <w:t>：</w:t>
                  </w:r>
                  <w:r>
                    <w:rPr>
                      <w:b w:val="0"/>
                      <w:bCs w:val="0"/>
                      <w:color w:val="000000"/>
                      <w:sz w:val="21"/>
                      <w:szCs w:val="21"/>
                    </w:rPr>
                    <w:t>危废暂存间</w:t>
                  </w:r>
                  <w:r>
                    <w:rPr>
                      <w:rFonts w:hint="eastAsia"/>
                      <w:b w:val="0"/>
                      <w:bCs w:val="0"/>
                      <w:color w:val="000000"/>
                      <w:sz w:val="21"/>
                      <w:szCs w:val="21"/>
                      <w:lang w:eastAsia="zh-CN"/>
                    </w:rPr>
                    <w:t>、</w:t>
                  </w:r>
                  <w:r>
                    <w:rPr>
                      <w:rFonts w:hint="eastAsia"/>
                      <w:b w:val="0"/>
                      <w:bCs w:val="0"/>
                      <w:color w:val="000000"/>
                      <w:sz w:val="21"/>
                      <w:szCs w:val="21"/>
                      <w:lang w:val="en-US" w:eastAsia="zh-CN"/>
                    </w:rPr>
                    <w:t>事故应急池</w:t>
                  </w:r>
                  <w:r>
                    <w:rPr>
                      <w:b w:val="0"/>
                      <w:bCs w:val="0"/>
                      <w:color w:val="000000"/>
                      <w:sz w:val="21"/>
                      <w:szCs w:val="21"/>
                    </w:rPr>
                    <w:t>：</w:t>
                  </w:r>
                  <w:r>
                    <w:rPr>
                      <w:rFonts w:hint="eastAsia"/>
                      <w:b w:val="0"/>
                      <w:bCs w:val="0"/>
                      <w:color w:val="000000"/>
                      <w:sz w:val="21"/>
                      <w:szCs w:val="21"/>
                      <w:lang w:val="en-US" w:eastAsia="zh-CN"/>
                    </w:rPr>
                    <w:t>危废暂存间：</w:t>
                  </w:r>
                  <w:r>
                    <w:rPr>
                      <w:color w:val="000000"/>
                      <w:sz w:val="21"/>
                      <w:szCs w:val="21"/>
                    </w:rPr>
                    <w:t>采用防渗混凝土基础上，</w:t>
                  </w:r>
                  <w:r>
                    <w:rPr>
                      <w:rFonts w:hint="eastAsia"/>
                      <w:bCs/>
                      <w:color w:val="000000"/>
                    </w:rPr>
                    <w:t>铺设2mm厚高密度聚乙烯膜</w:t>
                  </w:r>
                  <w:r>
                    <w:rPr>
                      <w:color w:val="000000"/>
                      <w:sz w:val="21"/>
                      <w:szCs w:val="21"/>
                    </w:rPr>
                    <w:t>，设置不锈钢托盘托底，</w:t>
                  </w:r>
                  <w:r>
                    <w:rPr>
                      <w:rFonts w:hint="default" w:ascii="Times New Roman" w:hAnsi="Times New Roman" w:cs="Times New Roman"/>
                      <w:color w:val="000000"/>
                      <w:kern w:val="0"/>
                      <w:sz w:val="21"/>
                      <w:szCs w:val="21"/>
                      <w:lang w:val="en-US" w:eastAsia="zh-CN" w:bidi="ar"/>
                    </w:rPr>
                    <w:t>危废间地面四周设5cm围堰</w:t>
                  </w:r>
                  <w:r>
                    <w:rPr>
                      <w:rFonts w:hint="eastAsia" w:ascii="Times New Roman" w:hAnsi="Times New Roman" w:cs="Times New Roman"/>
                      <w:color w:val="000000"/>
                      <w:kern w:val="0"/>
                      <w:sz w:val="21"/>
                      <w:szCs w:val="21"/>
                      <w:lang w:val="en-US" w:eastAsia="zh-CN" w:bidi="ar"/>
                    </w:rPr>
                    <w:t>，</w:t>
                  </w:r>
                  <w:r>
                    <w:rPr>
                      <w:b w:val="0"/>
                      <w:bCs w:val="0"/>
                      <w:color w:val="000000"/>
                      <w:sz w:val="21"/>
                      <w:szCs w:val="21"/>
                    </w:rPr>
                    <w:t>等效黏土防渗层Mb≥</w:t>
                  </w:r>
                  <w:r>
                    <w:rPr>
                      <w:rFonts w:hint="eastAsia"/>
                      <w:b w:val="0"/>
                      <w:bCs w:val="0"/>
                      <w:color w:val="000000"/>
                      <w:sz w:val="21"/>
                      <w:szCs w:val="21"/>
                      <w:lang w:val="en-US" w:eastAsia="zh-CN"/>
                    </w:rPr>
                    <w:t>6</w:t>
                  </w:r>
                  <w:r>
                    <w:rPr>
                      <w:b w:val="0"/>
                      <w:bCs w:val="0"/>
                      <w:color w:val="000000"/>
                      <w:sz w:val="21"/>
                      <w:szCs w:val="21"/>
                    </w:rPr>
                    <w:t>.0m，渗透系数K≤1.0×10</w:t>
                  </w:r>
                  <w:r>
                    <w:rPr>
                      <w:b w:val="0"/>
                      <w:bCs w:val="0"/>
                      <w:color w:val="000000"/>
                      <w:sz w:val="21"/>
                      <w:szCs w:val="21"/>
                      <w:vertAlign w:val="superscript"/>
                    </w:rPr>
                    <w:t>-</w:t>
                  </w:r>
                  <w:r>
                    <w:rPr>
                      <w:rFonts w:hint="eastAsia"/>
                      <w:b w:val="0"/>
                      <w:bCs w:val="0"/>
                      <w:color w:val="000000"/>
                      <w:sz w:val="21"/>
                      <w:szCs w:val="21"/>
                      <w:vertAlign w:val="superscript"/>
                      <w:lang w:val="en-US" w:eastAsia="zh-CN"/>
                    </w:rPr>
                    <w:t>10</w:t>
                  </w:r>
                  <w:r>
                    <w:rPr>
                      <w:b w:val="0"/>
                      <w:bCs w:val="0"/>
                      <w:color w:val="000000"/>
                      <w:sz w:val="21"/>
                      <w:szCs w:val="21"/>
                    </w:rPr>
                    <w:t>cm/s</w:t>
                  </w:r>
                  <w:r>
                    <w:rPr>
                      <w:rFonts w:hint="default" w:ascii="Times New Roman" w:hAnsi="Times New Roman" w:cs="Times New Roman"/>
                      <w:color w:val="000000"/>
                      <w:sz w:val="21"/>
                      <w:szCs w:val="21"/>
                      <w:lang w:eastAsia="zh-CN"/>
                    </w:rPr>
                    <w:t>。</w:t>
                  </w:r>
                </w:p>
                <w:p w14:paraId="60F4BFA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b w:val="0"/>
                      <w:bCs w:val="0"/>
                      <w:color w:val="000000"/>
                      <w:sz w:val="21"/>
                      <w:szCs w:val="21"/>
                      <w:lang w:eastAsia="zh-CN"/>
                    </w:rPr>
                  </w:pPr>
                  <w:r>
                    <w:rPr>
                      <w:rFonts w:hint="eastAsia"/>
                      <w:b w:val="0"/>
                      <w:bCs w:val="0"/>
                      <w:color w:val="000000"/>
                      <w:sz w:val="21"/>
                      <w:szCs w:val="21"/>
                      <w:lang w:val="en-US" w:eastAsia="zh-CN"/>
                    </w:rPr>
                    <w:t>事故应急池：</w:t>
                  </w:r>
                  <w:r>
                    <w:rPr>
                      <w:b w:val="0"/>
                      <w:bCs w:val="0"/>
                      <w:color w:val="000000"/>
                      <w:sz w:val="21"/>
                      <w:szCs w:val="21"/>
                    </w:rPr>
                    <w:t>从下自上分别为垫层分层压实+抗渗混凝土+</w:t>
                  </w:r>
                  <w:r>
                    <w:rPr>
                      <w:rFonts w:hint="default" w:ascii="Times New Roman" w:hAnsi="Times New Roman" w:eastAsia="宋体" w:cs="Times New Roman"/>
                      <w:color w:val="000000"/>
                      <w:sz w:val="21"/>
                      <w:szCs w:val="21"/>
                    </w:rPr>
                    <w:t>防腐涂料做防腐处理</w:t>
                  </w:r>
                  <w:r>
                    <w:rPr>
                      <w:rFonts w:hint="eastAsia"/>
                      <w:b w:val="0"/>
                      <w:bCs w:val="0"/>
                      <w:color w:val="000000"/>
                      <w:sz w:val="21"/>
                      <w:szCs w:val="21"/>
                      <w:lang w:eastAsia="zh-CN"/>
                    </w:rPr>
                    <w:t>。</w:t>
                  </w:r>
                </w:p>
                <w:p w14:paraId="3E1166F5">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b w:val="0"/>
                      <w:bCs w:val="0"/>
                      <w:color w:val="000000"/>
                      <w:sz w:val="21"/>
                      <w:szCs w:val="21"/>
                    </w:rPr>
                  </w:pPr>
                  <w:r>
                    <w:rPr>
                      <w:b w:val="0"/>
                      <w:bCs w:val="0"/>
                      <w:color w:val="000000"/>
                      <w:sz w:val="21"/>
                      <w:szCs w:val="21"/>
                    </w:rPr>
                    <w:t>一般防渗区防渗措施</w:t>
                  </w:r>
                  <w:r>
                    <w:rPr>
                      <w:rFonts w:hint="eastAsia"/>
                      <w:b w:val="0"/>
                      <w:bCs w:val="0"/>
                      <w:color w:val="000000"/>
                      <w:sz w:val="21"/>
                      <w:szCs w:val="21"/>
                      <w:lang w:eastAsia="zh-CN"/>
                    </w:rPr>
                    <w:t>：</w:t>
                  </w:r>
                  <w:r>
                    <w:rPr>
                      <w:rFonts w:ascii="Times New Roman" w:cs="Times New Roman"/>
                      <w:b w:val="0"/>
                      <w:bCs w:val="0"/>
                      <w:color w:val="000000"/>
                      <w:sz w:val="21"/>
                      <w:szCs w:val="21"/>
                    </w:rPr>
                    <w:t>厂区除重点防渗区的其他地方</w:t>
                  </w:r>
                  <w:r>
                    <w:rPr>
                      <w:rFonts w:hint="eastAsia" w:ascii="Times New Roman" w:cs="Times New Roman"/>
                      <w:b w:val="0"/>
                      <w:bCs w:val="0"/>
                      <w:color w:val="000000"/>
                      <w:sz w:val="21"/>
                      <w:szCs w:val="21"/>
                      <w:lang w:eastAsia="zh-CN"/>
                    </w:rPr>
                    <w:t>：</w:t>
                  </w:r>
                  <w:r>
                    <w:rPr>
                      <w:rFonts w:hint="eastAsia" w:ascii="Times New Roman" w:cs="Times New Roman"/>
                      <w:b w:val="0"/>
                      <w:bCs w:val="0"/>
                      <w:color w:val="000000"/>
                      <w:sz w:val="21"/>
                      <w:szCs w:val="21"/>
                      <w:lang w:val="en-US" w:eastAsia="zh-CN"/>
                    </w:rPr>
                    <w:t>采用抗渗混凝土铺设，</w:t>
                  </w:r>
                  <w:r>
                    <w:rPr>
                      <w:b w:val="0"/>
                      <w:bCs w:val="0"/>
                      <w:color w:val="000000"/>
                      <w:sz w:val="21"/>
                      <w:szCs w:val="21"/>
                    </w:rPr>
                    <w:t>等效黏土防渗层Mb≥1.0m，渗透系数K≤1.0×10</w:t>
                  </w:r>
                  <w:r>
                    <w:rPr>
                      <w:b w:val="0"/>
                      <w:bCs w:val="0"/>
                      <w:color w:val="000000"/>
                      <w:sz w:val="21"/>
                      <w:szCs w:val="21"/>
                      <w:vertAlign w:val="superscript"/>
                    </w:rPr>
                    <w:t>-7</w:t>
                  </w:r>
                  <w:r>
                    <w:rPr>
                      <w:b w:val="0"/>
                      <w:bCs w:val="0"/>
                      <w:color w:val="000000"/>
                      <w:sz w:val="21"/>
                      <w:szCs w:val="21"/>
                    </w:rPr>
                    <w:t>cm/s。</w:t>
                  </w:r>
                </w:p>
                <w:p w14:paraId="50F9A85C">
                  <w:pPr>
                    <w:pStyle w:val="95"/>
                    <w:keepNext w:val="0"/>
                    <w:keepLines w:val="0"/>
                    <w:pageBreakBefore w:val="0"/>
                    <w:widowControl w:val="0"/>
                    <w:kinsoku/>
                    <w:wordWrap/>
                    <w:overflowPunct/>
                    <w:topLinePunct w:val="0"/>
                    <w:autoSpaceDE/>
                    <w:autoSpaceDN/>
                    <w:bidi w:val="0"/>
                    <w:spacing w:beforeLines="0" w:afterLines="0" w:line="240" w:lineRule="auto"/>
                    <w:ind w:firstLine="420" w:firstLineChars="200"/>
                    <w:textAlignment w:val="auto"/>
                    <w:rPr>
                      <w:color w:val="000000"/>
                      <w:szCs w:val="21"/>
                    </w:rPr>
                  </w:pPr>
                  <w:r>
                    <w:rPr>
                      <w:rFonts w:hint="eastAsia"/>
                      <w:b w:val="0"/>
                      <w:bCs w:val="0"/>
                      <w:color w:val="000000"/>
                      <w:sz w:val="21"/>
                      <w:szCs w:val="21"/>
                      <w:lang w:val="en-US" w:eastAsia="zh-CN"/>
                    </w:rPr>
                    <w:t>简单防渗区：办公区、厂区道路一般地面硬化。</w:t>
                  </w:r>
                </w:p>
              </w:tc>
              <w:tc>
                <w:tcPr>
                  <w:tcW w:w="3364" w:type="dxa"/>
                  <w:noWrap w:val="0"/>
                  <w:vAlign w:val="center"/>
                </w:tcPr>
                <w:p w14:paraId="3F0D7355">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color w:val="000000"/>
                      <w:sz w:val="21"/>
                      <w:szCs w:val="21"/>
                      <w:lang w:val="en-US" w:eastAsia="zh-CN"/>
                    </w:rPr>
                  </w:pPr>
                  <w:r>
                    <w:rPr>
                      <w:rFonts w:hint="eastAsia"/>
                      <w:color w:val="000000"/>
                      <w:kern w:val="2"/>
                      <w:sz w:val="21"/>
                      <w:szCs w:val="21"/>
                      <w:lang w:val="en-US" w:eastAsia="zh-CN" w:bidi="ar-SA"/>
                    </w:rPr>
                    <w:t>重点防渗区：危废暂存间拆除后重新建设：</w:t>
                  </w:r>
                  <w:r>
                    <w:rPr>
                      <w:color w:val="000000"/>
                      <w:sz w:val="21"/>
                      <w:szCs w:val="21"/>
                    </w:rPr>
                    <w:t>采用防渗混凝土基础上，</w:t>
                  </w:r>
                  <w:r>
                    <w:rPr>
                      <w:rFonts w:hint="eastAsia"/>
                      <w:bCs/>
                      <w:color w:val="000000"/>
                    </w:rPr>
                    <w:t>铺设2mm厚高密度聚乙烯膜</w:t>
                  </w:r>
                  <w:r>
                    <w:rPr>
                      <w:color w:val="000000"/>
                      <w:sz w:val="21"/>
                      <w:szCs w:val="21"/>
                    </w:rPr>
                    <w:t>，设置不锈钢托盘托底，</w:t>
                  </w:r>
                  <w:r>
                    <w:rPr>
                      <w:rFonts w:hint="default" w:ascii="Times New Roman" w:hAnsi="Times New Roman" w:cs="Times New Roman"/>
                      <w:color w:val="000000"/>
                      <w:kern w:val="0"/>
                      <w:sz w:val="21"/>
                      <w:szCs w:val="21"/>
                      <w:lang w:val="en-US" w:eastAsia="zh-CN" w:bidi="ar"/>
                    </w:rPr>
                    <w:t>危废间地面四周设5cm围堰</w:t>
                  </w:r>
                  <w:r>
                    <w:rPr>
                      <w:rFonts w:hint="eastAsia" w:ascii="Times New Roman" w:hAnsi="Times New Roman" w:cs="Times New Roman"/>
                      <w:color w:val="000000"/>
                      <w:kern w:val="0"/>
                      <w:sz w:val="21"/>
                      <w:szCs w:val="21"/>
                      <w:lang w:val="en-US" w:eastAsia="zh-CN" w:bidi="ar"/>
                    </w:rPr>
                    <w:t>，</w:t>
                  </w:r>
                  <w:r>
                    <w:rPr>
                      <w:b w:val="0"/>
                      <w:bCs w:val="0"/>
                      <w:color w:val="000000"/>
                      <w:sz w:val="21"/>
                      <w:szCs w:val="21"/>
                    </w:rPr>
                    <w:t>等效黏土防渗层Mb≥</w:t>
                  </w:r>
                  <w:r>
                    <w:rPr>
                      <w:rFonts w:hint="eastAsia"/>
                      <w:b w:val="0"/>
                      <w:bCs w:val="0"/>
                      <w:color w:val="000000"/>
                      <w:sz w:val="21"/>
                      <w:szCs w:val="21"/>
                      <w:lang w:val="en-US" w:eastAsia="zh-CN"/>
                    </w:rPr>
                    <w:t>6</w:t>
                  </w:r>
                  <w:r>
                    <w:rPr>
                      <w:b w:val="0"/>
                      <w:bCs w:val="0"/>
                      <w:color w:val="000000"/>
                      <w:sz w:val="21"/>
                      <w:szCs w:val="21"/>
                    </w:rPr>
                    <w:t>.0m，渗透系数K≤1.0×10</w:t>
                  </w:r>
                  <w:r>
                    <w:rPr>
                      <w:b w:val="0"/>
                      <w:bCs w:val="0"/>
                      <w:color w:val="000000"/>
                      <w:sz w:val="21"/>
                      <w:szCs w:val="21"/>
                      <w:vertAlign w:val="superscript"/>
                    </w:rPr>
                    <w:t>-</w:t>
                  </w:r>
                  <w:r>
                    <w:rPr>
                      <w:rFonts w:hint="eastAsia"/>
                      <w:b w:val="0"/>
                      <w:bCs w:val="0"/>
                      <w:color w:val="000000"/>
                      <w:sz w:val="21"/>
                      <w:szCs w:val="21"/>
                      <w:vertAlign w:val="superscript"/>
                      <w:lang w:val="en-US" w:eastAsia="zh-CN"/>
                    </w:rPr>
                    <w:t>10</w:t>
                  </w:r>
                  <w:r>
                    <w:rPr>
                      <w:b w:val="0"/>
                      <w:bCs w:val="0"/>
                      <w:color w:val="000000"/>
                      <w:sz w:val="21"/>
                      <w:szCs w:val="21"/>
                    </w:rPr>
                    <w:t>cm/s</w:t>
                  </w:r>
                  <w:r>
                    <w:rPr>
                      <w:rFonts w:hint="default" w:ascii="Times New Roman" w:hAnsi="Times New Roman" w:cs="Times New Roman"/>
                      <w:color w:val="000000"/>
                      <w:sz w:val="21"/>
                      <w:szCs w:val="21"/>
                      <w:lang w:eastAsia="zh-CN"/>
                    </w:rPr>
                    <w:t>。</w:t>
                  </w:r>
                  <w:r>
                    <w:rPr>
                      <w:rFonts w:hint="eastAsia" w:ascii="Times New Roman" w:hAnsi="Times New Roman" w:cs="Times New Roman"/>
                      <w:color w:val="000000"/>
                      <w:sz w:val="21"/>
                      <w:szCs w:val="21"/>
                      <w:lang w:val="en-US" w:eastAsia="zh-CN"/>
                    </w:rPr>
                    <w:t>辅料库房：在现有防渗混凝土基础上铺设</w:t>
                  </w:r>
                  <w:r>
                    <w:rPr>
                      <w:rFonts w:hint="eastAsia"/>
                      <w:bCs/>
                      <w:color w:val="000000"/>
                    </w:rPr>
                    <w:t>2mm厚高密度聚乙烯膜</w:t>
                  </w:r>
                  <w:r>
                    <w:rPr>
                      <w:rFonts w:hint="eastAsia"/>
                      <w:bCs/>
                      <w:color w:val="000000"/>
                      <w:lang w:eastAsia="zh-CN"/>
                    </w:rPr>
                    <w:t>；</w:t>
                  </w:r>
                  <w:r>
                    <w:rPr>
                      <w:rFonts w:hint="eastAsia" w:ascii="Times New Roman" w:cs="Times New Roman"/>
                      <w:color w:val="000000"/>
                      <w:sz w:val="21"/>
                      <w:szCs w:val="21"/>
                      <w:lang w:val="en-US" w:eastAsia="zh-CN"/>
                    </w:rPr>
                    <w:t>废气处理系统沉淀循环水池：</w:t>
                  </w:r>
                  <w:r>
                    <w:rPr>
                      <w:rFonts w:hint="default" w:ascii="Times New Roman" w:hAnsi="Times New Roman" w:eastAsia="宋体" w:cs="Times New Roman"/>
                      <w:color w:val="000000"/>
                      <w:sz w:val="21"/>
                      <w:szCs w:val="21"/>
                    </w:rPr>
                    <w:t>采用防渗混凝土，池体采用防腐涂料做防腐处理</w:t>
                  </w:r>
                  <w:r>
                    <w:rPr>
                      <w:rFonts w:hint="eastAsia"/>
                      <w:b w:val="0"/>
                      <w:bCs w:val="0"/>
                      <w:color w:val="000000"/>
                      <w:sz w:val="21"/>
                      <w:szCs w:val="21"/>
                      <w:lang w:eastAsia="zh-CN"/>
                    </w:rPr>
                    <w:t>；</w:t>
                  </w:r>
                  <w:r>
                    <w:rPr>
                      <w:rFonts w:hint="eastAsia" w:ascii="Times New Roman" w:hAnsi="Times New Roman" w:cs="Times New Roman"/>
                      <w:color w:val="000000"/>
                      <w:sz w:val="21"/>
                      <w:szCs w:val="21"/>
                      <w:lang w:val="en-US" w:eastAsia="zh-CN"/>
                    </w:rPr>
                    <w:t>事故应急池依托。</w:t>
                  </w:r>
                </w:p>
                <w:p w14:paraId="46759195">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center"/>
                    <w:textAlignment w:val="auto"/>
                    <w:rPr>
                      <w:rFonts w:hint="eastAsia"/>
                      <w:color w:val="000000"/>
                      <w:kern w:val="2"/>
                      <w:sz w:val="21"/>
                      <w:szCs w:val="21"/>
                      <w:lang w:val="en-US" w:eastAsia="zh-CN" w:bidi="ar-SA"/>
                    </w:rPr>
                  </w:pPr>
                  <w:r>
                    <w:rPr>
                      <w:rFonts w:hint="eastAsia"/>
                      <w:color w:val="000000"/>
                      <w:kern w:val="2"/>
                      <w:sz w:val="21"/>
                      <w:szCs w:val="21"/>
                      <w:lang w:val="en-US" w:eastAsia="zh-CN" w:bidi="ar-SA"/>
                    </w:rPr>
                    <w:t xml:space="preserve">  一般防渗区：初期雨水池、3#厂房新建：</w:t>
                  </w:r>
                  <w:r>
                    <w:rPr>
                      <w:rFonts w:hint="eastAsia" w:ascii="Times New Roman" w:cs="Times New Roman"/>
                      <w:b w:val="0"/>
                      <w:bCs w:val="0"/>
                      <w:color w:val="000000"/>
                      <w:sz w:val="21"/>
                      <w:szCs w:val="21"/>
                      <w:lang w:val="en-US" w:eastAsia="zh-CN"/>
                    </w:rPr>
                    <w:t>采用抗渗混凝土铺设，</w:t>
                  </w:r>
                  <w:r>
                    <w:rPr>
                      <w:b w:val="0"/>
                      <w:bCs w:val="0"/>
                      <w:color w:val="000000"/>
                      <w:sz w:val="21"/>
                      <w:szCs w:val="21"/>
                    </w:rPr>
                    <w:t>等效黏土防渗层Mb≥1.0m，渗透系数K≤1.0×10</w:t>
                  </w:r>
                  <w:r>
                    <w:rPr>
                      <w:b w:val="0"/>
                      <w:bCs w:val="0"/>
                      <w:color w:val="000000"/>
                      <w:sz w:val="21"/>
                      <w:szCs w:val="21"/>
                      <w:vertAlign w:val="superscript"/>
                    </w:rPr>
                    <w:t>-7</w:t>
                  </w:r>
                  <w:r>
                    <w:rPr>
                      <w:b w:val="0"/>
                      <w:bCs w:val="0"/>
                      <w:color w:val="000000"/>
                      <w:sz w:val="21"/>
                      <w:szCs w:val="21"/>
                    </w:rPr>
                    <w:t>cm/s</w:t>
                  </w:r>
                  <w:r>
                    <w:rPr>
                      <w:rFonts w:hint="eastAsia"/>
                      <w:color w:val="000000"/>
                      <w:kern w:val="2"/>
                      <w:sz w:val="21"/>
                      <w:szCs w:val="21"/>
                      <w:lang w:val="en-US" w:eastAsia="zh-CN" w:bidi="ar-SA"/>
                    </w:rPr>
                    <w:t>，其他区域依托</w:t>
                  </w:r>
                </w:p>
                <w:p w14:paraId="266F5DD7">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center"/>
                    <w:textAlignment w:val="auto"/>
                    <w:rPr>
                      <w:rFonts w:hint="default"/>
                      <w:color w:val="000000"/>
                      <w:kern w:val="2"/>
                      <w:sz w:val="21"/>
                      <w:szCs w:val="21"/>
                      <w:lang w:val="en-US" w:eastAsia="zh-CN" w:bidi="ar-SA"/>
                    </w:rPr>
                  </w:pPr>
                  <w:r>
                    <w:rPr>
                      <w:rFonts w:hint="eastAsia"/>
                      <w:color w:val="000000"/>
                      <w:kern w:val="2"/>
                      <w:sz w:val="21"/>
                      <w:szCs w:val="21"/>
                      <w:lang w:val="en-US" w:eastAsia="zh-CN" w:bidi="ar-SA"/>
                    </w:rPr>
                    <w:t>简单防渗区：依托</w:t>
                  </w:r>
                </w:p>
              </w:tc>
              <w:tc>
                <w:tcPr>
                  <w:tcW w:w="1260" w:type="dxa"/>
                  <w:vMerge w:val="continue"/>
                  <w:noWrap w:val="0"/>
                  <w:vAlign w:val="center"/>
                </w:tcPr>
                <w:p w14:paraId="4C95A38F">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noWrap w:val="0"/>
                  <w:vAlign w:val="center"/>
                </w:tcPr>
                <w:p w14:paraId="55FD29FA">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r>
                    <w:rPr>
                      <w:color w:val="000000"/>
                      <w:szCs w:val="21"/>
                    </w:rPr>
                    <w:t>/</w:t>
                  </w:r>
                </w:p>
              </w:tc>
              <w:tc>
                <w:tcPr>
                  <w:tcW w:w="1012" w:type="dxa"/>
                  <w:noWrap w:val="0"/>
                  <w:vAlign w:val="center"/>
                </w:tcPr>
                <w:p w14:paraId="1F50B186">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szCs w:val="21"/>
                      <w:lang w:val="en-US" w:eastAsia="zh-CN"/>
                    </w:rPr>
                  </w:pPr>
                  <w:r>
                    <w:rPr>
                      <w:rFonts w:hint="eastAsia"/>
                      <w:color w:val="000000"/>
                      <w:szCs w:val="21"/>
                      <w:lang w:val="en-US" w:eastAsia="zh-CN"/>
                    </w:rPr>
                    <w:t>新建+</w:t>
                  </w:r>
                  <w:r>
                    <w:rPr>
                      <w:rFonts w:hint="eastAsia"/>
                      <w:color w:val="000000"/>
                      <w:szCs w:val="21"/>
                      <w:lang w:eastAsia="zh-CN"/>
                    </w:rPr>
                    <w:t>依托</w:t>
                  </w:r>
                </w:p>
              </w:tc>
            </w:tr>
            <w:tr w14:paraId="7E64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dxa"/>
                  <w:vMerge w:val="continue"/>
                  <w:noWrap w:val="0"/>
                  <w:vAlign w:val="center"/>
                </w:tcPr>
                <w:p w14:paraId="75405636">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857" w:type="dxa"/>
                  <w:noWrap w:val="0"/>
                  <w:vAlign w:val="center"/>
                </w:tcPr>
                <w:p w14:paraId="3396A873">
                  <w:pPr>
                    <w:pStyle w:val="94"/>
                    <w:keepNext w:val="0"/>
                    <w:keepLines w:val="0"/>
                    <w:pageBreakBefore w:val="0"/>
                    <w:widowControl w:val="0"/>
                    <w:kinsoku/>
                    <w:wordWrap/>
                    <w:overflowPunct/>
                    <w:topLinePunct w:val="0"/>
                    <w:autoSpaceDE/>
                    <w:autoSpaceDN/>
                    <w:bidi w:val="0"/>
                    <w:ind w:firstLine="0" w:firstLineChars="0"/>
                    <w:textAlignment w:val="auto"/>
                    <w:rPr>
                      <w:rFonts w:hint="eastAsia" w:eastAsia="宋体"/>
                      <w:color w:val="000000"/>
                      <w:szCs w:val="21"/>
                      <w:lang w:eastAsia="zh-CN"/>
                    </w:rPr>
                  </w:pPr>
                  <w:r>
                    <w:rPr>
                      <w:rFonts w:hint="eastAsia"/>
                      <w:color w:val="000000"/>
                      <w:szCs w:val="21"/>
                      <w:lang w:eastAsia="zh-CN"/>
                    </w:rPr>
                    <w:t>风险防范措施</w:t>
                  </w:r>
                </w:p>
              </w:tc>
              <w:tc>
                <w:tcPr>
                  <w:tcW w:w="3997" w:type="dxa"/>
                  <w:gridSpan w:val="2"/>
                  <w:noWrap w:val="0"/>
                  <w:vAlign w:val="center"/>
                </w:tcPr>
                <w:p w14:paraId="5925CBF7">
                  <w:pPr>
                    <w:pStyle w:val="95"/>
                    <w:keepNext w:val="0"/>
                    <w:keepLines w:val="0"/>
                    <w:pageBreakBefore w:val="0"/>
                    <w:widowControl w:val="0"/>
                    <w:kinsoku/>
                    <w:wordWrap/>
                    <w:overflowPunct/>
                    <w:topLinePunct w:val="0"/>
                    <w:autoSpaceDE/>
                    <w:autoSpaceDN/>
                    <w:bidi w:val="0"/>
                    <w:spacing w:beforeLines="0" w:afterLines="0" w:line="240" w:lineRule="auto"/>
                    <w:ind w:firstLine="0" w:firstLineChars="0"/>
                    <w:textAlignment w:val="auto"/>
                    <w:rPr>
                      <w:rFonts w:hint="default" w:eastAsia="宋体"/>
                      <w:b/>
                      <w:bCs/>
                      <w:color w:val="000000"/>
                      <w:sz w:val="21"/>
                      <w:szCs w:val="21"/>
                      <w:lang w:val="en-US" w:eastAsia="zh-CN"/>
                    </w:rPr>
                  </w:pPr>
                  <w:r>
                    <w:rPr>
                      <w:rFonts w:hint="eastAsia"/>
                      <w:color w:val="000000"/>
                      <w:szCs w:val="21"/>
                      <w:lang w:val="en-US" w:eastAsia="zh-CN"/>
                    </w:rPr>
                    <w:t>设置事故应急池1座，</w:t>
                  </w:r>
                  <w:r>
                    <w:rPr>
                      <w:rFonts w:hint="eastAsia"/>
                      <w:color w:val="000000"/>
                      <w:szCs w:val="21"/>
                    </w:rPr>
                    <w:t>位于厂区东南侧，食堂旁，</w:t>
                  </w:r>
                  <w:r>
                    <w:rPr>
                      <w:rFonts w:hint="eastAsia"/>
                      <w:color w:val="000000"/>
                      <w:szCs w:val="21"/>
                      <w:lang w:val="en-US" w:eastAsia="zh-CN"/>
                    </w:rPr>
                    <w:t>30</w:t>
                  </w:r>
                  <w:r>
                    <w:rPr>
                      <w:color w:val="000000"/>
                      <w:szCs w:val="21"/>
                    </w:rPr>
                    <w:t>0m</w:t>
                  </w:r>
                  <w:r>
                    <w:rPr>
                      <w:color w:val="000000"/>
                      <w:szCs w:val="21"/>
                      <w:vertAlign w:val="superscript"/>
                    </w:rPr>
                    <w:t>3</w:t>
                  </w:r>
                  <w:r>
                    <w:rPr>
                      <w:color w:val="000000"/>
                      <w:szCs w:val="21"/>
                    </w:rPr>
                    <w:t>，制定环境风险应急预案，配置环境风险物资</w:t>
                  </w:r>
                  <w:r>
                    <w:rPr>
                      <w:rFonts w:hint="eastAsia"/>
                      <w:color w:val="000000"/>
                      <w:szCs w:val="21"/>
                    </w:rPr>
                    <w:t>，应对突发事件</w:t>
                  </w:r>
                  <w:r>
                    <w:rPr>
                      <w:color w:val="000000"/>
                      <w:szCs w:val="21"/>
                    </w:rPr>
                    <w:t>。</w:t>
                  </w:r>
                </w:p>
              </w:tc>
              <w:tc>
                <w:tcPr>
                  <w:tcW w:w="3364" w:type="dxa"/>
                  <w:noWrap w:val="0"/>
                  <w:vAlign w:val="center"/>
                </w:tcPr>
                <w:p w14:paraId="3F38A009">
                  <w:pPr>
                    <w:pStyle w:val="95"/>
                    <w:keepNext w:val="0"/>
                    <w:keepLines w:val="0"/>
                    <w:pageBreakBefore w:val="0"/>
                    <w:widowControl w:val="0"/>
                    <w:kinsoku/>
                    <w:wordWrap/>
                    <w:overflowPunct/>
                    <w:topLinePunct w:val="0"/>
                    <w:autoSpaceDE/>
                    <w:autoSpaceDN/>
                    <w:bidi w:val="0"/>
                    <w:spacing w:beforeLines="0" w:afterLines="0" w:line="240" w:lineRule="auto"/>
                    <w:ind w:firstLine="0" w:firstLineChars="0"/>
                    <w:jc w:val="center"/>
                    <w:textAlignment w:val="auto"/>
                    <w:rPr>
                      <w:rFonts w:hint="default" w:eastAsia="宋体"/>
                      <w:b/>
                      <w:bCs/>
                      <w:color w:val="000000"/>
                      <w:kern w:val="2"/>
                      <w:sz w:val="21"/>
                      <w:szCs w:val="21"/>
                      <w:lang w:val="en-US" w:eastAsia="zh-CN" w:bidi="ar-SA"/>
                    </w:rPr>
                  </w:pPr>
                  <w:r>
                    <w:rPr>
                      <w:rFonts w:hint="eastAsia" w:eastAsia="宋体"/>
                      <w:b w:val="0"/>
                      <w:bCs w:val="0"/>
                      <w:color w:val="000000"/>
                      <w:kern w:val="2"/>
                      <w:sz w:val="21"/>
                      <w:szCs w:val="21"/>
                      <w:lang w:val="en-US" w:eastAsia="zh-CN" w:bidi="ar-SA"/>
                    </w:rPr>
                    <w:t>依托</w:t>
                  </w:r>
                </w:p>
              </w:tc>
              <w:tc>
                <w:tcPr>
                  <w:tcW w:w="1260" w:type="dxa"/>
                  <w:vMerge w:val="continue"/>
                  <w:noWrap w:val="0"/>
                  <w:vAlign w:val="center"/>
                </w:tcPr>
                <w:p w14:paraId="17966085">
                  <w:pPr>
                    <w:pStyle w:val="94"/>
                    <w:keepNext w:val="0"/>
                    <w:keepLines w:val="0"/>
                    <w:pageBreakBefore w:val="0"/>
                    <w:widowControl w:val="0"/>
                    <w:kinsoku/>
                    <w:wordWrap/>
                    <w:overflowPunct/>
                    <w:topLinePunct w:val="0"/>
                    <w:autoSpaceDE/>
                    <w:autoSpaceDN/>
                    <w:bidi w:val="0"/>
                    <w:ind w:firstLine="0" w:firstLineChars="0"/>
                    <w:textAlignment w:val="auto"/>
                    <w:rPr>
                      <w:color w:val="000000"/>
                      <w:szCs w:val="21"/>
                    </w:rPr>
                  </w:pPr>
                </w:p>
              </w:tc>
              <w:tc>
                <w:tcPr>
                  <w:tcW w:w="1155" w:type="dxa"/>
                  <w:noWrap w:val="0"/>
                  <w:vAlign w:val="center"/>
                </w:tcPr>
                <w:p w14:paraId="0E5C915D">
                  <w:pPr>
                    <w:pStyle w:val="94"/>
                    <w:keepNext w:val="0"/>
                    <w:keepLines w:val="0"/>
                    <w:pageBreakBefore w:val="0"/>
                    <w:widowControl w:val="0"/>
                    <w:kinsoku/>
                    <w:wordWrap/>
                    <w:overflowPunct/>
                    <w:topLinePunct w:val="0"/>
                    <w:autoSpaceDE/>
                    <w:autoSpaceDN/>
                    <w:bidi w:val="0"/>
                    <w:ind w:firstLine="0" w:firstLineChars="0"/>
                    <w:textAlignment w:val="auto"/>
                    <w:rPr>
                      <w:rFonts w:hint="default" w:eastAsia="宋体"/>
                      <w:color w:val="000000"/>
                      <w:szCs w:val="21"/>
                      <w:lang w:val="en-US" w:eastAsia="zh-CN"/>
                    </w:rPr>
                  </w:pPr>
                  <w:r>
                    <w:rPr>
                      <w:rFonts w:hint="eastAsia"/>
                      <w:color w:val="000000"/>
                      <w:szCs w:val="21"/>
                      <w:lang w:val="en-US" w:eastAsia="zh-CN"/>
                    </w:rPr>
                    <w:t>/</w:t>
                  </w:r>
                </w:p>
              </w:tc>
              <w:tc>
                <w:tcPr>
                  <w:tcW w:w="1012" w:type="dxa"/>
                  <w:noWrap w:val="0"/>
                  <w:vAlign w:val="center"/>
                </w:tcPr>
                <w:p w14:paraId="5753997B">
                  <w:pPr>
                    <w:pStyle w:val="94"/>
                    <w:keepNext w:val="0"/>
                    <w:keepLines w:val="0"/>
                    <w:pageBreakBefore w:val="0"/>
                    <w:widowControl w:val="0"/>
                    <w:kinsoku/>
                    <w:wordWrap/>
                    <w:overflowPunct/>
                    <w:topLinePunct w:val="0"/>
                    <w:autoSpaceDE/>
                    <w:autoSpaceDN/>
                    <w:bidi w:val="0"/>
                    <w:ind w:firstLine="0" w:firstLineChars="0"/>
                    <w:textAlignment w:val="auto"/>
                    <w:rPr>
                      <w:rFonts w:hint="eastAsia"/>
                      <w:color w:val="000000"/>
                      <w:szCs w:val="21"/>
                      <w:lang w:eastAsia="zh-CN"/>
                    </w:rPr>
                  </w:pPr>
                  <w:r>
                    <w:rPr>
                      <w:rFonts w:hint="eastAsia"/>
                      <w:color w:val="000000"/>
                      <w:szCs w:val="21"/>
                      <w:lang w:val="en-US" w:eastAsia="zh-CN"/>
                    </w:rPr>
                    <w:t>依托</w:t>
                  </w:r>
                </w:p>
              </w:tc>
            </w:tr>
          </w:tbl>
          <w:p w14:paraId="5AD5CF63">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auto"/>
              <w:ind w:right="0" w:rightChars="0" w:firstLine="560" w:firstLineChars="200"/>
              <w:jc w:val="both"/>
              <w:textAlignment w:val="auto"/>
              <w:rPr>
                <w:rFonts w:hint="default" w:hAnsi="Times New Roman" w:eastAsia="宋体" w:cs="Times New Roman"/>
                <w:color w:val="000000"/>
                <w:lang w:val="en-US" w:eastAsia="zh-CN"/>
              </w:rPr>
            </w:pPr>
          </w:p>
        </w:tc>
      </w:tr>
    </w:tbl>
    <w:p w14:paraId="031CE460">
      <w:pPr>
        <w:pStyle w:val="27"/>
        <w:numPr>
          <w:ilvl w:val="0"/>
          <w:numId w:val="0"/>
        </w:numPr>
        <w:jc w:val="both"/>
        <w:outlineLvl w:val="0"/>
        <w:rPr>
          <w:rFonts w:hint="eastAsia" w:ascii="宋体" w:hAnsi="宋体" w:eastAsia="宋体" w:cs="宋体"/>
          <w:snapToGrid w:val="0"/>
          <w:sz w:val="30"/>
          <w:szCs w:val="30"/>
          <w:lang w:eastAsia="zh-CN"/>
        </w:rPr>
        <w:sectPr>
          <w:pgSz w:w="16838" w:h="11905" w:orient="landscape"/>
          <w:pgMar w:top="1531" w:right="1644" w:bottom="1531" w:left="1644" w:header="851" w:footer="1077" w:gutter="0"/>
          <w:pgNumType w:fmt="decimal"/>
          <w:cols w:space="720" w:num="1"/>
          <w:rtlGutter w:val="0"/>
          <w:docGrid w:linePitch="312" w:charSpace="0"/>
        </w:sectPr>
      </w:pPr>
    </w:p>
    <w:tbl>
      <w:tblPr>
        <w:tblStyle w:val="31"/>
        <w:tblW w:w="91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0"/>
        <w:gridCol w:w="8691"/>
      </w:tblGrid>
      <w:tr w14:paraId="41AF8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51" w:hRule="atLeast"/>
          <w:jc w:val="center"/>
        </w:trPr>
        <w:tc>
          <w:tcPr>
            <w:tcW w:w="450" w:type="dxa"/>
            <w:noWrap w:val="0"/>
            <w:vAlign w:val="center"/>
          </w:tcPr>
          <w:p w14:paraId="612A20EB">
            <w:pPr>
              <w:pStyle w:val="27"/>
              <w:adjustRightInd w:val="0"/>
              <w:snapToGrid w:val="0"/>
              <w:spacing w:before="0" w:beforeAutospacing="0" w:after="0" w:afterAutospacing="0"/>
              <w:jc w:val="center"/>
              <w:rPr>
                <w:rFonts w:hint="default" w:ascii="Times New Roman" w:hAnsi="Times New Roman" w:cs="Times New Roman"/>
                <w:color w:val="000000"/>
                <w:szCs w:val="24"/>
              </w:rPr>
            </w:pPr>
            <w:r>
              <w:rPr>
                <w:rFonts w:hint="default" w:ascii="Times New Roman" w:hAnsi="Times New Roman" w:cs="Times New Roman"/>
                <w:color w:val="000000"/>
                <w:szCs w:val="24"/>
              </w:rPr>
              <w:t>建设内容</w:t>
            </w:r>
          </w:p>
        </w:tc>
        <w:tc>
          <w:tcPr>
            <w:tcW w:w="8691" w:type="dxa"/>
            <w:noWrap w:val="0"/>
            <w:vAlign w:val="top"/>
          </w:tcPr>
          <w:p w14:paraId="3AA926C3">
            <w:pPr>
              <w:pStyle w:val="106"/>
              <w:spacing w:before="35" w:line="219" w:lineRule="auto"/>
              <w:ind w:left="110"/>
            </w:pPr>
            <w:r>
              <w:rPr>
                <w:b/>
                <w:bCs/>
                <w:spacing w:val="-4"/>
              </w:rPr>
              <w:t>依托可行性分析：</w:t>
            </w:r>
          </w:p>
          <w:p w14:paraId="46472821">
            <w:pPr>
              <w:pStyle w:val="106"/>
              <w:spacing w:before="183" w:line="360" w:lineRule="auto"/>
              <w:ind w:left="589"/>
            </w:pPr>
            <w:r>
              <w:rPr>
                <w:spacing w:val="-1"/>
              </w:rPr>
              <w:t>本项目建成后与现有工程的公辅设施依托关系见下表。</w:t>
            </w:r>
          </w:p>
          <w:p w14:paraId="5FEC8CE9">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default" w:ascii="Times New Roman" w:hAnsi="Times New Roman" w:eastAsia="宋体" w:cs="Times New Roman"/>
                <w:b/>
                <w:bCs/>
                <w:color w:val="000000"/>
                <w:sz w:val="24"/>
                <w:lang w:val="en-US" w:eastAsia="zh-CN"/>
              </w:rPr>
              <w:t xml:space="preserve">   公辅设施、环保设施依托关系一览表</w:t>
            </w:r>
          </w:p>
          <w:tbl>
            <w:tblPr>
              <w:tblStyle w:val="32"/>
              <w:tblW w:w="8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210"/>
              <w:gridCol w:w="3045"/>
              <w:gridCol w:w="3560"/>
            </w:tblGrid>
            <w:tr w14:paraId="5492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top"/>
                </w:tcPr>
                <w:p w14:paraId="26402CA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b/>
                      <w:bCs/>
                      <w:color w:val="000000"/>
                      <w:sz w:val="21"/>
                      <w:szCs w:val="21"/>
                      <w:vertAlign w:val="baseline"/>
                      <w:lang w:eastAsia="zh-CN"/>
                    </w:rPr>
                  </w:pPr>
                  <w:r>
                    <w:rPr>
                      <w:b/>
                      <w:bCs/>
                      <w:spacing w:val="4"/>
                      <w:sz w:val="21"/>
                      <w:szCs w:val="21"/>
                    </w:rPr>
                    <w:t>序号</w:t>
                  </w:r>
                </w:p>
              </w:tc>
              <w:tc>
                <w:tcPr>
                  <w:tcW w:w="1210" w:type="dxa"/>
                  <w:noWrap w:val="0"/>
                  <w:vAlign w:val="top"/>
                </w:tcPr>
                <w:p w14:paraId="00FC51E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b/>
                      <w:bCs/>
                      <w:color w:val="000000"/>
                      <w:sz w:val="21"/>
                      <w:szCs w:val="21"/>
                      <w:vertAlign w:val="baseline"/>
                      <w:lang w:eastAsia="zh-CN"/>
                    </w:rPr>
                  </w:pPr>
                  <w:r>
                    <w:rPr>
                      <w:b/>
                      <w:bCs/>
                      <w:spacing w:val="6"/>
                      <w:sz w:val="21"/>
                      <w:szCs w:val="21"/>
                    </w:rPr>
                    <w:t>依托设施</w:t>
                  </w:r>
                </w:p>
              </w:tc>
              <w:tc>
                <w:tcPr>
                  <w:tcW w:w="3045" w:type="dxa"/>
                  <w:noWrap w:val="0"/>
                  <w:vAlign w:val="top"/>
                </w:tcPr>
                <w:p w14:paraId="58A9DDD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b/>
                      <w:bCs/>
                      <w:color w:val="000000"/>
                      <w:sz w:val="21"/>
                      <w:szCs w:val="21"/>
                      <w:vertAlign w:val="baseline"/>
                      <w:lang w:eastAsia="zh-CN"/>
                    </w:rPr>
                  </w:pPr>
                  <w:r>
                    <w:rPr>
                      <w:b/>
                      <w:bCs/>
                      <w:spacing w:val="6"/>
                      <w:sz w:val="21"/>
                      <w:szCs w:val="21"/>
                    </w:rPr>
                    <w:t>依托关系</w:t>
                  </w:r>
                </w:p>
              </w:tc>
              <w:tc>
                <w:tcPr>
                  <w:tcW w:w="3560" w:type="dxa"/>
                  <w:noWrap w:val="0"/>
                  <w:vAlign w:val="top"/>
                </w:tcPr>
                <w:p w14:paraId="2326E41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b/>
                      <w:bCs/>
                      <w:color w:val="000000"/>
                      <w:sz w:val="21"/>
                      <w:szCs w:val="21"/>
                      <w:vertAlign w:val="baseline"/>
                      <w:lang w:eastAsia="zh-CN"/>
                    </w:rPr>
                  </w:pPr>
                  <w:r>
                    <w:rPr>
                      <w:b/>
                      <w:bCs/>
                      <w:spacing w:val="7"/>
                      <w:sz w:val="21"/>
                      <w:szCs w:val="21"/>
                    </w:rPr>
                    <w:t>依托能力及可行性</w:t>
                  </w:r>
                </w:p>
              </w:tc>
            </w:tr>
            <w:tr w14:paraId="5A82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5E482EC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bCs/>
                      <w:color w:val="000000"/>
                      <w:sz w:val="21"/>
                      <w:szCs w:val="21"/>
                      <w:vertAlign w:val="baseline"/>
                      <w:lang w:eastAsia="zh-CN"/>
                    </w:rPr>
                  </w:pPr>
                  <w:r>
                    <w:rPr>
                      <w:rFonts w:hint="eastAsia" w:ascii="Times New Roman" w:hAnsi="Times New Roman" w:eastAsia="宋体" w:cs="Times New Roman"/>
                      <w:sz w:val="21"/>
                      <w:szCs w:val="21"/>
                      <w:lang w:val="en-US" w:eastAsia="zh-CN"/>
                    </w:rPr>
                    <w:t>1</w:t>
                  </w:r>
                </w:p>
              </w:tc>
              <w:tc>
                <w:tcPr>
                  <w:tcW w:w="1210" w:type="dxa"/>
                  <w:noWrap w:val="0"/>
                  <w:vAlign w:val="center"/>
                </w:tcPr>
                <w:p w14:paraId="3C1240C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pacing w:val="6"/>
                      <w:kern w:val="2"/>
                      <w:sz w:val="21"/>
                      <w:szCs w:val="21"/>
                      <w:lang w:val="en-US" w:eastAsia="zh-CN" w:bidi="ar-SA"/>
                    </w:rPr>
                  </w:pPr>
                  <w:r>
                    <w:rPr>
                      <w:rFonts w:hint="eastAsia" w:ascii="Times New Roman" w:hAnsi="Times New Roman" w:cs="Times New Roman"/>
                      <w:spacing w:val="6"/>
                      <w:sz w:val="21"/>
                      <w:szCs w:val="21"/>
                      <w:lang w:val="en-US" w:eastAsia="zh-CN"/>
                    </w:rPr>
                    <w:t>成品库房</w:t>
                  </w:r>
                </w:p>
              </w:tc>
              <w:tc>
                <w:tcPr>
                  <w:tcW w:w="3045" w:type="dxa"/>
                  <w:noWrap w:val="0"/>
                  <w:vAlign w:val="center"/>
                </w:tcPr>
                <w:p w14:paraId="3C1A830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pacing w:val="6"/>
                      <w:kern w:val="2"/>
                      <w:sz w:val="21"/>
                      <w:szCs w:val="21"/>
                      <w:lang w:val="en-US" w:eastAsia="zh-CN" w:bidi="ar-SA"/>
                    </w:rPr>
                  </w:pPr>
                  <w:r>
                    <w:rPr>
                      <w:rFonts w:hint="eastAsia" w:ascii="Times New Roman" w:hAnsi="Times New Roman" w:cs="Times New Roman"/>
                      <w:spacing w:val="6"/>
                      <w:sz w:val="21"/>
                      <w:szCs w:val="21"/>
                      <w:lang w:val="en-US" w:eastAsia="zh-CN"/>
                    </w:rPr>
                    <w:t>成品库房位于1#厂房南侧，面积约4500</w:t>
                  </w:r>
                  <w:r>
                    <w:rPr>
                      <w:rFonts w:hint="default" w:ascii="Times New Roman" w:hAnsi="Times New Roman" w:cs="Times New Roman"/>
                      <w:color w:val="000000"/>
                      <w:sz w:val="21"/>
                      <w:szCs w:val="21"/>
                      <w:lang w:val="en-US" w:eastAsia="zh-CN"/>
                    </w:rPr>
                    <w:t>m</w:t>
                  </w:r>
                  <w:r>
                    <w:rPr>
                      <w:rFonts w:hint="default" w:ascii="Times New Roman" w:hAnsi="Times New Roman" w:cs="Times New Roman"/>
                      <w:color w:val="000000"/>
                      <w:sz w:val="21"/>
                      <w:szCs w:val="21"/>
                      <w:vertAlign w:val="superscript"/>
                      <w:lang w:val="en-US" w:eastAsia="zh-CN"/>
                    </w:rPr>
                    <w:t>2</w:t>
                  </w:r>
                  <w:r>
                    <w:rPr>
                      <w:rFonts w:hint="eastAsia" w:ascii="Times New Roman" w:hAnsi="Times New Roman" w:cs="Times New Roman"/>
                      <w:spacing w:val="8"/>
                      <w:sz w:val="21"/>
                      <w:szCs w:val="21"/>
                      <w:lang w:eastAsia="zh-CN"/>
                    </w:rPr>
                    <w:t>。</w:t>
                  </w:r>
                </w:p>
              </w:tc>
              <w:tc>
                <w:tcPr>
                  <w:tcW w:w="3560" w:type="dxa"/>
                  <w:noWrap w:val="0"/>
                  <w:vAlign w:val="center"/>
                </w:tcPr>
                <w:p w14:paraId="3826A09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pacing w:val="6"/>
                      <w:kern w:val="2"/>
                      <w:sz w:val="21"/>
                      <w:szCs w:val="21"/>
                      <w:lang w:val="en-US" w:eastAsia="zh-CN" w:bidi="ar-SA"/>
                    </w:rPr>
                  </w:pPr>
                  <w:r>
                    <w:rPr>
                      <w:rFonts w:hint="eastAsia" w:ascii="Times New Roman" w:hAnsi="Times New Roman" w:cs="Times New Roman"/>
                      <w:spacing w:val="6"/>
                      <w:sz w:val="21"/>
                      <w:szCs w:val="21"/>
                      <w:lang w:val="en-US" w:eastAsia="zh-CN"/>
                    </w:rPr>
                    <w:t>现状利用面积约500</w:t>
                  </w:r>
                  <w:r>
                    <w:rPr>
                      <w:rFonts w:hint="default" w:ascii="Times New Roman" w:hAnsi="Times New Roman" w:cs="Times New Roman"/>
                      <w:color w:val="000000"/>
                      <w:sz w:val="21"/>
                      <w:szCs w:val="21"/>
                      <w:lang w:val="en-US" w:eastAsia="zh-CN"/>
                    </w:rPr>
                    <w:t>m</w:t>
                  </w:r>
                  <w:r>
                    <w:rPr>
                      <w:rFonts w:hint="default" w:ascii="Times New Roman" w:hAnsi="Times New Roman" w:cs="Times New Roman"/>
                      <w:color w:val="000000"/>
                      <w:sz w:val="21"/>
                      <w:szCs w:val="21"/>
                      <w:vertAlign w:val="superscript"/>
                      <w:lang w:val="en-US" w:eastAsia="zh-CN"/>
                    </w:rPr>
                    <w:t>2</w:t>
                  </w:r>
                  <w:r>
                    <w:rPr>
                      <w:rFonts w:hint="default" w:ascii="Times New Roman" w:hAnsi="Times New Roman" w:cs="Times New Roman"/>
                      <w:spacing w:val="6"/>
                      <w:sz w:val="21"/>
                      <w:szCs w:val="21"/>
                    </w:rPr>
                    <w:t>，剩余面积可满足</w:t>
                  </w:r>
                  <w:r>
                    <w:rPr>
                      <w:rFonts w:hint="default" w:ascii="Times New Roman" w:hAnsi="Times New Roman" w:cs="Times New Roman"/>
                      <w:spacing w:val="8"/>
                      <w:sz w:val="21"/>
                      <w:szCs w:val="21"/>
                    </w:rPr>
                    <w:t>本次技改项目使用</w:t>
                  </w:r>
                  <w:r>
                    <w:rPr>
                      <w:rFonts w:hint="eastAsia" w:ascii="Times New Roman" w:hAnsi="Times New Roman" w:cs="Times New Roman"/>
                      <w:spacing w:val="8"/>
                      <w:sz w:val="21"/>
                      <w:szCs w:val="21"/>
                      <w:lang w:eastAsia="zh-CN"/>
                    </w:rPr>
                    <w:t>。</w:t>
                  </w:r>
                </w:p>
              </w:tc>
            </w:tr>
            <w:tr w14:paraId="7A22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2180C1A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1210" w:type="dxa"/>
                  <w:noWrap w:val="0"/>
                  <w:vAlign w:val="center"/>
                </w:tcPr>
                <w:p w14:paraId="6CD7CC3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spacing w:val="6"/>
                      <w:sz w:val="21"/>
                      <w:szCs w:val="21"/>
                      <w:lang w:val="en-US" w:eastAsia="zh-CN"/>
                    </w:rPr>
                  </w:pPr>
                  <w:r>
                    <w:rPr>
                      <w:rFonts w:hint="eastAsia" w:ascii="Times New Roman" w:hAnsi="Times New Roman" w:cs="Times New Roman"/>
                      <w:spacing w:val="6"/>
                      <w:sz w:val="21"/>
                      <w:szCs w:val="21"/>
                      <w:lang w:val="en-US" w:eastAsia="zh-CN"/>
                    </w:rPr>
                    <w:t>辅料库房</w:t>
                  </w:r>
                </w:p>
              </w:tc>
              <w:tc>
                <w:tcPr>
                  <w:tcW w:w="3045" w:type="dxa"/>
                  <w:noWrap w:val="0"/>
                  <w:vAlign w:val="center"/>
                </w:tcPr>
                <w:p w14:paraId="37E7830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pacing w:val="6"/>
                      <w:sz w:val="21"/>
                      <w:szCs w:val="21"/>
                      <w:lang w:val="en-US" w:eastAsia="zh-CN"/>
                    </w:rPr>
                  </w:pPr>
                  <w:r>
                    <w:rPr>
                      <w:rFonts w:hint="eastAsia" w:ascii="Times New Roman" w:hAnsi="Times New Roman" w:eastAsia="宋体" w:cs="Times New Roman"/>
                      <w:spacing w:val="6"/>
                      <w:sz w:val="21"/>
                      <w:szCs w:val="21"/>
                      <w:lang w:val="en-US" w:eastAsia="zh-CN"/>
                    </w:rPr>
                    <w:t>位于厂区东南侧，约200m</w:t>
                  </w:r>
                  <w:r>
                    <w:rPr>
                      <w:rFonts w:hint="eastAsia" w:ascii="Times New Roman" w:hAnsi="Times New Roman" w:eastAsia="宋体" w:cs="Times New Roman"/>
                      <w:spacing w:val="6"/>
                      <w:sz w:val="21"/>
                      <w:szCs w:val="21"/>
                      <w:vertAlign w:val="superscript"/>
                      <w:lang w:val="en-US" w:eastAsia="zh-CN"/>
                    </w:rPr>
                    <w:t>2</w:t>
                  </w:r>
                  <w:r>
                    <w:rPr>
                      <w:rFonts w:hint="eastAsia" w:ascii="Times New Roman" w:hAnsi="Times New Roman" w:eastAsia="宋体" w:cs="Times New Roman"/>
                      <w:spacing w:val="6"/>
                      <w:sz w:val="21"/>
                      <w:szCs w:val="21"/>
                      <w:lang w:val="en-US" w:eastAsia="zh-CN"/>
                    </w:rPr>
                    <w:t>，用于暂存机油/润滑油，以及废气处理系统药剂</w:t>
                  </w:r>
                </w:p>
              </w:tc>
              <w:tc>
                <w:tcPr>
                  <w:tcW w:w="3560" w:type="dxa"/>
                  <w:noWrap w:val="0"/>
                  <w:vAlign w:val="center"/>
                </w:tcPr>
                <w:p w14:paraId="2C35F3A7">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pacing w:val="6"/>
                      <w:sz w:val="21"/>
                      <w:szCs w:val="21"/>
                      <w:lang w:val="en-US" w:eastAsia="zh-CN"/>
                    </w:rPr>
                  </w:pPr>
                  <w:r>
                    <w:rPr>
                      <w:rFonts w:hint="eastAsia" w:ascii="Times New Roman" w:hAnsi="Times New Roman" w:cs="Times New Roman"/>
                      <w:spacing w:val="6"/>
                      <w:sz w:val="21"/>
                      <w:szCs w:val="21"/>
                      <w:lang w:val="en-US" w:eastAsia="zh-CN"/>
                    </w:rPr>
                    <w:t>现状利用面积约50</w:t>
                  </w:r>
                  <w:r>
                    <w:rPr>
                      <w:rFonts w:hint="default" w:ascii="Times New Roman" w:hAnsi="Times New Roman" w:cs="Times New Roman"/>
                      <w:color w:val="000000"/>
                      <w:sz w:val="21"/>
                      <w:szCs w:val="21"/>
                      <w:lang w:val="en-US" w:eastAsia="zh-CN"/>
                    </w:rPr>
                    <w:t>m</w:t>
                  </w:r>
                  <w:r>
                    <w:rPr>
                      <w:rFonts w:hint="default" w:ascii="Times New Roman" w:hAnsi="Times New Roman" w:cs="Times New Roman"/>
                      <w:color w:val="000000"/>
                      <w:sz w:val="21"/>
                      <w:szCs w:val="21"/>
                      <w:vertAlign w:val="superscript"/>
                      <w:lang w:val="en-US" w:eastAsia="zh-CN"/>
                    </w:rPr>
                    <w:t>2</w:t>
                  </w:r>
                  <w:r>
                    <w:rPr>
                      <w:rFonts w:hint="default" w:ascii="Times New Roman" w:hAnsi="Times New Roman" w:cs="Times New Roman"/>
                      <w:spacing w:val="6"/>
                      <w:sz w:val="21"/>
                      <w:szCs w:val="21"/>
                    </w:rPr>
                    <w:t>，剩余面积可满足</w:t>
                  </w:r>
                  <w:r>
                    <w:rPr>
                      <w:rFonts w:hint="default" w:ascii="Times New Roman" w:hAnsi="Times New Roman" w:cs="Times New Roman"/>
                      <w:spacing w:val="8"/>
                      <w:sz w:val="21"/>
                      <w:szCs w:val="21"/>
                    </w:rPr>
                    <w:t>本次技改项目使用</w:t>
                  </w:r>
                </w:p>
              </w:tc>
            </w:tr>
            <w:tr w14:paraId="0ACE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2B3075B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1210" w:type="dxa"/>
                  <w:noWrap w:val="0"/>
                  <w:vAlign w:val="center"/>
                </w:tcPr>
                <w:p w14:paraId="2E099A0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000000"/>
                      <w:kern w:val="2"/>
                      <w:sz w:val="21"/>
                      <w:szCs w:val="21"/>
                      <w:vertAlign w:val="baseline"/>
                      <w:lang w:val="en-US" w:eastAsia="zh-CN" w:bidi="ar-SA"/>
                    </w:rPr>
                  </w:pPr>
                  <w:r>
                    <w:rPr>
                      <w:rFonts w:hint="eastAsia" w:ascii="Times New Roman" w:hAnsi="Times New Roman" w:cs="Times New Roman"/>
                      <w:spacing w:val="7"/>
                      <w:sz w:val="21"/>
                      <w:szCs w:val="21"/>
                      <w:lang w:val="en-US" w:eastAsia="zh-CN"/>
                    </w:rPr>
                    <w:t>办公、住宿、食堂</w:t>
                  </w:r>
                </w:p>
              </w:tc>
              <w:tc>
                <w:tcPr>
                  <w:tcW w:w="3045" w:type="dxa"/>
                  <w:noWrap w:val="0"/>
                  <w:vAlign w:val="center"/>
                </w:tcPr>
                <w:p w14:paraId="6CFACFD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000000"/>
                      <w:kern w:val="2"/>
                      <w:sz w:val="21"/>
                      <w:szCs w:val="21"/>
                      <w:vertAlign w:val="baseline"/>
                      <w:lang w:val="en-US" w:eastAsia="zh-CN" w:bidi="ar-SA"/>
                    </w:rPr>
                  </w:pPr>
                  <w:r>
                    <w:rPr>
                      <w:rFonts w:hint="default" w:ascii="Times New Roman" w:hAnsi="Times New Roman" w:cs="Times New Roman"/>
                      <w:spacing w:val="9"/>
                      <w:sz w:val="21"/>
                      <w:szCs w:val="21"/>
                    </w:rPr>
                    <w:t>依托该用房以满足本项目新增劳动定员</w:t>
                  </w:r>
                  <w:r>
                    <w:rPr>
                      <w:rFonts w:hint="default" w:ascii="Times New Roman" w:hAnsi="Times New Roman" w:cs="Times New Roman"/>
                      <w:spacing w:val="8"/>
                      <w:sz w:val="21"/>
                      <w:szCs w:val="21"/>
                    </w:rPr>
                    <w:t>的就餐、淋浴、卫生等日常生产需求</w:t>
                  </w:r>
                  <w:r>
                    <w:rPr>
                      <w:rFonts w:hint="eastAsia" w:ascii="Times New Roman" w:hAnsi="Times New Roman" w:cs="Times New Roman"/>
                      <w:spacing w:val="8"/>
                      <w:sz w:val="21"/>
                      <w:szCs w:val="21"/>
                      <w:lang w:eastAsia="zh-CN"/>
                    </w:rPr>
                    <w:t>。</w:t>
                  </w:r>
                </w:p>
              </w:tc>
              <w:tc>
                <w:tcPr>
                  <w:tcW w:w="3560" w:type="dxa"/>
                  <w:noWrap w:val="0"/>
                  <w:vAlign w:val="center"/>
                </w:tcPr>
                <w:p w14:paraId="6E63A5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Times New Roman" w:cs="Times New Roman"/>
                      <w:sz w:val="21"/>
                      <w:szCs w:val="21"/>
                    </w:rPr>
                    <w:t>本次新增劳动人员</w:t>
                  </w:r>
                  <w:r>
                    <w:rPr>
                      <w:rFonts w:hint="eastAsia" w:ascii="Times New Roman" w:hAnsi="Times New Roman" w:eastAsia="宋体" w:cs="Times New Roman"/>
                      <w:sz w:val="21"/>
                      <w:szCs w:val="21"/>
                      <w:lang w:val="en-US" w:eastAsia="zh-CN"/>
                    </w:rPr>
                    <w:t>16人，</w:t>
                  </w:r>
                  <w:r>
                    <w:rPr>
                      <w:rFonts w:hint="default" w:ascii="Times New Roman" w:hAnsi="Times New Roman" w:eastAsia="Times New Roman" w:cs="Times New Roman"/>
                      <w:sz w:val="21"/>
                      <w:szCs w:val="21"/>
                    </w:rPr>
                    <w:t>数量较少，</w:t>
                  </w:r>
                  <w:r>
                    <w:rPr>
                      <w:rFonts w:hint="default" w:ascii="Times New Roman" w:hAnsi="Times New Roman" w:eastAsia="Times New Roman" w:cs="Times New Roman"/>
                      <w:sz w:val="21"/>
                      <w:szCs w:val="21"/>
                      <w:lang w:val="en-US" w:eastAsia="zh-CN"/>
                    </w:rPr>
                    <w:t>新增生活</w:t>
                  </w:r>
                  <w:r>
                    <w:rPr>
                      <w:rFonts w:hint="default" w:ascii="Times New Roman" w:hAnsi="Times New Roman" w:eastAsia="Times New Roman" w:cs="Times New Roman"/>
                      <w:sz w:val="21"/>
                      <w:szCs w:val="21"/>
                    </w:rPr>
                    <w:t>用水</w:t>
                  </w:r>
                  <w:r>
                    <w:rPr>
                      <w:rFonts w:hint="default" w:ascii="Times New Roman" w:hAnsi="Times New Roman" w:eastAsia="Times New Roman" w:cs="Times New Roman"/>
                      <w:sz w:val="21"/>
                      <w:szCs w:val="21"/>
                      <w:lang w:val="en-US" w:eastAsia="zh-CN"/>
                    </w:rPr>
                    <w:t>1.28</w:t>
                  </w:r>
                  <w:r>
                    <w:rPr>
                      <w:rFonts w:hint="default" w:ascii="Times New Roman" w:hAnsi="Times New Roman" w:eastAsia="Times New Roman" w:cs="Times New Roman"/>
                      <w:sz w:val="21"/>
                      <w:szCs w:val="21"/>
                    </w:rPr>
                    <w:t>m</w:t>
                  </w:r>
                  <w:r>
                    <w:rPr>
                      <w:rFonts w:hint="default" w:ascii="Times New Roman" w:hAnsi="Times New Roman" w:eastAsia="Times New Roman" w:cs="Times New Roman"/>
                      <w:sz w:val="21"/>
                      <w:szCs w:val="21"/>
                      <w:vertAlign w:val="superscript"/>
                    </w:rPr>
                    <w:t>3</w:t>
                  </w:r>
                  <w:r>
                    <w:rPr>
                      <w:rFonts w:hint="default" w:ascii="Times New Roman" w:hAnsi="Times New Roman" w:eastAsia="Times New Roman" w:cs="Times New Roman"/>
                      <w:sz w:val="21"/>
                      <w:szCs w:val="21"/>
                    </w:rPr>
                    <w:t>/d ，依托原有供水设施</w:t>
                  </w:r>
                  <w:r>
                    <w:rPr>
                      <w:rFonts w:hint="eastAsia" w:ascii="Times New Roman" w:hAnsi="Times New Roman" w:eastAsia="宋体" w:cs="Times New Roman"/>
                      <w:sz w:val="21"/>
                      <w:szCs w:val="21"/>
                      <w:lang w:val="en-US" w:eastAsia="zh-CN"/>
                    </w:rPr>
                    <w:t>以及住宿、食堂均</w:t>
                  </w:r>
                  <w:r>
                    <w:rPr>
                      <w:rFonts w:hint="default" w:ascii="Times New Roman" w:hAnsi="Times New Roman" w:eastAsia="Times New Roman" w:cs="Times New Roman"/>
                      <w:sz w:val="21"/>
                      <w:szCs w:val="21"/>
                    </w:rPr>
                    <w:t>可行</w:t>
                  </w:r>
                  <w:r>
                    <w:rPr>
                      <w:rFonts w:hint="eastAsia" w:ascii="Times New Roman" w:hAnsi="Times New Roman" w:eastAsia="宋体" w:cs="Times New Roman"/>
                      <w:sz w:val="21"/>
                      <w:szCs w:val="21"/>
                      <w:lang w:eastAsia="zh-CN"/>
                    </w:rPr>
                    <w:t>。</w:t>
                  </w:r>
                </w:p>
              </w:tc>
            </w:tr>
            <w:tr w14:paraId="48D7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6441236F">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b/>
                      <w:bCs/>
                      <w:color w:val="000000"/>
                      <w:sz w:val="21"/>
                      <w:szCs w:val="21"/>
                      <w:vertAlign w:val="baseline"/>
                      <w:lang w:eastAsia="zh-CN"/>
                    </w:rPr>
                  </w:pPr>
                  <w:r>
                    <w:rPr>
                      <w:rFonts w:ascii="Times New Roman" w:hAnsi="Times New Roman" w:eastAsia="Times New Roman" w:cs="Times New Roman"/>
                      <w:sz w:val="21"/>
                      <w:szCs w:val="21"/>
                    </w:rPr>
                    <w:t>3</w:t>
                  </w:r>
                </w:p>
              </w:tc>
              <w:tc>
                <w:tcPr>
                  <w:tcW w:w="1210" w:type="dxa"/>
                  <w:noWrap w:val="0"/>
                  <w:vAlign w:val="center"/>
                </w:tcPr>
                <w:p w14:paraId="4D85609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ascii="Times New Roman" w:hAnsi="Times New Roman" w:eastAsia="Times New Roman" w:cs="Times New Roman"/>
                      <w:sz w:val="21"/>
                      <w:szCs w:val="21"/>
                    </w:rPr>
                  </w:pPr>
                </w:p>
                <w:p w14:paraId="2F74CC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排水</w:t>
                  </w:r>
                </w:p>
              </w:tc>
              <w:tc>
                <w:tcPr>
                  <w:tcW w:w="3045" w:type="dxa"/>
                  <w:noWrap w:val="0"/>
                  <w:vAlign w:val="center"/>
                </w:tcPr>
                <w:p w14:paraId="1AE870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依托公司厂区现状建有</w:t>
                  </w:r>
                  <w:r>
                    <w:rPr>
                      <w:rFonts w:hint="eastAsia" w:ascii="Times New Roman" w:hAnsi="Times New Roman" w:eastAsia="宋体" w:cs="Times New Roman"/>
                      <w:sz w:val="21"/>
                      <w:szCs w:val="21"/>
                      <w:lang w:val="en-US" w:eastAsia="zh-CN"/>
                    </w:rPr>
                    <w:t>1</w:t>
                  </w:r>
                  <w:r>
                    <w:rPr>
                      <w:rFonts w:ascii="Times New Roman" w:hAnsi="Times New Roman" w:eastAsia="Times New Roman" w:cs="Times New Roman"/>
                      <w:sz w:val="21"/>
                      <w:szCs w:val="21"/>
                    </w:rPr>
                    <w:t>座</w:t>
                  </w:r>
                  <w:r>
                    <w:rPr>
                      <w:rFonts w:hint="eastAsia" w:ascii="Times New Roman" w:hAnsi="Times New Roman" w:eastAsia="宋体" w:cs="Times New Roman"/>
                      <w:sz w:val="21"/>
                      <w:szCs w:val="21"/>
                      <w:lang w:val="en-US" w:eastAsia="zh-CN"/>
                    </w:rPr>
                    <w:t>预处理池</w:t>
                  </w:r>
                  <w:r>
                    <w:rPr>
                      <w:rFonts w:ascii="Times New Roman" w:hAnsi="Times New Roman" w:eastAsia="Times New Roman" w:cs="Times New Roman"/>
                      <w:sz w:val="21"/>
                      <w:szCs w:val="21"/>
                    </w:rPr>
                    <w:t>，容积为</w:t>
                  </w:r>
                  <w:r>
                    <w:rPr>
                      <w:rFonts w:hint="eastAsia" w:ascii="Times New Roman" w:hAnsi="Times New Roman" w:eastAsia="宋体" w:cs="Times New Roman"/>
                      <w:sz w:val="21"/>
                      <w:szCs w:val="21"/>
                      <w:lang w:val="en-US" w:eastAsia="zh-CN"/>
                    </w:rPr>
                    <w:t>100</w:t>
                  </w:r>
                  <w:r>
                    <w:rPr>
                      <w:rFonts w:ascii="Times New Roman" w:hAnsi="Times New Roman" w:eastAsia="Times New Roman" w:cs="Times New Roman"/>
                      <w:sz w:val="21"/>
                      <w:szCs w:val="21"/>
                    </w:rPr>
                    <w:t>m</w:t>
                  </w:r>
                  <w:r>
                    <w:rPr>
                      <w:rFonts w:ascii="Times New Roman" w:hAnsi="Times New Roman" w:eastAsia="Times New Roman" w:cs="Times New Roman"/>
                      <w:sz w:val="21"/>
                      <w:szCs w:val="21"/>
                      <w:vertAlign w:val="superscript"/>
                    </w:rPr>
                    <w:t>3</w:t>
                  </w:r>
                  <w:r>
                    <w:rPr>
                      <w:rFonts w:ascii="Times New Roman" w:hAnsi="Times New Roman" w:eastAsia="Times New Roman" w:cs="Times New Roman"/>
                      <w:sz w:val="21"/>
                      <w:szCs w:val="21"/>
                    </w:rPr>
                    <w:t xml:space="preserve"> ，处理后经市政污水管网排入园区污水处理厂</w:t>
                  </w:r>
                  <w:r>
                    <w:rPr>
                      <w:rFonts w:hint="eastAsia" w:ascii="Times New Roman" w:hAnsi="Times New Roman" w:cs="Times New Roman"/>
                      <w:spacing w:val="8"/>
                      <w:sz w:val="21"/>
                      <w:szCs w:val="21"/>
                      <w:lang w:eastAsia="zh-CN"/>
                    </w:rPr>
                    <w:t>。</w:t>
                  </w:r>
                </w:p>
              </w:tc>
              <w:tc>
                <w:tcPr>
                  <w:tcW w:w="3560" w:type="dxa"/>
                  <w:noWrap w:val="0"/>
                  <w:vAlign w:val="center"/>
                </w:tcPr>
                <w:p w14:paraId="60EABCB6">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pacing w:val="9"/>
                      <w:kern w:val="2"/>
                      <w:sz w:val="21"/>
                      <w:szCs w:val="21"/>
                      <w:lang w:val="en-US" w:eastAsia="zh-CN" w:bidi="ar-SA"/>
                    </w:rPr>
                  </w:pPr>
                  <w:r>
                    <w:rPr>
                      <w:rFonts w:hint="default" w:ascii="Times New Roman" w:hAnsi="Times New Roman" w:eastAsia="宋体" w:cs="Times New Roman"/>
                      <w:spacing w:val="9"/>
                      <w:sz w:val="21"/>
                      <w:szCs w:val="21"/>
                    </w:rPr>
                    <w:t>根据验收报告可知，企业现状生活污水排放量约</w:t>
                  </w:r>
                  <w:r>
                    <w:rPr>
                      <w:rFonts w:hint="eastAsia" w:ascii="Times New Roman" w:hAnsi="Times New Roman" w:eastAsia="宋体" w:cs="Times New Roman"/>
                      <w:spacing w:val="9"/>
                      <w:sz w:val="21"/>
                      <w:szCs w:val="21"/>
                      <w:lang w:val="en-US" w:eastAsia="zh-CN"/>
                    </w:rPr>
                    <w:t>3.74</w:t>
                  </w:r>
                  <w:r>
                    <w:rPr>
                      <w:rFonts w:hint="default" w:ascii="Times New Roman" w:hAnsi="Times New Roman" w:eastAsia="宋体" w:cs="Times New Roman"/>
                      <w:spacing w:val="9"/>
                      <w:sz w:val="21"/>
                      <w:szCs w:val="21"/>
                    </w:rPr>
                    <w:t>m</w:t>
                  </w:r>
                  <w:r>
                    <w:rPr>
                      <w:rFonts w:hint="default" w:ascii="Times New Roman" w:hAnsi="Times New Roman" w:eastAsia="宋体" w:cs="Times New Roman"/>
                      <w:spacing w:val="9"/>
                      <w:sz w:val="21"/>
                      <w:szCs w:val="21"/>
                      <w:vertAlign w:val="superscript"/>
                    </w:rPr>
                    <w:t>3</w:t>
                  </w:r>
                  <w:r>
                    <w:rPr>
                      <w:rFonts w:hint="default" w:ascii="Times New Roman" w:hAnsi="Times New Roman" w:eastAsia="宋体" w:cs="Times New Roman"/>
                      <w:spacing w:val="9"/>
                      <w:sz w:val="21"/>
                      <w:szCs w:val="21"/>
                    </w:rPr>
                    <w:t>/d，剩余容量远大于项目新增生活污水</w:t>
                  </w:r>
                  <w:r>
                    <w:rPr>
                      <w:rFonts w:hint="eastAsia" w:ascii="Times New Roman" w:hAnsi="Times New Roman" w:eastAsia="宋体" w:cs="Times New Roman"/>
                      <w:spacing w:val="9"/>
                      <w:sz w:val="21"/>
                      <w:szCs w:val="21"/>
                      <w:lang w:val="en-US" w:eastAsia="zh-CN"/>
                    </w:rPr>
                    <w:t>1.088</w:t>
                  </w:r>
                  <w:r>
                    <w:rPr>
                      <w:rFonts w:hint="default" w:ascii="Times New Roman" w:hAnsi="Times New Roman" w:eastAsia="宋体" w:cs="Times New Roman"/>
                      <w:spacing w:val="9"/>
                      <w:sz w:val="21"/>
                      <w:szCs w:val="21"/>
                    </w:rPr>
                    <w:t>m</w:t>
                  </w:r>
                  <w:r>
                    <w:rPr>
                      <w:rFonts w:hint="default" w:ascii="Times New Roman" w:hAnsi="Times New Roman" w:eastAsia="宋体" w:cs="Times New Roman"/>
                      <w:spacing w:val="9"/>
                      <w:sz w:val="21"/>
                      <w:szCs w:val="21"/>
                      <w:vertAlign w:val="superscript"/>
                    </w:rPr>
                    <w:t>3</w:t>
                  </w:r>
                  <w:r>
                    <w:rPr>
                      <w:rFonts w:hint="default" w:ascii="Times New Roman" w:hAnsi="Times New Roman" w:eastAsia="宋体" w:cs="Times New Roman"/>
                      <w:spacing w:val="9"/>
                      <w:sz w:val="21"/>
                      <w:szCs w:val="21"/>
                    </w:rPr>
                    <w:t>/d ，可满足本次新增污水的处理</w:t>
                  </w:r>
                  <w:r>
                    <w:rPr>
                      <w:rFonts w:hint="eastAsia" w:ascii="Times New Roman" w:hAnsi="Times New Roman" w:eastAsia="宋体" w:cs="Times New Roman"/>
                      <w:spacing w:val="9"/>
                      <w:sz w:val="21"/>
                      <w:szCs w:val="21"/>
                      <w:lang w:eastAsia="zh-CN"/>
                    </w:rPr>
                    <w:t>。</w:t>
                  </w:r>
                </w:p>
              </w:tc>
            </w:tr>
            <w:tr w14:paraId="2782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2CA2368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1210" w:type="dxa"/>
                  <w:noWrap w:val="0"/>
                  <w:vAlign w:val="center"/>
                </w:tcPr>
                <w:p w14:paraId="6D98FD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隔油池</w:t>
                  </w:r>
                </w:p>
              </w:tc>
              <w:tc>
                <w:tcPr>
                  <w:tcW w:w="3045" w:type="dxa"/>
                  <w:noWrap w:val="0"/>
                  <w:vAlign w:val="center"/>
                </w:tcPr>
                <w:p w14:paraId="7B6598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Times New Roman" w:cs="Times New Roman"/>
                      <w:sz w:val="21"/>
                      <w:szCs w:val="21"/>
                    </w:rPr>
                  </w:pPr>
                  <w:r>
                    <w:rPr>
                      <w:rFonts w:ascii="Times New Roman" w:hAnsi="Times New Roman" w:eastAsia="Times New Roman" w:cs="Times New Roman"/>
                      <w:sz w:val="21"/>
                      <w:szCs w:val="21"/>
                    </w:rPr>
                    <w:t>依托公司厂区现状建有</w:t>
                  </w:r>
                  <w:r>
                    <w:rPr>
                      <w:rFonts w:hint="eastAsia" w:ascii="Times New Roman" w:hAnsi="Times New Roman" w:eastAsia="宋体" w:cs="Times New Roman"/>
                      <w:sz w:val="21"/>
                      <w:szCs w:val="21"/>
                      <w:lang w:val="en-US" w:eastAsia="zh-CN"/>
                    </w:rPr>
                    <w:t>1</w:t>
                  </w:r>
                  <w:r>
                    <w:rPr>
                      <w:rFonts w:ascii="Times New Roman" w:hAnsi="Times New Roman" w:eastAsia="Times New Roman" w:cs="Times New Roman"/>
                      <w:sz w:val="21"/>
                      <w:szCs w:val="21"/>
                    </w:rPr>
                    <w:t>座</w:t>
                  </w:r>
                  <w:r>
                    <w:rPr>
                      <w:rFonts w:hint="eastAsia" w:ascii="Times New Roman" w:hAnsi="Times New Roman" w:eastAsia="宋体" w:cs="Times New Roman"/>
                      <w:sz w:val="21"/>
                      <w:szCs w:val="21"/>
                      <w:lang w:val="en-US" w:eastAsia="zh-CN"/>
                    </w:rPr>
                    <w:t>预处理池</w:t>
                  </w:r>
                  <w:r>
                    <w:rPr>
                      <w:rFonts w:ascii="Times New Roman" w:hAnsi="Times New Roman" w:eastAsia="Times New Roman" w:cs="Times New Roman"/>
                      <w:sz w:val="21"/>
                      <w:szCs w:val="21"/>
                    </w:rPr>
                    <w:t>，容积分别为</w:t>
                  </w:r>
                  <w:r>
                    <w:rPr>
                      <w:rFonts w:hint="eastAsia" w:ascii="Times New Roman" w:hAnsi="Times New Roman" w:eastAsia="宋体" w:cs="Times New Roman"/>
                      <w:sz w:val="21"/>
                      <w:szCs w:val="21"/>
                      <w:lang w:val="en-US" w:eastAsia="zh-CN"/>
                    </w:rPr>
                    <w:t>3</w:t>
                  </w:r>
                  <w:r>
                    <w:rPr>
                      <w:rFonts w:ascii="Times New Roman" w:hAnsi="Times New Roman" w:eastAsia="Times New Roman" w:cs="Times New Roman"/>
                      <w:sz w:val="21"/>
                      <w:szCs w:val="21"/>
                    </w:rPr>
                    <w:t>m</w:t>
                  </w:r>
                  <w:r>
                    <w:rPr>
                      <w:rFonts w:ascii="Times New Roman" w:hAnsi="Times New Roman" w:eastAsia="Times New Roman" w:cs="Times New Roman"/>
                      <w:sz w:val="21"/>
                      <w:szCs w:val="21"/>
                      <w:vertAlign w:val="superscript"/>
                    </w:rPr>
                    <w:t>3</w:t>
                  </w:r>
                </w:p>
              </w:tc>
              <w:tc>
                <w:tcPr>
                  <w:tcW w:w="3560" w:type="dxa"/>
                  <w:noWrap w:val="0"/>
                  <w:vAlign w:val="center"/>
                </w:tcPr>
                <w:p w14:paraId="500D8D2B">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pacing w:val="9"/>
                      <w:sz w:val="21"/>
                      <w:szCs w:val="21"/>
                    </w:rPr>
                  </w:pPr>
                  <w:r>
                    <w:rPr>
                      <w:rFonts w:hint="default" w:ascii="Times New Roman" w:hAnsi="Times New Roman" w:eastAsia="宋体" w:cs="Times New Roman"/>
                      <w:spacing w:val="9"/>
                      <w:sz w:val="21"/>
                      <w:szCs w:val="21"/>
                    </w:rPr>
                    <w:t>企业现状</w:t>
                  </w:r>
                  <w:r>
                    <w:rPr>
                      <w:rFonts w:hint="eastAsia" w:ascii="Times New Roman" w:hAnsi="Times New Roman" w:eastAsia="宋体" w:cs="Times New Roman"/>
                      <w:spacing w:val="9"/>
                      <w:sz w:val="21"/>
                      <w:szCs w:val="21"/>
                      <w:lang w:val="en-US" w:eastAsia="zh-CN"/>
                    </w:rPr>
                    <w:t>食堂</w:t>
                  </w:r>
                  <w:r>
                    <w:rPr>
                      <w:rFonts w:hint="default" w:ascii="Times New Roman" w:hAnsi="Times New Roman" w:eastAsia="宋体" w:cs="Times New Roman"/>
                      <w:spacing w:val="9"/>
                      <w:sz w:val="21"/>
                      <w:szCs w:val="21"/>
                    </w:rPr>
                    <w:t>排放量约</w:t>
                  </w:r>
                  <w:r>
                    <w:rPr>
                      <w:rFonts w:hint="eastAsia" w:ascii="Times New Roman" w:hAnsi="Times New Roman" w:eastAsia="宋体" w:cs="Times New Roman"/>
                      <w:spacing w:val="9"/>
                      <w:sz w:val="21"/>
                      <w:szCs w:val="21"/>
                      <w:lang w:val="en-US" w:eastAsia="zh-CN"/>
                    </w:rPr>
                    <w:t>0.935</w:t>
                  </w:r>
                  <w:r>
                    <w:rPr>
                      <w:rFonts w:hint="default" w:ascii="Times New Roman" w:hAnsi="Times New Roman" w:eastAsia="宋体" w:cs="Times New Roman"/>
                      <w:spacing w:val="9"/>
                      <w:sz w:val="21"/>
                      <w:szCs w:val="21"/>
                    </w:rPr>
                    <w:t>m</w:t>
                  </w:r>
                  <w:r>
                    <w:rPr>
                      <w:rFonts w:hint="default" w:ascii="Times New Roman" w:hAnsi="Times New Roman" w:eastAsia="宋体" w:cs="Times New Roman"/>
                      <w:spacing w:val="9"/>
                      <w:sz w:val="21"/>
                      <w:szCs w:val="21"/>
                      <w:vertAlign w:val="superscript"/>
                    </w:rPr>
                    <w:t>3</w:t>
                  </w:r>
                  <w:r>
                    <w:rPr>
                      <w:rFonts w:hint="default" w:ascii="Times New Roman" w:hAnsi="Times New Roman" w:eastAsia="宋体" w:cs="Times New Roman"/>
                      <w:spacing w:val="9"/>
                      <w:sz w:val="21"/>
                      <w:szCs w:val="21"/>
                    </w:rPr>
                    <w:t>/d，</w:t>
                  </w:r>
                  <w:r>
                    <w:rPr>
                      <w:rFonts w:hint="eastAsia" w:ascii="Times New Roman" w:hAnsi="Times New Roman" w:eastAsia="宋体" w:cs="Times New Roman"/>
                      <w:spacing w:val="9"/>
                      <w:sz w:val="21"/>
                      <w:szCs w:val="21"/>
                      <w:lang w:val="en-US" w:eastAsia="zh-CN"/>
                    </w:rPr>
                    <w:t>剩余容量为2.065m</w:t>
                  </w:r>
                  <w:r>
                    <w:rPr>
                      <w:rFonts w:hint="eastAsia" w:ascii="Times New Roman" w:hAnsi="Times New Roman" w:eastAsia="宋体" w:cs="Times New Roman"/>
                      <w:spacing w:val="9"/>
                      <w:sz w:val="21"/>
                      <w:szCs w:val="21"/>
                      <w:vertAlign w:val="superscript"/>
                      <w:lang w:val="en-US" w:eastAsia="zh-CN"/>
                    </w:rPr>
                    <w:t>3</w:t>
                  </w:r>
                  <w:r>
                    <w:rPr>
                      <w:rFonts w:hint="eastAsia" w:ascii="Times New Roman" w:hAnsi="Times New Roman" w:eastAsia="宋体" w:cs="Times New Roman"/>
                      <w:spacing w:val="9"/>
                      <w:sz w:val="21"/>
                      <w:szCs w:val="21"/>
                      <w:lang w:val="en-US" w:eastAsia="zh-CN"/>
                    </w:rPr>
                    <w:t>，本项目新增食堂废水排放量为0.272</w:t>
                  </w:r>
                  <w:r>
                    <w:rPr>
                      <w:rFonts w:hint="default" w:ascii="Times New Roman" w:hAnsi="Times New Roman" w:eastAsia="宋体" w:cs="Times New Roman"/>
                      <w:spacing w:val="9"/>
                      <w:sz w:val="21"/>
                      <w:szCs w:val="21"/>
                    </w:rPr>
                    <w:t>m</w:t>
                  </w:r>
                  <w:r>
                    <w:rPr>
                      <w:rFonts w:hint="default" w:ascii="Times New Roman" w:hAnsi="Times New Roman" w:eastAsia="宋体" w:cs="Times New Roman"/>
                      <w:spacing w:val="9"/>
                      <w:sz w:val="21"/>
                      <w:szCs w:val="21"/>
                      <w:vertAlign w:val="superscript"/>
                    </w:rPr>
                    <w:t>3</w:t>
                  </w:r>
                  <w:r>
                    <w:rPr>
                      <w:rFonts w:hint="default" w:ascii="Times New Roman" w:hAnsi="Times New Roman" w:eastAsia="宋体" w:cs="Times New Roman"/>
                      <w:spacing w:val="9"/>
                      <w:sz w:val="21"/>
                      <w:szCs w:val="21"/>
                    </w:rPr>
                    <w:t>/d</w:t>
                  </w:r>
                  <w:r>
                    <w:rPr>
                      <w:rFonts w:hint="eastAsia" w:ascii="Times New Roman" w:hAnsi="Times New Roman" w:eastAsia="宋体" w:cs="Times New Roman"/>
                      <w:spacing w:val="9"/>
                      <w:sz w:val="21"/>
                      <w:szCs w:val="21"/>
                      <w:lang w:val="en-US" w:eastAsia="zh-CN"/>
                    </w:rPr>
                    <w:t>。</w:t>
                  </w:r>
                  <w:r>
                    <w:rPr>
                      <w:rFonts w:hint="default" w:ascii="Times New Roman" w:hAnsi="Times New Roman" w:eastAsia="宋体" w:cs="Times New Roman"/>
                      <w:spacing w:val="9"/>
                      <w:sz w:val="21"/>
                      <w:szCs w:val="21"/>
                    </w:rPr>
                    <w:t>剩余容量</w:t>
                  </w:r>
                  <w:r>
                    <w:rPr>
                      <w:rFonts w:hint="eastAsia" w:ascii="Times New Roman" w:hAnsi="Times New Roman" w:eastAsia="宋体" w:cs="Times New Roman"/>
                      <w:spacing w:val="9"/>
                      <w:sz w:val="21"/>
                      <w:szCs w:val="21"/>
                      <w:lang w:val="en-US" w:eastAsia="zh-CN"/>
                    </w:rPr>
                    <w:t>可容纳本项目</w:t>
                  </w:r>
                  <w:r>
                    <w:rPr>
                      <w:rFonts w:hint="default" w:ascii="Times New Roman" w:hAnsi="Times New Roman" w:eastAsia="宋体" w:cs="Times New Roman"/>
                      <w:spacing w:val="9"/>
                      <w:sz w:val="21"/>
                      <w:szCs w:val="21"/>
                    </w:rPr>
                    <w:t>新增</w:t>
                  </w:r>
                  <w:r>
                    <w:rPr>
                      <w:rFonts w:hint="eastAsia" w:ascii="Times New Roman" w:hAnsi="Times New Roman" w:eastAsia="宋体" w:cs="Times New Roman"/>
                      <w:spacing w:val="9"/>
                      <w:sz w:val="21"/>
                      <w:szCs w:val="21"/>
                      <w:lang w:val="en-US" w:eastAsia="zh-CN"/>
                    </w:rPr>
                    <w:t>食堂废水</w:t>
                  </w:r>
                  <w:r>
                    <w:rPr>
                      <w:rFonts w:hint="default" w:ascii="Times New Roman" w:hAnsi="Times New Roman" w:eastAsia="宋体" w:cs="Times New Roman"/>
                      <w:spacing w:val="9"/>
                      <w:sz w:val="21"/>
                      <w:szCs w:val="21"/>
                    </w:rPr>
                    <w:t>，可满足本次新增污水的处理</w:t>
                  </w:r>
                  <w:r>
                    <w:rPr>
                      <w:rFonts w:hint="eastAsia" w:ascii="Times New Roman" w:hAnsi="Times New Roman" w:eastAsia="宋体" w:cs="Times New Roman"/>
                      <w:spacing w:val="9"/>
                      <w:sz w:val="21"/>
                      <w:szCs w:val="21"/>
                      <w:lang w:eastAsia="zh-CN"/>
                    </w:rPr>
                    <w:t>。</w:t>
                  </w:r>
                </w:p>
              </w:tc>
            </w:tr>
            <w:tr w14:paraId="0022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0808D2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5</w:t>
                  </w:r>
                </w:p>
              </w:tc>
              <w:tc>
                <w:tcPr>
                  <w:tcW w:w="1210" w:type="dxa"/>
                  <w:noWrap w:val="0"/>
                  <w:vAlign w:val="center"/>
                </w:tcPr>
                <w:p w14:paraId="1F8EC4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供电</w:t>
                  </w:r>
                </w:p>
              </w:tc>
              <w:tc>
                <w:tcPr>
                  <w:tcW w:w="3045" w:type="dxa"/>
                  <w:noWrap w:val="0"/>
                  <w:vAlign w:val="center"/>
                </w:tcPr>
                <w:p w14:paraId="2D78C7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依托现有供电管网</w:t>
                  </w:r>
                </w:p>
              </w:tc>
              <w:tc>
                <w:tcPr>
                  <w:tcW w:w="3560" w:type="dxa"/>
                  <w:noWrap w:val="0"/>
                  <w:vAlign w:val="center"/>
                </w:tcPr>
                <w:p w14:paraId="2DDC179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pacing w:val="9"/>
                      <w:kern w:val="2"/>
                      <w:sz w:val="21"/>
                      <w:szCs w:val="21"/>
                      <w:lang w:val="en-US" w:eastAsia="zh-CN" w:bidi="ar-SA"/>
                    </w:rPr>
                  </w:pPr>
                  <w:r>
                    <w:rPr>
                      <w:rFonts w:hint="default" w:ascii="Times New Roman" w:hAnsi="Times New Roman" w:eastAsia="宋体" w:cs="Times New Roman"/>
                      <w:spacing w:val="9"/>
                      <w:sz w:val="21"/>
                      <w:szCs w:val="21"/>
                    </w:rPr>
                    <w:t>本次新增设施用电量不大，依托现有供电设施可行</w:t>
                  </w:r>
                </w:p>
              </w:tc>
            </w:tr>
            <w:tr w14:paraId="4D7A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06B3B40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ascii="Times New Roman" w:hAnsi="Times New Roman" w:eastAsia="Times New Roman" w:cs="Times New Roman"/>
                      <w:sz w:val="21"/>
                      <w:szCs w:val="21"/>
                    </w:rPr>
                  </w:pPr>
                </w:p>
                <w:p w14:paraId="78AF2D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6</w:t>
                  </w:r>
                </w:p>
              </w:tc>
              <w:tc>
                <w:tcPr>
                  <w:tcW w:w="1210" w:type="dxa"/>
                  <w:noWrap w:val="0"/>
                  <w:vAlign w:val="center"/>
                </w:tcPr>
                <w:p w14:paraId="03AD284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事故应急池</w:t>
                  </w:r>
                </w:p>
              </w:tc>
              <w:tc>
                <w:tcPr>
                  <w:tcW w:w="3045" w:type="dxa"/>
                  <w:noWrap w:val="0"/>
                  <w:vAlign w:val="center"/>
                </w:tcPr>
                <w:p w14:paraId="1C6DA46B">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ascii="Times New Roman" w:hAnsi="Times New Roman" w:eastAsia="Times New Roman" w:cs="Times New Roman"/>
                      <w:sz w:val="21"/>
                      <w:szCs w:val="21"/>
                    </w:rPr>
                  </w:pPr>
                </w:p>
                <w:p w14:paraId="5ABBE3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ascii="Times New Roman" w:hAnsi="Times New Roman" w:eastAsia="Times New Roman" w:cs="Times New Roman"/>
                      <w:sz w:val="21"/>
                      <w:szCs w:val="21"/>
                    </w:rPr>
                    <w:t>厂区已建1个应急事故水池，容积</w:t>
                  </w:r>
                  <w:r>
                    <w:rPr>
                      <w:rFonts w:hint="eastAsia" w:ascii="Times New Roman" w:hAnsi="Times New Roman" w:eastAsia="宋体" w:cs="Times New Roman"/>
                      <w:sz w:val="21"/>
                      <w:szCs w:val="21"/>
                      <w:lang w:val="en-US" w:eastAsia="zh-CN"/>
                    </w:rPr>
                    <w:t>3</w:t>
                  </w:r>
                  <w:r>
                    <w:rPr>
                      <w:rFonts w:ascii="Times New Roman" w:hAnsi="Times New Roman" w:eastAsia="Times New Roman" w:cs="Times New Roman"/>
                      <w:sz w:val="21"/>
                      <w:szCs w:val="21"/>
                    </w:rPr>
                    <w:t>00m</w:t>
                  </w:r>
                  <w:r>
                    <w:rPr>
                      <w:rFonts w:ascii="Times New Roman" w:hAnsi="Times New Roman" w:eastAsia="Times New Roman" w:cs="Times New Roman"/>
                      <w:sz w:val="21"/>
                      <w:szCs w:val="21"/>
                      <w:vertAlign w:val="superscript"/>
                    </w:rPr>
                    <w:t>3</w:t>
                  </w:r>
                  <w:r>
                    <w:rPr>
                      <w:rFonts w:ascii="Times New Roman" w:hAnsi="Times New Roman" w:eastAsia="Times New Roman" w:cs="Times New Roman"/>
                      <w:sz w:val="21"/>
                      <w:szCs w:val="21"/>
                    </w:rPr>
                    <w:t>。</w:t>
                  </w:r>
                </w:p>
              </w:tc>
              <w:tc>
                <w:tcPr>
                  <w:tcW w:w="3560" w:type="dxa"/>
                  <w:noWrap w:val="0"/>
                  <w:vAlign w:val="center"/>
                </w:tcPr>
                <w:p w14:paraId="4A234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kern w:val="2"/>
                      <w:sz w:val="21"/>
                      <w:szCs w:val="21"/>
                      <w:lang w:val="en-US" w:eastAsia="zh-CN" w:bidi="ar-SA"/>
                    </w:rPr>
                  </w:pPr>
                  <w:r>
                    <w:rPr>
                      <w:rFonts w:hint="eastAsia" w:ascii="Times New Roman" w:hAnsi="Times New Roman" w:eastAsia="宋体" w:cs="Times New Roman"/>
                      <w:sz w:val="21"/>
                      <w:szCs w:val="21"/>
                      <w:lang w:val="en-US" w:eastAsia="zh-CN"/>
                    </w:rPr>
                    <w:t>本项目在现有厂区内实施技改扩建，不新增占地，</w:t>
                  </w:r>
                  <w:r>
                    <w:rPr>
                      <w:rFonts w:ascii="Times New Roman" w:hAnsi="Times New Roman" w:eastAsia="Times New Roman" w:cs="Times New Roman"/>
                      <w:sz w:val="21"/>
                      <w:szCs w:val="21"/>
                    </w:rPr>
                    <w:t>项目建成后消防需水量不会增加，现有事故应急池可满足本项目事故废水储存需求。</w:t>
                  </w:r>
                </w:p>
              </w:tc>
            </w:tr>
            <w:tr w14:paraId="6819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noWrap w:val="0"/>
                  <w:vAlign w:val="center"/>
                </w:tcPr>
                <w:p w14:paraId="59F44C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7</w:t>
                  </w:r>
                </w:p>
              </w:tc>
              <w:tc>
                <w:tcPr>
                  <w:tcW w:w="1210" w:type="dxa"/>
                  <w:noWrap w:val="0"/>
                  <w:vAlign w:val="center"/>
                </w:tcPr>
                <w:p w14:paraId="15571EB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pacing w:val="8"/>
                      <w:kern w:val="2"/>
                      <w:sz w:val="21"/>
                      <w:szCs w:val="21"/>
                      <w:lang w:val="en-US" w:eastAsia="zh-CN" w:bidi="ar-SA"/>
                    </w:rPr>
                  </w:pPr>
                  <w:r>
                    <w:rPr>
                      <w:rFonts w:hint="eastAsia" w:cs="宋体"/>
                      <w:spacing w:val="8"/>
                      <w:kern w:val="2"/>
                      <w:sz w:val="21"/>
                      <w:szCs w:val="21"/>
                      <w:lang w:val="en-US" w:eastAsia="zh-CN" w:bidi="ar-SA"/>
                    </w:rPr>
                    <w:t>废气处理设施</w:t>
                  </w:r>
                </w:p>
              </w:tc>
              <w:tc>
                <w:tcPr>
                  <w:tcW w:w="3045" w:type="dxa"/>
                  <w:noWrap w:val="0"/>
                  <w:vAlign w:val="center"/>
                </w:tcPr>
                <w:p w14:paraId="10D78B4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pacing w:val="7"/>
                      <w:kern w:val="2"/>
                      <w:sz w:val="21"/>
                      <w:szCs w:val="21"/>
                      <w:lang w:val="en-US" w:eastAsia="zh-CN" w:bidi="ar-SA"/>
                    </w:rPr>
                  </w:pPr>
                  <w:r>
                    <w:rPr>
                      <w:rFonts w:hint="eastAsia" w:cs="宋体"/>
                      <w:spacing w:val="7"/>
                      <w:kern w:val="2"/>
                      <w:sz w:val="21"/>
                      <w:szCs w:val="21"/>
                      <w:lang w:val="en-US" w:eastAsia="zh-CN" w:bidi="ar-SA"/>
                    </w:rPr>
                    <w:t>本项目碳化废气处理设施工艺为：降温塔+双碱法脱硫+电捕焦油器，已建设两套处理设施</w:t>
                  </w:r>
                </w:p>
              </w:tc>
              <w:tc>
                <w:tcPr>
                  <w:tcW w:w="3560" w:type="dxa"/>
                  <w:noWrap w:val="0"/>
                  <w:vAlign w:val="center"/>
                </w:tcPr>
                <w:p w14:paraId="12C2327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000000"/>
                      <w:spacing w:val="-2"/>
                      <w:kern w:val="2"/>
                      <w:sz w:val="21"/>
                      <w:szCs w:val="21"/>
                      <w:lang w:val="en-US" w:eastAsia="zh-CN" w:bidi="ar-SA"/>
                    </w:rPr>
                  </w:pPr>
                  <w:r>
                    <w:rPr>
                      <w:rFonts w:hint="eastAsia" w:ascii="Times New Roman" w:hAnsi="Times New Roman" w:eastAsia="宋体" w:cs="Times New Roman"/>
                      <w:bCs/>
                      <w:color w:val="000000"/>
                      <w:spacing w:val="-2"/>
                      <w:kern w:val="2"/>
                      <w:sz w:val="21"/>
                      <w:szCs w:val="21"/>
                      <w:lang w:val="en-US" w:eastAsia="zh-CN" w:bidi="ar-SA"/>
                    </w:rPr>
                    <w:t>本项目预碳化2号生产线预碳化废气依托已建的一套“</w:t>
                  </w:r>
                  <w:r>
                    <w:rPr>
                      <w:rFonts w:hint="eastAsia" w:cs="宋体"/>
                      <w:spacing w:val="7"/>
                      <w:kern w:val="2"/>
                      <w:sz w:val="21"/>
                      <w:szCs w:val="21"/>
                      <w:lang w:val="en-US" w:eastAsia="zh-CN" w:bidi="ar-SA"/>
                    </w:rPr>
                    <w:t>降温塔+双碱法脱硫+电捕焦油器</w:t>
                  </w:r>
                  <w:r>
                    <w:rPr>
                      <w:rFonts w:hint="eastAsia" w:ascii="Times New Roman" w:hAnsi="Times New Roman" w:eastAsia="宋体" w:cs="Times New Roman"/>
                      <w:bCs/>
                      <w:color w:val="000000"/>
                      <w:spacing w:val="-2"/>
                      <w:kern w:val="2"/>
                      <w:sz w:val="21"/>
                      <w:szCs w:val="21"/>
                      <w:lang w:val="en-US" w:eastAsia="zh-CN" w:bidi="ar-SA"/>
                    </w:rPr>
                    <w:t>”设施，预碳化废气与成品碳化生产线废气污染物种类相同，故依托可行</w:t>
                  </w:r>
                </w:p>
              </w:tc>
            </w:tr>
          </w:tbl>
          <w:p w14:paraId="795BFCDE">
            <w:pPr>
              <w:pStyle w:val="10"/>
              <w:spacing w:before="0" w:after="0" w:line="360" w:lineRule="auto"/>
              <w:ind w:right="0"/>
              <w:rPr>
                <w:rFonts w:hint="eastAsia" w:ascii="Times New Roman" w:hAnsi="Times New Roman" w:cs="Times New Roman"/>
                <w:b/>
                <w:bCs/>
                <w:color w:val="000000"/>
                <w:sz w:val="24"/>
                <w:szCs w:val="24"/>
                <w:lang w:eastAsia="zh-CN"/>
              </w:rPr>
            </w:pPr>
          </w:p>
          <w:p w14:paraId="55629633">
            <w:pPr>
              <w:pStyle w:val="10"/>
              <w:spacing w:before="0" w:after="0" w:line="360" w:lineRule="auto"/>
              <w:ind w:right="0" w:firstLine="482" w:firstLineChars="200"/>
              <w:rPr>
                <w:rFonts w:hint="default" w:ascii="Times New Roman" w:hAnsi="Times New Roman" w:cs="Times New Roman"/>
                <w:b/>
                <w:bCs/>
                <w:color w:val="000000"/>
                <w:sz w:val="24"/>
                <w:szCs w:val="24"/>
              </w:rPr>
            </w:pPr>
            <w:r>
              <w:rPr>
                <w:rFonts w:hint="eastAsia" w:ascii="Times New Roman" w:hAnsi="Times New Roman" w:cs="Times New Roman"/>
                <w:b/>
                <w:bCs/>
                <w:color w:val="000000"/>
                <w:sz w:val="24"/>
                <w:szCs w:val="24"/>
                <w:lang w:eastAsia="zh-CN"/>
              </w:rPr>
              <w:t>5.</w:t>
            </w:r>
            <w:r>
              <w:rPr>
                <w:rFonts w:hint="default" w:ascii="Times New Roman" w:hAnsi="Times New Roman" w:cs="Times New Roman"/>
                <w:b/>
                <w:bCs/>
                <w:color w:val="000000"/>
                <w:sz w:val="24"/>
                <w:szCs w:val="24"/>
              </w:rPr>
              <w:t>本项目主要设备</w:t>
            </w:r>
          </w:p>
          <w:p w14:paraId="73EA7517">
            <w:pPr>
              <w:pStyle w:val="21"/>
              <w:spacing w:line="360" w:lineRule="auto"/>
              <w:ind w:firstLine="480" w:firstLineChars="200"/>
              <w:jc w:val="both"/>
              <w:rPr>
                <w:rFonts w:hint="eastAsia" w:ascii="Times New Roman" w:hAnsi="Times New Roman" w:eastAsia="宋体" w:cs="Times New Roman"/>
                <w:color w:val="000000"/>
                <w:lang w:val="en-US" w:eastAsia="zh-CN"/>
              </w:rPr>
            </w:pPr>
            <w:r>
              <w:rPr>
                <w:rFonts w:hint="default" w:ascii="Times New Roman" w:hAnsi="Times New Roman" w:eastAsia="宋体" w:cs="Times New Roman"/>
                <w:color w:val="000000"/>
              </w:rPr>
              <w:t>本项目主要设备见表</w:t>
            </w:r>
            <w:r>
              <w:rPr>
                <w:rFonts w:hint="eastAsia" w:ascii="Times New Roman" w:hAnsi="Times New Roman" w:eastAsia="宋体" w:cs="Times New Roman"/>
                <w:color w:val="000000"/>
                <w:lang w:val="en-US" w:eastAsia="zh-CN"/>
              </w:rPr>
              <w:t>2-5。</w:t>
            </w:r>
          </w:p>
          <w:p w14:paraId="42141CA8">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w:t>
            </w:r>
            <w:r>
              <w:rPr>
                <w:rFonts w:hint="default" w:ascii="Times New Roman" w:hAnsi="Times New Roman" w:eastAsia="宋体" w:cs="Times New Roman"/>
                <w:b/>
                <w:bCs/>
                <w:color w:val="000000"/>
                <w:sz w:val="24"/>
                <w:lang w:val="en-US" w:eastAsia="zh-CN"/>
              </w:rPr>
              <w:t>项目</w:t>
            </w:r>
            <w:r>
              <w:rPr>
                <w:rFonts w:hint="eastAsia" w:ascii="Times New Roman" w:hAnsi="Times New Roman" w:eastAsia="宋体" w:cs="Times New Roman"/>
                <w:b/>
                <w:bCs/>
                <w:color w:val="000000"/>
                <w:sz w:val="24"/>
                <w:lang w:val="en-US" w:eastAsia="zh-CN"/>
              </w:rPr>
              <w:t>建设前后</w:t>
            </w:r>
            <w:r>
              <w:rPr>
                <w:rFonts w:hint="default" w:ascii="Times New Roman" w:hAnsi="Times New Roman" w:eastAsia="宋体" w:cs="Times New Roman"/>
                <w:b/>
                <w:bCs/>
                <w:color w:val="000000"/>
                <w:sz w:val="24"/>
                <w:lang w:val="en-US" w:eastAsia="zh-CN"/>
              </w:rPr>
              <w:t>主要设备一览表</w:t>
            </w:r>
          </w:p>
          <w:tbl>
            <w:tblPr>
              <w:tblStyle w:val="31"/>
              <w:tblW w:w="8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020"/>
              <w:gridCol w:w="1416"/>
              <w:gridCol w:w="1633"/>
              <w:gridCol w:w="1322"/>
              <w:gridCol w:w="898"/>
              <w:gridCol w:w="1049"/>
            </w:tblGrid>
            <w:tr w14:paraId="1AE2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71" w:type="dxa"/>
                  <w:tcBorders>
                    <w:tl2br w:val="nil"/>
                    <w:tr2bl w:val="nil"/>
                  </w:tcBorders>
                  <w:noWrap w:val="0"/>
                  <w:vAlign w:val="center"/>
                </w:tcPr>
                <w:p w14:paraId="3787CC16">
                  <w:pPr>
                    <w:keepNext w:val="0"/>
                    <w:keepLines w:val="0"/>
                    <w:pageBreakBefore w:val="0"/>
                    <w:widowControl/>
                    <w:kinsoku/>
                    <w:wordWrap/>
                    <w:overflowPunct/>
                    <w:topLinePunct w:val="0"/>
                    <w:autoSpaceDE/>
                    <w:autoSpaceDN/>
                    <w:bidi w:val="0"/>
                    <w:adjustRightInd w:val="0"/>
                    <w:snapToGrid w:val="0"/>
                    <w:spacing w:after="0"/>
                    <w:jc w:val="center"/>
                    <w:rPr>
                      <w:b/>
                      <w:bCs/>
                      <w:color w:val="000000"/>
                      <w:kern w:val="0"/>
                      <w:sz w:val="21"/>
                      <w:szCs w:val="21"/>
                    </w:rPr>
                  </w:pPr>
                  <w:r>
                    <w:rPr>
                      <w:b/>
                      <w:bCs/>
                      <w:color w:val="000000"/>
                      <w:sz w:val="21"/>
                      <w:szCs w:val="21"/>
                    </w:rPr>
                    <w:t>序号</w:t>
                  </w:r>
                </w:p>
              </w:tc>
              <w:tc>
                <w:tcPr>
                  <w:tcW w:w="1020" w:type="dxa"/>
                  <w:tcBorders>
                    <w:tl2br w:val="nil"/>
                    <w:tr2bl w:val="nil"/>
                  </w:tcBorders>
                  <w:noWrap w:val="0"/>
                  <w:vAlign w:val="center"/>
                </w:tcPr>
                <w:p w14:paraId="2BFAB3C7">
                  <w:pPr>
                    <w:keepNext w:val="0"/>
                    <w:keepLines w:val="0"/>
                    <w:pageBreakBefore w:val="0"/>
                    <w:widowControl/>
                    <w:kinsoku/>
                    <w:wordWrap/>
                    <w:overflowPunct/>
                    <w:topLinePunct w:val="0"/>
                    <w:autoSpaceDE/>
                    <w:autoSpaceDN/>
                    <w:bidi w:val="0"/>
                    <w:adjustRightInd w:val="0"/>
                    <w:snapToGrid w:val="0"/>
                    <w:spacing w:after="0"/>
                    <w:jc w:val="center"/>
                    <w:rPr>
                      <w:b/>
                      <w:bCs/>
                      <w:color w:val="000000"/>
                      <w:kern w:val="0"/>
                      <w:sz w:val="21"/>
                      <w:szCs w:val="21"/>
                    </w:rPr>
                  </w:pPr>
                  <w:r>
                    <w:rPr>
                      <w:b/>
                      <w:bCs/>
                      <w:color w:val="000000"/>
                      <w:sz w:val="21"/>
                      <w:szCs w:val="21"/>
                    </w:rPr>
                    <w:t>工序</w:t>
                  </w:r>
                </w:p>
              </w:tc>
              <w:tc>
                <w:tcPr>
                  <w:tcW w:w="1416" w:type="dxa"/>
                  <w:tcBorders>
                    <w:tl2br w:val="nil"/>
                    <w:tr2bl w:val="nil"/>
                  </w:tcBorders>
                  <w:noWrap w:val="0"/>
                  <w:vAlign w:val="center"/>
                </w:tcPr>
                <w:p w14:paraId="29FF9845">
                  <w:pPr>
                    <w:keepNext w:val="0"/>
                    <w:keepLines w:val="0"/>
                    <w:pageBreakBefore w:val="0"/>
                    <w:widowControl/>
                    <w:kinsoku/>
                    <w:wordWrap/>
                    <w:overflowPunct/>
                    <w:topLinePunct w:val="0"/>
                    <w:autoSpaceDE/>
                    <w:autoSpaceDN/>
                    <w:bidi w:val="0"/>
                    <w:adjustRightInd w:val="0"/>
                    <w:snapToGrid w:val="0"/>
                    <w:spacing w:after="0"/>
                    <w:jc w:val="center"/>
                    <w:rPr>
                      <w:b/>
                      <w:bCs/>
                      <w:color w:val="000000"/>
                      <w:kern w:val="0"/>
                      <w:sz w:val="21"/>
                      <w:szCs w:val="21"/>
                    </w:rPr>
                  </w:pPr>
                  <w:r>
                    <w:rPr>
                      <w:b/>
                      <w:bCs/>
                      <w:color w:val="000000"/>
                      <w:sz w:val="21"/>
                      <w:szCs w:val="21"/>
                    </w:rPr>
                    <w:t>设备名称</w:t>
                  </w:r>
                </w:p>
              </w:tc>
              <w:tc>
                <w:tcPr>
                  <w:tcW w:w="1633" w:type="dxa"/>
                  <w:tcBorders>
                    <w:tl2br w:val="nil"/>
                    <w:tr2bl w:val="nil"/>
                  </w:tcBorders>
                  <w:noWrap w:val="0"/>
                  <w:vAlign w:val="center"/>
                </w:tcPr>
                <w:p w14:paraId="52908CFE">
                  <w:pPr>
                    <w:keepNext w:val="0"/>
                    <w:keepLines w:val="0"/>
                    <w:pageBreakBefore w:val="0"/>
                    <w:widowControl/>
                    <w:kinsoku/>
                    <w:wordWrap/>
                    <w:overflowPunct/>
                    <w:topLinePunct w:val="0"/>
                    <w:autoSpaceDE/>
                    <w:autoSpaceDN/>
                    <w:bidi w:val="0"/>
                    <w:adjustRightInd w:val="0"/>
                    <w:snapToGrid w:val="0"/>
                    <w:spacing w:after="0"/>
                    <w:jc w:val="center"/>
                    <w:rPr>
                      <w:b/>
                      <w:bCs/>
                      <w:color w:val="000000"/>
                      <w:kern w:val="0"/>
                      <w:sz w:val="21"/>
                      <w:szCs w:val="21"/>
                    </w:rPr>
                  </w:pPr>
                  <w:r>
                    <w:rPr>
                      <w:b/>
                      <w:bCs/>
                      <w:color w:val="000000"/>
                      <w:sz w:val="21"/>
                      <w:szCs w:val="21"/>
                    </w:rPr>
                    <w:t>型号</w:t>
                  </w:r>
                </w:p>
              </w:tc>
              <w:tc>
                <w:tcPr>
                  <w:tcW w:w="1322" w:type="dxa"/>
                  <w:tcBorders>
                    <w:tl2br w:val="nil"/>
                    <w:tr2bl w:val="nil"/>
                  </w:tcBorders>
                  <w:noWrap w:val="0"/>
                  <w:vAlign w:val="center"/>
                </w:tcPr>
                <w:p w14:paraId="3DD90D51">
                  <w:pPr>
                    <w:keepNext w:val="0"/>
                    <w:keepLines w:val="0"/>
                    <w:pageBreakBefore w:val="0"/>
                    <w:widowControl/>
                    <w:kinsoku/>
                    <w:wordWrap/>
                    <w:overflowPunct/>
                    <w:topLinePunct w:val="0"/>
                    <w:autoSpaceDE/>
                    <w:autoSpaceDN/>
                    <w:bidi w:val="0"/>
                    <w:adjustRightInd w:val="0"/>
                    <w:snapToGrid w:val="0"/>
                    <w:spacing w:after="0"/>
                    <w:jc w:val="center"/>
                    <w:rPr>
                      <w:rFonts w:hint="default"/>
                      <w:b/>
                      <w:bCs/>
                      <w:color w:val="000000"/>
                      <w:sz w:val="21"/>
                      <w:szCs w:val="21"/>
                      <w:lang w:val="en-US" w:eastAsia="zh-CN"/>
                    </w:rPr>
                  </w:pPr>
                  <w:r>
                    <w:rPr>
                      <w:rFonts w:hint="eastAsia"/>
                      <w:b/>
                      <w:bCs/>
                      <w:color w:val="000000"/>
                      <w:sz w:val="21"/>
                      <w:szCs w:val="21"/>
                      <w:lang w:val="en-US" w:eastAsia="zh-CN"/>
                    </w:rPr>
                    <w:t>改建前</w:t>
                  </w:r>
                </w:p>
              </w:tc>
              <w:tc>
                <w:tcPr>
                  <w:tcW w:w="898" w:type="dxa"/>
                  <w:tcBorders>
                    <w:tl2br w:val="nil"/>
                    <w:tr2bl w:val="nil"/>
                  </w:tcBorders>
                  <w:noWrap w:val="0"/>
                  <w:vAlign w:val="center"/>
                </w:tcPr>
                <w:p w14:paraId="33CF09FD">
                  <w:pPr>
                    <w:keepNext w:val="0"/>
                    <w:keepLines w:val="0"/>
                    <w:pageBreakBefore w:val="0"/>
                    <w:widowControl/>
                    <w:kinsoku/>
                    <w:wordWrap/>
                    <w:overflowPunct/>
                    <w:topLinePunct w:val="0"/>
                    <w:autoSpaceDE/>
                    <w:autoSpaceDN/>
                    <w:bidi w:val="0"/>
                    <w:adjustRightInd w:val="0"/>
                    <w:snapToGrid w:val="0"/>
                    <w:spacing w:after="0"/>
                    <w:jc w:val="center"/>
                    <w:rPr>
                      <w:rFonts w:hint="default"/>
                      <w:b/>
                      <w:bCs/>
                      <w:color w:val="000000"/>
                      <w:sz w:val="21"/>
                      <w:szCs w:val="21"/>
                      <w:lang w:val="en-US" w:eastAsia="zh-CN"/>
                    </w:rPr>
                  </w:pPr>
                  <w:r>
                    <w:rPr>
                      <w:rFonts w:hint="eastAsia"/>
                      <w:b/>
                      <w:bCs/>
                      <w:color w:val="000000"/>
                      <w:sz w:val="21"/>
                      <w:szCs w:val="21"/>
                      <w:lang w:val="en-US" w:eastAsia="zh-CN"/>
                    </w:rPr>
                    <w:t>本项目新增</w:t>
                  </w:r>
                </w:p>
              </w:tc>
              <w:tc>
                <w:tcPr>
                  <w:tcW w:w="1049" w:type="dxa"/>
                  <w:tcBorders>
                    <w:tl2br w:val="nil"/>
                    <w:tr2bl w:val="nil"/>
                  </w:tcBorders>
                  <w:noWrap w:val="0"/>
                  <w:vAlign w:val="center"/>
                </w:tcPr>
                <w:p w14:paraId="422375F5">
                  <w:pPr>
                    <w:keepNext w:val="0"/>
                    <w:keepLines w:val="0"/>
                    <w:pageBreakBefore w:val="0"/>
                    <w:widowControl/>
                    <w:kinsoku/>
                    <w:wordWrap/>
                    <w:overflowPunct/>
                    <w:topLinePunct w:val="0"/>
                    <w:autoSpaceDE/>
                    <w:autoSpaceDN/>
                    <w:bidi w:val="0"/>
                    <w:adjustRightInd w:val="0"/>
                    <w:snapToGrid w:val="0"/>
                    <w:spacing w:after="0"/>
                    <w:jc w:val="center"/>
                    <w:rPr>
                      <w:rFonts w:hint="default"/>
                      <w:b/>
                      <w:bCs/>
                      <w:color w:val="000000"/>
                      <w:sz w:val="21"/>
                      <w:szCs w:val="21"/>
                      <w:lang w:val="en-US" w:eastAsia="zh-CN"/>
                    </w:rPr>
                  </w:pPr>
                  <w:r>
                    <w:rPr>
                      <w:rFonts w:hint="eastAsia"/>
                      <w:b/>
                      <w:bCs/>
                      <w:color w:val="000000"/>
                      <w:sz w:val="21"/>
                      <w:szCs w:val="21"/>
                      <w:lang w:val="en-US" w:eastAsia="zh-CN"/>
                    </w:rPr>
                    <w:t>建设后全厂</w:t>
                  </w:r>
                </w:p>
              </w:tc>
            </w:tr>
            <w:tr w14:paraId="2370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71" w:type="dxa"/>
                  <w:tcBorders>
                    <w:tl2br w:val="nil"/>
                    <w:tr2bl w:val="nil"/>
                  </w:tcBorders>
                  <w:noWrap w:val="0"/>
                  <w:vAlign w:val="center"/>
                </w:tcPr>
                <w:p w14:paraId="7A55022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sz w:val="21"/>
                      <w:szCs w:val="21"/>
                    </w:rPr>
                    <w:t>1</w:t>
                  </w:r>
                </w:p>
              </w:tc>
              <w:tc>
                <w:tcPr>
                  <w:tcW w:w="1020" w:type="dxa"/>
                  <w:vMerge w:val="restart"/>
                  <w:tcBorders>
                    <w:tl2br w:val="nil"/>
                    <w:tr2bl w:val="nil"/>
                  </w:tcBorders>
                  <w:noWrap w:val="0"/>
                  <w:vAlign w:val="center"/>
                </w:tcPr>
                <w:p w14:paraId="4B50EB6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烘干</w:t>
                  </w:r>
                  <w:r>
                    <w:rPr>
                      <w:rFonts w:hint="eastAsia"/>
                      <w:kern w:val="0"/>
                      <w:sz w:val="21"/>
                      <w:szCs w:val="21"/>
                    </w:rPr>
                    <w:t>、破碎、</w:t>
                  </w:r>
                  <w:r>
                    <w:rPr>
                      <w:kern w:val="0"/>
                      <w:sz w:val="21"/>
                      <w:szCs w:val="21"/>
                    </w:rPr>
                    <w:t>整形</w:t>
                  </w:r>
                </w:p>
              </w:tc>
              <w:tc>
                <w:tcPr>
                  <w:tcW w:w="1416" w:type="dxa"/>
                  <w:tcBorders>
                    <w:tl2br w:val="nil"/>
                    <w:tr2bl w:val="nil"/>
                  </w:tcBorders>
                  <w:noWrap w:val="0"/>
                  <w:vAlign w:val="center"/>
                </w:tcPr>
                <w:p w14:paraId="6A6A820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烘干机</w:t>
                  </w:r>
                </w:p>
              </w:tc>
              <w:tc>
                <w:tcPr>
                  <w:tcW w:w="1633" w:type="dxa"/>
                  <w:tcBorders>
                    <w:tl2br w:val="nil"/>
                    <w:tr2bl w:val="nil"/>
                  </w:tcBorders>
                  <w:noWrap w:val="0"/>
                  <w:vAlign w:val="center"/>
                </w:tcPr>
                <w:p w14:paraId="2641AAE1">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Φ</w:t>
                  </w:r>
                  <w:r>
                    <w:rPr>
                      <w:rFonts w:hint="eastAsia"/>
                      <w:kern w:val="0"/>
                      <w:sz w:val="21"/>
                      <w:szCs w:val="21"/>
                    </w:rPr>
                    <w:t>1.5*7m</w:t>
                  </w:r>
                </w:p>
              </w:tc>
              <w:tc>
                <w:tcPr>
                  <w:tcW w:w="1322" w:type="dxa"/>
                  <w:tcBorders>
                    <w:tl2br w:val="nil"/>
                    <w:tr2bl w:val="nil"/>
                  </w:tcBorders>
                  <w:noWrap w:val="0"/>
                  <w:vAlign w:val="center"/>
                </w:tcPr>
                <w:p w14:paraId="733D7456">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5FD6FCEA">
                  <w:pPr>
                    <w:keepNext w:val="0"/>
                    <w:keepLines w:val="0"/>
                    <w:pageBreakBefore w:val="0"/>
                    <w:widowControl/>
                    <w:kinsoku/>
                    <w:wordWrap/>
                    <w:overflowPunct/>
                    <w:topLinePunct w:val="0"/>
                    <w:autoSpaceDE/>
                    <w:autoSpaceDN/>
                    <w:bidi w:val="0"/>
                    <w:adjustRightInd w:val="0"/>
                    <w:snapToGrid w:val="0"/>
                    <w:spacing w:after="0"/>
                    <w:jc w:val="center"/>
                    <w:rPr>
                      <w:rFonts w:hint="eastAsia" w:eastAsia="宋体"/>
                      <w:kern w:val="0"/>
                      <w:sz w:val="21"/>
                      <w:szCs w:val="21"/>
                      <w:lang w:val="en-US" w:eastAsia="zh-CN"/>
                    </w:rPr>
                  </w:pPr>
                </w:p>
              </w:tc>
              <w:tc>
                <w:tcPr>
                  <w:tcW w:w="1049" w:type="dxa"/>
                  <w:tcBorders>
                    <w:tl2br w:val="nil"/>
                    <w:tr2bl w:val="nil"/>
                  </w:tcBorders>
                  <w:noWrap w:val="0"/>
                  <w:vAlign w:val="center"/>
                </w:tcPr>
                <w:p w14:paraId="4A0126B6">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4DC2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62EDC440">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sz w:val="21"/>
                      <w:szCs w:val="21"/>
                    </w:rPr>
                    <w:t>2</w:t>
                  </w:r>
                </w:p>
              </w:tc>
              <w:tc>
                <w:tcPr>
                  <w:tcW w:w="1020" w:type="dxa"/>
                  <w:vMerge w:val="continue"/>
                  <w:tcBorders>
                    <w:tl2br w:val="nil"/>
                    <w:tr2bl w:val="nil"/>
                  </w:tcBorders>
                  <w:noWrap w:val="0"/>
                  <w:vAlign w:val="center"/>
                </w:tcPr>
                <w:p w14:paraId="27DA2FD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13880BF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除尘器</w:t>
                  </w:r>
                </w:p>
              </w:tc>
              <w:tc>
                <w:tcPr>
                  <w:tcW w:w="1633" w:type="dxa"/>
                  <w:tcBorders>
                    <w:tl2br w:val="nil"/>
                    <w:tr2bl w:val="nil"/>
                  </w:tcBorders>
                  <w:noWrap w:val="0"/>
                  <w:vAlign w:val="center"/>
                </w:tcPr>
                <w:p w14:paraId="2AB96C84">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Hac120</w:t>
                  </w:r>
                </w:p>
              </w:tc>
              <w:tc>
                <w:tcPr>
                  <w:tcW w:w="1322" w:type="dxa"/>
                  <w:tcBorders>
                    <w:tl2br w:val="nil"/>
                    <w:tr2bl w:val="nil"/>
                  </w:tcBorders>
                  <w:noWrap w:val="0"/>
                  <w:vAlign w:val="center"/>
                </w:tcPr>
                <w:p w14:paraId="411DF960">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0268CCB1">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28F9A6FC">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09CA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A172C1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sz w:val="21"/>
                      <w:szCs w:val="21"/>
                    </w:rPr>
                    <w:t>3</w:t>
                  </w:r>
                </w:p>
              </w:tc>
              <w:tc>
                <w:tcPr>
                  <w:tcW w:w="1020" w:type="dxa"/>
                  <w:vMerge w:val="continue"/>
                  <w:tcBorders>
                    <w:tl2br w:val="nil"/>
                    <w:tr2bl w:val="nil"/>
                  </w:tcBorders>
                  <w:noWrap w:val="0"/>
                  <w:vAlign w:val="center"/>
                </w:tcPr>
                <w:p w14:paraId="6FC57071">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347272A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除尘器</w:t>
                  </w:r>
                </w:p>
              </w:tc>
              <w:tc>
                <w:tcPr>
                  <w:tcW w:w="1633" w:type="dxa"/>
                  <w:tcBorders>
                    <w:tl2br w:val="nil"/>
                    <w:tr2bl w:val="nil"/>
                  </w:tcBorders>
                  <w:noWrap w:val="0"/>
                  <w:vAlign w:val="center"/>
                </w:tcPr>
                <w:p w14:paraId="46BFFCAB">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D800*5000</w:t>
                  </w:r>
                </w:p>
              </w:tc>
              <w:tc>
                <w:tcPr>
                  <w:tcW w:w="1322" w:type="dxa"/>
                  <w:tcBorders>
                    <w:tl2br w:val="nil"/>
                    <w:tr2bl w:val="nil"/>
                  </w:tcBorders>
                  <w:noWrap w:val="0"/>
                  <w:vAlign w:val="center"/>
                </w:tcPr>
                <w:p w14:paraId="1B49E84D">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057D361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5E50D92C">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08DF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5FF96A5">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sz w:val="21"/>
                      <w:szCs w:val="21"/>
                    </w:rPr>
                    <w:t>4</w:t>
                  </w:r>
                </w:p>
              </w:tc>
              <w:tc>
                <w:tcPr>
                  <w:tcW w:w="1020" w:type="dxa"/>
                  <w:vMerge w:val="continue"/>
                  <w:tcBorders>
                    <w:tl2br w:val="nil"/>
                    <w:tr2bl w:val="nil"/>
                  </w:tcBorders>
                  <w:noWrap w:val="0"/>
                  <w:vAlign w:val="center"/>
                </w:tcPr>
                <w:p w14:paraId="1A27011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4BC3CD6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皮带输送机</w:t>
                  </w:r>
                </w:p>
              </w:tc>
              <w:tc>
                <w:tcPr>
                  <w:tcW w:w="1633" w:type="dxa"/>
                  <w:tcBorders>
                    <w:tl2br w:val="nil"/>
                    <w:tr2bl w:val="nil"/>
                  </w:tcBorders>
                  <w:noWrap w:val="0"/>
                  <w:vAlign w:val="center"/>
                </w:tcPr>
                <w:p w14:paraId="277B1AA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7D75*500*10m</w:t>
                  </w:r>
                </w:p>
              </w:tc>
              <w:tc>
                <w:tcPr>
                  <w:tcW w:w="1322" w:type="dxa"/>
                  <w:tcBorders>
                    <w:tl2br w:val="nil"/>
                    <w:tr2bl w:val="nil"/>
                  </w:tcBorders>
                  <w:noWrap w:val="0"/>
                  <w:vAlign w:val="center"/>
                </w:tcPr>
                <w:p w14:paraId="32A356C3">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53DA7E4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0297DAE9">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2386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AA11461">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5</w:t>
                  </w:r>
                </w:p>
              </w:tc>
              <w:tc>
                <w:tcPr>
                  <w:tcW w:w="1020" w:type="dxa"/>
                  <w:vMerge w:val="continue"/>
                  <w:tcBorders>
                    <w:tl2br w:val="nil"/>
                    <w:tr2bl w:val="nil"/>
                  </w:tcBorders>
                  <w:noWrap w:val="0"/>
                  <w:vAlign w:val="center"/>
                </w:tcPr>
                <w:p w14:paraId="033BD3F5">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1B70DBB1">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多轴破碎机</w:t>
                  </w:r>
                </w:p>
              </w:tc>
              <w:tc>
                <w:tcPr>
                  <w:tcW w:w="1633" w:type="dxa"/>
                  <w:tcBorders>
                    <w:tl2br w:val="nil"/>
                    <w:tr2bl w:val="nil"/>
                  </w:tcBorders>
                  <w:noWrap w:val="0"/>
                  <w:vAlign w:val="center"/>
                </w:tcPr>
                <w:p w14:paraId="7B55048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500*3000</w:t>
                  </w:r>
                </w:p>
              </w:tc>
              <w:tc>
                <w:tcPr>
                  <w:tcW w:w="1322" w:type="dxa"/>
                  <w:tcBorders>
                    <w:tl2br w:val="nil"/>
                    <w:tr2bl w:val="nil"/>
                  </w:tcBorders>
                  <w:noWrap w:val="0"/>
                  <w:vAlign w:val="center"/>
                </w:tcPr>
                <w:p w14:paraId="3054D34D">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419218B6">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50CCC983">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0EEC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3728CB2E">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6</w:t>
                  </w:r>
                </w:p>
              </w:tc>
              <w:tc>
                <w:tcPr>
                  <w:tcW w:w="1020" w:type="dxa"/>
                  <w:vMerge w:val="continue"/>
                  <w:tcBorders>
                    <w:tl2br w:val="nil"/>
                    <w:tr2bl w:val="nil"/>
                  </w:tcBorders>
                  <w:noWrap w:val="0"/>
                  <w:vAlign w:val="center"/>
                </w:tcPr>
                <w:p w14:paraId="10FA0464">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3981C2AC">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多管冷却机</w:t>
                  </w:r>
                </w:p>
              </w:tc>
              <w:tc>
                <w:tcPr>
                  <w:tcW w:w="1633" w:type="dxa"/>
                  <w:tcBorders>
                    <w:tl2br w:val="nil"/>
                    <w:tr2bl w:val="nil"/>
                  </w:tcBorders>
                  <w:noWrap w:val="0"/>
                  <w:vAlign w:val="center"/>
                </w:tcPr>
                <w:p w14:paraId="75FE79B4">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2000*2000*4850</w:t>
                  </w:r>
                </w:p>
              </w:tc>
              <w:tc>
                <w:tcPr>
                  <w:tcW w:w="1322" w:type="dxa"/>
                  <w:tcBorders>
                    <w:tl2br w:val="nil"/>
                    <w:tr2bl w:val="nil"/>
                  </w:tcBorders>
                  <w:noWrap w:val="0"/>
                  <w:vAlign w:val="center"/>
                </w:tcPr>
                <w:p w14:paraId="08478790">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297D2647">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3B3FBAC4">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6DB0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69125783">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7</w:t>
                  </w:r>
                </w:p>
              </w:tc>
              <w:tc>
                <w:tcPr>
                  <w:tcW w:w="1020" w:type="dxa"/>
                  <w:vMerge w:val="continue"/>
                  <w:tcBorders>
                    <w:tl2br w:val="nil"/>
                    <w:tr2bl w:val="nil"/>
                  </w:tcBorders>
                  <w:noWrap w:val="0"/>
                  <w:vAlign w:val="center"/>
                </w:tcPr>
                <w:p w14:paraId="4217086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6A0B84E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单管螺旋</w:t>
                  </w:r>
                </w:p>
              </w:tc>
              <w:tc>
                <w:tcPr>
                  <w:tcW w:w="1633" w:type="dxa"/>
                  <w:tcBorders>
                    <w:tl2br w:val="nil"/>
                    <w:tr2bl w:val="nil"/>
                  </w:tcBorders>
                  <w:noWrap w:val="0"/>
                  <w:vAlign w:val="center"/>
                </w:tcPr>
                <w:p w14:paraId="065B2644">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Φ</w:t>
                  </w:r>
                  <w:r>
                    <w:rPr>
                      <w:rFonts w:hint="eastAsia"/>
                      <w:kern w:val="0"/>
                      <w:sz w:val="21"/>
                      <w:szCs w:val="21"/>
                    </w:rPr>
                    <w:t>4300*7m</w:t>
                  </w:r>
                </w:p>
              </w:tc>
              <w:tc>
                <w:tcPr>
                  <w:tcW w:w="1322" w:type="dxa"/>
                  <w:tcBorders>
                    <w:tl2br w:val="nil"/>
                    <w:tr2bl w:val="nil"/>
                  </w:tcBorders>
                  <w:noWrap w:val="0"/>
                  <w:vAlign w:val="center"/>
                </w:tcPr>
                <w:p w14:paraId="340A878C">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4BABCA1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6EC26990">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6A17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4BB33339">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8</w:t>
                  </w:r>
                </w:p>
              </w:tc>
              <w:tc>
                <w:tcPr>
                  <w:tcW w:w="1020" w:type="dxa"/>
                  <w:vMerge w:val="continue"/>
                  <w:tcBorders>
                    <w:tl2br w:val="nil"/>
                    <w:tr2bl w:val="nil"/>
                  </w:tcBorders>
                  <w:noWrap w:val="0"/>
                  <w:vAlign w:val="center"/>
                </w:tcPr>
                <w:p w14:paraId="3D4399B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4E5E9FC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整形机</w:t>
                  </w:r>
                </w:p>
              </w:tc>
              <w:tc>
                <w:tcPr>
                  <w:tcW w:w="1633" w:type="dxa"/>
                  <w:tcBorders>
                    <w:tl2br w:val="nil"/>
                    <w:tr2bl w:val="nil"/>
                  </w:tcBorders>
                  <w:noWrap w:val="0"/>
                  <w:vAlign w:val="center"/>
                </w:tcPr>
                <w:p w14:paraId="42BF3BB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FZ*300</w:t>
                  </w:r>
                </w:p>
              </w:tc>
              <w:tc>
                <w:tcPr>
                  <w:tcW w:w="1322" w:type="dxa"/>
                  <w:tcBorders>
                    <w:tl2br w:val="nil"/>
                    <w:tr2bl w:val="nil"/>
                  </w:tcBorders>
                  <w:noWrap w:val="0"/>
                  <w:vAlign w:val="center"/>
                </w:tcPr>
                <w:p w14:paraId="0014AB5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4EA2654D">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6252A11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7220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B4E39D8">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9</w:t>
                  </w:r>
                </w:p>
              </w:tc>
              <w:tc>
                <w:tcPr>
                  <w:tcW w:w="1020" w:type="dxa"/>
                  <w:vMerge w:val="continue"/>
                  <w:tcBorders>
                    <w:tl2br w:val="nil"/>
                    <w:tr2bl w:val="nil"/>
                  </w:tcBorders>
                  <w:noWrap w:val="0"/>
                  <w:vAlign w:val="center"/>
                </w:tcPr>
                <w:p w14:paraId="1D53EEFC">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123F958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冲击磨</w:t>
                  </w:r>
                </w:p>
              </w:tc>
              <w:tc>
                <w:tcPr>
                  <w:tcW w:w="1633" w:type="dxa"/>
                  <w:tcBorders>
                    <w:tl2br w:val="nil"/>
                    <w:tr2bl w:val="nil"/>
                  </w:tcBorders>
                  <w:noWrap w:val="0"/>
                  <w:vAlign w:val="center"/>
                </w:tcPr>
                <w:p w14:paraId="5C5D921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FC100</w:t>
                  </w:r>
                </w:p>
              </w:tc>
              <w:tc>
                <w:tcPr>
                  <w:tcW w:w="1322" w:type="dxa"/>
                  <w:tcBorders>
                    <w:tl2br w:val="nil"/>
                    <w:tr2bl w:val="nil"/>
                  </w:tcBorders>
                  <w:noWrap w:val="0"/>
                  <w:vAlign w:val="center"/>
                </w:tcPr>
                <w:p w14:paraId="2449FC8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6290A45F">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74E923F2">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56C7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7C512B5C">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10</w:t>
                  </w:r>
                </w:p>
              </w:tc>
              <w:tc>
                <w:tcPr>
                  <w:tcW w:w="1020" w:type="dxa"/>
                  <w:vMerge w:val="continue"/>
                  <w:tcBorders>
                    <w:tl2br w:val="nil"/>
                    <w:tr2bl w:val="nil"/>
                  </w:tcBorders>
                  <w:noWrap w:val="0"/>
                  <w:vAlign w:val="center"/>
                </w:tcPr>
                <w:p w14:paraId="0A76909C">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36DEAD41">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变压器</w:t>
                  </w:r>
                </w:p>
              </w:tc>
              <w:tc>
                <w:tcPr>
                  <w:tcW w:w="1633" w:type="dxa"/>
                  <w:tcBorders>
                    <w:tl2br w:val="nil"/>
                    <w:tr2bl w:val="nil"/>
                  </w:tcBorders>
                  <w:noWrap w:val="0"/>
                  <w:vAlign w:val="center"/>
                </w:tcPr>
                <w:p w14:paraId="107F33AE">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800KVA</w:t>
                  </w:r>
                </w:p>
              </w:tc>
              <w:tc>
                <w:tcPr>
                  <w:tcW w:w="1322" w:type="dxa"/>
                  <w:tcBorders>
                    <w:tl2br w:val="nil"/>
                    <w:tr2bl w:val="nil"/>
                  </w:tcBorders>
                  <w:noWrap w:val="0"/>
                  <w:vAlign w:val="center"/>
                </w:tcPr>
                <w:p w14:paraId="17569EDB">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57B74690">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00B0DE5E">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455F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2FF4CED4">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11</w:t>
                  </w:r>
                </w:p>
              </w:tc>
              <w:tc>
                <w:tcPr>
                  <w:tcW w:w="1020" w:type="dxa"/>
                  <w:vMerge w:val="continue"/>
                  <w:tcBorders>
                    <w:tl2br w:val="nil"/>
                    <w:tr2bl w:val="nil"/>
                  </w:tcBorders>
                  <w:noWrap w:val="0"/>
                  <w:vAlign w:val="center"/>
                </w:tcPr>
                <w:p w14:paraId="3F5668B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05EDC2D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变压器</w:t>
                  </w:r>
                </w:p>
              </w:tc>
              <w:tc>
                <w:tcPr>
                  <w:tcW w:w="1633" w:type="dxa"/>
                  <w:tcBorders>
                    <w:tl2br w:val="nil"/>
                    <w:tr2bl w:val="nil"/>
                  </w:tcBorders>
                  <w:noWrap w:val="0"/>
                  <w:vAlign w:val="center"/>
                </w:tcPr>
                <w:p w14:paraId="2C4DF1F5">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1250KVA</w:t>
                  </w:r>
                </w:p>
              </w:tc>
              <w:tc>
                <w:tcPr>
                  <w:tcW w:w="1322" w:type="dxa"/>
                  <w:tcBorders>
                    <w:tl2br w:val="nil"/>
                    <w:tr2bl w:val="nil"/>
                  </w:tcBorders>
                  <w:noWrap w:val="0"/>
                  <w:vAlign w:val="center"/>
                </w:tcPr>
                <w:p w14:paraId="2D35FEA4">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898" w:type="dxa"/>
                  <w:tcBorders>
                    <w:tl2br w:val="nil"/>
                    <w:tr2bl w:val="nil"/>
                  </w:tcBorders>
                  <w:noWrap w:val="0"/>
                  <w:vAlign w:val="center"/>
                </w:tcPr>
                <w:p w14:paraId="0B798E0D">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p>
              </w:tc>
              <w:tc>
                <w:tcPr>
                  <w:tcW w:w="1049" w:type="dxa"/>
                  <w:tcBorders>
                    <w:tl2br w:val="nil"/>
                    <w:tr2bl w:val="nil"/>
                  </w:tcBorders>
                  <w:noWrap w:val="0"/>
                  <w:vAlign w:val="center"/>
                </w:tcPr>
                <w:p w14:paraId="7D36B104">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bidi="ar-SA"/>
                    </w:rPr>
                  </w:pPr>
                </w:p>
              </w:tc>
            </w:tr>
            <w:tr w14:paraId="51EA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4643064B">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12</w:t>
                  </w:r>
                </w:p>
              </w:tc>
              <w:tc>
                <w:tcPr>
                  <w:tcW w:w="1020" w:type="dxa"/>
                  <w:vMerge w:val="continue"/>
                  <w:tcBorders>
                    <w:tl2br w:val="nil"/>
                    <w:tr2bl w:val="nil"/>
                  </w:tcBorders>
                  <w:noWrap w:val="0"/>
                  <w:vAlign w:val="center"/>
                </w:tcPr>
                <w:p w14:paraId="6AE57B0F">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6936208E">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bidi="ar"/>
                    </w:rPr>
                    <w:t>料仓</w:t>
                  </w:r>
                </w:p>
              </w:tc>
              <w:tc>
                <w:tcPr>
                  <w:tcW w:w="1633" w:type="dxa"/>
                  <w:tcBorders>
                    <w:tl2br w:val="nil"/>
                    <w:tr2bl w:val="nil"/>
                  </w:tcBorders>
                  <w:noWrap w:val="0"/>
                  <w:vAlign w:val="center"/>
                </w:tcPr>
                <w:p w14:paraId="3C6843F3">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bidi="ar"/>
                    </w:rPr>
                    <w:t>2t</w:t>
                  </w:r>
                </w:p>
              </w:tc>
              <w:tc>
                <w:tcPr>
                  <w:tcW w:w="1322" w:type="dxa"/>
                  <w:tcBorders>
                    <w:tl2br w:val="nil"/>
                    <w:tr2bl w:val="nil"/>
                  </w:tcBorders>
                  <w:noWrap w:val="0"/>
                  <w:vAlign w:val="center"/>
                </w:tcPr>
                <w:p w14:paraId="4BF5BC7A">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p>
              </w:tc>
              <w:tc>
                <w:tcPr>
                  <w:tcW w:w="898" w:type="dxa"/>
                  <w:tcBorders>
                    <w:tl2br w:val="nil"/>
                    <w:tr2bl w:val="nil"/>
                  </w:tcBorders>
                  <w:noWrap w:val="0"/>
                  <w:vAlign w:val="center"/>
                </w:tcPr>
                <w:p w14:paraId="0589827B">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p>
              </w:tc>
              <w:tc>
                <w:tcPr>
                  <w:tcW w:w="1049" w:type="dxa"/>
                  <w:tcBorders>
                    <w:tl2br w:val="nil"/>
                    <w:tr2bl w:val="nil"/>
                  </w:tcBorders>
                  <w:noWrap w:val="0"/>
                  <w:vAlign w:val="center"/>
                </w:tcPr>
                <w:p w14:paraId="265574E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
                    </w:rPr>
                  </w:pPr>
                </w:p>
              </w:tc>
            </w:tr>
            <w:tr w14:paraId="1705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971" w:type="dxa"/>
                  <w:tcBorders>
                    <w:tl2br w:val="nil"/>
                    <w:tr2bl w:val="nil"/>
                  </w:tcBorders>
                  <w:noWrap w:val="0"/>
                  <w:vAlign w:val="center"/>
                </w:tcPr>
                <w:p w14:paraId="1A14AB99">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sz w:val="21"/>
                      <w:szCs w:val="21"/>
                      <w:lang w:val="en-US" w:eastAsia="zh-CN"/>
                    </w:rPr>
                  </w:pPr>
                  <w:r>
                    <w:rPr>
                      <w:rFonts w:hint="eastAsia"/>
                      <w:sz w:val="21"/>
                      <w:szCs w:val="21"/>
                      <w:lang w:val="en-US" w:eastAsia="zh-CN"/>
                    </w:rPr>
                    <w:t>13</w:t>
                  </w:r>
                </w:p>
              </w:tc>
              <w:tc>
                <w:tcPr>
                  <w:tcW w:w="1020" w:type="dxa"/>
                  <w:vMerge w:val="restart"/>
                  <w:tcBorders>
                    <w:tl2br w:val="nil"/>
                    <w:tr2bl w:val="nil"/>
                  </w:tcBorders>
                  <w:noWrap w:val="0"/>
                  <w:vAlign w:val="center"/>
                </w:tcPr>
                <w:p w14:paraId="6FCD7BA2">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kern w:val="0"/>
                      <w:sz w:val="21"/>
                      <w:szCs w:val="21"/>
                      <w:lang w:val="en-US" w:eastAsia="zh-CN"/>
                    </w:rPr>
                  </w:pPr>
                  <w:r>
                    <w:rPr>
                      <w:rFonts w:hint="eastAsia"/>
                      <w:kern w:val="0"/>
                      <w:sz w:val="21"/>
                      <w:szCs w:val="21"/>
                      <w:lang w:val="en-US" w:eastAsia="zh-CN"/>
                    </w:rPr>
                    <w:t>预碳化化生产线</w:t>
                  </w:r>
                </w:p>
              </w:tc>
              <w:tc>
                <w:tcPr>
                  <w:tcW w:w="1416" w:type="dxa"/>
                  <w:tcBorders>
                    <w:tl2br w:val="nil"/>
                    <w:tr2bl w:val="nil"/>
                  </w:tcBorders>
                  <w:noWrap w:val="0"/>
                  <w:vAlign w:val="center"/>
                </w:tcPr>
                <w:p w14:paraId="6C65AAE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color w:val="000000"/>
                      <w:kern w:val="2"/>
                      <w:sz w:val="21"/>
                      <w:szCs w:val="21"/>
                      <w:lang w:val="en-US" w:eastAsia="zh-CN" w:bidi="ar-SA"/>
                    </w:rPr>
                  </w:pPr>
                  <w:r>
                    <w:rPr>
                      <w:rFonts w:hint="eastAsia"/>
                      <w:color w:val="000000"/>
                      <w:sz w:val="21"/>
                      <w:szCs w:val="21"/>
                      <w:lang w:val="en-US" w:eastAsia="zh-CN"/>
                    </w:rPr>
                    <w:t>隧道窑</w:t>
                  </w:r>
                </w:p>
              </w:tc>
              <w:tc>
                <w:tcPr>
                  <w:tcW w:w="1633" w:type="dxa"/>
                  <w:tcBorders>
                    <w:tl2br w:val="nil"/>
                    <w:tr2bl w:val="nil"/>
                  </w:tcBorders>
                  <w:noWrap w:val="0"/>
                  <w:vAlign w:val="center"/>
                </w:tcPr>
                <w:p w14:paraId="6E02F28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color w:val="000000"/>
                      <w:kern w:val="0"/>
                      <w:sz w:val="21"/>
                      <w:szCs w:val="21"/>
                      <w:lang w:val="en-US" w:eastAsia="zh-CN" w:bidi="ar"/>
                    </w:rPr>
                  </w:pPr>
                  <w:r>
                    <w:rPr>
                      <w:rFonts w:hint="eastAsia"/>
                      <w:color w:val="000000"/>
                      <w:kern w:val="0"/>
                      <w:sz w:val="21"/>
                      <w:szCs w:val="21"/>
                      <w:lang w:val="en-US" w:eastAsia="zh-CN" w:bidi="ar"/>
                    </w:rPr>
                    <w:t>168m</w:t>
                  </w:r>
                </w:p>
              </w:tc>
              <w:tc>
                <w:tcPr>
                  <w:tcW w:w="1322" w:type="dxa"/>
                  <w:tcBorders>
                    <w:tl2br w:val="nil"/>
                    <w:tr2bl w:val="nil"/>
                  </w:tcBorders>
                  <w:noWrap w:val="0"/>
                  <w:vAlign w:val="center"/>
                </w:tcPr>
                <w:p w14:paraId="03276C8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color w:val="000000"/>
                      <w:kern w:val="0"/>
                      <w:sz w:val="21"/>
                      <w:szCs w:val="21"/>
                      <w:lang w:val="en-US" w:eastAsia="zh-CN" w:bidi="ar"/>
                    </w:rPr>
                  </w:pPr>
                </w:p>
              </w:tc>
              <w:tc>
                <w:tcPr>
                  <w:tcW w:w="898" w:type="dxa"/>
                  <w:tcBorders>
                    <w:tl2br w:val="nil"/>
                    <w:tr2bl w:val="nil"/>
                  </w:tcBorders>
                  <w:noWrap w:val="0"/>
                  <w:vAlign w:val="center"/>
                </w:tcPr>
                <w:p w14:paraId="13360E6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p>
              </w:tc>
              <w:tc>
                <w:tcPr>
                  <w:tcW w:w="1049" w:type="dxa"/>
                  <w:tcBorders>
                    <w:tl2br w:val="nil"/>
                    <w:tr2bl w:val="nil"/>
                  </w:tcBorders>
                  <w:noWrap w:val="0"/>
                  <w:vAlign w:val="center"/>
                </w:tcPr>
                <w:p w14:paraId="225B8DB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kern w:val="0"/>
                      <w:sz w:val="21"/>
                      <w:szCs w:val="21"/>
                      <w:lang w:val="en-US" w:eastAsia="zh-CN" w:bidi="ar"/>
                    </w:rPr>
                  </w:pPr>
                </w:p>
              </w:tc>
            </w:tr>
            <w:tr w14:paraId="7C95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971" w:type="dxa"/>
                  <w:tcBorders>
                    <w:tl2br w:val="nil"/>
                    <w:tr2bl w:val="nil"/>
                  </w:tcBorders>
                  <w:noWrap w:val="0"/>
                  <w:vAlign w:val="center"/>
                </w:tcPr>
                <w:p w14:paraId="4D08EFD9">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sz w:val="21"/>
                      <w:szCs w:val="21"/>
                      <w:lang w:val="en-US" w:eastAsia="zh-CN"/>
                    </w:rPr>
                  </w:pPr>
                  <w:r>
                    <w:rPr>
                      <w:rFonts w:hint="eastAsia"/>
                      <w:sz w:val="21"/>
                      <w:szCs w:val="21"/>
                      <w:lang w:val="en-US" w:eastAsia="zh-CN"/>
                    </w:rPr>
                    <w:t>14</w:t>
                  </w:r>
                </w:p>
              </w:tc>
              <w:tc>
                <w:tcPr>
                  <w:tcW w:w="1020" w:type="dxa"/>
                  <w:vMerge w:val="continue"/>
                  <w:tcBorders>
                    <w:tl2br w:val="nil"/>
                    <w:tr2bl w:val="nil"/>
                  </w:tcBorders>
                  <w:noWrap w:val="0"/>
                  <w:vAlign w:val="center"/>
                </w:tcPr>
                <w:p w14:paraId="25B77A04">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lang w:val="en-US" w:eastAsia="zh-CN"/>
                    </w:rPr>
                  </w:pPr>
                </w:p>
              </w:tc>
              <w:tc>
                <w:tcPr>
                  <w:tcW w:w="1416" w:type="dxa"/>
                  <w:tcBorders>
                    <w:tl2br w:val="nil"/>
                    <w:tr2bl w:val="nil"/>
                  </w:tcBorders>
                  <w:noWrap w:val="0"/>
                  <w:vAlign w:val="center"/>
                </w:tcPr>
                <w:p w14:paraId="5ADE1F3B">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r>
                    <w:rPr>
                      <w:rFonts w:hint="eastAsia"/>
                      <w:color w:val="000000"/>
                      <w:kern w:val="0"/>
                      <w:sz w:val="21"/>
                      <w:szCs w:val="21"/>
                      <w:lang w:bidi="ar"/>
                    </w:rPr>
                    <w:t>自动输送机</w:t>
                  </w:r>
                </w:p>
              </w:tc>
              <w:tc>
                <w:tcPr>
                  <w:tcW w:w="1633" w:type="dxa"/>
                  <w:tcBorders>
                    <w:tl2br w:val="nil"/>
                    <w:tr2bl w:val="nil"/>
                  </w:tcBorders>
                  <w:noWrap w:val="0"/>
                  <w:vAlign w:val="center"/>
                </w:tcPr>
                <w:p w14:paraId="75D21663">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color w:val="000000"/>
                      <w:kern w:val="0"/>
                      <w:sz w:val="21"/>
                      <w:szCs w:val="21"/>
                      <w:lang w:val="en-US" w:eastAsia="zh-CN" w:bidi="ar"/>
                    </w:rPr>
                  </w:pPr>
                  <w:r>
                    <w:rPr>
                      <w:rFonts w:hint="eastAsia"/>
                      <w:color w:val="000000"/>
                      <w:kern w:val="0"/>
                      <w:sz w:val="21"/>
                      <w:szCs w:val="21"/>
                      <w:lang w:bidi="ar"/>
                    </w:rPr>
                    <w:t>/</w:t>
                  </w:r>
                </w:p>
              </w:tc>
              <w:tc>
                <w:tcPr>
                  <w:tcW w:w="1322" w:type="dxa"/>
                  <w:tcBorders>
                    <w:tl2br w:val="nil"/>
                    <w:tr2bl w:val="nil"/>
                  </w:tcBorders>
                  <w:noWrap w:val="0"/>
                  <w:vAlign w:val="center"/>
                </w:tcPr>
                <w:p w14:paraId="2DFC8156">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p>
              </w:tc>
              <w:tc>
                <w:tcPr>
                  <w:tcW w:w="898" w:type="dxa"/>
                  <w:tcBorders>
                    <w:tl2br w:val="nil"/>
                    <w:tr2bl w:val="nil"/>
                  </w:tcBorders>
                  <w:noWrap w:val="0"/>
                  <w:vAlign w:val="center"/>
                </w:tcPr>
                <w:p w14:paraId="5E9AA47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color w:val="000000"/>
                      <w:kern w:val="0"/>
                      <w:sz w:val="21"/>
                      <w:szCs w:val="21"/>
                      <w:lang w:val="en-US" w:eastAsia="zh-CN" w:bidi="ar"/>
                    </w:rPr>
                  </w:pPr>
                </w:p>
              </w:tc>
              <w:tc>
                <w:tcPr>
                  <w:tcW w:w="1049" w:type="dxa"/>
                  <w:tcBorders>
                    <w:tl2br w:val="nil"/>
                    <w:tr2bl w:val="nil"/>
                  </w:tcBorders>
                  <w:noWrap w:val="0"/>
                  <w:vAlign w:val="center"/>
                </w:tcPr>
                <w:p w14:paraId="221FB1C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eastAsia="宋体"/>
                      <w:kern w:val="0"/>
                      <w:sz w:val="21"/>
                      <w:szCs w:val="21"/>
                      <w:lang w:val="en-US" w:eastAsia="zh-CN" w:bidi="ar"/>
                    </w:rPr>
                  </w:pPr>
                </w:p>
              </w:tc>
            </w:tr>
            <w:tr w14:paraId="572E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744073BA">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sz w:val="21"/>
                      <w:szCs w:val="21"/>
                      <w:lang w:val="en-US" w:eastAsia="zh-CN"/>
                    </w:rPr>
                  </w:pPr>
                  <w:r>
                    <w:rPr>
                      <w:rFonts w:hint="eastAsia"/>
                      <w:sz w:val="21"/>
                      <w:szCs w:val="21"/>
                      <w:lang w:val="en-US" w:eastAsia="zh-CN"/>
                    </w:rPr>
                    <w:t>15</w:t>
                  </w:r>
                </w:p>
              </w:tc>
              <w:tc>
                <w:tcPr>
                  <w:tcW w:w="1020" w:type="dxa"/>
                  <w:vMerge w:val="continue"/>
                  <w:tcBorders>
                    <w:tl2br w:val="nil"/>
                    <w:tr2bl w:val="nil"/>
                  </w:tcBorders>
                  <w:noWrap w:val="0"/>
                  <w:vAlign w:val="center"/>
                </w:tcPr>
                <w:p w14:paraId="3646AB9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2FCF82FA">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智能化管理系统</w:t>
                  </w:r>
                </w:p>
              </w:tc>
              <w:tc>
                <w:tcPr>
                  <w:tcW w:w="1633" w:type="dxa"/>
                  <w:tcBorders>
                    <w:tl2br w:val="nil"/>
                    <w:tr2bl w:val="nil"/>
                  </w:tcBorders>
                  <w:noWrap w:val="0"/>
                  <w:vAlign w:val="center"/>
                </w:tcPr>
                <w:p w14:paraId="033FD28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p>
              </w:tc>
              <w:tc>
                <w:tcPr>
                  <w:tcW w:w="1322" w:type="dxa"/>
                  <w:tcBorders>
                    <w:tl2br w:val="nil"/>
                    <w:tr2bl w:val="nil"/>
                  </w:tcBorders>
                  <w:noWrap w:val="0"/>
                  <w:vAlign w:val="center"/>
                </w:tcPr>
                <w:p w14:paraId="6E8C4E3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p>
              </w:tc>
              <w:tc>
                <w:tcPr>
                  <w:tcW w:w="898" w:type="dxa"/>
                  <w:tcBorders>
                    <w:tl2br w:val="nil"/>
                    <w:tr2bl w:val="nil"/>
                  </w:tcBorders>
                  <w:noWrap w:val="0"/>
                  <w:vAlign w:val="center"/>
                </w:tcPr>
                <w:p w14:paraId="3C4CC60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kern w:val="0"/>
                      <w:sz w:val="21"/>
                      <w:szCs w:val="21"/>
                      <w:lang w:val="en-US" w:eastAsia="zh-CN" w:bidi="ar"/>
                    </w:rPr>
                  </w:pPr>
                </w:p>
              </w:tc>
              <w:tc>
                <w:tcPr>
                  <w:tcW w:w="1049" w:type="dxa"/>
                  <w:tcBorders>
                    <w:tl2br w:val="nil"/>
                    <w:tr2bl w:val="nil"/>
                  </w:tcBorders>
                  <w:noWrap w:val="0"/>
                  <w:vAlign w:val="center"/>
                </w:tcPr>
                <w:p w14:paraId="5626EAE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p>
              </w:tc>
            </w:tr>
            <w:tr w14:paraId="79F0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55D16D73">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color w:val="000000"/>
                      <w:sz w:val="21"/>
                      <w:szCs w:val="21"/>
                      <w:lang w:val="en-US" w:eastAsia="zh-CN"/>
                    </w:rPr>
                  </w:pPr>
                  <w:r>
                    <w:rPr>
                      <w:rFonts w:hint="eastAsia"/>
                      <w:color w:val="000000"/>
                      <w:sz w:val="21"/>
                      <w:szCs w:val="21"/>
                      <w:lang w:val="en-US" w:eastAsia="zh-CN"/>
                    </w:rPr>
                    <w:t>18</w:t>
                  </w:r>
                </w:p>
              </w:tc>
              <w:tc>
                <w:tcPr>
                  <w:tcW w:w="1020" w:type="dxa"/>
                  <w:vMerge w:val="continue"/>
                  <w:tcBorders>
                    <w:tl2br w:val="nil"/>
                    <w:tr2bl w:val="nil"/>
                  </w:tcBorders>
                  <w:noWrap w:val="0"/>
                  <w:vAlign w:val="center"/>
                </w:tcPr>
                <w:p w14:paraId="5838D144">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1416" w:type="dxa"/>
                  <w:tcBorders>
                    <w:tl2br w:val="nil"/>
                    <w:tr2bl w:val="nil"/>
                  </w:tcBorders>
                  <w:noWrap w:val="0"/>
                  <w:vAlign w:val="center"/>
                </w:tcPr>
                <w:p w14:paraId="02987AD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简易打包机</w:t>
                  </w:r>
                </w:p>
              </w:tc>
              <w:tc>
                <w:tcPr>
                  <w:tcW w:w="1633" w:type="dxa"/>
                  <w:tcBorders>
                    <w:tl2br w:val="nil"/>
                    <w:tr2bl w:val="nil"/>
                  </w:tcBorders>
                  <w:noWrap w:val="0"/>
                  <w:vAlign w:val="center"/>
                </w:tcPr>
                <w:p w14:paraId="308DAD0B">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p>
              </w:tc>
              <w:tc>
                <w:tcPr>
                  <w:tcW w:w="1322" w:type="dxa"/>
                  <w:tcBorders>
                    <w:tl2br w:val="nil"/>
                    <w:tr2bl w:val="nil"/>
                  </w:tcBorders>
                  <w:noWrap w:val="0"/>
                  <w:vAlign w:val="center"/>
                </w:tcPr>
                <w:p w14:paraId="7B9869D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p>
              </w:tc>
              <w:tc>
                <w:tcPr>
                  <w:tcW w:w="898" w:type="dxa"/>
                  <w:tcBorders>
                    <w:tl2br w:val="nil"/>
                    <w:tr2bl w:val="nil"/>
                  </w:tcBorders>
                  <w:noWrap w:val="0"/>
                  <w:vAlign w:val="center"/>
                </w:tcPr>
                <w:p w14:paraId="09E204E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kern w:val="0"/>
                      <w:sz w:val="21"/>
                      <w:szCs w:val="21"/>
                      <w:lang w:val="en-US" w:eastAsia="zh-CN" w:bidi="ar"/>
                    </w:rPr>
                  </w:pPr>
                </w:p>
              </w:tc>
              <w:tc>
                <w:tcPr>
                  <w:tcW w:w="1049" w:type="dxa"/>
                  <w:tcBorders>
                    <w:tl2br w:val="nil"/>
                    <w:tr2bl w:val="nil"/>
                  </w:tcBorders>
                  <w:noWrap w:val="0"/>
                  <w:vAlign w:val="center"/>
                </w:tcPr>
                <w:p w14:paraId="2DD75E0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color w:val="000000"/>
                      <w:kern w:val="0"/>
                      <w:sz w:val="21"/>
                      <w:szCs w:val="21"/>
                      <w:lang w:val="en-US" w:eastAsia="zh-CN" w:bidi="ar"/>
                    </w:rPr>
                  </w:pPr>
                </w:p>
              </w:tc>
            </w:tr>
            <w:tr w14:paraId="3E3E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37EA6012">
                  <w:pPr>
                    <w:keepNext w:val="0"/>
                    <w:keepLines w:val="0"/>
                    <w:pageBreakBefore w:val="0"/>
                    <w:widowControl/>
                    <w:kinsoku/>
                    <w:wordWrap/>
                    <w:overflowPunct/>
                    <w:topLinePunct w:val="0"/>
                    <w:autoSpaceDE/>
                    <w:autoSpaceDN/>
                    <w:bidi w:val="0"/>
                    <w:adjustRightInd w:val="0"/>
                    <w:snapToGrid w:val="0"/>
                    <w:spacing w:after="0"/>
                    <w:jc w:val="center"/>
                    <w:rPr>
                      <w:rFonts w:hint="default"/>
                      <w:color w:val="000000"/>
                      <w:sz w:val="21"/>
                      <w:szCs w:val="21"/>
                      <w:lang w:val="en-US" w:eastAsia="zh-CN"/>
                    </w:rPr>
                  </w:pPr>
                  <w:r>
                    <w:rPr>
                      <w:rFonts w:hint="eastAsia"/>
                      <w:color w:val="000000"/>
                      <w:sz w:val="21"/>
                      <w:szCs w:val="21"/>
                      <w:lang w:val="en-US" w:eastAsia="zh-CN"/>
                    </w:rPr>
                    <w:t>19</w:t>
                  </w:r>
                </w:p>
              </w:tc>
              <w:tc>
                <w:tcPr>
                  <w:tcW w:w="1020" w:type="dxa"/>
                  <w:vMerge w:val="restart"/>
                  <w:tcBorders>
                    <w:tl2br w:val="nil"/>
                    <w:tr2bl w:val="nil"/>
                  </w:tcBorders>
                  <w:noWrap w:val="0"/>
                  <w:vAlign w:val="center"/>
                </w:tcPr>
                <w:p w14:paraId="1ECA3DB6">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color w:val="000000"/>
                      <w:kern w:val="0"/>
                      <w:sz w:val="21"/>
                      <w:szCs w:val="21"/>
                      <w:lang w:val="en-US" w:eastAsia="zh-CN"/>
                    </w:rPr>
                  </w:pPr>
                  <w:r>
                    <w:rPr>
                      <w:rFonts w:hint="eastAsia"/>
                      <w:color w:val="000000"/>
                      <w:kern w:val="0"/>
                      <w:sz w:val="21"/>
                      <w:szCs w:val="21"/>
                      <w:lang w:val="en-US" w:eastAsia="zh-CN"/>
                    </w:rPr>
                    <w:t>碳化生产线</w:t>
                  </w:r>
                </w:p>
              </w:tc>
              <w:tc>
                <w:tcPr>
                  <w:tcW w:w="1416" w:type="dxa"/>
                  <w:tcBorders>
                    <w:tl2br w:val="nil"/>
                    <w:tr2bl w:val="nil"/>
                  </w:tcBorders>
                  <w:noWrap w:val="0"/>
                  <w:vAlign w:val="center"/>
                </w:tcPr>
                <w:p w14:paraId="6BC81157">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r>
                    <w:rPr>
                      <w:rFonts w:hint="eastAsia"/>
                      <w:color w:val="000000"/>
                      <w:sz w:val="21"/>
                      <w:szCs w:val="21"/>
                    </w:rPr>
                    <w:t>辊道炉</w:t>
                  </w:r>
                </w:p>
              </w:tc>
              <w:tc>
                <w:tcPr>
                  <w:tcW w:w="1633" w:type="dxa"/>
                  <w:tcBorders>
                    <w:tl2br w:val="nil"/>
                    <w:tr2bl w:val="nil"/>
                  </w:tcBorders>
                  <w:noWrap w:val="0"/>
                  <w:vAlign w:val="center"/>
                </w:tcPr>
                <w:p w14:paraId="2B237EEC">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r>
                    <w:rPr>
                      <w:rFonts w:hint="eastAsia"/>
                      <w:color w:val="000000"/>
                      <w:kern w:val="0"/>
                      <w:sz w:val="21"/>
                      <w:szCs w:val="21"/>
                      <w:lang w:bidi="ar"/>
                    </w:rPr>
                    <w:t>60m</w:t>
                  </w:r>
                </w:p>
              </w:tc>
              <w:tc>
                <w:tcPr>
                  <w:tcW w:w="1322" w:type="dxa"/>
                  <w:tcBorders>
                    <w:tl2br w:val="nil"/>
                    <w:tr2bl w:val="nil"/>
                  </w:tcBorders>
                  <w:noWrap w:val="0"/>
                  <w:vAlign w:val="center"/>
                </w:tcPr>
                <w:p w14:paraId="38B9D71C">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p>
              </w:tc>
              <w:tc>
                <w:tcPr>
                  <w:tcW w:w="898" w:type="dxa"/>
                  <w:tcBorders>
                    <w:tl2br w:val="nil"/>
                    <w:tr2bl w:val="nil"/>
                  </w:tcBorders>
                  <w:noWrap w:val="0"/>
                  <w:vAlign w:val="center"/>
                </w:tcPr>
                <w:p w14:paraId="0DE1BAD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color w:val="000000"/>
                      <w:kern w:val="0"/>
                      <w:sz w:val="21"/>
                      <w:szCs w:val="21"/>
                      <w:lang w:val="en-US" w:eastAsia="zh-CN" w:bidi="ar"/>
                    </w:rPr>
                  </w:pPr>
                </w:p>
              </w:tc>
              <w:tc>
                <w:tcPr>
                  <w:tcW w:w="1049" w:type="dxa"/>
                  <w:tcBorders>
                    <w:tl2br w:val="nil"/>
                    <w:tr2bl w:val="nil"/>
                  </w:tcBorders>
                  <w:noWrap w:val="0"/>
                  <w:vAlign w:val="center"/>
                </w:tcPr>
                <w:p w14:paraId="47183AD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r>
            <w:tr w14:paraId="129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77960660">
                  <w:pPr>
                    <w:keepNext w:val="0"/>
                    <w:keepLines w:val="0"/>
                    <w:pageBreakBefore w:val="0"/>
                    <w:widowControl/>
                    <w:kinsoku/>
                    <w:wordWrap/>
                    <w:overflowPunct/>
                    <w:topLinePunct w:val="0"/>
                    <w:autoSpaceDE/>
                    <w:autoSpaceDN/>
                    <w:bidi w:val="0"/>
                    <w:adjustRightInd w:val="0"/>
                    <w:snapToGrid w:val="0"/>
                    <w:spacing w:after="0"/>
                    <w:jc w:val="center"/>
                    <w:rPr>
                      <w:rFonts w:hint="eastAsia" w:eastAsia="宋体"/>
                      <w:color w:val="000000"/>
                      <w:kern w:val="2"/>
                      <w:sz w:val="21"/>
                      <w:szCs w:val="21"/>
                      <w:lang w:val="en-US" w:eastAsia="zh-CN" w:bidi="ar-SA"/>
                    </w:rPr>
                  </w:pPr>
                  <w:r>
                    <w:rPr>
                      <w:rFonts w:hint="eastAsia"/>
                      <w:color w:val="000000"/>
                      <w:sz w:val="21"/>
                      <w:szCs w:val="21"/>
                      <w:lang w:val="en-US" w:eastAsia="zh-CN"/>
                    </w:rPr>
                    <w:t>20</w:t>
                  </w:r>
                </w:p>
              </w:tc>
              <w:tc>
                <w:tcPr>
                  <w:tcW w:w="1020" w:type="dxa"/>
                  <w:vMerge w:val="continue"/>
                  <w:tcBorders>
                    <w:tl2br w:val="nil"/>
                    <w:tr2bl w:val="nil"/>
                  </w:tcBorders>
                  <w:noWrap w:val="0"/>
                  <w:vAlign w:val="center"/>
                </w:tcPr>
                <w:p w14:paraId="5CAFF25D">
                  <w:pPr>
                    <w:keepNext w:val="0"/>
                    <w:keepLines w:val="0"/>
                    <w:pageBreakBefore w:val="0"/>
                    <w:widowControl/>
                    <w:kinsoku/>
                    <w:wordWrap/>
                    <w:overflowPunct/>
                    <w:topLinePunct w:val="0"/>
                    <w:autoSpaceDE/>
                    <w:autoSpaceDN/>
                    <w:bidi w:val="0"/>
                    <w:adjustRightInd w:val="0"/>
                    <w:snapToGrid w:val="0"/>
                    <w:spacing w:after="0"/>
                    <w:jc w:val="center"/>
                    <w:rPr>
                      <w:rFonts w:hint="eastAsia"/>
                      <w:color w:val="000000"/>
                      <w:kern w:val="0"/>
                      <w:sz w:val="21"/>
                      <w:szCs w:val="21"/>
                      <w:lang w:val="en-US" w:eastAsia="zh-CN"/>
                    </w:rPr>
                  </w:pPr>
                </w:p>
              </w:tc>
              <w:tc>
                <w:tcPr>
                  <w:tcW w:w="1416" w:type="dxa"/>
                  <w:tcBorders>
                    <w:tl2br w:val="nil"/>
                    <w:tr2bl w:val="nil"/>
                  </w:tcBorders>
                  <w:noWrap w:val="0"/>
                  <w:vAlign w:val="center"/>
                </w:tcPr>
                <w:p w14:paraId="507CE613">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r>
                    <w:rPr>
                      <w:rFonts w:hint="eastAsia"/>
                      <w:color w:val="000000"/>
                      <w:kern w:val="0"/>
                      <w:sz w:val="21"/>
                      <w:szCs w:val="21"/>
                      <w:lang w:bidi="ar"/>
                    </w:rPr>
                    <w:t>自动输送机</w:t>
                  </w:r>
                </w:p>
              </w:tc>
              <w:tc>
                <w:tcPr>
                  <w:tcW w:w="1633" w:type="dxa"/>
                  <w:tcBorders>
                    <w:tl2br w:val="nil"/>
                    <w:tr2bl w:val="nil"/>
                  </w:tcBorders>
                  <w:noWrap w:val="0"/>
                  <w:vAlign w:val="center"/>
                </w:tcPr>
                <w:p w14:paraId="1F8A432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r>
                    <w:rPr>
                      <w:rFonts w:hint="eastAsia"/>
                      <w:color w:val="000000"/>
                      <w:kern w:val="0"/>
                      <w:sz w:val="21"/>
                      <w:szCs w:val="21"/>
                      <w:lang w:bidi="ar"/>
                    </w:rPr>
                    <w:t>/</w:t>
                  </w:r>
                </w:p>
              </w:tc>
              <w:tc>
                <w:tcPr>
                  <w:tcW w:w="1322" w:type="dxa"/>
                  <w:tcBorders>
                    <w:tl2br w:val="nil"/>
                    <w:tr2bl w:val="nil"/>
                  </w:tcBorders>
                  <w:noWrap w:val="0"/>
                  <w:vAlign w:val="center"/>
                </w:tcPr>
                <w:p w14:paraId="69F62A6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bidi="ar"/>
                    </w:rPr>
                  </w:pPr>
                </w:p>
              </w:tc>
              <w:tc>
                <w:tcPr>
                  <w:tcW w:w="898" w:type="dxa"/>
                  <w:tcBorders>
                    <w:tl2br w:val="nil"/>
                    <w:tr2bl w:val="nil"/>
                  </w:tcBorders>
                  <w:noWrap w:val="0"/>
                  <w:vAlign w:val="center"/>
                </w:tcPr>
                <w:p w14:paraId="76A7BFE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color w:val="000000"/>
                      <w:kern w:val="0"/>
                      <w:sz w:val="21"/>
                      <w:szCs w:val="21"/>
                      <w:lang w:val="en-US" w:eastAsia="zh-CN" w:bidi="ar"/>
                    </w:rPr>
                  </w:pPr>
                </w:p>
              </w:tc>
              <w:tc>
                <w:tcPr>
                  <w:tcW w:w="1049" w:type="dxa"/>
                  <w:tcBorders>
                    <w:tl2br w:val="nil"/>
                    <w:tr2bl w:val="nil"/>
                  </w:tcBorders>
                  <w:noWrap w:val="0"/>
                  <w:vAlign w:val="center"/>
                </w:tcPr>
                <w:p w14:paraId="133437AB">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val="en-US" w:eastAsia="zh-CN" w:bidi="ar"/>
                    </w:rPr>
                  </w:pPr>
                </w:p>
              </w:tc>
            </w:tr>
            <w:tr w14:paraId="1C53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0C670D61">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color w:val="000000"/>
                      <w:kern w:val="0"/>
                      <w:sz w:val="21"/>
                      <w:szCs w:val="21"/>
                      <w:lang w:val="en-US" w:eastAsia="zh-CN" w:bidi="ar-SA"/>
                    </w:rPr>
                  </w:pPr>
                  <w:r>
                    <w:rPr>
                      <w:rFonts w:hint="eastAsia"/>
                      <w:color w:val="000000"/>
                      <w:kern w:val="0"/>
                      <w:sz w:val="21"/>
                      <w:szCs w:val="21"/>
                      <w:lang w:val="en-US" w:eastAsia="zh-CN"/>
                    </w:rPr>
                    <w:t>21</w:t>
                  </w:r>
                </w:p>
              </w:tc>
              <w:tc>
                <w:tcPr>
                  <w:tcW w:w="1020" w:type="dxa"/>
                  <w:vMerge w:val="restart"/>
                  <w:tcBorders>
                    <w:tl2br w:val="nil"/>
                    <w:tr2bl w:val="nil"/>
                  </w:tcBorders>
                  <w:noWrap w:val="0"/>
                  <w:vAlign w:val="center"/>
                </w:tcPr>
                <w:p w14:paraId="64D9E6B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全厂</w:t>
                  </w:r>
                </w:p>
              </w:tc>
              <w:tc>
                <w:tcPr>
                  <w:tcW w:w="1416" w:type="dxa"/>
                  <w:tcBorders>
                    <w:tl2br w:val="nil"/>
                    <w:tr2bl w:val="nil"/>
                  </w:tcBorders>
                  <w:noWrap w:val="0"/>
                  <w:vAlign w:val="center"/>
                </w:tcPr>
                <w:p w14:paraId="23CF9B3C">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SA"/>
                    </w:rPr>
                  </w:pPr>
                  <w:r>
                    <w:rPr>
                      <w:kern w:val="0"/>
                      <w:sz w:val="21"/>
                      <w:szCs w:val="21"/>
                      <w:lang w:bidi="ar"/>
                    </w:rPr>
                    <w:t>叉车</w:t>
                  </w:r>
                </w:p>
              </w:tc>
              <w:tc>
                <w:tcPr>
                  <w:tcW w:w="1633" w:type="dxa"/>
                  <w:tcBorders>
                    <w:tl2br w:val="nil"/>
                    <w:tr2bl w:val="nil"/>
                  </w:tcBorders>
                  <w:noWrap w:val="0"/>
                  <w:vAlign w:val="center"/>
                </w:tcPr>
                <w:p w14:paraId="6BF9158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kern w:val="0"/>
                      <w:sz w:val="21"/>
                      <w:szCs w:val="21"/>
                      <w:lang w:val="en-US" w:eastAsia="zh-CN" w:bidi="ar-SA"/>
                    </w:rPr>
                  </w:pPr>
                  <w:r>
                    <w:rPr>
                      <w:kern w:val="0"/>
                      <w:sz w:val="21"/>
                      <w:szCs w:val="21"/>
                      <w:lang w:bidi="ar"/>
                    </w:rPr>
                    <w:t>3吨</w:t>
                  </w:r>
                </w:p>
              </w:tc>
              <w:tc>
                <w:tcPr>
                  <w:tcW w:w="1322" w:type="dxa"/>
                  <w:tcBorders>
                    <w:tl2br w:val="nil"/>
                    <w:tr2bl w:val="nil"/>
                  </w:tcBorders>
                  <w:noWrap w:val="0"/>
                  <w:vAlign w:val="center"/>
                </w:tcPr>
                <w:p w14:paraId="68BED70F">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kern w:val="0"/>
                      <w:sz w:val="21"/>
                      <w:szCs w:val="21"/>
                      <w:lang w:val="en-US" w:eastAsia="zh-CN" w:bidi="ar"/>
                    </w:rPr>
                  </w:pPr>
                </w:p>
              </w:tc>
              <w:tc>
                <w:tcPr>
                  <w:tcW w:w="898" w:type="dxa"/>
                  <w:tcBorders>
                    <w:tl2br w:val="nil"/>
                    <w:tr2bl w:val="nil"/>
                  </w:tcBorders>
                  <w:noWrap w:val="0"/>
                  <w:vAlign w:val="center"/>
                </w:tcPr>
                <w:p w14:paraId="2B5DF19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eastAsia="宋体"/>
                      <w:kern w:val="0"/>
                      <w:sz w:val="21"/>
                      <w:szCs w:val="21"/>
                      <w:lang w:val="en-US" w:eastAsia="zh-CN" w:bidi="ar"/>
                    </w:rPr>
                  </w:pPr>
                </w:p>
              </w:tc>
              <w:tc>
                <w:tcPr>
                  <w:tcW w:w="1049" w:type="dxa"/>
                  <w:tcBorders>
                    <w:tl2br w:val="nil"/>
                    <w:tr2bl w:val="nil"/>
                  </w:tcBorders>
                  <w:noWrap w:val="0"/>
                  <w:vAlign w:val="center"/>
                </w:tcPr>
                <w:p w14:paraId="4BE72E6C">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r>
            <w:tr w14:paraId="336A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6182AF7">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color w:val="000000"/>
                      <w:kern w:val="0"/>
                      <w:sz w:val="21"/>
                      <w:szCs w:val="21"/>
                      <w:lang w:val="en-US" w:eastAsia="zh-CN" w:bidi="ar-SA"/>
                    </w:rPr>
                  </w:pPr>
                  <w:r>
                    <w:rPr>
                      <w:rFonts w:hint="eastAsia"/>
                      <w:color w:val="000000"/>
                      <w:kern w:val="0"/>
                      <w:sz w:val="21"/>
                      <w:szCs w:val="21"/>
                      <w:lang w:val="en-US" w:eastAsia="zh-CN"/>
                    </w:rPr>
                    <w:t>22</w:t>
                  </w:r>
                </w:p>
              </w:tc>
              <w:tc>
                <w:tcPr>
                  <w:tcW w:w="1020" w:type="dxa"/>
                  <w:vMerge w:val="continue"/>
                  <w:tcBorders>
                    <w:tl2br w:val="nil"/>
                    <w:tr2bl w:val="nil"/>
                  </w:tcBorders>
                  <w:noWrap w:val="0"/>
                  <w:vAlign w:val="center"/>
                </w:tcPr>
                <w:p w14:paraId="2B985CEB">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1416" w:type="dxa"/>
                  <w:tcBorders>
                    <w:tl2br w:val="nil"/>
                    <w:tr2bl w:val="nil"/>
                  </w:tcBorders>
                  <w:noWrap w:val="0"/>
                  <w:vAlign w:val="center"/>
                </w:tcPr>
                <w:p w14:paraId="6EF9758A">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SA"/>
                    </w:rPr>
                  </w:pPr>
                  <w:r>
                    <w:rPr>
                      <w:kern w:val="0"/>
                      <w:sz w:val="21"/>
                      <w:szCs w:val="21"/>
                      <w:lang w:bidi="ar"/>
                    </w:rPr>
                    <w:t>备用柴油发电机</w:t>
                  </w:r>
                </w:p>
              </w:tc>
              <w:tc>
                <w:tcPr>
                  <w:tcW w:w="1633" w:type="dxa"/>
                  <w:tcBorders>
                    <w:tl2br w:val="nil"/>
                    <w:tr2bl w:val="nil"/>
                  </w:tcBorders>
                  <w:noWrap w:val="0"/>
                  <w:vAlign w:val="center"/>
                </w:tcPr>
                <w:p w14:paraId="2D95886F">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kern w:val="0"/>
                      <w:sz w:val="21"/>
                      <w:szCs w:val="21"/>
                      <w:lang w:val="en-US" w:eastAsia="zh-CN" w:bidi="ar-SA"/>
                    </w:rPr>
                  </w:pPr>
                  <w:r>
                    <w:rPr>
                      <w:kern w:val="0"/>
                      <w:sz w:val="21"/>
                      <w:szCs w:val="21"/>
                      <w:lang w:bidi="ar"/>
                    </w:rPr>
                    <w:t>150KW</w:t>
                  </w:r>
                </w:p>
              </w:tc>
              <w:tc>
                <w:tcPr>
                  <w:tcW w:w="1322" w:type="dxa"/>
                  <w:tcBorders>
                    <w:tl2br w:val="nil"/>
                    <w:tr2bl w:val="nil"/>
                  </w:tcBorders>
                  <w:noWrap w:val="0"/>
                  <w:vAlign w:val="center"/>
                </w:tcPr>
                <w:p w14:paraId="47377AB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
                    </w:rPr>
                  </w:pPr>
                </w:p>
              </w:tc>
              <w:tc>
                <w:tcPr>
                  <w:tcW w:w="898" w:type="dxa"/>
                  <w:tcBorders>
                    <w:tl2br w:val="nil"/>
                    <w:tr2bl w:val="nil"/>
                  </w:tcBorders>
                  <w:noWrap w:val="0"/>
                  <w:vAlign w:val="center"/>
                </w:tcPr>
                <w:p w14:paraId="1870468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eastAsia="宋体"/>
                      <w:kern w:val="0"/>
                      <w:sz w:val="21"/>
                      <w:szCs w:val="21"/>
                      <w:lang w:val="en-US" w:eastAsia="zh-CN" w:bidi="ar"/>
                    </w:rPr>
                  </w:pPr>
                </w:p>
              </w:tc>
              <w:tc>
                <w:tcPr>
                  <w:tcW w:w="1049" w:type="dxa"/>
                  <w:tcBorders>
                    <w:tl2br w:val="nil"/>
                    <w:tr2bl w:val="nil"/>
                  </w:tcBorders>
                  <w:noWrap w:val="0"/>
                  <w:vAlign w:val="center"/>
                </w:tcPr>
                <w:p w14:paraId="66EAA503">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r>
            <w:tr w14:paraId="061B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4E1E4B38">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color w:val="000000"/>
                      <w:kern w:val="0"/>
                      <w:sz w:val="21"/>
                      <w:szCs w:val="21"/>
                      <w:lang w:val="en-US" w:eastAsia="zh-CN" w:bidi="ar-SA"/>
                    </w:rPr>
                  </w:pPr>
                  <w:r>
                    <w:rPr>
                      <w:rFonts w:hint="eastAsia"/>
                      <w:color w:val="000000"/>
                      <w:kern w:val="0"/>
                      <w:sz w:val="21"/>
                      <w:szCs w:val="21"/>
                      <w:lang w:val="en-US" w:eastAsia="zh-CN"/>
                    </w:rPr>
                    <w:t>23</w:t>
                  </w:r>
                </w:p>
              </w:tc>
              <w:tc>
                <w:tcPr>
                  <w:tcW w:w="1020" w:type="dxa"/>
                  <w:vMerge w:val="continue"/>
                  <w:tcBorders>
                    <w:tl2br w:val="nil"/>
                    <w:tr2bl w:val="nil"/>
                  </w:tcBorders>
                  <w:noWrap w:val="0"/>
                  <w:vAlign w:val="center"/>
                </w:tcPr>
                <w:p w14:paraId="4113C688">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1416" w:type="dxa"/>
                  <w:tcBorders>
                    <w:tl2br w:val="nil"/>
                    <w:tr2bl w:val="nil"/>
                  </w:tcBorders>
                  <w:noWrap w:val="0"/>
                  <w:vAlign w:val="center"/>
                </w:tcPr>
                <w:p w14:paraId="5CA4964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SA"/>
                    </w:rPr>
                  </w:pPr>
                  <w:r>
                    <w:rPr>
                      <w:kern w:val="0"/>
                      <w:sz w:val="21"/>
                      <w:szCs w:val="21"/>
                      <w:lang w:bidi="ar"/>
                    </w:rPr>
                    <w:t>高低压电力系统</w:t>
                  </w:r>
                </w:p>
              </w:tc>
              <w:tc>
                <w:tcPr>
                  <w:tcW w:w="1633" w:type="dxa"/>
                  <w:tcBorders>
                    <w:tl2br w:val="nil"/>
                    <w:tr2bl w:val="nil"/>
                  </w:tcBorders>
                  <w:noWrap w:val="0"/>
                  <w:vAlign w:val="center"/>
                </w:tcPr>
                <w:p w14:paraId="3BC78120">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SA"/>
                    </w:rPr>
                  </w:pPr>
                  <w:r>
                    <w:rPr>
                      <w:kern w:val="0"/>
                      <w:sz w:val="21"/>
                      <w:szCs w:val="21"/>
                      <w:lang w:bidi="ar"/>
                    </w:rPr>
                    <w:t>/</w:t>
                  </w:r>
                </w:p>
              </w:tc>
              <w:tc>
                <w:tcPr>
                  <w:tcW w:w="1322" w:type="dxa"/>
                  <w:tcBorders>
                    <w:tl2br w:val="nil"/>
                    <w:tr2bl w:val="nil"/>
                  </w:tcBorders>
                  <w:noWrap w:val="0"/>
                  <w:vAlign w:val="center"/>
                </w:tcPr>
                <w:p w14:paraId="21173CF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
                    </w:rPr>
                  </w:pPr>
                </w:p>
              </w:tc>
              <w:tc>
                <w:tcPr>
                  <w:tcW w:w="898" w:type="dxa"/>
                  <w:tcBorders>
                    <w:tl2br w:val="nil"/>
                    <w:tr2bl w:val="nil"/>
                  </w:tcBorders>
                  <w:noWrap w:val="0"/>
                  <w:vAlign w:val="center"/>
                </w:tcPr>
                <w:p w14:paraId="3A33362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c>
                <w:tcPr>
                  <w:tcW w:w="1049" w:type="dxa"/>
                  <w:tcBorders>
                    <w:tl2br w:val="nil"/>
                    <w:tr2bl w:val="nil"/>
                  </w:tcBorders>
                  <w:noWrap w:val="0"/>
                  <w:vAlign w:val="center"/>
                </w:tcPr>
                <w:p w14:paraId="535398AF">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r>
            <w:tr w14:paraId="0051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6F0D430E">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kern w:val="0"/>
                      <w:sz w:val="21"/>
                      <w:szCs w:val="21"/>
                      <w:lang w:val="en-US" w:eastAsia="zh-CN" w:bidi="ar-SA"/>
                    </w:rPr>
                  </w:pPr>
                  <w:r>
                    <w:rPr>
                      <w:rFonts w:hint="eastAsia"/>
                      <w:kern w:val="0"/>
                      <w:sz w:val="21"/>
                      <w:szCs w:val="21"/>
                      <w:lang w:val="en-US" w:eastAsia="zh-CN"/>
                    </w:rPr>
                    <w:t>24</w:t>
                  </w:r>
                </w:p>
              </w:tc>
              <w:tc>
                <w:tcPr>
                  <w:tcW w:w="1020" w:type="dxa"/>
                  <w:vMerge w:val="continue"/>
                  <w:tcBorders>
                    <w:tl2br w:val="nil"/>
                    <w:tr2bl w:val="nil"/>
                  </w:tcBorders>
                  <w:noWrap w:val="0"/>
                  <w:vAlign w:val="center"/>
                </w:tcPr>
                <w:p w14:paraId="315189B6">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1416" w:type="dxa"/>
                  <w:tcBorders>
                    <w:tl2br w:val="nil"/>
                    <w:tr2bl w:val="nil"/>
                  </w:tcBorders>
                  <w:noWrap w:val="0"/>
                  <w:vAlign w:val="center"/>
                </w:tcPr>
                <w:p w14:paraId="4AB5EBEC">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val="en-US" w:eastAsia="zh-CN" w:bidi="ar-SA"/>
                    </w:rPr>
                  </w:pPr>
                  <w:r>
                    <w:rPr>
                      <w:rFonts w:hint="eastAsia"/>
                      <w:kern w:val="0"/>
                      <w:sz w:val="21"/>
                      <w:szCs w:val="21"/>
                      <w:lang w:bidi="ar"/>
                    </w:rPr>
                    <w:t>检验</w:t>
                  </w:r>
                  <w:r>
                    <w:rPr>
                      <w:kern w:val="0"/>
                      <w:sz w:val="21"/>
                      <w:szCs w:val="21"/>
                      <w:lang w:bidi="ar"/>
                    </w:rPr>
                    <w:t>系统</w:t>
                  </w:r>
                </w:p>
              </w:tc>
              <w:tc>
                <w:tcPr>
                  <w:tcW w:w="1633" w:type="dxa"/>
                  <w:tcBorders>
                    <w:tl2br w:val="nil"/>
                    <w:tr2bl w:val="nil"/>
                  </w:tcBorders>
                  <w:noWrap w:val="0"/>
                  <w:vAlign w:val="center"/>
                </w:tcPr>
                <w:p w14:paraId="683523A4">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val="en-US" w:eastAsia="zh-CN" w:bidi="ar-SA"/>
                    </w:rPr>
                  </w:pPr>
                  <w:r>
                    <w:rPr>
                      <w:kern w:val="0"/>
                      <w:sz w:val="21"/>
                      <w:szCs w:val="21"/>
                      <w:lang w:bidi="ar"/>
                    </w:rPr>
                    <w:t>/</w:t>
                  </w:r>
                </w:p>
              </w:tc>
              <w:tc>
                <w:tcPr>
                  <w:tcW w:w="1322" w:type="dxa"/>
                  <w:tcBorders>
                    <w:tl2br w:val="nil"/>
                    <w:tr2bl w:val="nil"/>
                  </w:tcBorders>
                  <w:noWrap w:val="0"/>
                  <w:vAlign w:val="center"/>
                </w:tcPr>
                <w:p w14:paraId="13B0E72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val="en-US" w:eastAsia="zh-CN" w:bidi="ar"/>
                    </w:rPr>
                  </w:pPr>
                </w:p>
              </w:tc>
              <w:tc>
                <w:tcPr>
                  <w:tcW w:w="898" w:type="dxa"/>
                  <w:tcBorders>
                    <w:tl2br w:val="nil"/>
                    <w:tr2bl w:val="nil"/>
                  </w:tcBorders>
                  <w:noWrap w:val="0"/>
                  <w:vAlign w:val="center"/>
                </w:tcPr>
                <w:p w14:paraId="37F53BD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c>
                <w:tcPr>
                  <w:tcW w:w="1049" w:type="dxa"/>
                  <w:tcBorders>
                    <w:tl2br w:val="nil"/>
                    <w:tr2bl w:val="nil"/>
                  </w:tcBorders>
                  <w:noWrap w:val="0"/>
                  <w:vAlign w:val="center"/>
                </w:tcPr>
                <w:p w14:paraId="4C32E3B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eastAsia="宋体"/>
                      <w:kern w:val="0"/>
                      <w:sz w:val="21"/>
                      <w:szCs w:val="21"/>
                      <w:lang w:val="en-US" w:eastAsia="zh-CN" w:bidi="ar"/>
                    </w:rPr>
                  </w:pPr>
                </w:p>
              </w:tc>
            </w:tr>
            <w:tr w14:paraId="773C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6B81EB71">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kern w:val="0"/>
                      <w:sz w:val="21"/>
                      <w:szCs w:val="21"/>
                      <w:lang w:val="en-US" w:eastAsia="zh-CN" w:bidi="ar-SA"/>
                    </w:rPr>
                  </w:pPr>
                  <w:r>
                    <w:rPr>
                      <w:rFonts w:hint="eastAsia"/>
                      <w:kern w:val="0"/>
                      <w:sz w:val="21"/>
                      <w:szCs w:val="21"/>
                      <w:lang w:val="en-US" w:eastAsia="zh-CN"/>
                    </w:rPr>
                    <w:t>25</w:t>
                  </w:r>
                </w:p>
              </w:tc>
              <w:tc>
                <w:tcPr>
                  <w:tcW w:w="1020" w:type="dxa"/>
                  <w:vMerge w:val="continue"/>
                  <w:tcBorders>
                    <w:tl2br w:val="nil"/>
                    <w:tr2bl w:val="nil"/>
                  </w:tcBorders>
                  <w:noWrap w:val="0"/>
                  <w:vAlign w:val="center"/>
                </w:tcPr>
                <w:p w14:paraId="690AF96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2C324A0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喷淋塔（环保系统）</w:t>
                  </w:r>
                </w:p>
              </w:tc>
              <w:tc>
                <w:tcPr>
                  <w:tcW w:w="1633" w:type="dxa"/>
                  <w:tcBorders>
                    <w:tl2br w:val="nil"/>
                    <w:tr2bl w:val="nil"/>
                  </w:tcBorders>
                  <w:noWrap w:val="0"/>
                  <w:vAlign w:val="center"/>
                </w:tcPr>
                <w:p w14:paraId="48F45BB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2800*10500*5</w:t>
                  </w:r>
                </w:p>
              </w:tc>
              <w:tc>
                <w:tcPr>
                  <w:tcW w:w="1322" w:type="dxa"/>
                  <w:tcBorders>
                    <w:tl2br w:val="nil"/>
                    <w:tr2bl w:val="nil"/>
                  </w:tcBorders>
                  <w:noWrap w:val="0"/>
                  <w:vAlign w:val="center"/>
                </w:tcPr>
                <w:p w14:paraId="5F0D77E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898" w:type="dxa"/>
                  <w:tcBorders>
                    <w:tl2br w:val="nil"/>
                    <w:tr2bl w:val="nil"/>
                  </w:tcBorders>
                  <w:noWrap w:val="0"/>
                  <w:vAlign w:val="center"/>
                </w:tcPr>
                <w:p w14:paraId="5A9232C0">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1049" w:type="dxa"/>
                  <w:tcBorders>
                    <w:tl2br w:val="nil"/>
                    <w:tr2bl w:val="nil"/>
                  </w:tcBorders>
                  <w:noWrap w:val="0"/>
                  <w:vAlign w:val="center"/>
                </w:tcPr>
                <w:p w14:paraId="118C322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r>
            <w:tr w14:paraId="558E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71" w:type="dxa"/>
                  <w:tcBorders>
                    <w:tl2br w:val="nil"/>
                    <w:tr2bl w:val="nil"/>
                  </w:tcBorders>
                  <w:noWrap w:val="0"/>
                  <w:vAlign w:val="center"/>
                </w:tcPr>
                <w:p w14:paraId="2B57D6F9">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kern w:val="0"/>
                      <w:sz w:val="21"/>
                      <w:szCs w:val="21"/>
                      <w:lang w:val="en-US" w:eastAsia="zh-CN" w:bidi="ar-SA"/>
                    </w:rPr>
                  </w:pPr>
                  <w:r>
                    <w:rPr>
                      <w:rFonts w:hint="eastAsia"/>
                      <w:kern w:val="0"/>
                      <w:sz w:val="21"/>
                      <w:szCs w:val="21"/>
                      <w:lang w:val="en-US" w:eastAsia="zh-CN"/>
                    </w:rPr>
                    <w:t>26</w:t>
                  </w:r>
                </w:p>
              </w:tc>
              <w:tc>
                <w:tcPr>
                  <w:tcW w:w="1020" w:type="dxa"/>
                  <w:vMerge w:val="continue"/>
                  <w:tcBorders>
                    <w:tl2br w:val="nil"/>
                    <w:tr2bl w:val="nil"/>
                  </w:tcBorders>
                  <w:noWrap w:val="0"/>
                  <w:vAlign w:val="center"/>
                </w:tcPr>
                <w:p w14:paraId="255BE179">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141A544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脱硫塔（环保系统）</w:t>
                  </w:r>
                </w:p>
              </w:tc>
              <w:tc>
                <w:tcPr>
                  <w:tcW w:w="1633" w:type="dxa"/>
                  <w:tcBorders>
                    <w:tl2br w:val="nil"/>
                    <w:tr2bl w:val="nil"/>
                  </w:tcBorders>
                  <w:noWrap w:val="0"/>
                  <w:vAlign w:val="center"/>
                </w:tcPr>
                <w:p w14:paraId="2966529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2800*10500*5</w:t>
                  </w:r>
                </w:p>
              </w:tc>
              <w:tc>
                <w:tcPr>
                  <w:tcW w:w="1322" w:type="dxa"/>
                  <w:tcBorders>
                    <w:tl2br w:val="nil"/>
                    <w:tr2bl w:val="nil"/>
                  </w:tcBorders>
                  <w:noWrap w:val="0"/>
                  <w:vAlign w:val="center"/>
                </w:tcPr>
                <w:p w14:paraId="1F5B30E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kern w:val="0"/>
                      <w:sz w:val="21"/>
                      <w:szCs w:val="21"/>
                      <w:lang w:val="en-US" w:eastAsia="zh-CN" w:bidi="ar"/>
                    </w:rPr>
                  </w:pPr>
                </w:p>
              </w:tc>
              <w:tc>
                <w:tcPr>
                  <w:tcW w:w="898" w:type="dxa"/>
                  <w:tcBorders>
                    <w:tl2br w:val="nil"/>
                    <w:tr2bl w:val="nil"/>
                  </w:tcBorders>
                  <w:noWrap w:val="0"/>
                  <w:vAlign w:val="center"/>
                </w:tcPr>
                <w:p w14:paraId="13D8A9A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1049" w:type="dxa"/>
                  <w:tcBorders>
                    <w:tl2br w:val="nil"/>
                    <w:tr2bl w:val="nil"/>
                  </w:tcBorders>
                  <w:noWrap w:val="0"/>
                  <w:vAlign w:val="center"/>
                </w:tcPr>
                <w:p w14:paraId="365275A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r>
            <w:tr w14:paraId="6AA7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971" w:type="dxa"/>
                  <w:tcBorders>
                    <w:tl2br w:val="nil"/>
                    <w:tr2bl w:val="nil"/>
                  </w:tcBorders>
                  <w:noWrap w:val="0"/>
                  <w:vAlign w:val="center"/>
                </w:tcPr>
                <w:p w14:paraId="15478814">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kern w:val="0"/>
                      <w:sz w:val="21"/>
                      <w:szCs w:val="21"/>
                      <w:lang w:val="en-US" w:eastAsia="zh-CN" w:bidi="ar-SA"/>
                    </w:rPr>
                  </w:pPr>
                  <w:r>
                    <w:rPr>
                      <w:rFonts w:hint="eastAsia"/>
                      <w:kern w:val="0"/>
                      <w:sz w:val="21"/>
                      <w:szCs w:val="21"/>
                      <w:lang w:val="en-US" w:eastAsia="zh-CN"/>
                    </w:rPr>
                    <w:t>27</w:t>
                  </w:r>
                </w:p>
              </w:tc>
              <w:tc>
                <w:tcPr>
                  <w:tcW w:w="1020" w:type="dxa"/>
                  <w:vMerge w:val="continue"/>
                  <w:tcBorders>
                    <w:tl2br w:val="nil"/>
                    <w:tr2bl w:val="nil"/>
                  </w:tcBorders>
                  <w:noWrap w:val="0"/>
                  <w:vAlign w:val="center"/>
                </w:tcPr>
                <w:p w14:paraId="35BDEF2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49AD9C4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电捕焦油器（环保系统）</w:t>
                  </w:r>
                </w:p>
              </w:tc>
              <w:tc>
                <w:tcPr>
                  <w:tcW w:w="1633" w:type="dxa"/>
                  <w:tcBorders>
                    <w:tl2br w:val="nil"/>
                    <w:tr2bl w:val="nil"/>
                  </w:tcBorders>
                  <w:noWrap w:val="0"/>
                  <w:vAlign w:val="center"/>
                </w:tcPr>
                <w:p w14:paraId="20042076">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4600*11500*10</w:t>
                  </w:r>
                </w:p>
              </w:tc>
              <w:tc>
                <w:tcPr>
                  <w:tcW w:w="1322" w:type="dxa"/>
                  <w:tcBorders>
                    <w:tl2br w:val="nil"/>
                    <w:tr2bl w:val="nil"/>
                  </w:tcBorders>
                  <w:noWrap w:val="0"/>
                  <w:vAlign w:val="center"/>
                </w:tcPr>
                <w:p w14:paraId="2995E006">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898" w:type="dxa"/>
                  <w:tcBorders>
                    <w:tl2br w:val="nil"/>
                    <w:tr2bl w:val="nil"/>
                  </w:tcBorders>
                  <w:noWrap w:val="0"/>
                  <w:vAlign w:val="center"/>
                </w:tcPr>
                <w:p w14:paraId="03F37B8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1049" w:type="dxa"/>
                  <w:tcBorders>
                    <w:tl2br w:val="nil"/>
                    <w:tr2bl w:val="nil"/>
                  </w:tcBorders>
                  <w:noWrap w:val="0"/>
                  <w:vAlign w:val="center"/>
                </w:tcPr>
                <w:p w14:paraId="27A4278A">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r>
            <w:tr w14:paraId="2B66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347B1F44">
                  <w:pPr>
                    <w:keepNext w:val="0"/>
                    <w:keepLines w:val="0"/>
                    <w:pageBreakBefore w:val="0"/>
                    <w:widowControl/>
                    <w:kinsoku/>
                    <w:wordWrap/>
                    <w:overflowPunct/>
                    <w:topLinePunct w:val="0"/>
                    <w:autoSpaceDE/>
                    <w:autoSpaceDN/>
                    <w:bidi w:val="0"/>
                    <w:adjustRightInd w:val="0"/>
                    <w:snapToGrid w:val="0"/>
                    <w:spacing w:after="0"/>
                    <w:jc w:val="center"/>
                    <w:rPr>
                      <w:rFonts w:hint="default" w:eastAsia="宋体"/>
                      <w:kern w:val="0"/>
                      <w:sz w:val="21"/>
                      <w:szCs w:val="21"/>
                      <w:lang w:val="en-US" w:eastAsia="zh-CN"/>
                    </w:rPr>
                  </w:pPr>
                  <w:r>
                    <w:rPr>
                      <w:rFonts w:hint="eastAsia" w:eastAsia="宋体"/>
                      <w:kern w:val="0"/>
                      <w:sz w:val="21"/>
                      <w:szCs w:val="21"/>
                      <w:lang w:val="en-US" w:eastAsia="zh-CN"/>
                    </w:rPr>
                    <w:t>28</w:t>
                  </w:r>
                </w:p>
              </w:tc>
              <w:tc>
                <w:tcPr>
                  <w:tcW w:w="1020" w:type="dxa"/>
                  <w:vMerge w:val="continue"/>
                  <w:tcBorders>
                    <w:tl2br w:val="nil"/>
                    <w:tr2bl w:val="nil"/>
                  </w:tcBorders>
                  <w:noWrap w:val="0"/>
                  <w:vAlign w:val="center"/>
                </w:tcPr>
                <w:p w14:paraId="48ECF07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1416" w:type="dxa"/>
                  <w:tcBorders>
                    <w:tl2br w:val="nil"/>
                    <w:tr2bl w:val="nil"/>
                  </w:tcBorders>
                  <w:noWrap w:val="0"/>
                  <w:vAlign w:val="center"/>
                </w:tcPr>
                <w:p w14:paraId="7D72CEB7">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bidi="ar"/>
                    </w:rPr>
                    <w:t>袋式除尘器</w:t>
                  </w:r>
                </w:p>
              </w:tc>
              <w:tc>
                <w:tcPr>
                  <w:tcW w:w="1633" w:type="dxa"/>
                  <w:tcBorders>
                    <w:tl2br w:val="nil"/>
                    <w:tr2bl w:val="nil"/>
                  </w:tcBorders>
                  <w:noWrap w:val="0"/>
                  <w:vAlign w:val="center"/>
                </w:tcPr>
                <w:p w14:paraId="7C7F7B90">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bidi="ar"/>
                    </w:rPr>
                    <w:t>/</w:t>
                  </w:r>
                </w:p>
              </w:tc>
              <w:tc>
                <w:tcPr>
                  <w:tcW w:w="1322" w:type="dxa"/>
                  <w:tcBorders>
                    <w:tl2br w:val="nil"/>
                    <w:tr2bl w:val="nil"/>
                  </w:tcBorders>
                  <w:noWrap w:val="0"/>
                  <w:vAlign w:val="center"/>
                </w:tcPr>
                <w:p w14:paraId="56CD1AF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898" w:type="dxa"/>
                  <w:tcBorders>
                    <w:tl2br w:val="nil"/>
                    <w:tr2bl w:val="nil"/>
                  </w:tcBorders>
                  <w:noWrap w:val="0"/>
                  <w:vAlign w:val="center"/>
                </w:tcPr>
                <w:p w14:paraId="1D5BE096">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c>
                <w:tcPr>
                  <w:tcW w:w="1049" w:type="dxa"/>
                  <w:tcBorders>
                    <w:tl2br w:val="nil"/>
                    <w:tr2bl w:val="nil"/>
                  </w:tcBorders>
                  <w:noWrap w:val="0"/>
                  <w:vAlign w:val="center"/>
                </w:tcPr>
                <w:p w14:paraId="1C6315F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kern w:val="0"/>
                      <w:sz w:val="21"/>
                      <w:szCs w:val="21"/>
                      <w:lang w:val="en-US" w:eastAsia="zh-CN" w:bidi="ar"/>
                    </w:rPr>
                  </w:pPr>
                </w:p>
              </w:tc>
            </w:tr>
          </w:tbl>
          <w:p w14:paraId="1E7B21C3">
            <w:pPr>
              <w:pStyle w:val="5"/>
              <w:rPr>
                <w:rFonts w:hint="default"/>
              </w:rPr>
            </w:pPr>
          </w:p>
          <w:p w14:paraId="00A9CDA6">
            <w:pPr>
              <w:pStyle w:val="21"/>
              <w:spacing w:line="360" w:lineRule="auto"/>
              <w:ind w:firstLine="480" w:firstLineChars="200"/>
              <w:jc w:val="both"/>
              <w:rPr>
                <w:rFonts w:hint="default" w:ascii="Times New Roman" w:hAnsi="Times New Roman" w:cs="Times New Roman"/>
                <w:color w:val="000000"/>
              </w:rPr>
            </w:pPr>
            <w:r>
              <w:rPr>
                <w:rFonts w:hint="default" w:ascii="Times New Roman" w:hAnsi="Times New Roman" w:eastAsia="宋体" w:cs="Times New Roman"/>
                <w:color w:val="000000"/>
              </w:rPr>
              <w:t>根据《产业结构调整指导目录（20</w:t>
            </w:r>
            <w:r>
              <w:rPr>
                <w:rFonts w:hint="eastAsia" w:ascii="Times New Roman" w:hAnsi="Times New Roman" w:eastAsia="宋体" w:cs="Times New Roman"/>
                <w:color w:val="000000"/>
                <w:lang w:val="en-US" w:eastAsia="zh-CN"/>
              </w:rPr>
              <w:t>24</w:t>
            </w:r>
            <w:r>
              <w:rPr>
                <w:rFonts w:hint="default" w:ascii="Times New Roman" w:hAnsi="Times New Roman" w:eastAsia="宋体" w:cs="Times New Roman"/>
                <w:color w:val="000000"/>
              </w:rPr>
              <w:t xml:space="preserve"> 年本）》的规定，</w:t>
            </w:r>
            <w:r>
              <w:rPr>
                <w:rFonts w:hint="eastAsia" w:ascii="Times New Roman" w:hAnsi="Times New Roman" w:eastAsia="宋体" w:cs="Times New Roman"/>
                <w:color w:val="000000"/>
                <w:lang w:val="en-US" w:eastAsia="zh-CN"/>
              </w:rPr>
              <w:t>本项目</w:t>
            </w:r>
            <w:r>
              <w:rPr>
                <w:rFonts w:hint="default" w:ascii="Times New Roman" w:hAnsi="Times New Roman" w:eastAsia="宋体" w:cs="Times New Roman"/>
                <w:color w:val="000000"/>
              </w:rPr>
              <w:t>设备不属于落后生产工艺装备类</w:t>
            </w:r>
            <w:r>
              <w:rPr>
                <w:rFonts w:hint="eastAsia" w:ascii="Times New Roman" w:hAnsi="Times New Roman" w:eastAsia="宋体" w:cs="Times New Roman"/>
                <w:color w:val="000000"/>
                <w:lang w:eastAsia="zh-CN"/>
              </w:rPr>
              <w:t>。</w:t>
            </w:r>
          </w:p>
          <w:p w14:paraId="7E6BC3A5">
            <w:pPr>
              <w:pStyle w:val="10"/>
              <w:ind w:firstLine="482" w:firstLineChars="200"/>
              <w:rPr>
                <w:rFonts w:hint="eastAsia" w:ascii="Times New Roman" w:hAnsi="Times New Roman" w:eastAsia="宋体" w:cs="Times New Roman"/>
                <w:b/>
                <w:bCs/>
                <w:color w:val="000000"/>
                <w:sz w:val="24"/>
                <w:szCs w:val="24"/>
                <w:lang w:val="en-US" w:eastAsia="zh-CN"/>
              </w:rPr>
            </w:pPr>
            <w:r>
              <w:rPr>
                <w:rFonts w:hint="eastAsia" w:ascii="Times New Roman" w:hAnsi="Times New Roman" w:cs="Times New Roman"/>
                <w:b/>
                <w:bCs/>
                <w:color w:val="000000"/>
                <w:sz w:val="24"/>
                <w:szCs w:val="24"/>
                <w:lang w:eastAsia="zh-CN"/>
              </w:rPr>
              <w:t>6.</w:t>
            </w:r>
            <w:r>
              <w:rPr>
                <w:rFonts w:hint="default" w:ascii="Times New Roman" w:hAnsi="Times New Roman" w:cs="Times New Roman"/>
                <w:b/>
                <w:bCs/>
                <w:color w:val="000000"/>
                <w:sz w:val="24"/>
                <w:szCs w:val="24"/>
              </w:rPr>
              <w:t>主要原辅材料、耗水及能耗</w:t>
            </w:r>
          </w:p>
          <w:p w14:paraId="6EFFBA88">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据业主提供资料，本项目主要原辅料能源消耗及来源见表2-</w:t>
            </w:r>
            <w:r>
              <w:rPr>
                <w:rFonts w:hint="eastAsia" w:ascii="Times New Roman" w:hAnsi="Times New Roman" w:cs="Times New Roman"/>
                <w:color w:val="000000"/>
                <w:sz w:val="24"/>
                <w:lang w:val="en-US" w:eastAsia="zh-CN"/>
              </w:rPr>
              <w:t>6</w:t>
            </w:r>
            <w:r>
              <w:rPr>
                <w:rFonts w:hint="default" w:ascii="Times New Roman" w:hAnsi="Times New Roman" w:cs="Times New Roman"/>
                <w:color w:val="000000"/>
                <w:sz w:val="24"/>
              </w:rPr>
              <w:t>。</w:t>
            </w:r>
          </w:p>
          <w:p w14:paraId="16618CCC">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b/>
                <w:bCs/>
                <w:color w:val="000000"/>
                <w:sz w:val="24"/>
                <w:lang w:val="en-US" w:eastAsia="zh-CN"/>
              </w:rPr>
            </w:pPr>
            <w:r>
              <w:rPr>
                <w:rFonts w:hint="default" w:ascii="Times New Roman" w:hAnsi="Times New Roman" w:eastAsia="宋体" w:cs="Times New Roman"/>
                <w:b/>
                <w:bCs/>
                <w:color w:val="000000"/>
                <w:sz w:val="24"/>
                <w:lang w:val="en-US" w:eastAsia="zh-CN"/>
              </w:rPr>
              <w:t xml:space="preserve"> </w:t>
            </w:r>
            <w:r>
              <w:rPr>
                <w:rFonts w:hint="eastAsia" w:ascii="Times New Roman" w:hAnsi="Times New Roman" w:eastAsia="宋体" w:cs="Times New Roman"/>
                <w:b/>
                <w:bCs/>
                <w:color w:val="000000"/>
                <w:sz w:val="24"/>
                <w:lang w:val="en-US" w:eastAsia="zh-CN"/>
              </w:rPr>
              <w:t xml:space="preserve"> 本</w:t>
            </w:r>
            <w:r>
              <w:rPr>
                <w:rFonts w:hint="default" w:ascii="Times New Roman" w:hAnsi="Times New Roman" w:eastAsia="宋体" w:cs="Times New Roman"/>
                <w:b/>
                <w:bCs/>
                <w:color w:val="000000"/>
                <w:sz w:val="24"/>
                <w:lang w:val="en-US" w:eastAsia="zh-CN"/>
              </w:rPr>
              <w:t>项目</w:t>
            </w:r>
            <w:r>
              <w:rPr>
                <w:rFonts w:hint="eastAsia" w:ascii="Times New Roman" w:hAnsi="Times New Roman" w:eastAsia="宋体" w:cs="Times New Roman"/>
                <w:b/>
                <w:bCs/>
                <w:color w:val="000000"/>
                <w:sz w:val="24"/>
                <w:lang w:val="en-US" w:eastAsia="zh-CN"/>
              </w:rPr>
              <w:t>建设前后</w:t>
            </w:r>
            <w:r>
              <w:rPr>
                <w:rFonts w:hint="default" w:ascii="Times New Roman" w:hAnsi="Times New Roman" w:eastAsia="宋体" w:cs="Times New Roman"/>
                <w:b/>
                <w:bCs/>
                <w:color w:val="000000"/>
                <w:sz w:val="24"/>
                <w:lang w:val="en-US" w:eastAsia="zh-CN"/>
              </w:rPr>
              <w:t>主要原辅材料及能耗情况表</w:t>
            </w:r>
          </w:p>
          <w:tbl>
            <w:tblPr>
              <w:tblStyle w:val="31"/>
              <w:tblW w:w="8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900"/>
              <w:gridCol w:w="870"/>
              <w:gridCol w:w="1020"/>
              <w:gridCol w:w="885"/>
              <w:gridCol w:w="750"/>
              <w:gridCol w:w="585"/>
              <w:gridCol w:w="621"/>
              <w:gridCol w:w="735"/>
              <w:gridCol w:w="1242"/>
            </w:tblGrid>
            <w:tr w14:paraId="6C48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53" w:type="dxa"/>
                  <w:noWrap w:val="0"/>
                  <w:vAlign w:val="center"/>
                </w:tcPr>
                <w:p w14:paraId="28DD9B9D">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b/>
                      <w:bCs/>
                      <w:color w:val="000000"/>
                      <w:kern w:val="0"/>
                      <w:szCs w:val="21"/>
                      <w:lang w:eastAsia="zh-CN"/>
                    </w:rPr>
                  </w:pPr>
                  <w:r>
                    <w:rPr>
                      <w:rFonts w:hint="eastAsia" w:ascii="宋体" w:hAnsi="宋体" w:cs="宋体"/>
                      <w:b/>
                      <w:bCs/>
                      <w:color w:val="000000"/>
                      <w:kern w:val="0"/>
                      <w:szCs w:val="21"/>
                      <w:lang w:val="en-US" w:eastAsia="zh-CN" w:bidi="ar"/>
                    </w:rPr>
                    <w:t>类别</w:t>
                  </w:r>
                </w:p>
              </w:tc>
              <w:tc>
                <w:tcPr>
                  <w:tcW w:w="900" w:type="dxa"/>
                  <w:noWrap w:val="0"/>
                  <w:vAlign w:val="center"/>
                </w:tcPr>
                <w:p w14:paraId="50E9193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b/>
                      <w:bCs/>
                      <w:color w:val="000000"/>
                      <w:kern w:val="0"/>
                      <w:szCs w:val="21"/>
                    </w:rPr>
                  </w:pPr>
                  <w:r>
                    <w:rPr>
                      <w:rFonts w:hint="eastAsia" w:ascii="宋体" w:hAnsi="宋体" w:cs="宋体"/>
                      <w:b/>
                      <w:bCs/>
                      <w:color w:val="000000"/>
                      <w:kern w:val="0"/>
                      <w:szCs w:val="21"/>
                      <w:lang w:bidi="ar"/>
                    </w:rPr>
                    <w:t>名称</w:t>
                  </w:r>
                </w:p>
              </w:tc>
              <w:tc>
                <w:tcPr>
                  <w:tcW w:w="870" w:type="dxa"/>
                  <w:noWrap w:val="0"/>
                  <w:vAlign w:val="center"/>
                </w:tcPr>
                <w:p w14:paraId="0D208AD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b/>
                      <w:bCs/>
                      <w:color w:val="000000"/>
                      <w:kern w:val="0"/>
                      <w:szCs w:val="21"/>
                    </w:rPr>
                  </w:pPr>
                  <w:r>
                    <w:rPr>
                      <w:rFonts w:hint="eastAsia" w:ascii="宋体" w:hAnsi="宋体" w:cs="宋体"/>
                      <w:b/>
                      <w:bCs/>
                      <w:color w:val="000000"/>
                      <w:kern w:val="0"/>
                      <w:szCs w:val="21"/>
                      <w:lang w:val="en-US" w:eastAsia="zh-CN" w:bidi="ar"/>
                    </w:rPr>
                    <w:t>建设前全厂</w:t>
                  </w:r>
                  <w:r>
                    <w:rPr>
                      <w:rFonts w:hint="eastAsia" w:ascii="宋体" w:hAnsi="宋体" w:cs="宋体"/>
                      <w:b/>
                      <w:bCs/>
                      <w:color w:val="000000"/>
                      <w:kern w:val="0"/>
                      <w:szCs w:val="21"/>
                      <w:lang w:bidi="ar"/>
                    </w:rPr>
                    <w:t>年消耗量</w:t>
                  </w:r>
                </w:p>
              </w:tc>
              <w:tc>
                <w:tcPr>
                  <w:tcW w:w="1020" w:type="dxa"/>
                  <w:noWrap w:val="0"/>
                  <w:vAlign w:val="center"/>
                </w:tcPr>
                <w:p w14:paraId="376644E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宋体" w:hAnsi="宋体" w:cs="宋体"/>
                      <w:b/>
                      <w:bCs/>
                      <w:color w:val="000000"/>
                      <w:kern w:val="0"/>
                      <w:szCs w:val="21"/>
                      <w:lang w:val="en-US" w:eastAsia="zh-CN" w:bidi="ar"/>
                    </w:rPr>
                  </w:pPr>
                  <w:r>
                    <w:rPr>
                      <w:rFonts w:hint="eastAsia" w:ascii="宋体" w:hAnsi="宋体" w:cs="宋体"/>
                      <w:b/>
                      <w:bCs/>
                      <w:color w:val="000000"/>
                      <w:kern w:val="0"/>
                      <w:szCs w:val="21"/>
                      <w:lang w:val="en-US" w:eastAsia="zh-CN" w:bidi="ar"/>
                    </w:rPr>
                    <w:t>本项目新增</w:t>
                  </w:r>
                </w:p>
              </w:tc>
              <w:tc>
                <w:tcPr>
                  <w:tcW w:w="885" w:type="dxa"/>
                  <w:noWrap w:val="0"/>
                  <w:vAlign w:val="center"/>
                </w:tcPr>
                <w:p w14:paraId="7019ACD4">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宋体" w:hAnsi="宋体" w:cs="宋体"/>
                      <w:b/>
                      <w:bCs/>
                      <w:color w:val="000000"/>
                      <w:kern w:val="0"/>
                      <w:szCs w:val="21"/>
                      <w:lang w:val="en-US" w:eastAsia="zh-CN" w:bidi="ar"/>
                    </w:rPr>
                  </w:pPr>
                  <w:r>
                    <w:rPr>
                      <w:rFonts w:hint="eastAsia" w:ascii="宋体" w:hAnsi="宋体" w:cs="宋体"/>
                      <w:b/>
                      <w:bCs/>
                      <w:color w:val="000000"/>
                      <w:kern w:val="0"/>
                      <w:szCs w:val="21"/>
                      <w:lang w:val="en-US" w:eastAsia="zh-CN" w:bidi="ar"/>
                    </w:rPr>
                    <w:t>建成后全厂</w:t>
                  </w:r>
                </w:p>
              </w:tc>
              <w:tc>
                <w:tcPr>
                  <w:tcW w:w="750" w:type="dxa"/>
                  <w:noWrap w:val="0"/>
                  <w:vAlign w:val="center"/>
                </w:tcPr>
                <w:p w14:paraId="6E727B1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宋体" w:hAnsi="宋体" w:cs="宋体"/>
                      <w:b/>
                      <w:bCs/>
                      <w:color w:val="000000"/>
                      <w:kern w:val="0"/>
                      <w:szCs w:val="21"/>
                      <w:lang w:val="en-US" w:eastAsia="zh-CN" w:bidi="ar"/>
                    </w:rPr>
                  </w:pPr>
                  <w:r>
                    <w:rPr>
                      <w:rFonts w:hint="eastAsia" w:ascii="宋体" w:hAnsi="宋体" w:cs="宋体"/>
                      <w:b/>
                      <w:bCs/>
                      <w:color w:val="000000"/>
                      <w:kern w:val="0"/>
                      <w:szCs w:val="21"/>
                      <w:lang w:val="en-US" w:eastAsia="zh-CN" w:bidi="ar"/>
                    </w:rPr>
                    <w:t>最大储存量</w:t>
                  </w:r>
                </w:p>
              </w:tc>
              <w:tc>
                <w:tcPr>
                  <w:tcW w:w="585" w:type="dxa"/>
                  <w:noWrap w:val="0"/>
                  <w:vAlign w:val="center"/>
                </w:tcPr>
                <w:p w14:paraId="033CE62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宋体" w:hAnsi="宋体" w:cs="宋体"/>
                      <w:b/>
                      <w:bCs/>
                      <w:color w:val="000000"/>
                      <w:kern w:val="0"/>
                      <w:szCs w:val="21"/>
                      <w:lang w:val="en-US" w:eastAsia="zh-CN" w:bidi="ar"/>
                    </w:rPr>
                  </w:pPr>
                  <w:r>
                    <w:rPr>
                      <w:rFonts w:hint="eastAsia" w:ascii="宋体" w:hAnsi="宋体" w:cs="宋体"/>
                      <w:b/>
                      <w:bCs/>
                      <w:color w:val="000000"/>
                      <w:kern w:val="0"/>
                      <w:szCs w:val="21"/>
                      <w:lang w:val="en-US" w:eastAsia="zh-CN" w:bidi="ar"/>
                    </w:rPr>
                    <w:t xml:space="preserve">储存位置 </w:t>
                  </w:r>
                </w:p>
              </w:tc>
              <w:tc>
                <w:tcPr>
                  <w:tcW w:w="621" w:type="dxa"/>
                  <w:noWrap w:val="0"/>
                  <w:vAlign w:val="center"/>
                </w:tcPr>
                <w:p w14:paraId="08D9D2C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b/>
                      <w:bCs/>
                      <w:color w:val="000000"/>
                      <w:kern w:val="0"/>
                      <w:szCs w:val="21"/>
                    </w:rPr>
                  </w:pPr>
                  <w:r>
                    <w:rPr>
                      <w:rFonts w:hint="eastAsia" w:ascii="宋体" w:hAnsi="宋体" w:cs="宋体"/>
                      <w:b/>
                      <w:bCs/>
                      <w:color w:val="000000"/>
                      <w:kern w:val="0"/>
                      <w:szCs w:val="21"/>
                      <w:lang w:bidi="ar"/>
                    </w:rPr>
                    <w:t>形态</w:t>
                  </w:r>
                </w:p>
              </w:tc>
              <w:tc>
                <w:tcPr>
                  <w:tcW w:w="735" w:type="dxa"/>
                  <w:noWrap w:val="0"/>
                  <w:vAlign w:val="center"/>
                </w:tcPr>
                <w:p w14:paraId="7A04C12F">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b/>
                      <w:bCs/>
                      <w:color w:val="000000"/>
                      <w:kern w:val="0"/>
                      <w:szCs w:val="21"/>
                    </w:rPr>
                  </w:pPr>
                  <w:r>
                    <w:rPr>
                      <w:rFonts w:hint="eastAsia" w:ascii="宋体" w:hAnsi="宋体" w:cs="宋体"/>
                      <w:b/>
                      <w:bCs/>
                      <w:color w:val="000000"/>
                      <w:kern w:val="0"/>
                      <w:szCs w:val="21"/>
                      <w:lang w:bidi="ar"/>
                    </w:rPr>
                    <w:t>包装</w:t>
                  </w:r>
                </w:p>
              </w:tc>
              <w:tc>
                <w:tcPr>
                  <w:tcW w:w="1242" w:type="dxa"/>
                  <w:noWrap w:val="0"/>
                  <w:vAlign w:val="center"/>
                </w:tcPr>
                <w:p w14:paraId="2FC95ACD">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b/>
                      <w:bCs/>
                      <w:color w:val="000000"/>
                      <w:kern w:val="0"/>
                      <w:szCs w:val="21"/>
                    </w:rPr>
                  </w:pPr>
                  <w:r>
                    <w:rPr>
                      <w:rFonts w:hint="eastAsia" w:ascii="宋体" w:hAnsi="宋体" w:cs="宋体"/>
                      <w:b/>
                      <w:bCs/>
                      <w:color w:val="000000"/>
                      <w:kern w:val="0"/>
                      <w:szCs w:val="21"/>
                      <w:lang w:bidi="ar"/>
                    </w:rPr>
                    <w:t>来源</w:t>
                  </w:r>
                </w:p>
              </w:tc>
            </w:tr>
            <w:tr w14:paraId="0DDF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53" w:type="dxa"/>
                  <w:noWrap w:val="0"/>
                  <w:vAlign w:val="center"/>
                </w:tcPr>
                <w:p w14:paraId="655E856A">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eastAsia="zh-CN"/>
                    </w:rPr>
                  </w:pPr>
                  <w:r>
                    <w:rPr>
                      <w:rFonts w:hint="eastAsia"/>
                      <w:color w:val="000000"/>
                      <w:kern w:val="0"/>
                      <w:szCs w:val="21"/>
                      <w:lang w:val="en-US" w:eastAsia="zh-CN" w:bidi="ar"/>
                    </w:rPr>
                    <w:t>原料</w:t>
                  </w:r>
                </w:p>
              </w:tc>
              <w:tc>
                <w:tcPr>
                  <w:tcW w:w="900" w:type="dxa"/>
                  <w:noWrap w:val="0"/>
                  <w:vAlign w:val="center"/>
                </w:tcPr>
                <w:p w14:paraId="47B8E773">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rPr>
                  </w:pPr>
                  <w:r>
                    <w:rPr>
                      <w:rFonts w:hint="eastAsia" w:ascii="宋体" w:hAnsi="宋体" w:cs="宋体"/>
                      <w:color w:val="000000"/>
                      <w:kern w:val="0"/>
                      <w:szCs w:val="21"/>
                      <w:lang w:val="en-US" w:eastAsia="zh-CN" w:bidi="ar"/>
                    </w:rPr>
                    <w:t>负极材料半成品</w:t>
                  </w:r>
                </w:p>
              </w:tc>
              <w:tc>
                <w:tcPr>
                  <w:tcW w:w="870" w:type="dxa"/>
                  <w:noWrap w:val="0"/>
                  <w:vAlign w:val="center"/>
                </w:tcPr>
                <w:p w14:paraId="5A0D922D">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rPr>
                  </w:pPr>
                </w:p>
              </w:tc>
              <w:tc>
                <w:tcPr>
                  <w:tcW w:w="1020" w:type="dxa"/>
                  <w:noWrap w:val="0"/>
                  <w:vAlign w:val="center"/>
                </w:tcPr>
                <w:p w14:paraId="058B9CD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p>
              </w:tc>
              <w:tc>
                <w:tcPr>
                  <w:tcW w:w="885" w:type="dxa"/>
                  <w:noWrap w:val="0"/>
                  <w:vAlign w:val="center"/>
                </w:tcPr>
                <w:p w14:paraId="591857E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750" w:type="dxa"/>
                  <w:noWrap w:val="0"/>
                  <w:vAlign w:val="center"/>
                </w:tcPr>
                <w:p w14:paraId="2223A9DA">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Times New Roman" w:hAnsi="Times New Roman" w:cs="Times New Roman"/>
                      <w:color w:val="000000"/>
                      <w:sz w:val="21"/>
                      <w:szCs w:val="21"/>
                      <w:highlight w:val="none"/>
                      <w:lang w:val="en-US" w:eastAsia="zh-CN"/>
                    </w:rPr>
                  </w:pPr>
                </w:p>
              </w:tc>
              <w:tc>
                <w:tcPr>
                  <w:tcW w:w="585" w:type="dxa"/>
                  <w:noWrap w:val="0"/>
                  <w:vAlign w:val="center"/>
                </w:tcPr>
                <w:p w14:paraId="219F1EC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原料暂存区</w:t>
                  </w:r>
                </w:p>
              </w:tc>
              <w:tc>
                <w:tcPr>
                  <w:tcW w:w="621" w:type="dxa"/>
                  <w:noWrap w:val="0"/>
                  <w:vAlign w:val="center"/>
                </w:tcPr>
                <w:p w14:paraId="7EE31B9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val="en-US" w:eastAsia="zh-CN"/>
                    </w:rPr>
                  </w:pPr>
                  <w:r>
                    <w:rPr>
                      <w:rFonts w:hint="eastAsia"/>
                      <w:color w:val="000000"/>
                      <w:kern w:val="0"/>
                      <w:szCs w:val="21"/>
                      <w:lang w:val="en-US" w:eastAsia="zh-CN"/>
                    </w:rPr>
                    <w:t>颗粒状</w:t>
                  </w:r>
                </w:p>
              </w:tc>
              <w:tc>
                <w:tcPr>
                  <w:tcW w:w="735" w:type="dxa"/>
                  <w:noWrap w:val="0"/>
                  <w:vAlign w:val="center"/>
                </w:tcPr>
                <w:p w14:paraId="5750178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内膜吨袋</w:t>
                  </w:r>
                </w:p>
              </w:tc>
              <w:tc>
                <w:tcPr>
                  <w:tcW w:w="1242" w:type="dxa"/>
                  <w:noWrap w:val="0"/>
                  <w:vAlign w:val="center"/>
                </w:tcPr>
                <w:p w14:paraId="1D06EA9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kern w:val="0"/>
                      <w:szCs w:val="21"/>
                    </w:rPr>
                  </w:pPr>
                  <w:r>
                    <w:rPr>
                      <w:rFonts w:hint="eastAsia"/>
                      <w:kern w:val="0"/>
                      <w:szCs w:val="21"/>
                    </w:rPr>
                    <w:t>贝特瑞（四川）新材料科技有限公司</w:t>
                  </w:r>
                </w:p>
              </w:tc>
            </w:tr>
            <w:tr w14:paraId="6E11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3" w:type="dxa"/>
                  <w:noWrap w:val="0"/>
                  <w:vAlign w:val="center"/>
                </w:tcPr>
                <w:p w14:paraId="3AF1113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val="en-US" w:eastAsia="zh-CN" w:bidi="ar"/>
                    </w:rPr>
                  </w:pPr>
                  <w:r>
                    <w:rPr>
                      <w:rFonts w:hint="eastAsia"/>
                      <w:color w:val="000000"/>
                      <w:kern w:val="0"/>
                      <w:szCs w:val="21"/>
                      <w:lang w:val="en-US" w:eastAsia="zh-CN" w:bidi="ar"/>
                    </w:rPr>
                    <w:t>原料</w:t>
                  </w:r>
                </w:p>
              </w:tc>
              <w:tc>
                <w:tcPr>
                  <w:tcW w:w="900" w:type="dxa"/>
                  <w:noWrap w:val="0"/>
                  <w:vAlign w:val="center"/>
                </w:tcPr>
                <w:p w14:paraId="15CF8D2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煅后石油焦</w:t>
                  </w:r>
                </w:p>
              </w:tc>
              <w:tc>
                <w:tcPr>
                  <w:tcW w:w="870" w:type="dxa"/>
                  <w:noWrap w:val="0"/>
                  <w:vAlign w:val="center"/>
                </w:tcPr>
                <w:p w14:paraId="03A62D2C">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rPr>
                  </w:pPr>
                </w:p>
              </w:tc>
              <w:tc>
                <w:tcPr>
                  <w:tcW w:w="1020" w:type="dxa"/>
                  <w:noWrap w:val="0"/>
                  <w:vAlign w:val="center"/>
                </w:tcPr>
                <w:p w14:paraId="365AF98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rPr>
                  </w:pPr>
                </w:p>
              </w:tc>
              <w:tc>
                <w:tcPr>
                  <w:tcW w:w="885" w:type="dxa"/>
                  <w:noWrap w:val="0"/>
                  <w:vAlign w:val="center"/>
                </w:tcPr>
                <w:p w14:paraId="4457A82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750" w:type="dxa"/>
                  <w:noWrap w:val="0"/>
                  <w:vAlign w:val="center"/>
                </w:tcPr>
                <w:p w14:paraId="2885A77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585" w:type="dxa"/>
                  <w:noWrap w:val="0"/>
                  <w:vAlign w:val="center"/>
                </w:tcPr>
                <w:p w14:paraId="7F5AD813">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原料暂存区</w:t>
                  </w:r>
                </w:p>
                <w:p w14:paraId="12D4F907">
                  <w:pPr>
                    <w:pStyle w:val="17"/>
                    <w:rPr>
                      <w:rFonts w:hint="default"/>
                      <w:lang w:val="en-US" w:eastAsia="zh-CN"/>
                    </w:rPr>
                  </w:pPr>
                </w:p>
              </w:tc>
              <w:tc>
                <w:tcPr>
                  <w:tcW w:w="621" w:type="dxa"/>
                  <w:noWrap w:val="0"/>
                  <w:vAlign w:val="center"/>
                </w:tcPr>
                <w:p w14:paraId="2E788EE8">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 w:val="21"/>
                      <w:szCs w:val="21"/>
                      <w:lang w:val="en-US" w:eastAsia="zh-CN" w:bidi="ar-SA"/>
                    </w:rPr>
                  </w:pPr>
                  <w:r>
                    <w:rPr>
                      <w:rFonts w:hint="eastAsia" w:ascii="宋体" w:hAnsi="宋体" w:cs="宋体"/>
                      <w:color w:val="000000"/>
                      <w:kern w:val="0"/>
                      <w:szCs w:val="21"/>
                      <w:lang w:bidi="ar"/>
                    </w:rPr>
                    <w:t>丁状</w:t>
                  </w:r>
                </w:p>
              </w:tc>
              <w:tc>
                <w:tcPr>
                  <w:tcW w:w="735" w:type="dxa"/>
                  <w:noWrap w:val="0"/>
                  <w:vAlign w:val="center"/>
                </w:tcPr>
                <w:p w14:paraId="5119585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 w:val="21"/>
                      <w:szCs w:val="21"/>
                      <w:lang w:val="en-US" w:eastAsia="zh-CN" w:bidi="ar-SA"/>
                    </w:rPr>
                  </w:pPr>
                  <w:r>
                    <w:rPr>
                      <w:rFonts w:hint="eastAsia" w:ascii="宋体" w:hAnsi="宋体" w:cs="宋体"/>
                      <w:color w:val="000000"/>
                      <w:kern w:val="0"/>
                      <w:szCs w:val="21"/>
                      <w:lang w:bidi="ar"/>
                    </w:rPr>
                    <w:t>内膜吨袋</w:t>
                  </w:r>
                </w:p>
              </w:tc>
              <w:tc>
                <w:tcPr>
                  <w:tcW w:w="1242" w:type="dxa"/>
                  <w:noWrap w:val="0"/>
                  <w:vAlign w:val="center"/>
                </w:tcPr>
                <w:p w14:paraId="0F45A599">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kern w:val="0"/>
                      <w:sz w:val="21"/>
                      <w:szCs w:val="21"/>
                      <w:lang w:val="en-US" w:eastAsia="zh-CN" w:bidi="ar-SA"/>
                    </w:rPr>
                  </w:pPr>
                  <w:r>
                    <w:rPr>
                      <w:rFonts w:hint="eastAsia" w:ascii="宋体" w:hAnsi="宋体" w:cs="宋体"/>
                      <w:kern w:val="0"/>
                      <w:szCs w:val="21"/>
                      <w:lang w:bidi="ar"/>
                    </w:rPr>
                    <w:t>外购相关公司生产的</w:t>
                  </w:r>
                  <w:r>
                    <w:rPr>
                      <w:rFonts w:hint="eastAsia" w:ascii="宋体" w:hAnsi="宋体" w:cs="宋体"/>
                      <w:kern w:val="0"/>
                      <w:szCs w:val="21"/>
                      <w:lang w:val="en-US" w:eastAsia="zh-CN" w:bidi="ar"/>
                    </w:rPr>
                    <w:t>半</w:t>
                  </w:r>
                  <w:r>
                    <w:rPr>
                      <w:rFonts w:hint="eastAsia" w:ascii="宋体" w:hAnsi="宋体" w:cs="宋体"/>
                      <w:kern w:val="0"/>
                      <w:szCs w:val="21"/>
                      <w:lang w:bidi="ar"/>
                    </w:rPr>
                    <w:t>成品</w:t>
                  </w:r>
                </w:p>
              </w:tc>
            </w:tr>
            <w:tr w14:paraId="5A97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53" w:type="dxa"/>
                  <w:vMerge w:val="restart"/>
                  <w:noWrap w:val="0"/>
                  <w:vAlign w:val="center"/>
                </w:tcPr>
                <w:p w14:paraId="45A875A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val="en-US" w:eastAsia="zh-CN"/>
                    </w:rPr>
                  </w:pPr>
                  <w:r>
                    <w:rPr>
                      <w:rFonts w:hint="eastAsia"/>
                      <w:color w:val="000000"/>
                      <w:kern w:val="0"/>
                      <w:szCs w:val="21"/>
                      <w:lang w:val="en-US" w:eastAsia="zh-CN"/>
                    </w:rPr>
                    <w:t>能源</w:t>
                  </w:r>
                </w:p>
              </w:tc>
              <w:tc>
                <w:tcPr>
                  <w:tcW w:w="900" w:type="dxa"/>
                  <w:noWrap w:val="0"/>
                  <w:vAlign w:val="center"/>
                </w:tcPr>
                <w:p w14:paraId="2F7F25C6">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电</w:t>
                  </w:r>
                </w:p>
              </w:tc>
              <w:tc>
                <w:tcPr>
                  <w:tcW w:w="870" w:type="dxa"/>
                  <w:noWrap w:val="0"/>
                  <w:vAlign w:val="center"/>
                </w:tcPr>
                <w:p w14:paraId="017BEA9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rPr>
                  </w:pPr>
                </w:p>
              </w:tc>
              <w:tc>
                <w:tcPr>
                  <w:tcW w:w="1020" w:type="dxa"/>
                  <w:noWrap w:val="0"/>
                  <w:vAlign w:val="center"/>
                </w:tcPr>
                <w:p w14:paraId="5F96254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885" w:type="dxa"/>
                  <w:noWrap w:val="0"/>
                  <w:vAlign w:val="center"/>
                </w:tcPr>
                <w:p w14:paraId="7FC18CDC">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750" w:type="dxa"/>
                  <w:noWrap w:val="0"/>
                  <w:vAlign w:val="center"/>
                </w:tcPr>
                <w:p w14:paraId="19D9CC1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585" w:type="dxa"/>
                  <w:noWrap w:val="0"/>
                  <w:vAlign w:val="center"/>
                </w:tcPr>
                <w:p w14:paraId="57C81BC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r>
                    <w:rPr>
                      <w:color w:val="000000"/>
                      <w:kern w:val="0"/>
                      <w:szCs w:val="21"/>
                      <w:lang w:bidi="ar"/>
                    </w:rPr>
                    <w:t>/</w:t>
                  </w:r>
                </w:p>
              </w:tc>
              <w:tc>
                <w:tcPr>
                  <w:tcW w:w="621" w:type="dxa"/>
                  <w:noWrap w:val="0"/>
                  <w:vAlign w:val="center"/>
                </w:tcPr>
                <w:p w14:paraId="47CCC404">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color w:val="000000"/>
                      <w:kern w:val="0"/>
                      <w:szCs w:val="21"/>
                      <w:lang w:bidi="ar"/>
                    </w:rPr>
                    <w:t>/</w:t>
                  </w:r>
                </w:p>
              </w:tc>
              <w:tc>
                <w:tcPr>
                  <w:tcW w:w="735" w:type="dxa"/>
                  <w:noWrap w:val="0"/>
                  <w:vAlign w:val="center"/>
                </w:tcPr>
                <w:p w14:paraId="5714D384">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color w:val="000000"/>
                      <w:kern w:val="0"/>
                      <w:szCs w:val="21"/>
                      <w:lang w:bidi="ar"/>
                    </w:rPr>
                    <w:t>/</w:t>
                  </w:r>
                </w:p>
              </w:tc>
              <w:tc>
                <w:tcPr>
                  <w:tcW w:w="1242" w:type="dxa"/>
                  <w:noWrap w:val="0"/>
                  <w:vAlign w:val="center"/>
                </w:tcPr>
                <w:p w14:paraId="630881B9">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color w:val="000000"/>
                      <w:kern w:val="0"/>
                      <w:szCs w:val="21"/>
                    </w:rPr>
                    <w:t>园区电网</w:t>
                  </w:r>
                </w:p>
              </w:tc>
            </w:tr>
            <w:tr w14:paraId="2F83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653" w:type="dxa"/>
                  <w:vMerge w:val="continue"/>
                  <w:noWrap w:val="0"/>
                  <w:vAlign w:val="center"/>
                </w:tcPr>
                <w:p w14:paraId="28FAD1CD">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val="en-US" w:eastAsia="zh-CN"/>
                    </w:rPr>
                  </w:pPr>
                </w:p>
              </w:tc>
              <w:tc>
                <w:tcPr>
                  <w:tcW w:w="900" w:type="dxa"/>
                  <w:noWrap w:val="0"/>
                  <w:vAlign w:val="center"/>
                </w:tcPr>
                <w:p w14:paraId="09CF7B3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水</w:t>
                  </w:r>
                </w:p>
              </w:tc>
              <w:tc>
                <w:tcPr>
                  <w:tcW w:w="870" w:type="dxa"/>
                  <w:noWrap w:val="0"/>
                  <w:vAlign w:val="center"/>
                </w:tcPr>
                <w:p w14:paraId="14629E3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p>
              </w:tc>
              <w:tc>
                <w:tcPr>
                  <w:tcW w:w="1020" w:type="dxa"/>
                  <w:noWrap w:val="0"/>
                  <w:vAlign w:val="center"/>
                </w:tcPr>
                <w:p w14:paraId="296E739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885" w:type="dxa"/>
                  <w:noWrap w:val="0"/>
                  <w:vAlign w:val="center"/>
                </w:tcPr>
                <w:p w14:paraId="3221071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750" w:type="dxa"/>
                  <w:noWrap w:val="0"/>
                  <w:vAlign w:val="center"/>
                </w:tcPr>
                <w:p w14:paraId="7F80F273">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585" w:type="dxa"/>
                  <w:noWrap w:val="0"/>
                  <w:vAlign w:val="center"/>
                </w:tcPr>
                <w:p w14:paraId="529AA77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r>
                    <w:rPr>
                      <w:color w:val="000000"/>
                      <w:kern w:val="0"/>
                      <w:szCs w:val="21"/>
                      <w:lang w:bidi="ar"/>
                    </w:rPr>
                    <w:t>/</w:t>
                  </w:r>
                </w:p>
              </w:tc>
              <w:tc>
                <w:tcPr>
                  <w:tcW w:w="621" w:type="dxa"/>
                  <w:noWrap w:val="0"/>
                  <w:vAlign w:val="center"/>
                </w:tcPr>
                <w:p w14:paraId="2F86B9D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color w:val="000000"/>
                      <w:kern w:val="0"/>
                      <w:szCs w:val="21"/>
                      <w:lang w:bidi="ar"/>
                    </w:rPr>
                    <w:t>/</w:t>
                  </w:r>
                </w:p>
              </w:tc>
              <w:tc>
                <w:tcPr>
                  <w:tcW w:w="735" w:type="dxa"/>
                  <w:noWrap w:val="0"/>
                  <w:vAlign w:val="center"/>
                </w:tcPr>
                <w:p w14:paraId="03BBD5BA">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color w:val="000000"/>
                      <w:kern w:val="0"/>
                      <w:szCs w:val="21"/>
                      <w:lang w:bidi="ar"/>
                    </w:rPr>
                    <w:t>/</w:t>
                  </w:r>
                </w:p>
              </w:tc>
              <w:tc>
                <w:tcPr>
                  <w:tcW w:w="1242" w:type="dxa"/>
                  <w:noWrap w:val="0"/>
                  <w:vAlign w:val="center"/>
                </w:tcPr>
                <w:p w14:paraId="7FA7FF34">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color w:val="000000"/>
                      <w:kern w:val="0"/>
                      <w:szCs w:val="21"/>
                    </w:rPr>
                    <w:t>园区管网</w:t>
                  </w:r>
                </w:p>
              </w:tc>
            </w:tr>
            <w:tr w14:paraId="0F90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653" w:type="dxa"/>
                  <w:vMerge w:val="restart"/>
                  <w:noWrap w:val="0"/>
                  <w:vAlign w:val="center"/>
                </w:tcPr>
                <w:p w14:paraId="4DB44B59">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rPr>
                  </w:pPr>
                  <w:r>
                    <w:rPr>
                      <w:rFonts w:hint="eastAsia" w:eastAsia="宋体"/>
                      <w:color w:val="000000"/>
                      <w:kern w:val="0"/>
                      <w:szCs w:val="21"/>
                      <w:lang w:val="en-US" w:eastAsia="zh-CN"/>
                    </w:rPr>
                    <w:t>辅料</w:t>
                  </w:r>
                </w:p>
              </w:tc>
              <w:tc>
                <w:tcPr>
                  <w:tcW w:w="900" w:type="dxa"/>
                  <w:noWrap w:val="0"/>
                  <w:vAlign w:val="center"/>
                </w:tcPr>
                <w:p w14:paraId="2CEE66F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柴油</w:t>
                  </w:r>
                </w:p>
              </w:tc>
              <w:tc>
                <w:tcPr>
                  <w:tcW w:w="870" w:type="dxa"/>
                  <w:noWrap w:val="0"/>
                  <w:vAlign w:val="center"/>
                </w:tcPr>
                <w:p w14:paraId="7BD3157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p>
              </w:tc>
              <w:tc>
                <w:tcPr>
                  <w:tcW w:w="1020" w:type="dxa"/>
                  <w:noWrap w:val="0"/>
                  <w:vAlign w:val="center"/>
                </w:tcPr>
                <w:p w14:paraId="41C08AA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val="en-US" w:eastAsia="zh-CN" w:bidi="ar"/>
                    </w:rPr>
                  </w:pPr>
                </w:p>
              </w:tc>
              <w:tc>
                <w:tcPr>
                  <w:tcW w:w="885" w:type="dxa"/>
                  <w:noWrap w:val="0"/>
                  <w:vAlign w:val="center"/>
                </w:tcPr>
                <w:p w14:paraId="71B30D2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750" w:type="dxa"/>
                  <w:noWrap w:val="0"/>
                  <w:vAlign w:val="center"/>
                </w:tcPr>
                <w:p w14:paraId="1F9E0EF8">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585" w:type="dxa"/>
                  <w:noWrap w:val="0"/>
                  <w:vAlign w:val="center"/>
                </w:tcPr>
                <w:p w14:paraId="4CBF081F">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r>
                    <w:rPr>
                      <w:rFonts w:hint="eastAsia"/>
                      <w:color w:val="000000"/>
                      <w:kern w:val="0"/>
                      <w:szCs w:val="21"/>
                      <w:lang w:val="en-US" w:eastAsia="zh-CN" w:bidi="ar"/>
                    </w:rPr>
                    <w:t>柴油发电机房</w:t>
                  </w:r>
                </w:p>
              </w:tc>
              <w:tc>
                <w:tcPr>
                  <w:tcW w:w="621" w:type="dxa"/>
                  <w:noWrap w:val="0"/>
                  <w:vAlign w:val="center"/>
                </w:tcPr>
                <w:p w14:paraId="3E48999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液体</w:t>
                  </w:r>
                </w:p>
              </w:tc>
              <w:tc>
                <w:tcPr>
                  <w:tcW w:w="735" w:type="dxa"/>
                  <w:noWrap w:val="0"/>
                  <w:vAlign w:val="center"/>
                </w:tcPr>
                <w:p w14:paraId="3207CDF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桶装</w:t>
                  </w:r>
                </w:p>
              </w:tc>
              <w:tc>
                <w:tcPr>
                  <w:tcW w:w="1242" w:type="dxa"/>
                  <w:noWrap w:val="0"/>
                  <w:vAlign w:val="center"/>
                </w:tcPr>
                <w:p w14:paraId="075AE74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ascii="宋体" w:hAnsi="宋体" w:cs="宋体"/>
                      <w:color w:val="000000"/>
                      <w:kern w:val="0"/>
                      <w:szCs w:val="21"/>
                      <w:lang w:bidi="ar"/>
                    </w:rPr>
                    <w:t>外购</w:t>
                  </w:r>
                </w:p>
              </w:tc>
            </w:tr>
            <w:tr w14:paraId="3694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653" w:type="dxa"/>
                  <w:vMerge w:val="continue"/>
                  <w:noWrap w:val="0"/>
                  <w:vAlign w:val="center"/>
                </w:tcPr>
                <w:p w14:paraId="173AC2AF">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rPr>
                  </w:pPr>
                </w:p>
              </w:tc>
              <w:tc>
                <w:tcPr>
                  <w:tcW w:w="900" w:type="dxa"/>
                  <w:noWrap w:val="0"/>
                  <w:vAlign w:val="center"/>
                </w:tcPr>
                <w:p w14:paraId="210C093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机油/润滑油</w:t>
                  </w:r>
                </w:p>
              </w:tc>
              <w:tc>
                <w:tcPr>
                  <w:tcW w:w="870" w:type="dxa"/>
                  <w:noWrap w:val="0"/>
                  <w:vAlign w:val="center"/>
                </w:tcPr>
                <w:p w14:paraId="51DF78B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p>
              </w:tc>
              <w:tc>
                <w:tcPr>
                  <w:tcW w:w="1020" w:type="dxa"/>
                  <w:noWrap w:val="0"/>
                  <w:vAlign w:val="center"/>
                </w:tcPr>
                <w:p w14:paraId="0F79518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885" w:type="dxa"/>
                  <w:noWrap w:val="0"/>
                  <w:vAlign w:val="center"/>
                </w:tcPr>
                <w:p w14:paraId="5D12231C">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750" w:type="dxa"/>
                  <w:noWrap w:val="0"/>
                  <w:vAlign w:val="center"/>
                </w:tcPr>
                <w:p w14:paraId="5F752979">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585" w:type="dxa"/>
                  <w:noWrap w:val="0"/>
                  <w:vAlign w:val="center"/>
                </w:tcPr>
                <w:p w14:paraId="400B14E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r>
                    <w:rPr>
                      <w:rFonts w:hint="eastAsia"/>
                      <w:color w:val="000000"/>
                      <w:kern w:val="0"/>
                      <w:szCs w:val="21"/>
                      <w:lang w:val="en-US" w:eastAsia="zh-CN" w:bidi="ar"/>
                    </w:rPr>
                    <w:t>辅料库房</w:t>
                  </w:r>
                </w:p>
              </w:tc>
              <w:tc>
                <w:tcPr>
                  <w:tcW w:w="621" w:type="dxa"/>
                  <w:noWrap w:val="0"/>
                  <w:vAlign w:val="center"/>
                </w:tcPr>
                <w:p w14:paraId="6048404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液体</w:t>
                  </w:r>
                </w:p>
              </w:tc>
              <w:tc>
                <w:tcPr>
                  <w:tcW w:w="735" w:type="dxa"/>
                  <w:noWrap w:val="0"/>
                  <w:vAlign w:val="center"/>
                </w:tcPr>
                <w:p w14:paraId="02957246">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桶装</w:t>
                  </w:r>
                </w:p>
              </w:tc>
              <w:tc>
                <w:tcPr>
                  <w:tcW w:w="1242" w:type="dxa"/>
                  <w:noWrap w:val="0"/>
                  <w:vAlign w:val="center"/>
                </w:tcPr>
                <w:p w14:paraId="569CAB29">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外购</w:t>
                  </w:r>
                </w:p>
              </w:tc>
            </w:tr>
            <w:tr w14:paraId="1DAA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653" w:type="dxa"/>
                  <w:vMerge w:val="continue"/>
                  <w:noWrap w:val="0"/>
                  <w:vAlign w:val="center"/>
                </w:tcPr>
                <w:p w14:paraId="38A403DF">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val="en-US" w:eastAsia="zh-CN"/>
                    </w:rPr>
                  </w:pPr>
                </w:p>
              </w:tc>
              <w:tc>
                <w:tcPr>
                  <w:tcW w:w="900" w:type="dxa"/>
                  <w:noWrap w:val="0"/>
                  <w:vAlign w:val="center"/>
                </w:tcPr>
                <w:p w14:paraId="4C90134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color w:val="000000"/>
                      <w:kern w:val="0"/>
                      <w:szCs w:val="21"/>
                    </w:rPr>
                    <w:t>天然气</w:t>
                  </w:r>
                </w:p>
              </w:tc>
              <w:tc>
                <w:tcPr>
                  <w:tcW w:w="870" w:type="dxa"/>
                  <w:noWrap w:val="0"/>
                  <w:vAlign w:val="center"/>
                </w:tcPr>
                <w:p w14:paraId="6AABEC2A">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p>
              </w:tc>
              <w:tc>
                <w:tcPr>
                  <w:tcW w:w="1020" w:type="dxa"/>
                  <w:noWrap w:val="0"/>
                  <w:vAlign w:val="center"/>
                </w:tcPr>
                <w:p w14:paraId="0859CBA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885" w:type="dxa"/>
                  <w:noWrap w:val="0"/>
                  <w:vAlign w:val="center"/>
                </w:tcPr>
                <w:p w14:paraId="66E8975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750" w:type="dxa"/>
                  <w:noWrap w:val="0"/>
                  <w:vAlign w:val="center"/>
                </w:tcPr>
                <w:p w14:paraId="3D39F13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585" w:type="dxa"/>
                  <w:noWrap w:val="0"/>
                  <w:vAlign w:val="center"/>
                </w:tcPr>
                <w:p w14:paraId="0F5CE02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r>
                    <w:rPr>
                      <w:color w:val="000000"/>
                      <w:kern w:val="0"/>
                      <w:szCs w:val="21"/>
                      <w:lang w:bidi="ar"/>
                    </w:rPr>
                    <w:t>/</w:t>
                  </w:r>
                </w:p>
              </w:tc>
              <w:tc>
                <w:tcPr>
                  <w:tcW w:w="621" w:type="dxa"/>
                  <w:noWrap w:val="0"/>
                  <w:vAlign w:val="center"/>
                </w:tcPr>
                <w:p w14:paraId="5AF3841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color w:val="000000"/>
                      <w:kern w:val="0"/>
                      <w:szCs w:val="21"/>
                      <w:lang w:bidi="ar"/>
                    </w:rPr>
                    <w:t>/</w:t>
                  </w:r>
                </w:p>
              </w:tc>
              <w:tc>
                <w:tcPr>
                  <w:tcW w:w="735" w:type="dxa"/>
                  <w:noWrap w:val="0"/>
                  <w:vAlign w:val="center"/>
                </w:tcPr>
                <w:p w14:paraId="5248EDD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color w:val="000000"/>
                      <w:kern w:val="0"/>
                      <w:szCs w:val="21"/>
                      <w:lang w:bidi="ar"/>
                    </w:rPr>
                    <w:t>/</w:t>
                  </w:r>
                </w:p>
              </w:tc>
              <w:tc>
                <w:tcPr>
                  <w:tcW w:w="1242" w:type="dxa"/>
                  <w:noWrap w:val="0"/>
                  <w:vAlign w:val="center"/>
                </w:tcPr>
                <w:p w14:paraId="0BB2013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rPr>
                  </w:pPr>
                  <w:r>
                    <w:rPr>
                      <w:rFonts w:hint="eastAsia"/>
                      <w:color w:val="000000"/>
                      <w:kern w:val="0"/>
                      <w:szCs w:val="21"/>
                    </w:rPr>
                    <w:t>市政管网</w:t>
                  </w:r>
                </w:p>
              </w:tc>
            </w:tr>
            <w:tr w14:paraId="4C4D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53" w:type="dxa"/>
                  <w:vMerge w:val="continue"/>
                  <w:noWrap w:val="0"/>
                  <w:vAlign w:val="center"/>
                </w:tcPr>
                <w:p w14:paraId="3DA5AAD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rPr>
                  </w:pPr>
                </w:p>
              </w:tc>
              <w:tc>
                <w:tcPr>
                  <w:tcW w:w="900" w:type="dxa"/>
                  <w:noWrap w:val="0"/>
                  <w:vAlign w:val="center"/>
                </w:tcPr>
                <w:p w14:paraId="1888CF67">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rPr>
                  </w:pPr>
                  <w:r>
                    <w:rPr>
                      <w:rFonts w:hint="eastAsia"/>
                      <w:color w:val="000000"/>
                      <w:kern w:val="0"/>
                      <w:szCs w:val="21"/>
                    </w:rPr>
                    <w:t>氢氧化钠</w:t>
                  </w:r>
                </w:p>
              </w:tc>
              <w:tc>
                <w:tcPr>
                  <w:tcW w:w="870" w:type="dxa"/>
                  <w:noWrap w:val="0"/>
                  <w:vAlign w:val="center"/>
                </w:tcPr>
                <w:p w14:paraId="3D9993B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1020" w:type="dxa"/>
                  <w:noWrap w:val="0"/>
                  <w:vAlign w:val="center"/>
                </w:tcPr>
                <w:p w14:paraId="6F48E998">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885" w:type="dxa"/>
                  <w:noWrap w:val="0"/>
                  <w:vAlign w:val="center"/>
                </w:tcPr>
                <w:p w14:paraId="1210526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750" w:type="dxa"/>
                  <w:noWrap w:val="0"/>
                  <w:vAlign w:val="center"/>
                </w:tcPr>
                <w:p w14:paraId="33363D0F">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585" w:type="dxa"/>
                  <w:vMerge w:val="restart"/>
                  <w:noWrap w:val="0"/>
                  <w:vAlign w:val="center"/>
                </w:tcPr>
                <w:p w14:paraId="6D0AC7B9">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r>
                    <w:rPr>
                      <w:rFonts w:hint="eastAsia"/>
                      <w:color w:val="000000"/>
                      <w:kern w:val="0"/>
                      <w:szCs w:val="21"/>
                      <w:lang w:val="en-US" w:eastAsia="zh-CN" w:bidi="ar"/>
                    </w:rPr>
                    <w:t>辅料库房</w:t>
                  </w:r>
                </w:p>
              </w:tc>
              <w:tc>
                <w:tcPr>
                  <w:tcW w:w="621" w:type="dxa"/>
                  <w:noWrap w:val="0"/>
                  <w:vAlign w:val="center"/>
                </w:tcPr>
                <w:p w14:paraId="7D85B9BA">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eastAsia="宋体"/>
                      <w:color w:val="000000"/>
                      <w:kern w:val="0"/>
                      <w:szCs w:val="21"/>
                      <w:lang w:val="en-US" w:eastAsia="zh-CN" w:bidi="ar"/>
                    </w:rPr>
                  </w:pPr>
                  <w:r>
                    <w:rPr>
                      <w:rFonts w:hint="eastAsia"/>
                      <w:color w:val="000000"/>
                      <w:kern w:val="0"/>
                      <w:szCs w:val="21"/>
                      <w:lang w:val="en-US" w:eastAsia="zh-CN" w:bidi="ar"/>
                    </w:rPr>
                    <w:t>固体</w:t>
                  </w:r>
                </w:p>
              </w:tc>
              <w:tc>
                <w:tcPr>
                  <w:tcW w:w="735" w:type="dxa"/>
                  <w:noWrap w:val="0"/>
                  <w:vAlign w:val="center"/>
                </w:tcPr>
                <w:p w14:paraId="5C2A2BD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r>
                    <w:rPr>
                      <w:color w:val="000000"/>
                      <w:kern w:val="0"/>
                      <w:szCs w:val="21"/>
                      <w:lang w:bidi="ar"/>
                    </w:rPr>
                    <w:t>/</w:t>
                  </w:r>
                </w:p>
              </w:tc>
              <w:tc>
                <w:tcPr>
                  <w:tcW w:w="1242" w:type="dxa"/>
                  <w:noWrap w:val="0"/>
                  <w:vAlign w:val="center"/>
                </w:tcPr>
                <w:p w14:paraId="06327785">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rPr>
                  </w:pPr>
                  <w:r>
                    <w:rPr>
                      <w:rFonts w:hint="eastAsia"/>
                      <w:color w:val="000000"/>
                      <w:kern w:val="0"/>
                      <w:szCs w:val="21"/>
                    </w:rPr>
                    <w:t>外购，脱硫塔备用</w:t>
                  </w:r>
                </w:p>
              </w:tc>
            </w:tr>
            <w:tr w14:paraId="6FBF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53" w:type="dxa"/>
                  <w:vMerge w:val="continue"/>
                  <w:noWrap w:val="0"/>
                  <w:vAlign w:val="center"/>
                </w:tcPr>
                <w:p w14:paraId="76450C4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rPr>
                  </w:pPr>
                </w:p>
              </w:tc>
              <w:tc>
                <w:tcPr>
                  <w:tcW w:w="900" w:type="dxa"/>
                  <w:noWrap w:val="0"/>
                  <w:vAlign w:val="center"/>
                </w:tcPr>
                <w:p w14:paraId="255D1A06">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eastAsia="宋体"/>
                      <w:color w:val="000000"/>
                      <w:kern w:val="0"/>
                      <w:szCs w:val="21"/>
                      <w:lang w:eastAsia="zh-CN"/>
                    </w:rPr>
                  </w:pPr>
                  <w:r>
                    <w:rPr>
                      <w:rFonts w:hint="eastAsia"/>
                      <w:color w:val="000000"/>
                      <w:kern w:val="0"/>
                      <w:szCs w:val="21"/>
                      <w:lang w:val="en-US" w:eastAsia="zh-CN"/>
                    </w:rPr>
                    <w:t>氧化钙</w:t>
                  </w:r>
                </w:p>
              </w:tc>
              <w:tc>
                <w:tcPr>
                  <w:tcW w:w="870" w:type="dxa"/>
                  <w:noWrap w:val="0"/>
                  <w:vAlign w:val="center"/>
                </w:tcPr>
                <w:p w14:paraId="182CA962">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1020" w:type="dxa"/>
                  <w:noWrap w:val="0"/>
                  <w:vAlign w:val="center"/>
                </w:tcPr>
                <w:p w14:paraId="45E55D71">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885" w:type="dxa"/>
                  <w:noWrap w:val="0"/>
                  <w:vAlign w:val="center"/>
                </w:tcPr>
                <w:p w14:paraId="7D434718">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default"/>
                      <w:color w:val="000000"/>
                      <w:kern w:val="0"/>
                      <w:szCs w:val="21"/>
                      <w:lang w:val="en-US" w:eastAsia="zh-CN" w:bidi="ar"/>
                    </w:rPr>
                  </w:pPr>
                </w:p>
              </w:tc>
              <w:tc>
                <w:tcPr>
                  <w:tcW w:w="750" w:type="dxa"/>
                  <w:noWrap w:val="0"/>
                  <w:vAlign w:val="center"/>
                </w:tcPr>
                <w:p w14:paraId="4AD7605F">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585" w:type="dxa"/>
                  <w:vMerge w:val="continue"/>
                  <w:noWrap w:val="0"/>
                  <w:vAlign w:val="center"/>
                </w:tcPr>
                <w:p w14:paraId="0F31417B">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lang w:val="en-US" w:eastAsia="zh-CN" w:bidi="ar"/>
                    </w:rPr>
                  </w:pPr>
                </w:p>
              </w:tc>
              <w:tc>
                <w:tcPr>
                  <w:tcW w:w="621" w:type="dxa"/>
                  <w:noWrap w:val="0"/>
                  <w:vAlign w:val="center"/>
                </w:tcPr>
                <w:p w14:paraId="519046E0">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r>
                    <w:rPr>
                      <w:rFonts w:hint="eastAsia"/>
                      <w:color w:val="000000"/>
                      <w:kern w:val="0"/>
                      <w:szCs w:val="21"/>
                      <w:lang w:val="en-US" w:eastAsia="zh-CN" w:bidi="ar"/>
                    </w:rPr>
                    <w:t>固体</w:t>
                  </w:r>
                </w:p>
              </w:tc>
              <w:tc>
                <w:tcPr>
                  <w:tcW w:w="735" w:type="dxa"/>
                  <w:noWrap w:val="0"/>
                  <w:vAlign w:val="center"/>
                </w:tcPr>
                <w:p w14:paraId="0D67652C">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color w:val="000000"/>
                      <w:kern w:val="0"/>
                      <w:szCs w:val="21"/>
                      <w:lang w:bidi="ar"/>
                    </w:rPr>
                  </w:pPr>
                  <w:r>
                    <w:rPr>
                      <w:color w:val="000000"/>
                      <w:kern w:val="0"/>
                      <w:szCs w:val="21"/>
                      <w:lang w:bidi="ar"/>
                    </w:rPr>
                    <w:t>/</w:t>
                  </w:r>
                </w:p>
              </w:tc>
              <w:tc>
                <w:tcPr>
                  <w:tcW w:w="1242" w:type="dxa"/>
                  <w:noWrap w:val="0"/>
                  <w:vAlign w:val="center"/>
                </w:tcPr>
                <w:p w14:paraId="50F5EFEE">
                  <w:pPr>
                    <w:keepNext w:val="0"/>
                    <w:keepLines w:val="0"/>
                    <w:pageBreakBefore w:val="0"/>
                    <w:widowControl/>
                    <w:kinsoku/>
                    <w:wordWrap/>
                    <w:overflowPunct/>
                    <w:topLinePunct w:val="0"/>
                    <w:autoSpaceDE/>
                    <w:autoSpaceDN/>
                    <w:bidi w:val="0"/>
                    <w:adjustRightInd/>
                    <w:snapToGrid/>
                    <w:ind w:left="-42" w:leftChars="-20" w:right="-42" w:rightChars="-20"/>
                    <w:jc w:val="center"/>
                    <w:textAlignment w:val="center"/>
                    <w:rPr>
                      <w:rFonts w:hint="eastAsia"/>
                      <w:color w:val="000000"/>
                      <w:kern w:val="0"/>
                      <w:szCs w:val="21"/>
                    </w:rPr>
                  </w:pPr>
                  <w:r>
                    <w:rPr>
                      <w:rFonts w:hint="eastAsia"/>
                      <w:color w:val="000000"/>
                      <w:kern w:val="0"/>
                      <w:szCs w:val="21"/>
                    </w:rPr>
                    <w:t>外购，脱硫塔备用</w:t>
                  </w:r>
                </w:p>
              </w:tc>
            </w:tr>
          </w:tbl>
          <w:p w14:paraId="4BC57161">
            <w:pPr>
              <w:ind w:firstLine="482" w:firstLineChars="200"/>
              <w:jc w:val="center"/>
              <w:rPr>
                <w:rFonts w:hint="default" w:ascii="Times New Roman" w:hAnsi="Times New Roman" w:cs="Times New Roman"/>
                <w:b/>
                <w:color w:val="000000"/>
                <w:sz w:val="24"/>
              </w:rPr>
            </w:pPr>
          </w:p>
          <w:p w14:paraId="71FDCA84">
            <w:pPr>
              <w:pStyle w:val="10"/>
              <w:keepNext w:val="0"/>
              <w:keepLines w:val="0"/>
              <w:pageBreakBefore w:val="0"/>
              <w:kinsoku/>
              <w:wordWrap/>
              <w:overflowPunct/>
              <w:topLinePunct w:val="0"/>
              <w:autoSpaceDE/>
              <w:autoSpaceDN/>
              <w:bidi w:val="0"/>
              <w:adjustRightInd/>
              <w:spacing w:before="0" w:after="0" w:line="360" w:lineRule="auto"/>
              <w:ind w:right="0" w:firstLine="482" w:firstLineChars="200"/>
              <w:textAlignment w:val="auto"/>
              <w:rPr>
                <w:rFonts w:hint="default" w:ascii="Times New Roman" w:hAnsi="Times New Roman" w:cs="Times New Roman"/>
                <w:b w:val="0"/>
                <w:bCs w:val="0"/>
                <w:color w:val="000000"/>
                <w:sz w:val="24"/>
                <w:szCs w:val="24"/>
                <w:lang w:val="en-US" w:eastAsia="zh-CN"/>
              </w:rPr>
            </w:pPr>
            <w:r>
              <w:rPr>
                <w:rFonts w:hint="eastAsia" w:ascii="Times New Roman" w:hAnsi="Times New Roman" w:cs="Times New Roman"/>
                <w:b/>
                <w:bCs/>
                <w:color w:val="000000"/>
                <w:sz w:val="24"/>
                <w:szCs w:val="24"/>
                <w:lang w:val="en-US" w:eastAsia="zh-CN"/>
              </w:rPr>
              <w:t>负极材料半成品：</w:t>
            </w:r>
            <w:r>
              <w:rPr>
                <w:rFonts w:hint="eastAsia" w:ascii="Times New Roman" w:hAnsi="Times New Roman" w:cs="Times New Roman"/>
                <w:b w:val="0"/>
                <w:bCs w:val="0"/>
                <w:color w:val="000000"/>
                <w:sz w:val="24"/>
                <w:szCs w:val="24"/>
                <w:lang w:val="en-US" w:eastAsia="zh-CN"/>
              </w:rPr>
              <w:t>本项目负极材料半成品由贝特瑞（四川）新材料科技有限公司提供，根据建设单位提供的原料成分报告，其主要成分为碳、硫、灰分、挥发分、水分等，具体成分控制指标如下表。</w:t>
            </w:r>
          </w:p>
          <w:p w14:paraId="6EECCF04">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项目负极材料半成品主要成分表</w:t>
            </w:r>
          </w:p>
          <w:tbl>
            <w:tblPr>
              <w:tblStyle w:val="32"/>
              <w:tblW w:w="8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609"/>
              <w:gridCol w:w="1800"/>
              <w:gridCol w:w="1181"/>
              <w:gridCol w:w="1858"/>
            </w:tblGrid>
            <w:tr w14:paraId="276E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022" w:type="dxa"/>
                  <w:noWrap w:val="0"/>
                  <w:vAlign w:val="center"/>
                </w:tcPr>
                <w:p w14:paraId="3D28B6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sz w:val="21"/>
                      <w:szCs w:val="21"/>
                      <w:vertAlign w:val="baseline"/>
                      <w:lang w:val="en-US" w:eastAsia="zh-CN"/>
                    </w:rPr>
                  </w:pPr>
                  <w:r>
                    <w:rPr>
                      <w:rFonts w:hint="eastAsia"/>
                      <w:b/>
                      <w:bCs/>
                      <w:color w:val="000000"/>
                      <w:sz w:val="21"/>
                      <w:szCs w:val="21"/>
                      <w:vertAlign w:val="baseline"/>
                      <w:lang w:val="en-US" w:eastAsia="zh-CN"/>
                    </w:rPr>
                    <w:t>序号</w:t>
                  </w:r>
                </w:p>
              </w:tc>
              <w:tc>
                <w:tcPr>
                  <w:tcW w:w="2609" w:type="dxa"/>
                  <w:noWrap w:val="0"/>
                  <w:vAlign w:val="center"/>
                </w:tcPr>
                <w:p w14:paraId="0CFA0A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sz w:val="21"/>
                      <w:szCs w:val="21"/>
                      <w:vertAlign w:val="baseline"/>
                      <w:lang w:val="en-US" w:eastAsia="zh-CN"/>
                    </w:rPr>
                  </w:pPr>
                  <w:r>
                    <w:rPr>
                      <w:rFonts w:hint="eastAsia"/>
                      <w:b/>
                      <w:bCs/>
                      <w:color w:val="000000"/>
                      <w:sz w:val="21"/>
                      <w:szCs w:val="21"/>
                      <w:vertAlign w:val="baseline"/>
                      <w:lang w:val="en-US" w:eastAsia="zh-CN"/>
                    </w:rPr>
                    <w:t>名称</w:t>
                  </w:r>
                </w:p>
              </w:tc>
              <w:tc>
                <w:tcPr>
                  <w:tcW w:w="1800" w:type="dxa"/>
                  <w:noWrap w:val="0"/>
                  <w:vAlign w:val="center"/>
                </w:tcPr>
                <w:p w14:paraId="06C3C7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sz w:val="21"/>
                      <w:szCs w:val="21"/>
                      <w:vertAlign w:val="baseline"/>
                      <w:lang w:val="en-US" w:eastAsia="zh-CN"/>
                    </w:rPr>
                  </w:pPr>
                  <w:r>
                    <w:rPr>
                      <w:rFonts w:hint="eastAsia"/>
                      <w:b/>
                      <w:bCs/>
                      <w:color w:val="000000"/>
                      <w:sz w:val="21"/>
                      <w:szCs w:val="21"/>
                      <w:vertAlign w:val="baseline"/>
                      <w:lang w:val="en-US" w:eastAsia="zh-CN"/>
                    </w:rPr>
                    <w:t>质量指标</w:t>
                  </w:r>
                </w:p>
              </w:tc>
              <w:tc>
                <w:tcPr>
                  <w:tcW w:w="1181" w:type="dxa"/>
                  <w:noWrap w:val="0"/>
                  <w:vAlign w:val="center"/>
                </w:tcPr>
                <w:p w14:paraId="514B8B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sz w:val="21"/>
                      <w:szCs w:val="21"/>
                      <w:vertAlign w:val="baseline"/>
                      <w:lang w:val="en-US" w:eastAsia="zh-CN"/>
                    </w:rPr>
                  </w:pPr>
                  <w:r>
                    <w:rPr>
                      <w:rFonts w:hint="eastAsia"/>
                      <w:b/>
                      <w:bCs/>
                      <w:color w:val="000000"/>
                      <w:sz w:val="21"/>
                      <w:szCs w:val="21"/>
                      <w:vertAlign w:val="baseline"/>
                      <w:lang w:val="en-US" w:eastAsia="zh-CN"/>
                    </w:rPr>
                    <w:t>成分含量</w:t>
                  </w:r>
                </w:p>
              </w:tc>
              <w:tc>
                <w:tcPr>
                  <w:tcW w:w="1858" w:type="dxa"/>
                  <w:noWrap w:val="0"/>
                  <w:vAlign w:val="center"/>
                </w:tcPr>
                <w:p w14:paraId="232804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sz w:val="21"/>
                      <w:szCs w:val="21"/>
                      <w:vertAlign w:val="baseline"/>
                      <w:lang w:val="en-US" w:eastAsia="zh-CN"/>
                    </w:rPr>
                  </w:pPr>
                  <w:r>
                    <w:rPr>
                      <w:rFonts w:hint="eastAsia"/>
                      <w:b/>
                      <w:bCs/>
                      <w:color w:val="000000"/>
                      <w:sz w:val="21"/>
                      <w:szCs w:val="21"/>
                      <w:vertAlign w:val="baseline"/>
                      <w:lang w:val="en-US" w:eastAsia="zh-CN"/>
                    </w:rPr>
                    <w:t>检测依据</w:t>
                  </w:r>
                </w:p>
              </w:tc>
            </w:tr>
            <w:tr w14:paraId="48C5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022" w:type="dxa"/>
                  <w:noWrap w:val="0"/>
                  <w:vAlign w:val="center"/>
                </w:tcPr>
                <w:p w14:paraId="2EBFF28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val="0"/>
                      <w:bCs w:val="0"/>
                      <w:color w:val="000000"/>
                      <w:sz w:val="21"/>
                      <w:szCs w:val="21"/>
                      <w:vertAlign w:val="baseline"/>
                      <w:lang w:val="en-US" w:eastAsia="zh-CN"/>
                    </w:rPr>
                  </w:pPr>
                  <w:r>
                    <w:rPr>
                      <w:rFonts w:hint="eastAsia"/>
                      <w:b w:val="0"/>
                      <w:bCs w:val="0"/>
                      <w:color w:val="000000"/>
                      <w:sz w:val="21"/>
                      <w:szCs w:val="21"/>
                      <w:vertAlign w:val="baseline"/>
                      <w:lang w:val="en-US" w:eastAsia="zh-CN"/>
                    </w:rPr>
                    <w:t>1</w:t>
                  </w:r>
                </w:p>
              </w:tc>
              <w:tc>
                <w:tcPr>
                  <w:tcW w:w="2609" w:type="dxa"/>
                  <w:noWrap w:val="0"/>
                  <w:vAlign w:val="center"/>
                </w:tcPr>
                <w:p w14:paraId="3907709A">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kern w:val="2"/>
                      <w:sz w:val="21"/>
                      <w:szCs w:val="21"/>
                      <w:lang w:val="en-US" w:eastAsia="zh-CN" w:bidi="ar-SA"/>
                    </w:rPr>
                  </w:pPr>
                  <w:r>
                    <w:rPr>
                      <w:color w:val="000000"/>
                      <w:spacing w:val="8"/>
                      <w:sz w:val="21"/>
                      <w:szCs w:val="21"/>
                    </w:rPr>
                    <w:t>硫含量（质量分数）</w:t>
                  </w:r>
                  <w:r>
                    <w:rPr>
                      <w:rFonts w:ascii="Times New Roman" w:hAnsi="Times New Roman" w:eastAsia="Times New Roman" w:cs="Times New Roman"/>
                      <w:color w:val="000000"/>
                      <w:spacing w:val="8"/>
                      <w:sz w:val="21"/>
                      <w:szCs w:val="21"/>
                    </w:rPr>
                    <w:t>/%</w:t>
                  </w:r>
                </w:p>
              </w:tc>
              <w:tc>
                <w:tcPr>
                  <w:tcW w:w="1800" w:type="dxa"/>
                  <w:noWrap w:val="0"/>
                  <w:vAlign w:val="center"/>
                </w:tcPr>
                <w:p w14:paraId="1B909DB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bCs/>
                      <w:color w:val="000000"/>
                      <w:kern w:val="2"/>
                      <w:sz w:val="21"/>
                      <w:szCs w:val="21"/>
                      <w:vertAlign w:val="baseline"/>
                      <w:lang w:val="en-US" w:eastAsia="zh-CN" w:bidi="ar-SA"/>
                    </w:rPr>
                  </w:pPr>
                  <w:r>
                    <w:rPr>
                      <w:rFonts w:ascii="Times New Roman" w:hAnsi="Times New Roman" w:eastAsia="Times New Roman" w:cs="Times New Roman"/>
                      <w:color w:val="000000"/>
                      <w:spacing w:val="3"/>
                      <w:sz w:val="21"/>
                      <w:szCs w:val="21"/>
                    </w:rPr>
                    <w:t>≤0.5</w:t>
                  </w:r>
                </w:p>
              </w:tc>
              <w:tc>
                <w:tcPr>
                  <w:tcW w:w="1181" w:type="dxa"/>
                  <w:noWrap w:val="0"/>
                  <w:vAlign w:val="center"/>
                </w:tcPr>
                <w:p w14:paraId="0CB1D071">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spacing w:val="4"/>
                      <w:kern w:val="2"/>
                      <w:sz w:val="21"/>
                      <w:szCs w:val="21"/>
                      <w:lang w:val="en-US" w:eastAsia="zh-CN" w:bidi="ar-SA"/>
                    </w:rPr>
                  </w:pPr>
                </w:p>
              </w:tc>
              <w:tc>
                <w:tcPr>
                  <w:tcW w:w="1858" w:type="dxa"/>
                  <w:noWrap w:val="0"/>
                  <w:vAlign w:val="center"/>
                </w:tcPr>
                <w:p w14:paraId="45CB668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eastAsia="宋体"/>
                      <w:b/>
                      <w:bCs/>
                      <w:color w:val="000000"/>
                      <w:kern w:val="2"/>
                      <w:sz w:val="21"/>
                      <w:szCs w:val="21"/>
                      <w:vertAlign w:val="baseline"/>
                      <w:lang w:val="en-US" w:eastAsia="zh-CN" w:bidi="ar-SA"/>
                    </w:rPr>
                  </w:pPr>
                  <w:r>
                    <w:rPr>
                      <w:rFonts w:hint="eastAsia" w:ascii="Times New Roman" w:hAnsi="Times New Roman" w:eastAsia="宋体" w:cs="Times New Roman"/>
                      <w:color w:val="000000"/>
                      <w:spacing w:val="2"/>
                      <w:sz w:val="21"/>
                      <w:szCs w:val="21"/>
                      <w:lang w:val="en-US" w:eastAsia="zh-CN"/>
                    </w:rPr>
                    <w:t>GB/T 214-2007</w:t>
                  </w:r>
                </w:p>
              </w:tc>
            </w:tr>
            <w:tr w14:paraId="6212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022" w:type="dxa"/>
                  <w:noWrap w:val="0"/>
                  <w:vAlign w:val="center"/>
                </w:tcPr>
                <w:p w14:paraId="363DA9D2">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val="0"/>
                      <w:bCs w:val="0"/>
                      <w:color w:val="000000"/>
                      <w:sz w:val="21"/>
                      <w:szCs w:val="21"/>
                      <w:vertAlign w:val="baseline"/>
                      <w:lang w:val="en-US" w:eastAsia="zh-CN"/>
                    </w:rPr>
                  </w:pPr>
                  <w:r>
                    <w:rPr>
                      <w:rFonts w:hint="eastAsia"/>
                      <w:b w:val="0"/>
                      <w:bCs w:val="0"/>
                      <w:color w:val="000000"/>
                      <w:sz w:val="21"/>
                      <w:szCs w:val="21"/>
                      <w:vertAlign w:val="baseline"/>
                      <w:lang w:val="en-US" w:eastAsia="zh-CN"/>
                    </w:rPr>
                    <w:t>2</w:t>
                  </w:r>
                </w:p>
              </w:tc>
              <w:tc>
                <w:tcPr>
                  <w:tcW w:w="2609" w:type="dxa"/>
                  <w:noWrap w:val="0"/>
                  <w:vAlign w:val="center"/>
                </w:tcPr>
                <w:p w14:paraId="6E56F290">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kern w:val="2"/>
                      <w:sz w:val="21"/>
                      <w:szCs w:val="21"/>
                      <w:lang w:val="en-US" w:eastAsia="zh-CN" w:bidi="ar-SA"/>
                    </w:rPr>
                  </w:pPr>
                  <w:r>
                    <w:rPr>
                      <w:color w:val="000000"/>
                      <w:spacing w:val="7"/>
                      <w:sz w:val="21"/>
                      <w:szCs w:val="21"/>
                    </w:rPr>
                    <w:t>灰分（质量分数）</w:t>
                  </w:r>
                  <w:r>
                    <w:rPr>
                      <w:rFonts w:ascii="Times New Roman" w:hAnsi="Times New Roman" w:eastAsia="Times New Roman" w:cs="Times New Roman"/>
                      <w:color w:val="000000"/>
                      <w:spacing w:val="7"/>
                      <w:sz w:val="21"/>
                      <w:szCs w:val="21"/>
                    </w:rPr>
                    <w:t>/%</w:t>
                  </w:r>
                </w:p>
              </w:tc>
              <w:tc>
                <w:tcPr>
                  <w:tcW w:w="1800" w:type="dxa"/>
                  <w:noWrap w:val="0"/>
                  <w:vAlign w:val="center"/>
                </w:tcPr>
                <w:p w14:paraId="3280A85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bCs/>
                      <w:color w:val="000000"/>
                      <w:kern w:val="2"/>
                      <w:sz w:val="21"/>
                      <w:szCs w:val="21"/>
                      <w:vertAlign w:val="baseline"/>
                      <w:lang w:val="en-US" w:eastAsia="zh-CN" w:bidi="ar-SA"/>
                    </w:rPr>
                  </w:pPr>
                  <w:r>
                    <w:rPr>
                      <w:rFonts w:ascii="Times New Roman" w:hAnsi="Times New Roman" w:eastAsia="Times New Roman" w:cs="Times New Roman"/>
                      <w:color w:val="000000"/>
                      <w:spacing w:val="3"/>
                      <w:sz w:val="21"/>
                      <w:szCs w:val="21"/>
                    </w:rPr>
                    <w:t>≤0.20</w:t>
                  </w:r>
                </w:p>
              </w:tc>
              <w:tc>
                <w:tcPr>
                  <w:tcW w:w="1181" w:type="dxa"/>
                  <w:noWrap w:val="0"/>
                  <w:vAlign w:val="center"/>
                </w:tcPr>
                <w:p w14:paraId="7FCC3CC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spacing w:val="4"/>
                      <w:kern w:val="2"/>
                      <w:sz w:val="21"/>
                      <w:szCs w:val="21"/>
                      <w:lang w:val="en-US" w:eastAsia="zh-CN" w:bidi="ar-SA"/>
                    </w:rPr>
                  </w:pPr>
                </w:p>
              </w:tc>
              <w:tc>
                <w:tcPr>
                  <w:tcW w:w="1858" w:type="dxa"/>
                  <w:noWrap w:val="0"/>
                  <w:vAlign w:val="center"/>
                </w:tcPr>
                <w:p w14:paraId="1179E2E2">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eastAsia="宋体"/>
                      <w:b/>
                      <w:bCs/>
                      <w:color w:val="000000"/>
                      <w:kern w:val="2"/>
                      <w:sz w:val="21"/>
                      <w:szCs w:val="21"/>
                      <w:vertAlign w:val="baseline"/>
                      <w:lang w:val="en-US" w:eastAsia="zh-CN" w:bidi="ar-SA"/>
                    </w:rPr>
                  </w:pPr>
                  <w:r>
                    <w:rPr>
                      <w:rFonts w:hint="eastAsia" w:ascii="Times New Roman" w:hAnsi="Times New Roman" w:eastAsia="宋体" w:cs="Times New Roman"/>
                      <w:color w:val="000000"/>
                      <w:sz w:val="21"/>
                      <w:szCs w:val="21"/>
                      <w:lang w:val="en-US" w:eastAsia="zh-CN"/>
                    </w:rPr>
                    <w:t>GB/T 1429-2009</w:t>
                  </w:r>
                </w:p>
              </w:tc>
            </w:tr>
            <w:tr w14:paraId="1209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22" w:type="dxa"/>
                  <w:noWrap w:val="0"/>
                  <w:vAlign w:val="center"/>
                </w:tcPr>
                <w:p w14:paraId="39BD631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val="0"/>
                      <w:bCs w:val="0"/>
                      <w:color w:val="000000"/>
                      <w:sz w:val="21"/>
                      <w:szCs w:val="21"/>
                      <w:vertAlign w:val="baseline"/>
                      <w:lang w:val="en-US" w:eastAsia="zh-CN"/>
                    </w:rPr>
                  </w:pPr>
                  <w:r>
                    <w:rPr>
                      <w:rFonts w:hint="eastAsia"/>
                      <w:b w:val="0"/>
                      <w:bCs w:val="0"/>
                      <w:color w:val="000000"/>
                      <w:sz w:val="21"/>
                      <w:szCs w:val="21"/>
                      <w:vertAlign w:val="baseline"/>
                      <w:lang w:val="en-US" w:eastAsia="zh-CN"/>
                    </w:rPr>
                    <w:t>3</w:t>
                  </w:r>
                </w:p>
              </w:tc>
              <w:tc>
                <w:tcPr>
                  <w:tcW w:w="2609" w:type="dxa"/>
                  <w:noWrap w:val="0"/>
                  <w:vAlign w:val="center"/>
                </w:tcPr>
                <w:p w14:paraId="177B4002">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kern w:val="2"/>
                      <w:sz w:val="21"/>
                      <w:szCs w:val="21"/>
                      <w:lang w:val="en-US" w:eastAsia="zh-CN" w:bidi="ar-SA"/>
                    </w:rPr>
                  </w:pPr>
                  <w:r>
                    <w:rPr>
                      <w:color w:val="000000"/>
                      <w:spacing w:val="8"/>
                      <w:sz w:val="21"/>
                      <w:szCs w:val="21"/>
                    </w:rPr>
                    <w:t>挥发分（质量分数）</w:t>
                  </w:r>
                  <w:r>
                    <w:rPr>
                      <w:rFonts w:ascii="Times New Roman" w:hAnsi="Times New Roman" w:eastAsia="Times New Roman" w:cs="Times New Roman"/>
                      <w:color w:val="000000"/>
                      <w:spacing w:val="8"/>
                      <w:sz w:val="21"/>
                      <w:szCs w:val="21"/>
                    </w:rPr>
                    <w:t>/%</w:t>
                  </w:r>
                </w:p>
              </w:tc>
              <w:tc>
                <w:tcPr>
                  <w:tcW w:w="1800" w:type="dxa"/>
                  <w:noWrap w:val="0"/>
                  <w:vAlign w:val="center"/>
                </w:tcPr>
                <w:p w14:paraId="3CB50DCE">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bCs/>
                      <w:color w:val="000000"/>
                      <w:kern w:val="2"/>
                      <w:sz w:val="21"/>
                      <w:szCs w:val="21"/>
                      <w:vertAlign w:val="baseline"/>
                      <w:lang w:val="en-US" w:eastAsia="zh-CN" w:bidi="ar-SA"/>
                    </w:rPr>
                  </w:pPr>
                  <w:r>
                    <w:rPr>
                      <w:rFonts w:ascii="Times New Roman" w:hAnsi="Times New Roman" w:eastAsia="Times New Roman" w:cs="Times New Roman"/>
                      <w:color w:val="000000"/>
                      <w:spacing w:val="3"/>
                      <w:sz w:val="21"/>
                      <w:szCs w:val="21"/>
                    </w:rPr>
                    <w:t>5.00-9.00</w:t>
                  </w:r>
                </w:p>
              </w:tc>
              <w:tc>
                <w:tcPr>
                  <w:tcW w:w="1181" w:type="dxa"/>
                  <w:noWrap w:val="0"/>
                  <w:vAlign w:val="center"/>
                </w:tcPr>
                <w:p w14:paraId="671AB24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spacing w:val="4"/>
                      <w:kern w:val="2"/>
                      <w:sz w:val="21"/>
                      <w:szCs w:val="21"/>
                      <w:lang w:val="en-US" w:eastAsia="zh-CN" w:bidi="ar-SA"/>
                    </w:rPr>
                  </w:pPr>
                </w:p>
              </w:tc>
              <w:tc>
                <w:tcPr>
                  <w:tcW w:w="1858" w:type="dxa"/>
                  <w:noWrap w:val="0"/>
                  <w:vAlign w:val="center"/>
                </w:tcPr>
                <w:p w14:paraId="41E212C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eastAsia="宋体"/>
                      <w:b/>
                      <w:bCs/>
                      <w:color w:val="000000"/>
                      <w:kern w:val="2"/>
                      <w:sz w:val="21"/>
                      <w:szCs w:val="21"/>
                      <w:vertAlign w:val="baseline"/>
                      <w:lang w:val="en-US" w:eastAsia="zh-CN" w:bidi="ar-SA"/>
                    </w:rPr>
                  </w:pPr>
                  <w:r>
                    <w:rPr>
                      <w:rFonts w:ascii="Times New Roman" w:hAnsi="Times New Roman" w:eastAsia="Times New Roman" w:cs="Times New Roman"/>
                      <w:color w:val="000000"/>
                      <w:sz w:val="21"/>
                      <w:szCs w:val="21"/>
                    </w:rPr>
                    <w:t>YB</w:t>
                  </w:r>
                  <w:r>
                    <w:rPr>
                      <w:rFonts w:ascii="Times New Roman" w:hAnsi="Times New Roman" w:eastAsia="Times New Roman" w:cs="Times New Roman"/>
                      <w:color w:val="000000"/>
                      <w:spacing w:val="4"/>
                      <w:sz w:val="21"/>
                      <w:szCs w:val="21"/>
                    </w:rPr>
                    <w:t>/T</w:t>
                  </w:r>
                  <w:r>
                    <w:rPr>
                      <w:rFonts w:ascii="Times New Roman" w:hAnsi="Times New Roman" w:eastAsia="Times New Roman" w:cs="Times New Roman"/>
                      <w:color w:val="000000"/>
                      <w:spacing w:val="14"/>
                      <w:sz w:val="21"/>
                      <w:szCs w:val="21"/>
                    </w:rPr>
                    <w:t xml:space="preserve"> </w:t>
                  </w:r>
                  <w:r>
                    <w:rPr>
                      <w:rFonts w:ascii="Times New Roman" w:hAnsi="Times New Roman" w:eastAsia="Times New Roman" w:cs="Times New Roman"/>
                      <w:color w:val="000000"/>
                      <w:spacing w:val="4"/>
                      <w:sz w:val="21"/>
                      <w:szCs w:val="21"/>
                    </w:rPr>
                    <w:t>5189</w:t>
                  </w:r>
                  <w:r>
                    <w:rPr>
                      <w:rFonts w:hint="eastAsia" w:ascii="Times New Roman" w:hAnsi="Times New Roman" w:eastAsia="宋体" w:cs="Times New Roman"/>
                      <w:color w:val="000000"/>
                      <w:spacing w:val="4"/>
                      <w:sz w:val="21"/>
                      <w:szCs w:val="21"/>
                      <w:lang w:val="en-US" w:eastAsia="zh-CN"/>
                    </w:rPr>
                    <w:t>-2022</w:t>
                  </w:r>
                </w:p>
              </w:tc>
            </w:tr>
            <w:tr w14:paraId="7F21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022" w:type="dxa"/>
                  <w:noWrap w:val="0"/>
                  <w:vAlign w:val="center"/>
                </w:tcPr>
                <w:p w14:paraId="061C782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val="0"/>
                      <w:bCs w:val="0"/>
                      <w:color w:val="000000"/>
                      <w:sz w:val="21"/>
                      <w:szCs w:val="21"/>
                      <w:vertAlign w:val="baseline"/>
                      <w:lang w:val="en-US" w:eastAsia="zh-CN"/>
                    </w:rPr>
                  </w:pPr>
                  <w:r>
                    <w:rPr>
                      <w:rFonts w:hint="eastAsia"/>
                      <w:b w:val="0"/>
                      <w:bCs w:val="0"/>
                      <w:color w:val="000000"/>
                      <w:sz w:val="21"/>
                      <w:szCs w:val="21"/>
                      <w:vertAlign w:val="baseline"/>
                      <w:lang w:val="en-US" w:eastAsia="zh-CN"/>
                    </w:rPr>
                    <w:t>4</w:t>
                  </w:r>
                </w:p>
              </w:tc>
              <w:tc>
                <w:tcPr>
                  <w:tcW w:w="2609" w:type="dxa"/>
                  <w:noWrap w:val="0"/>
                  <w:vAlign w:val="center"/>
                </w:tcPr>
                <w:p w14:paraId="21DA3340">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kern w:val="2"/>
                      <w:sz w:val="21"/>
                      <w:szCs w:val="21"/>
                      <w:lang w:val="en-US" w:eastAsia="zh-CN" w:bidi="ar-SA"/>
                    </w:rPr>
                  </w:pPr>
                  <w:r>
                    <w:rPr>
                      <w:color w:val="000000"/>
                      <w:spacing w:val="7"/>
                      <w:sz w:val="21"/>
                      <w:szCs w:val="21"/>
                    </w:rPr>
                    <w:t>水分（质量分数）</w:t>
                  </w:r>
                  <w:r>
                    <w:rPr>
                      <w:rFonts w:ascii="Times New Roman" w:hAnsi="Times New Roman" w:eastAsia="Times New Roman" w:cs="Times New Roman"/>
                      <w:color w:val="000000"/>
                      <w:spacing w:val="7"/>
                      <w:sz w:val="21"/>
                      <w:szCs w:val="21"/>
                    </w:rPr>
                    <w:t>/%</w:t>
                  </w:r>
                </w:p>
              </w:tc>
              <w:tc>
                <w:tcPr>
                  <w:tcW w:w="1800" w:type="dxa"/>
                  <w:noWrap w:val="0"/>
                  <w:vAlign w:val="center"/>
                </w:tcPr>
                <w:p w14:paraId="21A109A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bCs/>
                      <w:color w:val="000000"/>
                      <w:kern w:val="2"/>
                      <w:sz w:val="21"/>
                      <w:szCs w:val="21"/>
                      <w:vertAlign w:val="baseline"/>
                      <w:lang w:val="en-US" w:eastAsia="zh-CN" w:bidi="ar-SA"/>
                    </w:rPr>
                  </w:pPr>
                  <w:r>
                    <w:rPr>
                      <w:rFonts w:ascii="Times New Roman" w:hAnsi="Times New Roman" w:eastAsia="Times New Roman" w:cs="Times New Roman"/>
                      <w:color w:val="000000"/>
                      <w:spacing w:val="2"/>
                      <w:sz w:val="21"/>
                      <w:szCs w:val="21"/>
                    </w:rPr>
                    <w:t>/</w:t>
                  </w:r>
                </w:p>
              </w:tc>
              <w:tc>
                <w:tcPr>
                  <w:tcW w:w="1181" w:type="dxa"/>
                  <w:noWrap w:val="0"/>
                  <w:vAlign w:val="center"/>
                </w:tcPr>
                <w:p w14:paraId="1D95F3D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spacing w:val="4"/>
                      <w:kern w:val="2"/>
                      <w:sz w:val="21"/>
                      <w:szCs w:val="21"/>
                      <w:lang w:val="en-US" w:eastAsia="zh-CN" w:bidi="ar-SA"/>
                    </w:rPr>
                  </w:pPr>
                </w:p>
              </w:tc>
              <w:tc>
                <w:tcPr>
                  <w:tcW w:w="1858" w:type="dxa"/>
                  <w:noWrap w:val="0"/>
                  <w:vAlign w:val="center"/>
                </w:tcPr>
                <w:p w14:paraId="6B731C9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eastAsia="宋体"/>
                      <w:b/>
                      <w:bCs/>
                      <w:color w:val="000000"/>
                      <w:kern w:val="2"/>
                      <w:sz w:val="21"/>
                      <w:szCs w:val="21"/>
                      <w:vertAlign w:val="baseline"/>
                      <w:lang w:val="en-US" w:eastAsia="zh-CN" w:bidi="ar-SA"/>
                    </w:rPr>
                  </w:pPr>
                  <w:r>
                    <w:rPr>
                      <w:rFonts w:hint="eastAsia" w:ascii="Times New Roman" w:hAnsi="Times New Roman" w:eastAsia="宋体" w:cs="Times New Roman"/>
                      <w:color w:val="000000"/>
                      <w:sz w:val="21"/>
                      <w:szCs w:val="21"/>
                      <w:lang w:val="en-US" w:eastAsia="zh-CN"/>
                    </w:rPr>
                    <w:t>GB/T 211-2017</w:t>
                  </w:r>
                </w:p>
              </w:tc>
            </w:tr>
            <w:tr w14:paraId="300B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022" w:type="dxa"/>
                  <w:noWrap w:val="0"/>
                  <w:vAlign w:val="center"/>
                </w:tcPr>
                <w:p w14:paraId="17C6B3BD">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val="0"/>
                      <w:bCs w:val="0"/>
                      <w:color w:val="000000"/>
                      <w:sz w:val="21"/>
                      <w:szCs w:val="21"/>
                      <w:vertAlign w:val="baseline"/>
                      <w:lang w:val="en-US" w:eastAsia="zh-CN"/>
                    </w:rPr>
                  </w:pPr>
                  <w:r>
                    <w:rPr>
                      <w:rFonts w:hint="eastAsia"/>
                      <w:b w:val="0"/>
                      <w:bCs w:val="0"/>
                      <w:color w:val="000000"/>
                      <w:sz w:val="21"/>
                      <w:szCs w:val="21"/>
                      <w:vertAlign w:val="baseline"/>
                      <w:lang w:val="en-US" w:eastAsia="zh-CN"/>
                    </w:rPr>
                    <w:t>5</w:t>
                  </w:r>
                </w:p>
              </w:tc>
              <w:tc>
                <w:tcPr>
                  <w:tcW w:w="2609" w:type="dxa"/>
                  <w:noWrap w:val="0"/>
                  <w:vAlign w:val="center"/>
                </w:tcPr>
                <w:p w14:paraId="31B7892E">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固定碳</w:t>
                  </w:r>
                </w:p>
              </w:tc>
              <w:tc>
                <w:tcPr>
                  <w:tcW w:w="1800" w:type="dxa"/>
                  <w:noWrap w:val="0"/>
                  <w:vAlign w:val="center"/>
                </w:tcPr>
                <w:p w14:paraId="34F93BA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bCs/>
                      <w:color w:val="000000"/>
                      <w:kern w:val="2"/>
                      <w:sz w:val="21"/>
                      <w:szCs w:val="21"/>
                      <w:vertAlign w:val="baseline"/>
                      <w:lang w:val="en-US" w:eastAsia="zh-CN" w:bidi="ar-SA"/>
                    </w:rPr>
                  </w:pPr>
                  <w:r>
                    <w:rPr>
                      <w:rFonts w:ascii="Times New Roman" w:hAnsi="Times New Roman" w:eastAsia="Times New Roman" w:cs="Times New Roman"/>
                      <w:color w:val="000000"/>
                      <w:spacing w:val="2"/>
                      <w:sz w:val="21"/>
                      <w:szCs w:val="21"/>
                    </w:rPr>
                    <w:t>/</w:t>
                  </w:r>
                </w:p>
              </w:tc>
              <w:tc>
                <w:tcPr>
                  <w:tcW w:w="1181" w:type="dxa"/>
                  <w:noWrap w:val="0"/>
                  <w:vAlign w:val="center"/>
                </w:tcPr>
                <w:p w14:paraId="6E8C031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000000"/>
                      <w:spacing w:val="4"/>
                      <w:kern w:val="2"/>
                      <w:sz w:val="21"/>
                      <w:szCs w:val="21"/>
                      <w:lang w:val="en-US" w:eastAsia="zh-CN" w:bidi="ar-SA"/>
                    </w:rPr>
                  </w:pPr>
                </w:p>
              </w:tc>
              <w:tc>
                <w:tcPr>
                  <w:tcW w:w="1858" w:type="dxa"/>
                  <w:noWrap w:val="0"/>
                  <w:vAlign w:val="center"/>
                </w:tcPr>
                <w:p w14:paraId="3A5F9A32">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b/>
                      <w:bCs/>
                      <w:color w:val="000000"/>
                      <w:kern w:val="2"/>
                      <w:sz w:val="21"/>
                      <w:szCs w:val="21"/>
                      <w:vertAlign w:val="baseline"/>
                      <w:lang w:val="en-US" w:eastAsia="zh-CN" w:bidi="ar-SA"/>
                    </w:rPr>
                  </w:pPr>
                  <w:r>
                    <w:rPr>
                      <w:rFonts w:hint="eastAsia"/>
                      <w:b w:val="0"/>
                      <w:bCs w:val="0"/>
                      <w:color w:val="000000"/>
                      <w:kern w:val="2"/>
                      <w:sz w:val="21"/>
                      <w:szCs w:val="21"/>
                      <w:vertAlign w:val="baseline"/>
                      <w:lang w:val="en-US" w:eastAsia="zh-CN" w:bidi="ar-SA"/>
                    </w:rPr>
                    <w:t>GB/T 212-2008</w:t>
                  </w:r>
                </w:p>
              </w:tc>
            </w:tr>
          </w:tbl>
          <w:p w14:paraId="571D9B4F">
            <w:pPr>
              <w:pStyle w:val="10"/>
              <w:keepNext w:val="0"/>
              <w:keepLines w:val="0"/>
              <w:pageBreakBefore w:val="0"/>
              <w:widowControl/>
              <w:kinsoku/>
              <w:wordWrap/>
              <w:overflowPunct/>
              <w:topLinePunct w:val="0"/>
              <w:autoSpaceDE/>
              <w:autoSpaceDN/>
              <w:bidi w:val="0"/>
              <w:adjustRightInd/>
              <w:snapToGrid w:val="0"/>
              <w:spacing w:before="157" w:beforeLines="50" w:after="0" w:line="360" w:lineRule="auto"/>
              <w:ind w:right="0" w:firstLine="482" w:firstLineChars="200"/>
              <w:textAlignment w:val="auto"/>
              <w:rPr>
                <w:rFonts w:hint="default" w:ascii="Times New Roman" w:hAnsi="Times New Roman" w:cs="Times New Roman"/>
                <w:b/>
                <w:bCs/>
                <w:color w:val="000000"/>
                <w:sz w:val="24"/>
                <w:szCs w:val="24"/>
              </w:rPr>
            </w:pPr>
            <w:r>
              <w:rPr>
                <w:rFonts w:hint="eastAsia" w:ascii="Times New Roman" w:hAnsi="Times New Roman" w:cs="Times New Roman"/>
                <w:b/>
                <w:bCs/>
                <w:color w:val="000000"/>
                <w:sz w:val="24"/>
                <w:szCs w:val="24"/>
                <w:lang w:val="en-US" w:eastAsia="zh-CN"/>
              </w:rPr>
              <w:t>7.</w:t>
            </w:r>
            <w:r>
              <w:rPr>
                <w:rFonts w:hint="default" w:ascii="Times New Roman" w:hAnsi="Times New Roman" w:cs="Times New Roman"/>
                <w:b/>
                <w:bCs/>
                <w:color w:val="000000"/>
                <w:sz w:val="24"/>
                <w:szCs w:val="24"/>
              </w:rPr>
              <w:t>公用工程</w:t>
            </w:r>
          </w:p>
          <w:p w14:paraId="62683C52">
            <w:pPr>
              <w:pStyle w:val="10"/>
              <w:spacing w:before="0" w:after="0" w:line="360" w:lineRule="auto"/>
              <w:ind w:right="0" w:firstLine="480" w:firstLineChars="200"/>
              <w:rPr>
                <w:rFonts w:hint="default"/>
                <w:color w:val="000000"/>
                <w:sz w:val="24"/>
                <w:szCs w:val="24"/>
                <w:lang w:val="en-US" w:eastAsia="zh-CN"/>
              </w:rPr>
            </w:pPr>
            <w:r>
              <w:rPr>
                <w:rFonts w:hint="eastAsia"/>
                <w:color w:val="000000"/>
                <w:sz w:val="24"/>
                <w:szCs w:val="24"/>
                <w:lang w:val="en-US" w:eastAsia="zh-CN"/>
              </w:rPr>
              <w:t>（1）供水</w:t>
            </w:r>
          </w:p>
          <w:p w14:paraId="44DF7E98">
            <w:pPr>
              <w:pStyle w:val="10"/>
              <w:spacing w:before="0" w:after="0" w:line="360" w:lineRule="auto"/>
              <w:ind w:right="0" w:firstLine="480" w:firstLineChars="200"/>
              <w:rPr>
                <w:rFonts w:hint="eastAsia"/>
                <w:color w:val="000000"/>
                <w:sz w:val="24"/>
                <w:szCs w:val="24"/>
                <w:lang w:val="en-US" w:eastAsia="zh-CN"/>
              </w:rPr>
            </w:pPr>
            <w:r>
              <w:rPr>
                <w:rFonts w:hint="eastAsia" w:ascii="Times New Roman" w:hAnsi="Times New Roman" w:cs="Times New Roman"/>
                <w:color w:val="000000"/>
                <w:sz w:val="24"/>
                <w:lang w:eastAsia="zh-CN"/>
              </w:rPr>
              <w:t>项目</w:t>
            </w:r>
            <w:r>
              <w:rPr>
                <w:rFonts w:hint="default" w:ascii="Times New Roman" w:hAnsi="Times New Roman" w:cs="Times New Roman"/>
                <w:color w:val="000000"/>
                <w:sz w:val="24"/>
              </w:rPr>
              <w:t>位于</w:t>
            </w:r>
            <w:r>
              <w:rPr>
                <w:rFonts w:hint="default" w:ascii="Times New Roman" w:hAnsi="Times New Roman" w:cs="Times New Roman"/>
                <w:color w:val="000000"/>
                <w:sz w:val="24"/>
                <w:lang w:eastAsia="zh-CN"/>
              </w:rPr>
              <w:t>巴中市</w:t>
            </w:r>
            <w:r>
              <w:rPr>
                <w:rFonts w:hint="eastAsia" w:ascii="Times New Roman" w:hAnsi="Times New Roman" w:cs="Times New Roman"/>
                <w:color w:val="000000"/>
                <w:sz w:val="24"/>
                <w:lang w:eastAsia="zh-CN"/>
              </w:rPr>
              <w:t>平昌经济开发区星光工业园</w:t>
            </w:r>
            <w:r>
              <w:rPr>
                <w:rFonts w:hint="default" w:ascii="Times New Roman" w:hAnsi="Times New Roman" w:cs="Times New Roman"/>
                <w:color w:val="000000"/>
                <w:sz w:val="24"/>
              </w:rPr>
              <w:t>，项目周围给排水管比较完善。园区给水管网已经与路网工程同步建设完毕，园区内的供水条件完全具备，本项目生产、生活及消防用水由园区管网供给。</w:t>
            </w:r>
          </w:p>
          <w:p w14:paraId="3E23EC0D">
            <w:pPr>
              <w:pStyle w:val="10"/>
              <w:spacing w:before="0" w:after="0" w:line="360" w:lineRule="auto"/>
              <w:ind w:right="0" w:firstLine="480" w:firstLineChars="200"/>
              <w:rPr>
                <w:rFonts w:hint="default"/>
                <w:color w:val="000000"/>
                <w:sz w:val="24"/>
                <w:szCs w:val="24"/>
                <w:lang w:val="en-US" w:eastAsia="zh-CN"/>
              </w:rPr>
            </w:pPr>
            <w:r>
              <w:rPr>
                <w:rFonts w:hint="eastAsia"/>
                <w:color w:val="000000"/>
                <w:sz w:val="24"/>
                <w:szCs w:val="24"/>
                <w:lang w:val="en-US" w:eastAsia="zh-CN"/>
              </w:rPr>
              <w:t>1）生活用水</w:t>
            </w:r>
          </w:p>
          <w:p w14:paraId="71D699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根据建设单位提供资料，本项目</w:t>
            </w:r>
            <w:r>
              <w:rPr>
                <w:rFonts w:hint="eastAsia" w:ascii="Times New Roman" w:hAnsi="Times New Roman" w:eastAsia="宋体" w:cs="Times New Roman"/>
                <w:color w:val="000000"/>
                <w:sz w:val="24"/>
                <w:lang w:val="en-US" w:eastAsia="zh-CN"/>
              </w:rPr>
              <w:t>新增</w:t>
            </w:r>
            <w:r>
              <w:rPr>
                <w:rFonts w:hint="default" w:ascii="Times New Roman" w:hAnsi="Times New Roman" w:eastAsia="宋体" w:cs="Times New Roman"/>
                <w:color w:val="000000"/>
                <w:sz w:val="24"/>
              </w:rPr>
              <w:t>劳动定员</w:t>
            </w:r>
            <w:r>
              <w:rPr>
                <w:rFonts w:hint="eastAsia" w:ascii="Times New Roman" w:hAnsi="Times New Roman" w:eastAsia="宋体" w:cs="Times New Roman"/>
                <w:color w:val="000000"/>
                <w:sz w:val="24"/>
                <w:lang w:val="en-US" w:eastAsia="zh-CN"/>
              </w:rPr>
              <w:t>16</w:t>
            </w:r>
            <w:r>
              <w:rPr>
                <w:rFonts w:hint="default" w:ascii="Times New Roman" w:hAnsi="Times New Roman" w:eastAsia="宋体" w:cs="Times New Roman"/>
                <w:color w:val="000000"/>
                <w:sz w:val="24"/>
              </w:rPr>
              <w:t>人，厂内不设</w:t>
            </w:r>
            <w:r>
              <w:rPr>
                <w:rFonts w:hint="default" w:ascii="Times New Roman" w:hAnsi="Times New Roman" w:eastAsia="宋体" w:cs="Times New Roman"/>
                <w:color w:val="000000"/>
                <w:sz w:val="24"/>
                <w:lang w:val="en-US" w:eastAsia="zh-CN"/>
              </w:rPr>
              <w:t>住</w:t>
            </w:r>
            <w:r>
              <w:rPr>
                <w:rFonts w:hint="default" w:ascii="Times New Roman" w:hAnsi="Times New Roman" w:eastAsia="宋体" w:cs="Times New Roman"/>
                <w:color w:val="000000"/>
                <w:sz w:val="24"/>
              </w:rPr>
              <w:t>宿。参照《四川省用水定额》，生活用水</w:t>
            </w:r>
            <w:r>
              <w:rPr>
                <w:rFonts w:hint="default" w:ascii="Times New Roman" w:hAnsi="Times New Roman" w:eastAsia="宋体" w:cs="Times New Roman"/>
                <w:color w:val="000000"/>
                <w:sz w:val="24"/>
                <w:lang w:val="en-US" w:eastAsia="zh-CN"/>
              </w:rPr>
              <w:t>6</w:t>
            </w:r>
            <w:r>
              <w:rPr>
                <w:rFonts w:hint="default" w:ascii="Times New Roman" w:hAnsi="Times New Roman" w:eastAsia="宋体" w:cs="Times New Roman"/>
                <w:color w:val="000000"/>
                <w:sz w:val="24"/>
              </w:rPr>
              <w:t>0L/人▪天计，项目年工作</w:t>
            </w:r>
            <w:r>
              <w:rPr>
                <w:rFonts w:hint="eastAsia" w:ascii="Times New Roman" w:hAnsi="Times New Roman" w:eastAsia="宋体" w:cs="Times New Roman"/>
                <w:color w:val="000000"/>
                <w:sz w:val="24"/>
                <w:lang w:val="en-US" w:eastAsia="zh-CN"/>
              </w:rPr>
              <w:t>330</w:t>
            </w:r>
            <w:r>
              <w:rPr>
                <w:rFonts w:hint="default" w:ascii="Times New Roman" w:hAnsi="Times New Roman" w:eastAsia="宋体" w:cs="Times New Roman"/>
                <w:color w:val="000000"/>
                <w:sz w:val="24"/>
              </w:rPr>
              <w:t>天，则</w:t>
            </w:r>
            <w:r>
              <w:rPr>
                <w:rFonts w:hint="eastAsia" w:ascii="Times New Roman" w:hAnsi="Times New Roman" w:eastAsia="宋体" w:cs="Times New Roman"/>
                <w:color w:val="000000"/>
                <w:sz w:val="24"/>
                <w:lang w:val="en-US" w:eastAsia="zh-CN"/>
              </w:rPr>
              <w:t>本项目新增</w:t>
            </w:r>
            <w:r>
              <w:rPr>
                <w:rFonts w:hint="default" w:ascii="Times New Roman" w:hAnsi="Times New Roman" w:eastAsia="宋体" w:cs="Times New Roman"/>
                <w:color w:val="000000"/>
                <w:sz w:val="24"/>
              </w:rPr>
              <w:t>生活用水量约</w:t>
            </w:r>
            <w:r>
              <w:rPr>
                <w:rFonts w:hint="eastAsia" w:ascii="Times New Roman" w:hAnsi="Times New Roman" w:eastAsia="宋体" w:cs="Times New Roman"/>
                <w:color w:val="000000"/>
                <w:sz w:val="24"/>
                <w:lang w:val="en-US" w:eastAsia="zh-CN"/>
              </w:rPr>
              <w:t>0.96</w:t>
            </w:r>
            <w:r>
              <w:rPr>
                <w:rFonts w:hint="default" w:ascii="Times New Roman" w:hAnsi="Times New Roman" w:eastAsia="宋体" w:cs="Times New Roman"/>
                <w:color w:val="000000"/>
                <w:sz w:val="24"/>
              </w:rPr>
              <w:t>m</w:t>
            </w:r>
            <w:r>
              <w:rPr>
                <w:rFonts w:hint="default" w:ascii="Times New Roman" w:hAnsi="Times New Roman" w:eastAsia="宋体" w:cs="Times New Roman"/>
                <w:color w:val="000000"/>
                <w:sz w:val="24"/>
                <w:vertAlign w:val="superscript"/>
              </w:rPr>
              <w:t>3</w:t>
            </w:r>
            <w:r>
              <w:rPr>
                <w:rFonts w:hint="default" w:ascii="Times New Roman" w:hAnsi="Times New Roman" w:eastAsia="宋体" w:cs="Times New Roman"/>
                <w:color w:val="000000"/>
                <w:sz w:val="24"/>
              </w:rPr>
              <w:t>/d、</w:t>
            </w:r>
            <w:r>
              <w:rPr>
                <w:rFonts w:hint="eastAsia" w:ascii="Times New Roman" w:hAnsi="Times New Roman" w:eastAsia="宋体" w:cs="Times New Roman"/>
                <w:color w:val="000000"/>
                <w:sz w:val="24"/>
                <w:lang w:val="en-US" w:eastAsia="zh-CN"/>
              </w:rPr>
              <w:t>316.8</w:t>
            </w:r>
            <w:r>
              <w:rPr>
                <w:rFonts w:hint="default" w:ascii="Times New Roman" w:hAnsi="Times New Roman" w:eastAsia="宋体" w:cs="Times New Roman"/>
                <w:color w:val="000000"/>
                <w:sz w:val="24"/>
              </w:rPr>
              <w:t>m</w:t>
            </w:r>
            <w:r>
              <w:rPr>
                <w:rFonts w:hint="default" w:ascii="Times New Roman" w:hAnsi="Times New Roman" w:eastAsia="宋体" w:cs="Times New Roman"/>
                <w:color w:val="000000"/>
                <w:sz w:val="24"/>
                <w:vertAlign w:val="superscript"/>
              </w:rPr>
              <w:t>3</w:t>
            </w:r>
            <w:r>
              <w:rPr>
                <w:rFonts w:hint="default" w:ascii="Times New Roman" w:hAnsi="Times New Roman" w:eastAsia="宋体" w:cs="Times New Roman"/>
                <w:color w:val="000000"/>
                <w:sz w:val="24"/>
              </w:rPr>
              <w:t>/a，废水产生系数按0.8</w:t>
            </w:r>
            <w:r>
              <w:rPr>
                <w:rFonts w:hint="default" w:ascii="Times New Roman" w:hAnsi="Times New Roman" w:eastAsia="宋体" w:cs="Times New Roman"/>
                <w:color w:val="000000"/>
                <w:sz w:val="24"/>
                <w:lang w:val="en-US" w:eastAsia="zh-CN"/>
              </w:rPr>
              <w:t>5</w:t>
            </w:r>
            <w:r>
              <w:rPr>
                <w:rFonts w:hint="default" w:ascii="Times New Roman" w:hAnsi="Times New Roman" w:eastAsia="宋体" w:cs="Times New Roman"/>
                <w:color w:val="000000"/>
                <w:sz w:val="24"/>
              </w:rPr>
              <w:t>计，则生活污水产生量约</w:t>
            </w:r>
            <w:r>
              <w:rPr>
                <w:rFonts w:hint="eastAsia" w:ascii="Times New Roman" w:hAnsi="Times New Roman" w:eastAsia="宋体" w:cs="Times New Roman"/>
                <w:color w:val="000000"/>
                <w:sz w:val="24"/>
                <w:lang w:val="en-US" w:eastAsia="zh-CN"/>
              </w:rPr>
              <w:t>0.816</w:t>
            </w:r>
            <w:r>
              <w:rPr>
                <w:rFonts w:hint="default" w:ascii="Times New Roman" w:hAnsi="Times New Roman" w:eastAsia="宋体" w:cs="Times New Roman"/>
                <w:color w:val="000000"/>
                <w:sz w:val="24"/>
              </w:rPr>
              <w:t>m</w:t>
            </w:r>
            <w:r>
              <w:rPr>
                <w:rFonts w:hint="default" w:ascii="Times New Roman" w:hAnsi="Times New Roman" w:eastAsia="宋体" w:cs="Times New Roman"/>
                <w:color w:val="000000"/>
                <w:sz w:val="24"/>
                <w:vertAlign w:val="superscript"/>
              </w:rPr>
              <w:t>3</w:t>
            </w:r>
            <w:r>
              <w:rPr>
                <w:rFonts w:hint="default" w:ascii="Times New Roman" w:hAnsi="Times New Roman" w:eastAsia="宋体" w:cs="Times New Roman"/>
                <w:color w:val="000000"/>
                <w:sz w:val="24"/>
              </w:rPr>
              <w:t>/d、</w:t>
            </w:r>
            <w:r>
              <w:rPr>
                <w:rFonts w:hint="eastAsia" w:ascii="Times New Roman" w:hAnsi="Times New Roman" w:eastAsia="宋体" w:cs="Times New Roman"/>
                <w:color w:val="000000"/>
                <w:sz w:val="24"/>
                <w:lang w:val="en-US" w:eastAsia="zh-CN"/>
              </w:rPr>
              <w:t>269.28</w:t>
            </w:r>
            <w:r>
              <w:rPr>
                <w:rFonts w:hint="default" w:ascii="Times New Roman" w:hAnsi="Times New Roman" w:eastAsia="宋体" w:cs="Times New Roman"/>
                <w:color w:val="000000"/>
                <w:sz w:val="24"/>
              </w:rPr>
              <w:t>m</w:t>
            </w:r>
            <w:r>
              <w:rPr>
                <w:rFonts w:hint="default" w:ascii="Times New Roman" w:hAnsi="Times New Roman" w:eastAsia="宋体" w:cs="Times New Roman"/>
                <w:color w:val="000000"/>
                <w:sz w:val="24"/>
                <w:vertAlign w:val="superscript"/>
              </w:rPr>
              <w:t>3</w:t>
            </w:r>
            <w:r>
              <w:rPr>
                <w:rFonts w:hint="default" w:ascii="Times New Roman" w:hAnsi="Times New Roman" w:eastAsia="宋体" w:cs="Times New Roman"/>
                <w:color w:val="000000"/>
                <w:sz w:val="24"/>
              </w:rPr>
              <w:t>/a</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sz w:val="24"/>
                <w:szCs w:val="24"/>
                <w:lang w:val="en-US" w:eastAsia="zh-CN"/>
              </w:rPr>
              <w:t>生活污水</w:t>
            </w:r>
            <w:r>
              <w:rPr>
                <w:rFonts w:hint="eastAsia" w:ascii="Times New Roman" w:hAnsi="Times New Roman" w:eastAsia="宋体" w:cs="Times New Roman"/>
                <w:color w:val="000000"/>
                <w:sz w:val="24"/>
                <w:szCs w:val="24"/>
                <w:lang w:val="en-US" w:eastAsia="zh-CN"/>
              </w:rPr>
              <w:t>经</w:t>
            </w:r>
            <w:r>
              <w:rPr>
                <w:rFonts w:hint="default" w:ascii="Times New Roman" w:hAnsi="Times New Roman" w:eastAsia="宋体" w:cs="Times New Roman"/>
                <w:color w:val="000000"/>
                <w:sz w:val="24"/>
                <w:szCs w:val="24"/>
                <w:lang w:val="en-US" w:eastAsia="zh-CN"/>
              </w:rPr>
              <w:t>已建预处理池（1个，有效容积</w:t>
            </w:r>
            <w:r>
              <w:rPr>
                <w:rFonts w:hint="eastAsia" w:ascii="Times New Roman" w:hAnsi="Times New Roman" w:eastAsia="宋体" w:cs="Times New Roman"/>
                <w:color w:val="000000"/>
                <w:sz w:val="24"/>
                <w:szCs w:val="24"/>
                <w:lang w:val="en-US" w:eastAsia="zh-CN"/>
              </w:rPr>
              <w:t>10</w:t>
            </w:r>
            <w:r>
              <w:rPr>
                <w:rFonts w:hint="default" w:ascii="Times New Roman" w:hAnsi="Times New Roman" w:eastAsia="宋体" w:cs="Times New Roman"/>
                <w:color w:val="000000"/>
                <w:sz w:val="24"/>
                <w:szCs w:val="24"/>
                <w:lang w:val="en-US" w:eastAsia="zh-CN"/>
              </w:rPr>
              <w:t>0m</w:t>
            </w:r>
            <w:r>
              <w:rPr>
                <w:rFonts w:hint="default" w:ascii="Times New Roman" w:hAnsi="Times New Roman" w:eastAsia="宋体" w:cs="Times New Roman"/>
                <w:color w:val="000000"/>
                <w:sz w:val="24"/>
                <w:szCs w:val="24"/>
                <w:vertAlign w:val="superscript"/>
                <w:lang w:val="en-US" w:eastAsia="zh-CN"/>
              </w:rPr>
              <w:t>3</w:t>
            </w:r>
            <w:r>
              <w:rPr>
                <w:rFonts w:hint="default" w:ascii="Times New Roman" w:hAnsi="Times New Roman" w:eastAsia="宋体" w:cs="Times New Roman"/>
                <w:color w:val="000000"/>
                <w:sz w:val="24"/>
                <w:szCs w:val="24"/>
                <w:lang w:val="en-US" w:eastAsia="zh-CN"/>
              </w:rPr>
              <w:t>）处理后排入市政污水管网</w:t>
            </w:r>
            <w:r>
              <w:rPr>
                <w:rFonts w:hint="default" w:ascii="Times New Roman" w:hAnsi="Times New Roman" w:eastAsia="宋体" w:cs="Times New Roman"/>
                <w:color w:val="000000"/>
                <w:sz w:val="24"/>
              </w:rPr>
              <w:t>。</w:t>
            </w:r>
          </w:p>
          <w:p w14:paraId="227ABC8D">
            <w:pPr>
              <w:spacing w:line="360" w:lineRule="auto"/>
              <w:ind w:firstLine="480" w:firstLineChars="200"/>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2）食堂用水</w:t>
            </w:r>
          </w:p>
          <w:p w14:paraId="25E5DA81">
            <w:pPr>
              <w:spacing w:line="360" w:lineRule="auto"/>
              <w:ind w:firstLine="480" w:firstLineChars="200"/>
              <w:jc w:val="both"/>
              <w:rPr>
                <w:rFonts w:ascii="Times New Roman" w:hAnsi="Times New Roman" w:cs="Times New Roman"/>
                <w:color w:val="000000"/>
                <w:sz w:val="24"/>
              </w:rPr>
            </w:pPr>
            <w:r>
              <w:rPr>
                <w:rFonts w:ascii="Times New Roman" w:hAnsi="Times New Roman" w:cs="Times New Roman"/>
                <w:color w:val="000000"/>
                <w:sz w:val="24"/>
              </w:rPr>
              <w:t>根据建设单位提供资料，本项目</w:t>
            </w:r>
            <w:r>
              <w:rPr>
                <w:rFonts w:hint="eastAsia" w:ascii="Times New Roman" w:hAnsi="Times New Roman" w:cs="Times New Roman"/>
                <w:color w:val="000000"/>
                <w:sz w:val="24"/>
                <w:lang w:val="en-US" w:eastAsia="zh-CN"/>
              </w:rPr>
              <w:t>新增</w:t>
            </w:r>
            <w:r>
              <w:rPr>
                <w:rFonts w:ascii="Times New Roman" w:hAnsi="Times New Roman" w:cs="Times New Roman"/>
                <w:color w:val="000000"/>
                <w:sz w:val="24"/>
              </w:rPr>
              <w:t>劳动定员</w:t>
            </w:r>
            <w:r>
              <w:rPr>
                <w:rFonts w:hint="eastAsia" w:ascii="Times New Roman" w:hAnsi="Times New Roman" w:cs="Times New Roman"/>
                <w:color w:val="000000"/>
                <w:sz w:val="24"/>
                <w:lang w:val="en-US" w:eastAsia="zh-CN"/>
              </w:rPr>
              <w:t>16</w:t>
            </w:r>
            <w:r>
              <w:rPr>
                <w:rFonts w:ascii="Times New Roman" w:hAnsi="Times New Roman" w:cs="Times New Roman"/>
                <w:color w:val="000000"/>
                <w:sz w:val="24"/>
              </w:rPr>
              <w:t>人</w:t>
            </w:r>
            <w:r>
              <w:rPr>
                <w:rFonts w:hint="default" w:ascii="Times New Roman" w:hAnsi="Times New Roman" w:cs="Times New Roman"/>
                <w:color w:val="000000"/>
                <w:sz w:val="24"/>
                <w:lang w:eastAsia="zh-CN"/>
              </w:rPr>
              <w:t>，</w:t>
            </w:r>
            <w:r>
              <w:rPr>
                <w:rFonts w:hint="default" w:ascii="Times New Roman" w:hAnsi="Times New Roman" w:cs="Times New Roman"/>
                <w:color w:val="000000"/>
                <w:sz w:val="24"/>
                <w:lang w:val="en-US" w:eastAsia="zh-CN"/>
              </w:rPr>
              <w:t>员工均在厂内就餐，提供1日3餐，</w:t>
            </w:r>
            <w:r>
              <w:rPr>
                <w:rFonts w:hint="default" w:ascii="Times New Roman" w:hAnsi="Times New Roman" w:eastAsia="宋体" w:cs="Times New Roman"/>
                <w:bCs/>
                <w:color w:val="000000"/>
                <w:sz w:val="24"/>
                <w:szCs w:val="24"/>
                <w:lang w:val="en-US" w:eastAsia="zh-CN"/>
              </w:rPr>
              <w:t>食堂用水为</w:t>
            </w:r>
            <w:r>
              <w:rPr>
                <w:rFonts w:hint="default" w:ascii="Times New Roman" w:hAnsi="Times New Roman" w:eastAsia="宋体" w:cs="Times New Roman"/>
                <w:b w:val="0"/>
                <w:bCs w:val="0"/>
                <w:color w:val="000000"/>
                <w:sz w:val="24"/>
                <w:szCs w:val="24"/>
                <w:lang w:val="en-US" w:eastAsia="zh-CN"/>
              </w:rPr>
              <w:t>20</w:t>
            </w:r>
            <w:r>
              <w:rPr>
                <w:rFonts w:hint="default" w:ascii="Times New Roman" w:hAnsi="Times New Roman" w:eastAsia="宋体" w:cs="Times New Roman"/>
                <w:bCs/>
                <w:color w:val="000000"/>
                <w:sz w:val="24"/>
                <w:szCs w:val="24"/>
              </w:rPr>
              <w:t>L/人•d</w:t>
            </w:r>
            <w:r>
              <w:rPr>
                <w:rFonts w:hint="default" w:ascii="Times New Roman" w:hAnsi="Times New Roman" w:eastAsia="宋体" w:cs="Times New Roman"/>
                <w:bCs/>
                <w:color w:val="000000"/>
                <w:sz w:val="24"/>
                <w:szCs w:val="24"/>
                <w:lang w:eastAsia="zh-CN"/>
              </w:rPr>
              <w:t>，</w:t>
            </w:r>
            <w:r>
              <w:rPr>
                <w:rFonts w:ascii="Times New Roman" w:hAnsi="Times New Roman" w:cs="Times New Roman"/>
                <w:color w:val="000000"/>
                <w:sz w:val="24"/>
              </w:rPr>
              <w:t>项目年工作</w:t>
            </w:r>
            <w:r>
              <w:rPr>
                <w:rFonts w:hint="eastAsia" w:ascii="Times New Roman" w:hAnsi="Times New Roman" w:cs="Times New Roman"/>
                <w:color w:val="000000"/>
                <w:sz w:val="24"/>
                <w:lang w:val="en-US" w:eastAsia="zh-CN"/>
              </w:rPr>
              <w:t>330</w:t>
            </w:r>
            <w:r>
              <w:rPr>
                <w:rFonts w:ascii="Times New Roman" w:hAnsi="Times New Roman" w:cs="Times New Roman"/>
                <w:color w:val="000000"/>
                <w:sz w:val="24"/>
              </w:rPr>
              <w:t>天，则</w:t>
            </w:r>
            <w:r>
              <w:rPr>
                <w:rFonts w:hint="default" w:ascii="Times New Roman" w:hAnsi="Times New Roman" w:cs="Times New Roman"/>
                <w:color w:val="000000"/>
                <w:sz w:val="24"/>
                <w:lang w:val="en-US" w:eastAsia="zh-CN"/>
              </w:rPr>
              <w:t>食堂</w:t>
            </w:r>
            <w:r>
              <w:rPr>
                <w:rFonts w:ascii="Times New Roman" w:hAnsi="Times New Roman" w:cs="Times New Roman"/>
                <w:color w:val="000000"/>
                <w:sz w:val="24"/>
              </w:rPr>
              <w:t>用水量约</w:t>
            </w:r>
            <w:r>
              <w:rPr>
                <w:rFonts w:hint="default" w:ascii="Times New Roman" w:hAnsi="Times New Roman" w:cs="Times New Roman"/>
                <w:color w:val="000000"/>
                <w:sz w:val="24"/>
                <w:lang w:val="en-US" w:eastAsia="zh-CN"/>
              </w:rPr>
              <w:t>0.</w:t>
            </w:r>
            <w:r>
              <w:rPr>
                <w:rFonts w:hint="eastAsia" w:ascii="Times New Roman" w:hAnsi="Times New Roman" w:cs="Times New Roman"/>
                <w:color w:val="000000"/>
                <w:sz w:val="24"/>
                <w:lang w:val="en-US" w:eastAsia="zh-CN"/>
              </w:rPr>
              <w:t>32</w:t>
            </w:r>
            <w:r>
              <w:rPr>
                <w:rFonts w:ascii="Times New Roman" w:hAnsi="Times New Roman" w:cs="Times New Roman"/>
                <w:color w:val="000000"/>
                <w:sz w:val="24"/>
              </w:rPr>
              <w:t>m</w:t>
            </w:r>
            <w:r>
              <w:rPr>
                <w:rFonts w:ascii="Times New Roman" w:hAnsi="Times New Roman" w:cs="Times New Roman"/>
                <w:color w:val="000000"/>
                <w:sz w:val="24"/>
                <w:vertAlign w:val="superscript"/>
              </w:rPr>
              <w:t>3</w:t>
            </w:r>
            <w:r>
              <w:rPr>
                <w:rFonts w:ascii="Times New Roman" w:hAnsi="Times New Roman" w:cs="Times New Roman"/>
                <w:color w:val="000000"/>
                <w:sz w:val="24"/>
              </w:rPr>
              <w:t>/d、</w:t>
            </w:r>
            <w:r>
              <w:rPr>
                <w:rFonts w:hint="eastAsia" w:ascii="Times New Roman" w:hAnsi="Times New Roman" w:cs="Times New Roman"/>
                <w:color w:val="000000"/>
                <w:sz w:val="24"/>
                <w:lang w:val="en-US" w:eastAsia="zh-CN"/>
              </w:rPr>
              <w:t>105.6</w:t>
            </w:r>
            <w:r>
              <w:rPr>
                <w:rFonts w:ascii="Times New Roman" w:hAnsi="Times New Roman" w:cs="Times New Roman"/>
                <w:color w:val="000000"/>
                <w:sz w:val="24"/>
              </w:rPr>
              <w:t>m</w:t>
            </w:r>
            <w:r>
              <w:rPr>
                <w:rFonts w:ascii="Times New Roman" w:hAnsi="Times New Roman" w:cs="Times New Roman"/>
                <w:color w:val="000000"/>
                <w:sz w:val="24"/>
                <w:vertAlign w:val="superscript"/>
              </w:rPr>
              <w:t>3</w:t>
            </w:r>
            <w:r>
              <w:rPr>
                <w:rFonts w:ascii="Times New Roman" w:hAnsi="Times New Roman" w:cs="Times New Roman"/>
                <w:color w:val="000000"/>
                <w:sz w:val="24"/>
              </w:rPr>
              <w:t>/a，废水产生系数按</w:t>
            </w:r>
            <w:r>
              <w:rPr>
                <w:rFonts w:ascii="Times New Roman" w:hAnsi="Times New Roman" w:cs="Times New Roman"/>
                <w:color w:val="000000"/>
                <w:sz w:val="24"/>
                <w:szCs w:val="24"/>
              </w:rPr>
              <w:t>0.8</w:t>
            </w:r>
            <w:r>
              <w:rPr>
                <w:rFonts w:hint="default" w:ascii="Times New Roman" w:hAnsi="Times New Roman" w:cs="Times New Roman"/>
                <w:color w:val="000000"/>
                <w:sz w:val="24"/>
                <w:szCs w:val="24"/>
                <w:lang w:val="en-US" w:eastAsia="zh-CN"/>
              </w:rPr>
              <w:t>5</w:t>
            </w:r>
            <w:r>
              <w:rPr>
                <w:rFonts w:ascii="Times New Roman" w:hAnsi="Times New Roman" w:cs="Times New Roman"/>
                <w:color w:val="000000"/>
                <w:sz w:val="24"/>
                <w:szCs w:val="24"/>
              </w:rPr>
              <w:t>计，则</w:t>
            </w:r>
            <w:r>
              <w:rPr>
                <w:rFonts w:hint="default" w:ascii="Times New Roman" w:hAnsi="Times New Roman" w:cs="Times New Roman"/>
                <w:color w:val="000000"/>
                <w:sz w:val="24"/>
                <w:szCs w:val="24"/>
                <w:lang w:val="en-US" w:eastAsia="zh-CN"/>
              </w:rPr>
              <w:t>食堂废水</w:t>
            </w:r>
            <w:r>
              <w:rPr>
                <w:rFonts w:ascii="Times New Roman" w:hAnsi="Times New Roman" w:cs="Times New Roman"/>
                <w:color w:val="000000"/>
                <w:sz w:val="24"/>
                <w:szCs w:val="24"/>
              </w:rPr>
              <w:t>产生量约</w:t>
            </w:r>
            <w:r>
              <w:rPr>
                <w:rFonts w:hint="eastAsia" w:ascii="Times New Roman" w:hAnsi="Times New Roman" w:cs="Times New Roman"/>
                <w:color w:val="000000"/>
                <w:sz w:val="24"/>
                <w:szCs w:val="24"/>
                <w:lang w:val="en-US" w:eastAsia="zh-CN"/>
              </w:rPr>
              <w:t>0.272</w:t>
            </w:r>
            <w:r>
              <w:rPr>
                <w:rFonts w:ascii="Times New Roman" w:hAnsi="Times New Roman" w:cs="Times New Roman"/>
                <w:color w:val="000000"/>
                <w:sz w:val="24"/>
                <w:szCs w:val="24"/>
              </w:rPr>
              <w:t>m</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/d、</w:t>
            </w:r>
            <w:r>
              <w:rPr>
                <w:rFonts w:hint="eastAsia" w:ascii="Times New Roman" w:hAnsi="Times New Roman" w:cs="Times New Roman"/>
                <w:color w:val="000000"/>
                <w:sz w:val="24"/>
                <w:szCs w:val="24"/>
                <w:lang w:val="en-US" w:eastAsia="zh-CN"/>
              </w:rPr>
              <w:t>89.76</w:t>
            </w:r>
            <w:r>
              <w:rPr>
                <w:rFonts w:ascii="Times New Roman" w:hAnsi="Times New Roman" w:cs="Times New Roman"/>
                <w:color w:val="000000"/>
                <w:sz w:val="24"/>
                <w:szCs w:val="24"/>
              </w:rPr>
              <w:t>m</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/a，</w:t>
            </w:r>
            <w:r>
              <w:rPr>
                <w:rFonts w:hint="default" w:ascii="Times New Roman" w:hAnsi="Times New Roman" w:cs="Times New Roman"/>
                <w:color w:val="000000"/>
                <w:sz w:val="24"/>
                <w:szCs w:val="24"/>
                <w:lang w:val="en-US" w:eastAsia="zh-CN"/>
              </w:rPr>
              <w:t>食堂废水经</w:t>
            </w:r>
            <w:r>
              <w:rPr>
                <w:rFonts w:hint="eastAsia" w:ascii="Times New Roman" w:hAnsi="Times New Roman" w:cs="Times New Roman"/>
                <w:color w:val="000000"/>
                <w:sz w:val="24"/>
                <w:szCs w:val="24"/>
                <w:lang w:val="en-US" w:eastAsia="zh-CN"/>
              </w:rPr>
              <w:t>隔油池</w:t>
            </w:r>
            <w:r>
              <w:rPr>
                <w:rFonts w:hint="default" w:ascii="Times New Roman" w:hAnsi="Times New Roman" w:cs="Times New Roman"/>
                <w:color w:val="000000"/>
                <w:sz w:val="24"/>
                <w:szCs w:val="24"/>
                <w:lang w:val="en-US" w:eastAsia="zh-CN"/>
              </w:rPr>
              <w:t>（1个，有效容积</w:t>
            </w:r>
            <w:r>
              <w:rPr>
                <w:rFonts w:hint="eastAsia" w:ascii="Times New Roman" w:hAnsi="Times New Roman" w:cs="Times New Roman"/>
                <w:color w:val="000000"/>
                <w:sz w:val="24"/>
                <w:szCs w:val="24"/>
                <w:lang w:val="en-US" w:eastAsia="zh-CN"/>
              </w:rPr>
              <w:t>3</w:t>
            </w:r>
            <w:r>
              <w:rPr>
                <w:rFonts w:hint="default" w:ascii="Times New Roman" w:hAnsi="Times New Roman" w:cs="Times New Roman"/>
                <w:color w:val="000000"/>
                <w:sz w:val="24"/>
                <w:szCs w:val="24"/>
                <w:lang w:val="en-US" w:eastAsia="zh-CN"/>
              </w:rPr>
              <w:t>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）处理后与生活污水一并</w:t>
            </w:r>
            <w:r>
              <w:rPr>
                <w:rFonts w:hint="eastAsia" w:ascii="Times New Roman" w:hAnsi="Times New Roman" w:cs="Times New Roman"/>
                <w:color w:val="000000"/>
                <w:sz w:val="24"/>
                <w:szCs w:val="24"/>
                <w:lang w:val="en-US" w:eastAsia="zh-CN"/>
              </w:rPr>
              <w:t>经</w:t>
            </w:r>
            <w:r>
              <w:rPr>
                <w:rFonts w:hint="default" w:ascii="Times New Roman" w:hAnsi="Times New Roman" w:cs="Times New Roman"/>
                <w:color w:val="000000"/>
                <w:sz w:val="24"/>
                <w:szCs w:val="24"/>
                <w:lang w:val="en-US" w:eastAsia="zh-CN"/>
              </w:rPr>
              <w:t>预处理池（1个，有效容积</w:t>
            </w:r>
            <w:r>
              <w:rPr>
                <w:rFonts w:hint="eastAsia" w:ascii="Times New Roman" w:hAnsi="Times New Roman" w:cs="Times New Roman"/>
                <w:color w:val="000000"/>
                <w:sz w:val="24"/>
                <w:szCs w:val="24"/>
                <w:lang w:val="en-US" w:eastAsia="zh-CN"/>
              </w:rPr>
              <w:t>10</w:t>
            </w:r>
            <w:r>
              <w:rPr>
                <w:rFonts w:hint="default" w:ascii="Times New Roman" w:hAnsi="Times New Roman" w:cs="Times New Roman"/>
                <w:color w:val="000000"/>
                <w:sz w:val="24"/>
                <w:szCs w:val="24"/>
                <w:lang w:val="en-US" w:eastAsia="zh-CN"/>
              </w:rPr>
              <w:t>0m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w:t>
            </w:r>
            <w:r>
              <w:rPr>
                <w:rFonts w:ascii="Times New Roman" w:hAnsi="Times New Roman" w:cs="Times New Roman"/>
                <w:color w:val="000000"/>
                <w:sz w:val="24"/>
                <w:szCs w:val="24"/>
              </w:rPr>
              <w:t>处理后</w:t>
            </w:r>
            <w:r>
              <w:rPr>
                <w:rFonts w:hint="default" w:ascii="Times New Roman" w:hAnsi="Times New Roman" w:cs="Times New Roman"/>
                <w:color w:val="000000"/>
                <w:sz w:val="24"/>
                <w:szCs w:val="24"/>
                <w:lang w:val="en-US" w:eastAsia="zh-CN"/>
              </w:rPr>
              <w:t>排入市政污水管网</w:t>
            </w:r>
            <w:r>
              <w:rPr>
                <w:rFonts w:ascii="Times New Roman" w:hAnsi="Times New Roman" w:cs="Times New Roman"/>
                <w:color w:val="000000"/>
                <w:sz w:val="24"/>
                <w:szCs w:val="24"/>
              </w:rPr>
              <w:t>。</w:t>
            </w:r>
          </w:p>
          <w:p w14:paraId="311F784A">
            <w:pPr>
              <w:pStyle w:val="10"/>
              <w:spacing w:before="0" w:after="0" w:line="360" w:lineRule="auto"/>
              <w:ind w:right="0" w:firstLine="480" w:firstLineChars="200"/>
              <w:rPr>
                <w:rFonts w:hint="default"/>
                <w:color w:val="000000"/>
                <w:sz w:val="24"/>
                <w:szCs w:val="24"/>
                <w:lang w:val="en-US" w:eastAsia="zh-CN"/>
              </w:rPr>
            </w:pPr>
            <w:r>
              <w:rPr>
                <w:rFonts w:hint="eastAsia"/>
                <w:color w:val="000000"/>
                <w:sz w:val="24"/>
                <w:szCs w:val="24"/>
                <w:lang w:val="en-US" w:eastAsia="zh-CN"/>
              </w:rPr>
              <w:t>3）生产用水</w:t>
            </w:r>
          </w:p>
          <w:p w14:paraId="685942EA">
            <w:pPr>
              <w:pStyle w:val="10"/>
              <w:spacing w:before="0" w:after="0" w:line="360" w:lineRule="auto"/>
              <w:ind w:right="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本项目运输车辆不需要冲洗，地面采用干式清扫，不冲洗，不涉及车辆清洗用水和地面清洁用水，项目生产用水主要为循环冷却水补水。</w:t>
            </w:r>
          </w:p>
          <w:p w14:paraId="38F9A8A1">
            <w:pPr>
              <w:pStyle w:val="10"/>
              <w:spacing w:before="0" w:after="0" w:line="360" w:lineRule="auto"/>
              <w:ind w:right="0" w:firstLine="480" w:firstLineChars="200"/>
              <w:rPr>
                <w:rFonts w:hint="eastAsia" w:ascii="Calibri" w:hAnsi="Calibri" w:cs="Calibri"/>
                <w:color w:val="000000"/>
                <w:sz w:val="24"/>
                <w:szCs w:val="24"/>
                <w:lang w:val="en-US" w:eastAsia="zh-CN"/>
              </w:rPr>
            </w:pPr>
            <w:r>
              <w:rPr>
                <w:rFonts w:hint="eastAsia" w:ascii="Times New Roman" w:hAnsi="Times New Roman" w:cs="Times New Roman"/>
                <w:color w:val="000000"/>
                <w:sz w:val="24"/>
                <w:szCs w:val="24"/>
                <w:lang w:val="en-US" w:eastAsia="zh-CN"/>
              </w:rPr>
              <w:t>①循环冷却水补水</w:t>
            </w:r>
            <w:r>
              <w:rPr>
                <w:rFonts w:hint="eastAsia" w:ascii="Calibri" w:hAnsi="Calibri" w:cs="Calibri"/>
                <w:color w:val="000000"/>
                <w:sz w:val="24"/>
                <w:szCs w:val="24"/>
                <w:lang w:val="en-US" w:eastAsia="zh-CN"/>
              </w:rPr>
              <w:t>。</w:t>
            </w:r>
          </w:p>
          <w:p w14:paraId="00B44ADB">
            <w:pPr>
              <w:pStyle w:val="10"/>
              <w:spacing w:before="0" w:after="0" w:line="360" w:lineRule="auto"/>
              <w:ind w:right="0" w:firstLine="480" w:firstLineChars="200"/>
              <w:rPr>
                <w:rFonts w:hint="eastAsia" w:ascii="Calibri" w:hAnsi="Calibri" w:cs="Calibri"/>
                <w:color w:val="000000"/>
                <w:sz w:val="24"/>
                <w:szCs w:val="24"/>
                <w:lang w:val="en-US" w:eastAsia="zh-CN"/>
              </w:rPr>
            </w:pPr>
            <w:r>
              <w:rPr>
                <w:rFonts w:hint="default" w:ascii="Times New Roman" w:hAnsi="Times New Roman" w:cs="Times New Roman"/>
                <w:color w:val="000000"/>
                <w:sz w:val="24"/>
                <w:szCs w:val="24"/>
                <w:lang w:val="en-US" w:eastAsia="zh-CN"/>
              </w:rPr>
              <w:t>本项目预炭化采用循环冷却系统进行间接冷却，本次技改后新增循环用水量</w:t>
            </w:r>
            <w:r>
              <w:rPr>
                <w:rFonts w:hint="eastAsia" w:ascii="Times New Roman" w:hAnsi="Times New Roman" w:cs="Times New Roman"/>
                <w:color w:val="000000"/>
                <w:sz w:val="24"/>
                <w:szCs w:val="24"/>
                <w:lang w:val="en-US" w:eastAsia="zh-CN"/>
              </w:rPr>
              <w:t>1200</w:t>
            </w:r>
            <w:r>
              <w:rPr>
                <w:rFonts w:hint="default" w:ascii="Times New Roman" w:hAnsi="Times New Roman" w:cs="Times New Roman"/>
                <w:color w:val="000000"/>
                <w:sz w:val="24"/>
                <w:szCs w:val="24"/>
                <w:lang w:val="en-US" w:eastAsia="zh-CN"/>
              </w:rPr>
              <w:t>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/d，为保障循环水水质满足生产需要，需定期进行少量排污，补水量按照循环量的1%计，蒸发损失量按补水量的90%计，排污量按补水量的10%计，则循环冷却系统排水约</w:t>
            </w:r>
            <w:r>
              <w:rPr>
                <w:rFonts w:hint="eastAsia" w:ascii="Times New Roman" w:hAnsi="Times New Roman" w:cs="Times New Roman"/>
                <w:color w:val="000000"/>
                <w:sz w:val="24"/>
                <w:szCs w:val="24"/>
                <w:lang w:val="en-US" w:eastAsia="zh-CN"/>
              </w:rPr>
              <w:t>1.2</w:t>
            </w:r>
            <w:r>
              <w:rPr>
                <w:rFonts w:hint="default" w:ascii="Times New Roman" w:hAnsi="Times New Roman" w:cs="Times New Roman"/>
                <w:color w:val="000000"/>
                <w:sz w:val="24"/>
                <w:szCs w:val="24"/>
                <w:lang w:val="en-US" w:eastAsia="zh-CN"/>
              </w:rPr>
              <w:t>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/d，主要污染物为SS。由于循环水系统中冷却水并未与物料直接接触，循环水水质较为清洁，经沉淀后回</w:t>
            </w:r>
            <w:r>
              <w:rPr>
                <w:rFonts w:hint="eastAsia" w:ascii="Calibri" w:hAnsi="Calibri" w:cs="Calibri"/>
                <w:color w:val="000000"/>
                <w:sz w:val="24"/>
                <w:szCs w:val="24"/>
                <w:lang w:val="en-US" w:eastAsia="zh-CN"/>
              </w:rPr>
              <w:t>用于脱硫塔补充用水，不外排。</w:t>
            </w:r>
          </w:p>
          <w:p w14:paraId="034E1828">
            <w:pPr>
              <w:pStyle w:val="10"/>
              <w:spacing w:before="0" w:after="0" w:line="360" w:lineRule="auto"/>
              <w:ind w:right="0" w:firstLine="480" w:firstLineChars="200"/>
              <w:rPr>
                <w:rFonts w:hint="default" w:ascii="Calibri" w:hAnsi="Calibri" w:cs="Calibri"/>
                <w:color w:val="000000"/>
                <w:sz w:val="24"/>
                <w:szCs w:val="24"/>
                <w:lang w:val="en-US" w:eastAsia="zh-CN"/>
              </w:rPr>
            </w:pPr>
            <w:r>
              <w:rPr>
                <w:rFonts w:hint="eastAsia" w:ascii="Calibri" w:hAnsi="Calibri" w:cs="Calibri"/>
                <w:color w:val="000000"/>
                <w:sz w:val="24"/>
                <w:szCs w:val="24"/>
                <w:lang w:val="en-US" w:eastAsia="zh-CN"/>
              </w:rPr>
              <w:t>②</w:t>
            </w:r>
            <w:r>
              <w:rPr>
                <w:rFonts w:hint="default" w:ascii="Calibri" w:hAnsi="Calibri" w:cs="Calibri"/>
                <w:color w:val="000000"/>
                <w:sz w:val="24"/>
                <w:szCs w:val="24"/>
                <w:lang w:val="en-US" w:eastAsia="zh-CN"/>
              </w:rPr>
              <w:t>脱硫塔用水</w:t>
            </w:r>
          </w:p>
          <w:p w14:paraId="5AE67904">
            <w:pPr>
              <w:pStyle w:val="10"/>
              <w:spacing w:before="0" w:after="0" w:line="360" w:lineRule="auto"/>
              <w:ind w:right="0" w:firstLine="480" w:firstLineChars="200"/>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项目高温隧道窑烟气脱硫塔废水沉淀循环水池沉淀后上清液循环回用，不外排。参考《三废处理工程技术手册·废气卷》，压力水式洗涤塔液气比0.5～1.5L/m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，本项目计算取0.5L/m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，则项目循环水量约</w:t>
            </w:r>
            <w:r>
              <w:rPr>
                <w:rFonts w:hint="eastAsia" w:ascii="Times New Roman" w:hAnsi="Times New Roman" w:cs="Times New Roman"/>
                <w:color w:val="000000"/>
                <w:sz w:val="24"/>
                <w:szCs w:val="24"/>
                <w:lang w:val="en-US" w:eastAsia="zh-CN"/>
              </w:rPr>
              <w:t>1080</w:t>
            </w:r>
            <w:r>
              <w:rPr>
                <w:rFonts w:hint="default" w:ascii="Times New Roman" w:hAnsi="Times New Roman" w:cs="Times New Roman"/>
                <w:color w:val="000000"/>
                <w:sz w:val="24"/>
                <w:szCs w:val="24"/>
                <w:lang w:val="en-US" w:eastAsia="zh-CN"/>
              </w:rPr>
              <w:t>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/d，蒸发损耗率约5%，补水量约为</w:t>
            </w:r>
            <w:r>
              <w:rPr>
                <w:rFonts w:hint="eastAsia" w:ascii="Times New Roman" w:hAnsi="Times New Roman" w:cs="Times New Roman"/>
                <w:color w:val="000000"/>
                <w:sz w:val="24"/>
                <w:szCs w:val="24"/>
                <w:lang w:val="en-US" w:eastAsia="zh-CN"/>
              </w:rPr>
              <w:t>54</w:t>
            </w:r>
            <w:r>
              <w:rPr>
                <w:rFonts w:hint="default" w:ascii="Times New Roman" w:hAnsi="Times New Roman" w:cs="Times New Roman"/>
                <w:color w:val="000000"/>
                <w:sz w:val="24"/>
                <w:szCs w:val="24"/>
                <w:lang w:val="en-US" w:eastAsia="zh-CN"/>
              </w:rPr>
              <w:t>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lang w:val="en-US" w:eastAsia="zh-CN"/>
              </w:rPr>
              <w:t>/d。</w:t>
            </w:r>
          </w:p>
          <w:p w14:paraId="23B52573">
            <w:pPr>
              <w:pStyle w:val="10"/>
              <w:spacing w:before="0" w:after="0" w:line="360" w:lineRule="auto"/>
              <w:ind w:right="0" w:firstLine="480" w:firstLineChars="200"/>
              <w:rPr>
                <w:rFonts w:hint="eastAsia"/>
                <w:color w:val="000000"/>
                <w:sz w:val="24"/>
                <w:szCs w:val="24"/>
                <w:lang w:val="en-US" w:eastAsia="zh-CN"/>
              </w:rPr>
            </w:pPr>
            <w:r>
              <w:rPr>
                <w:rFonts w:hint="eastAsia"/>
                <w:color w:val="000000"/>
                <w:sz w:val="24"/>
                <w:szCs w:val="24"/>
                <w:lang w:val="en-US" w:eastAsia="zh-CN"/>
              </w:rPr>
              <w:t>（2）排水</w:t>
            </w:r>
          </w:p>
          <w:p w14:paraId="0C630BF7">
            <w:pPr>
              <w:pStyle w:val="10"/>
              <w:spacing w:before="0" w:after="0" w:line="360" w:lineRule="auto"/>
              <w:ind w:right="0" w:firstLine="480" w:firstLineChars="200"/>
              <w:rPr>
                <w:rFonts w:hint="eastAsia" w:ascii="宋体" w:hAnsi="宋体" w:eastAsia="宋体" w:cs="宋体"/>
                <w:color w:val="000000"/>
                <w:sz w:val="24"/>
                <w:szCs w:val="24"/>
              </w:rPr>
            </w:pPr>
            <w:r>
              <w:rPr>
                <w:rFonts w:hint="eastAsia"/>
                <w:color w:val="000000"/>
                <w:sz w:val="24"/>
                <w:szCs w:val="24"/>
                <w:lang w:val="en-US" w:eastAsia="zh-CN"/>
              </w:rPr>
              <w:t>排水系统采用雨污分流制。雨水依托园区雨水管网排放，项目食堂废水经隔油池处理后与生活污水进入公司已建的预处理池（100m</w:t>
            </w:r>
            <w:r>
              <w:rPr>
                <w:rFonts w:hint="eastAsia"/>
                <w:color w:val="000000"/>
                <w:sz w:val="24"/>
                <w:szCs w:val="24"/>
                <w:vertAlign w:val="superscript"/>
                <w:lang w:val="en-US" w:eastAsia="zh-CN"/>
              </w:rPr>
              <w:t>3</w:t>
            </w:r>
            <w:r>
              <w:rPr>
                <w:rFonts w:hint="eastAsia"/>
                <w:color w:val="000000"/>
                <w:sz w:val="24"/>
                <w:szCs w:val="24"/>
                <w:lang w:val="en-US" w:eastAsia="zh-CN"/>
              </w:rPr>
              <w:t>）处理达标后排入市政污水管网，最终经星光工业园区污水处理厂处理达标后排入巴河</w:t>
            </w:r>
            <w:r>
              <w:rPr>
                <w:rFonts w:hint="eastAsia" w:ascii="宋体" w:hAnsi="宋体" w:eastAsia="宋体" w:cs="宋体"/>
                <w:color w:val="000000"/>
                <w:sz w:val="24"/>
                <w:szCs w:val="24"/>
              </w:rPr>
              <w:t>。</w:t>
            </w:r>
          </w:p>
          <w:p w14:paraId="701BD34B">
            <w:pPr>
              <w:rPr>
                <w:rFonts w:hint="default"/>
                <w:lang w:val="en-US" w:eastAsia="zh-CN"/>
              </w:rPr>
            </w:pPr>
            <w:r>
              <w:rPr>
                <w:rFonts w:hint="default"/>
                <w:lang w:val="en-US" w:eastAsia="zh-CN"/>
              </w:rPr>
              <w:object>
                <v:shape id="_x0000_i1025" o:spt="75" type="#_x0000_t75" style="height:282.5pt;width:423.75pt;" o:ole="t" filled="f" o:preferrelative="t" stroked="f" coordsize="21600,21600">
                  <v:path/>
                  <v:fill on="f" focussize="0,0"/>
                  <v:stroke on="f"/>
                  <v:imagedata r:id="rId18" o:title=""/>
                  <o:lock v:ext="edit" aspectratio="f"/>
                  <w10:wrap type="none"/>
                  <w10:anchorlock/>
                </v:shape>
                <o:OLEObject Type="Embed" ProgID="Visio.Drawing.15" ShapeID="_x0000_i1025" DrawAspect="Content" ObjectID="_1468075725" r:id="rId17">
                  <o:LockedField>false</o:LockedField>
                </o:OLEObject>
              </w:object>
            </w:r>
          </w:p>
          <w:p w14:paraId="48C5FFEC">
            <w:pPr>
              <w:pStyle w:val="10"/>
              <w:spacing w:before="0" w:after="0" w:line="360" w:lineRule="auto"/>
              <w:ind w:right="0" w:firstLine="482" w:firstLineChars="200"/>
              <w:jc w:val="center"/>
              <w:rPr>
                <w:rFonts w:hint="eastAsia"/>
                <w:b/>
                <w:bCs/>
                <w:color w:val="000000"/>
                <w:sz w:val="24"/>
                <w:szCs w:val="24"/>
                <w:lang w:val="en-US" w:eastAsia="zh-CN"/>
              </w:rPr>
            </w:pPr>
            <w:r>
              <w:rPr>
                <w:rFonts w:hint="eastAsia"/>
                <w:b/>
                <w:bCs/>
                <w:color w:val="000000"/>
                <w:sz w:val="24"/>
                <w:szCs w:val="24"/>
                <w:lang w:val="en-US" w:eastAsia="zh-CN"/>
              </w:rPr>
              <w:t>图2-1  本项目水平衡图（m</w:t>
            </w:r>
            <w:r>
              <w:rPr>
                <w:rFonts w:hint="eastAsia"/>
                <w:b/>
                <w:bCs/>
                <w:color w:val="000000"/>
                <w:sz w:val="24"/>
                <w:szCs w:val="24"/>
                <w:vertAlign w:val="superscript"/>
                <w:lang w:val="en-US" w:eastAsia="zh-CN"/>
              </w:rPr>
              <w:t>3</w:t>
            </w:r>
            <w:r>
              <w:rPr>
                <w:rFonts w:hint="eastAsia"/>
                <w:b/>
                <w:bCs/>
                <w:color w:val="000000"/>
                <w:sz w:val="24"/>
                <w:szCs w:val="24"/>
                <w:lang w:val="en-US" w:eastAsia="zh-CN"/>
              </w:rPr>
              <w:t>/d）</w:t>
            </w:r>
          </w:p>
          <w:p w14:paraId="7EE95A0D">
            <w:pPr>
              <w:rPr>
                <w:rFonts w:hint="eastAsia"/>
                <w:lang w:val="en-US" w:eastAsia="zh-CN"/>
              </w:rPr>
            </w:pPr>
            <w:r>
              <w:rPr>
                <w:rFonts w:hint="eastAsia"/>
                <w:lang w:val="en-US" w:eastAsia="zh-CN"/>
              </w:rPr>
              <w:object>
                <v:shape id="_x0000_i1026" o:spt="75" type="#_x0000_t75" style="height:278.7pt;width:423.75pt;" o:ole="t" filled="f" o:preferrelative="t" stroked="f" coordsize="21600,21600">
                  <v:path/>
                  <v:fill on="f" focussize="0,0"/>
                  <v:stroke on="f"/>
                  <v:imagedata r:id="rId20" o:title=""/>
                  <o:lock v:ext="edit" aspectratio="f"/>
                  <w10:wrap type="none"/>
                  <w10:anchorlock/>
                </v:shape>
                <o:OLEObject Type="Embed" ProgID="Visio.Drawing.15" ShapeID="_x0000_i1026" DrawAspect="Content" ObjectID="_1468075726" r:id="rId19">
                  <o:LockedField>false</o:LockedField>
                </o:OLEObject>
              </w:object>
            </w:r>
          </w:p>
          <w:p w14:paraId="0CD38F30">
            <w:pPr>
              <w:pStyle w:val="10"/>
              <w:spacing w:before="0" w:after="0" w:line="360" w:lineRule="auto"/>
              <w:ind w:right="0" w:firstLine="482" w:firstLineChars="200"/>
              <w:jc w:val="center"/>
              <w:rPr>
                <w:rFonts w:hint="eastAsia"/>
                <w:b/>
                <w:bCs/>
                <w:color w:val="000000"/>
                <w:sz w:val="24"/>
                <w:szCs w:val="24"/>
                <w:lang w:val="en-US" w:eastAsia="zh-CN"/>
              </w:rPr>
            </w:pPr>
            <w:r>
              <w:rPr>
                <w:rFonts w:hint="eastAsia"/>
                <w:b/>
                <w:bCs/>
                <w:color w:val="000000"/>
                <w:sz w:val="24"/>
                <w:szCs w:val="24"/>
                <w:lang w:val="en-US" w:eastAsia="zh-CN"/>
              </w:rPr>
              <w:t>图2-2  本项目实施后全厂水平衡图（m</w:t>
            </w:r>
            <w:r>
              <w:rPr>
                <w:rFonts w:hint="eastAsia"/>
                <w:b/>
                <w:bCs/>
                <w:color w:val="000000"/>
                <w:sz w:val="24"/>
                <w:szCs w:val="24"/>
                <w:vertAlign w:val="superscript"/>
                <w:lang w:val="en-US" w:eastAsia="zh-CN"/>
              </w:rPr>
              <w:t>3</w:t>
            </w:r>
            <w:r>
              <w:rPr>
                <w:rFonts w:hint="eastAsia"/>
                <w:b/>
                <w:bCs/>
                <w:color w:val="000000"/>
                <w:sz w:val="24"/>
                <w:szCs w:val="24"/>
                <w:lang w:val="en-US" w:eastAsia="zh-CN"/>
              </w:rPr>
              <w:t>/d）</w:t>
            </w:r>
          </w:p>
          <w:p w14:paraId="5B896802">
            <w:pPr>
              <w:pStyle w:val="10"/>
              <w:numPr>
                <w:ilvl w:val="0"/>
                <w:numId w:val="16"/>
              </w:numPr>
              <w:spacing w:before="0" w:after="0" w:line="360" w:lineRule="auto"/>
              <w:ind w:left="360" w:leftChars="0" w:right="0" w:firstLine="0" w:firstLineChars="0"/>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物料平衡</w:t>
            </w:r>
          </w:p>
          <w:p w14:paraId="3A755E9C">
            <w:pPr>
              <w:pStyle w:val="10"/>
              <w:keepNext w:val="0"/>
              <w:keepLines w:val="0"/>
              <w:pageBreakBefore w:val="0"/>
              <w:numPr>
                <w:ilvl w:val="0"/>
                <w:numId w:val="17"/>
              </w:numPr>
              <w:kinsoku/>
              <w:wordWrap/>
              <w:overflowPunct/>
              <w:topLinePunct w:val="0"/>
              <w:autoSpaceDE/>
              <w:autoSpaceDN/>
              <w:bidi w:val="0"/>
              <w:adjustRightInd/>
              <w:spacing w:before="0" w:after="0" w:line="360" w:lineRule="auto"/>
              <w:ind w:left="0" w:leftChars="0" w:right="0" w:rightChars="0" w:firstLine="482" w:firstLineChars="200"/>
              <w:textAlignment w:val="auto"/>
              <w:rPr>
                <w:rFonts w:hint="default" w:ascii="Times New Roman" w:hAnsi="Times New Roman" w:eastAsia="宋体" w:cs="Times New Roman"/>
                <w:b/>
                <w:bCs/>
                <w:color w:val="000000"/>
                <w:sz w:val="24"/>
                <w:szCs w:val="24"/>
                <w:lang w:val="en-US" w:eastAsia="zh-CN"/>
              </w:rPr>
            </w:pPr>
            <w:r>
              <w:rPr>
                <w:rFonts w:hint="default" w:ascii="Times New Roman" w:hAnsi="Times New Roman" w:eastAsia="宋体" w:cs="Times New Roman"/>
                <w:b/>
                <w:bCs/>
                <w:color w:val="000000"/>
                <w:sz w:val="24"/>
                <w:szCs w:val="24"/>
                <w:lang w:val="en-US" w:eastAsia="zh-CN"/>
              </w:rPr>
              <w:t>VOCs 平衡、苯并芘平衡</w:t>
            </w:r>
          </w:p>
          <w:p w14:paraId="4A470173">
            <w:pPr>
              <w:keepNext w:val="0"/>
              <w:keepLines w:val="0"/>
              <w:pageBreakBefore w:val="0"/>
              <w:kinsoku/>
              <w:wordWrap/>
              <w:overflowPunct/>
              <w:topLinePunct w:val="0"/>
              <w:autoSpaceDE/>
              <w:autoSpaceDN/>
              <w:bidi w:val="0"/>
              <w:adjustRightInd/>
              <w:spacing w:line="360" w:lineRule="auto"/>
              <w:ind w:left="0" w:right="0" w:firstLine="504" w:firstLineChars="200"/>
              <w:textAlignment w:val="auto"/>
              <w:rPr>
                <w:rFonts w:ascii="宋体" w:hAnsi="宋体" w:eastAsia="宋体" w:cs="宋体"/>
                <w:sz w:val="24"/>
                <w:szCs w:val="24"/>
              </w:rPr>
            </w:pPr>
            <w:r>
              <w:rPr>
                <w:rFonts w:ascii="宋体" w:hAnsi="宋体" w:eastAsia="宋体" w:cs="宋体"/>
                <w:spacing w:val="6"/>
                <w:sz w:val="24"/>
                <w:szCs w:val="24"/>
              </w:rPr>
              <w:t>依据项目入窑原料挥发分含量以及产品质量控制指标，以及污染物产</w:t>
            </w:r>
            <w:r>
              <w:rPr>
                <w:rFonts w:ascii="宋体" w:hAnsi="宋体" w:eastAsia="宋体" w:cs="宋体"/>
                <w:spacing w:val="5"/>
                <w:sz w:val="24"/>
                <w:szCs w:val="24"/>
              </w:rPr>
              <w:t>生情况，本项目</w:t>
            </w:r>
            <w:r>
              <w:rPr>
                <w:rFonts w:ascii="Times New Roman" w:hAnsi="Times New Roman" w:eastAsia="Times New Roman" w:cs="Times New Roman"/>
                <w:spacing w:val="-1"/>
                <w:sz w:val="24"/>
                <w:szCs w:val="24"/>
              </w:rPr>
              <w:t xml:space="preserve">VOCs </w:t>
            </w:r>
            <w:r>
              <w:rPr>
                <w:rFonts w:ascii="宋体" w:hAnsi="宋体" w:eastAsia="宋体" w:cs="宋体"/>
                <w:spacing w:val="-1"/>
                <w:sz w:val="24"/>
                <w:szCs w:val="24"/>
              </w:rPr>
              <w:t>和苯并芘平衡分析如下图：</w:t>
            </w:r>
          </w:p>
          <w:p w14:paraId="33607C0D">
            <w:pPr>
              <w:pStyle w:val="10"/>
              <w:numPr>
                <w:ilvl w:val="0"/>
                <w:numId w:val="0"/>
              </w:numPr>
              <w:spacing w:before="0" w:after="0" w:line="360" w:lineRule="auto"/>
              <w:ind w:right="0" w:rightChars="0"/>
              <w:rPr>
                <w:rFonts w:hint="eastAsia"/>
                <w:lang w:val="en-US" w:eastAsia="zh-CN"/>
              </w:rPr>
            </w:pPr>
            <w:r>
              <w:rPr>
                <w:rFonts w:hint="eastAsia"/>
                <w:lang w:val="en-US" w:eastAsia="zh-CN"/>
              </w:rPr>
              <w:object>
                <v:shape id="_x0000_i1027" o:spt="75" type="#_x0000_t75" style="height:103.95pt;width:423.65pt;" o:ole="t" filled="f" o:preferrelative="t" stroked="f" coordsize="21600,21600">
                  <v:path/>
                  <v:fill on="f" focussize="0,0"/>
                  <v:stroke on="f"/>
                  <v:imagedata r:id="rId22" o:title=""/>
                  <o:lock v:ext="edit" aspectratio="f"/>
                  <w10:wrap type="none"/>
                  <w10:anchorlock/>
                </v:shape>
                <o:OLEObject Type="Embed" ProgID="Visio.Drawing.15" ShapeID="_x0000_i1027" DrawAspect="Content" ObjectID="_1468075727" r:id="rId21">
                  <o:LockedField>false</o:LockedField>
                </o:OLEObject>
              </w:object>
            </w:r>
          </w:p>
          <w:p w14:paraId="64AB452B">
            <w:pPr>
              <w:pStyle w:val="10"/>
              <w:spacing w:before="0" w:after="0" w:line="360" w:lineRule="auto"/>
              <w:ind w:right="0" w:firstLine="482" w:firstLineChars="200"/>
              <w:jc w:val="center"/>
              <w:rPr>
                <w:rFonts w:hint="eastAsia"/>
                <w:b/>
                <w:bCs/>
                <w:color w:val="000000"/>
                <w:sz w:val="24"/>
                <w:szCs w:val="24"/>
                <w:lang w:val="en-US" w:eastAsia="zh-CN"/>
              </w:rPr>
            </w:pPr>
            <w:r>
              <w:rPr>
                <w:rFonts w:hint="eastAsia"/>
                <w:b/>
                <w:bCs/>
                <w:color w:val="000000"/>
                <w:sz w:val="24"/>
                <w:szCs w:val="24"/>
                <w:lang w:val="en-US" w:eastAsia="zh-CN"/>
              </w:rPr>
              <w:t>图2-3  项目VOC</w:t>
            </w:r>
            <w:r>
              <w:rPr>
                <w:rFonts w:hint="eastAsia"/>
                <w:b/>
                <w:bCs/>
                <w:color w:val="000000"/>
                <w:sz w:val="24"/>
                <w:szCs w:val="24"/>
                <w:vertAlign w:val="subscript"/>
                <w:lang w:val="en-US" w:eastAsia="zh-CN"/>
              </w:rPr>
              <w:t>S</w:t>
            </w:r>
            <w:r>
              <w:rPr>
                <w:rFonts w:hint="eastAsia"/>
                <w:b/>
                <w:bCs/>
                <w:color w:val="000000"/>
                <w:sz w:val="24"/>
                <w:szCs w:val="24"/>
                <w:lang w:val="en-US" w:eastAsia="zh-CN"/>
              </w:rPr>
              <w:t>平衡图（t/a）</w:t>
            </w:r>
          </w:p>
          <w:p w14:paraId="6D394EC0">
            <w:pPr>
              <w:pStyle w:val="10"/>
              <w:numPr>
                <w:ilvl w:val="0"/>
                <w:numId w:val="0"/>
              </w:numPr>
              <w:spacing w:before="0" w:after="0" w:line="360" w:lineRule="auto"/>
              <w:ind w:right="0" w:rightChars="0" w:firstLine="480" w:firstLineChars="200"/>
              <w:rPr>
                <w:rFonts w:hint="eastAsia"/>
                <w:sz w:val="24"/>
                <w:szCs w:val="24"/>
                <w:lang w:val="en-US" w:eastAsia="zh-CN"/>
              </w:rPr>
            </w:pPr>
            <w:r>
              <w:rPr>
                <w:rFonts w:hint="eastAsia"/>
                <w:sz w:val="24"/>
                <w:szCs w:val="24"/>
                <w:lang w:val="en-US" w:eastAsia="zh-CN"/>
              </w:rPr>
              <w:t>苯并芘主要来自原料中有机物的不完全燃烧，本项目无行业污染物核算源强。本次按类比法计算。依据工程分析和 VOCs 中苯并芘占比情况估算，本项目苯并芘平衡如下：</w:t>
            </w:r>
          </w:p>
          <w:p w14:paraId="7E68BB1D">
            <w:pPr>
              <w:pStyle w:val="10"/>
              <w:numPr>
                <w:ilvl w:val="0"/>
                <w:numId w:val="0"/>
              </w:numPr>
              <w:spacing w:before="0" w:after="0" w:line="360" w:lineRule="auto"/>
              <w:ind w:right="0" w:rightChars="0"/>
              <w:rPr>
                <w:rFonts w:hint="eastAsia"/>
                <w:sz w:val="24"/>
                <w:szCs w:val="24"/>
                <w:lang w:val="en-US" w:eastAsia="zh-CN"/>
              </w:rPr>
            </w:pPr>
            <w:r>
              <w:rPr>
                <w:rFonts w:hint="eastAsia"/>
                <w:sz w:val="24"/>
                <w:szCs w:val="24"/>
                <w:lang w:val="en-US" w:eastAsia="zh-CN"/>
              </w:rPr>
              <w:object>
                <v:shape id="_x0000_i1028" o:spt="75" type="#_x0000_t75" style="height:109.85pt;width:423.65pt;" o:ole="t" filled="f" o:preferrelative="t" stroked="f" coordsize="21600,21600">
                  <v:path/>
                  <v:fill on="f" focussize="0,0"/>
                  <v:stroke on="f"/>
                  <v:imagedata r:id="rId24" o:title=""/>
                  <o:lock v:ext="edit" aspectratio="f"/>
                  <w10:wrap type="none"/>
                  <w10:anchorlock/>
                </v:shape>
                <o:OLEObject Type="Embed" ProgID="Visio.Drawing.15" ShapeID="_x0000_i1028" DrawAspect="Content" ObjectID="_1468075728" r:id="rId23">
                  <o:LockedField>false</o:LockedField>
                </o:OLEObject>
              </w:object>
            </w:r>
          </w:p>
          <w:p w14:paraId="5AD12D2F">
            <w:pPr>
              <w:pStyle w:val="10"/>
              <w:spacing w:before="0" w:after="0" w:line="360" w:lineRule="auto"/>
              <w:ind w:right="0" w:firstLine="482" w:firstLineChars="200"/>
              <w:jc w:val="center"/>
              <w:rPr>
                <w:rFonts w:hint="eastAsia"/>
                <w:b/>
                <w:bCs/>
                <w:color w:val="000000"/>
                <w:sz w:val="24"/>
                <w:szCs w:val="24"/>
                <w:lang w:val="en-US" w:eastAsia="zh-CN"/>
              </w:rPr>
            </w:pPr>
            <w:r>
              <w:rPr>
                <w:rFonts w:hint="eastAsia"/>
                <w:b/>
                <w:bCs/>
                <w:color w:val="000000"/>
                <w:sz w:val="24"/>
                <w:szCs w:val="24"/>
                <w:lang w:val="en-US" w:eastAsia="zh-CN"/>
              </w:rPr>
              <w:t>图2-4  项目苯并芘平衡图（kg/a）</w:t>
            </w:r>
          </w:p>
          <w:p w14:paraId="3A811C41">
            <w:pPr>
              <w:pStyle w:val="10"/>
              <w:keepNext w:val="0"/>
              <w:keepLines w:val="0"/>
              <w:pageBreakBefore w:val="0"/>
              <w:numPr>
                <w:ilvl w:val="0"/>
                <w:numId w:val="17"/>
              </w:numPr>
              <w:kinsoku/>
              <w:wordWrap/>
              <w:overflowPunct/>
              <w:topLinePunct w:val="0"/>
              <w:autoSpaceDE/>
              <w:autoSpaceDN/>
              <w:bidi w:val="0"/>
              <w:adjustRightInd/>
              <w:spacing w:before="0" w:after="0" w:line="360" w:lineRule="auto"/>
              <w:ind w:left="0" w:leftChars="0" w:right="0" w:rightChars="0" w:firstLine="482" w:firstLineChars="200"/>
              <w:textAlignment w:val="auto"/>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S</w:t>
            </w:r>
            <w:r>
              <w:rPr>
                <w:rFonts w:hint="default" w:ascii="Times New Roman" w:hAnsi="Times New Roman" w:eastAsia="宋体" w:cs="Times New Roman"/>
                <w:b/>
                <w:bCs/>
                <w:color w:val="000000"/>
                <w:sz w:val="24"/>
                <w:szCs w:val="24"/>
                <w:lang w:val="en-US" w:eastAsia="zh-CN"/>
              </w:rPr>
              <w:t>平衡</w:t>
            </w:r>
          </w:p>
          <w:p w14:paraId="420149CA">
            <w:pPr>
              <w:pStyle w:val="10"/>
              <w:keepNext w:val="0"/>
              <w:keepLines w:val="0"/>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hint="default" w:ascii="Times New Roman" w:hAnsi="Times New Roman" w:eastAsia="宋体" w:cs="Times New Roman"/>
                <w:b w:val="0"/>
                <w:bCs w:val="0"/>
                <w:color w:val="000000"/>
                <w:sz w:val="24"/>
                <w:szCs w:val="24"/>
                <w:lang w:val="en-US" w:eastAsia="zh-CN"/>
              </w:rPr>
              <w:t>依据项目入窑原料S含量以及产品质量控制指标，以及污染物产生情况，本项目S元素平衡分析如下图：</w:t>
            </w:r>
          </w:p>
          <w:p w14:paraId="5FE34776">
            <w:pPr>
              <w:pStyle w:val="10"/>
              <w:keepNext w:val="0"/>
              <w:keepLines w:val="0"/>
              <w:pageBreakBefore w:val="0"/>
              <w:numPr>
                <w:ilvl w:val="0"/>
                <w:numId w:val="0"/>
              </w:numPr>
              <w:kinsoku/>
              <w:wordWrap/>
              <w:overflowPunct/>
              <w:topLinePunct w:val="0"/>
              <w:autoSpaceDE/>
              <w:autoSpaceDN/>
              <w:bidi w:val="0"/>
              <w:adjustRightInd/>
              <w:spacing w:before="0" w:after="0" w:line="360" w:lineRule="auto"/>
              <w:ind w:right="0" w:rightChars="0"/>
              <w:textAlignment w:val="auto"/>
              <w:rPr>
                <w:rFonts w:hint="default"/>
                <w:sz w:val="24"/>
                <w:szCs w:val="24"/>
                <w:lang w:val="en-US" w:eastAsia="zh-CN"/>
              </w:rPr>
            </w:pPr>
            <w:r>
              <w:rPr>
                <w:rFonts w:hint="default"/>
                <w:sz w:val="24"/>
                <w:szCs w:val="24"/>
                <w:lang w:val="en-US" w:eastAsia="zh-CN"/>
              </w:rPr>
              <w:object>
                <v:shape id="_x0000_i1029" o:spt="75" type="#_x0000_t75" style="height:50.4pt;width:423.45pt;" o:ole="t" filled="f" o:preferrelative="t" stroked="f" coordsize="21600,21600">
                  <v:path/>
                  <v:fill on="f" focussize="0,0"/>
                  <v:stroke on="f"/>
                  <v:imagedata r:id="rId26" o:title=""/>
                  <o:lock v:ext="edit" aspectratio="f"/>
                  <w10:wrap type="none"/>
                  <w10:anchorlock/>
                </v:shape>
                <o:OLEObject Type="Embed" ProgID="Visio.Drawing.15" ShapeID="_x0000_i1029" DrawAspect="Content" ObjectID="_1468075729" r:id="rId25">
                  <o:LockedField>false</o:LockedField>
                </o:OLEObject>
              </w:object>
            </w:r>
          </w:p>
          <w:p w14:paraId="20A461E5">
            <w:pPr>
              <w:pStyle w:val="10"/>
              <w:spacing w:before="0" w:after="0" w:line="360" w:lineRule="auto"/>
              <w:ind w:right="0" w:firstLine="482" w:firstLineChars="200"/>
              <w:jc w:val="center"/>
              <w:rPr>
                <w:rFonts w:hint="eastAsia"/>
                <w:b/>
                <w:bCs/>
                <w:color w:val="000000"/>
                <w:sz w:val="24"/>
                <w:szCs w:val="24"/>
                <w:lang w:val="en-US" w:eastAsia="zh-CN"/>
              </w:rPr>
            </w:pPr>
            <w:r>
              <w:rPr>
                <w:rFonts w:hint="eastAsia"/>
                <w:b/>
                <w:bCs/>
                <w:color w:val="000000"/>
                <w:sz w:val="24"/>
                <w:szCs w:val="24"/>
                <w:lang w:val="en-US" w:eastAsia="zh-CN"/>
              </w:rPr>
              <w:t>图2-5  项目S元素平衡图（t/a）</w:t>
            </w:r>
          </w:p>
          <w:p w14:paraId="718DB14D">
            <w:pPr>
              <w:pStyle w:val="10"/>
              <w:numPr>
                <w:ilvl w:val="0"/>
                <w:numId w:val="17"/>
              </w:numPr>
              <w:spacing w:before="0" w:after="0" w:line="360" w:lineRule="auto"/>
              <w:ind w:left="360" w:leftChars="0" w:right="0" w:rightChars="0"/>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物料平衡</w:t>
            </w:r>
          </w:p>
          <w:p w14:paraId="55A3243E">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项目物料平衡表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5"/>
              <w:gridCol w:w="2046"/>
              <w:gridCol w:w="889"/>
              <w:gridCol w:w="1157"/>
              <w:gridCol w:w="2046"/>
            </w:tblGrid>
            <w:tr w14:paraId="1D43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1" w:type="dxa"/>
                  <w:gridSpan w:val="2"/>
                  <w:tcBorders>
                    <w:tl2br w:val="nil"/>
                    <w:tr2bl w:val="nil"/>
                  </w:tcBorders>
                  <w:noWrap w:val="0"/>
                  <w:vAlign w:val="center"/>
                </w:tcPr>
                <w:p w14:paraId="059F477C">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投入</w:t>
                  </w:r>
                </w:p>
              </w:tc>
              <w:tc>
                <w:tcPr>
                  <w:tcW w:w="4092" w:type="dxa"/>
                  <w:gridSpan w:val="3"/>
                  <w:tcBorders>
                    <w:tl2br w:val="nil"/>
                    <w:tr2bl w:val="nil"/>
                  </w:tcBorders>
                  <w:noWrap w:val="0"/>
                  <w:vAlign w:val="center"/>
                </w:tcPr>
                <w:p w14:paraId="638F9452">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产出</w:t>
                  </w:r>
                </w:p>
              </w:tc>
            </w:tr>
            <w:tr w14:paraId="1393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tcBorders>
                    <w:tl2br w:val="nil"/>
                    <w:tr2bl w:val="nil"/>
                  </w:tcBorders>
                  <w:noWrap w:val="0"/>
                  <w:vAlign w:val="center"/>
                </w:tcPr>
                <w:p w14:paraId="5686037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名称</w:t>
                  </w:r>
                </w:p>
              </w:tc>
              <w:tc>
                <w:tcPr>
                  <w:tcW w:w="2046" w:type="dxa"/>
                  <w:tcBorders>
                    <w:tl2br w:val="nil"/>
                    <w:tr2bl w:val="nil"/>
                  </w:tcBorders>
                  <w:noWrap w:val="0"/>
                  <w:vAlign w:val="center"/>
                </w:tcPr>
                <w:p w14:paraId="320B1926">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数量（t/a）</w:t>
                  </w:r>
                </w:p>
              </w:tc>
              <w:tc>
                <w:tcPr>
                  <w:tcW w:w="2046" w:type="dxa"/>
                  <w:gridSpan w:val="2"/>
                  <w:tcBorders>
                    <w:tl2br w:val="nil"/>
                    <w:tr2bl w:val="nil"/>
                  </w:tcBorders>
                  <w:noWrap w:val="0"/>
                  <w:vAlign w:val="center"/>
                </w:tcPr>
                <w:p w14:paraId="3D9E8118">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种类</w:t>
                  </w:r>
                </w:p>
              </w:tc>
              <w:tc>
                <w:tcPr>
                  <w:tcW w:w="2046" w:type="dxa"/>
                  <w:tcBorders>
                    <w:tl2br w:val="nil"/>
                    <w:tr2bl w:val="nil"/>
                  </w:tcBorders>
                  <w:noWrap w:val="0"/>
                  <w:vAlign w:val="center"/>
                </w:tcPr>
                <w:p w14:paraId="0FDC9D8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数量（t/a）</w:t>
                  </w:r>
                </w:p>
              </w:tc>
            </w:tr>
            <w:tr w14:paraId="388E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tcBorders>
                    <w:tl2br w:val="nil"/>
                    <w:tr2bl w:val="nil"/>
                  </w:tcBorders>
                  <w:noWrap w:val="0"/>
                  <w:vAlign w:val="center"/>
                </w:tcPr>
                <w:p w14:paraId="1201B8CC">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负极材料半成品</w:t>
                  </w:r>
                </w:p>
              </w:tc>
              <w:tc>
                <w:tcPr>
                  <w:tcW w:w="2046" w:type="dxa"/>
                  <w:tcBorders>
                    <w:tl2br w:val="nil"/>
                    <w:tr2bl w:val="nil"/>
                  </w:tcBorders>
                  <w:noWrap w:val="0"/>
                  <w:vAlign w:val="center"/>
                </w:tcPr>
                <w:p w14:paraId="4E44B988">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2046" w:type="dxa"/>
                  <w:gridSpan w:val="2"/>
                  <w:tcBorders>
                    <w:tl2br w:val="nil"/>
                    <w:tr2bl w:val="nil"/>
                  </w:tcBorders>
                  <w:noWrap w:val="0"/>
                  <w:vAlign w:val="center"/>
                </w:tcPr>
                <w:p w14:paraId="0FA426B9">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负极粉</w:t>
                  </w:r>
                </w:p>
              </w:tc>
              <w:tc>
                <w:tcPr>
                  <w:tcW w:w="2046" w:type="dxa"/>
                  <w:tcBorders>
                    <w:tl2br w:val="nil"/>
                    <w:tr2bl w:val="nil"/>
                  </w:tcBorders>
                  <w:noWrap w:val="0"/>
                  <w:vAlign w:val="center"/>
                </w:tcPr>
                <w:p w14:paraId="6F7AF00A">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5A60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tcBorders>
                    <w:tl2br w:val="nil"/>
                    <w:tr2bl w:val="nil"/>
                  </w:tcBorders>
                  <w:noWrap w:val="0"/>
                  <w:vAlign w:val="center"/>
                </w:tcPr>
                <w:p w14:paraId="09862386">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2046" w:type="dxa"/>
                  <w:tcBorders>
                    <w:tl2br w:val="nil"/>
                    <w:tr2bl w:val="nil"/>
                  </w:tcBorders>
                  <w:noWrap w:val="0"/>
                  <w:vAlign w:val="center"/>
                </w:tcPr>
                <w:p w14:paraId="5BC743C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2046" w:type="dxa"/>
                  <w:gridSpan w:val="2"/>
                  <w:tcBorders>
                    <w:tl2br w:val="nil"/>
                    <w:tr2bl w:val="nil"/>
                  </w:tcBorders>
                  <w:noWrap w:val="0"/>
                  <w:vAlign w:val="center"/>
                </w:tcPr>
                <w:p w14:paraId="2B3AD2E2">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VOCs（挥发进入炉内燃烧消耗量）</w:t>
                  </w:r>
                </w:p>
              </w:tc>
              <w:tc>
                <w:tcPr>
                  <w:tcW w:w="2046" w:type="dxa"/>
                  <w:tcBorders>
                    <w:tl2br w:val="nil"/>
                    <w:tr2bl w:val="nil"/>
                  </w:tcBorders>
                  <w:noWrap w:val="0"/>
                  <w:vAlign w:val="center"/>
                </w:tcPr>
                <w:p w14:paraId="472E12A7">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4B4C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5" w:type="dxa"/>
                  <w:tcBorders>
                    <w:tl2br w:val="nil"/>
                    <w:tr2bl w:val="nil"/>
                  </w:tcBorders>
                  <w:noWrap w:val="0"/>
                  <w:vAlign w:val="center"/>
                </w:tcPr>
                <w:p w14:paraId="3D2A40BC">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eastAsia="宋体"/>
                      <w:color w:val="000000"/>
                      <w:sz w:val="21"/>
                      <w:szCs w:val="21"/>
                      <w:highlight w:val="none"/>
                      <w:lang w:val="en-US" w:eastAsia="zh-CN"/>
                    </w:rPr>
                  </w:pPr>
                </w:p>
              </w:tc>
              <w:tc>
                <w:tcPr>
                  <w:tcW w:w="2046" w:type="dxa"/>
                  <w:tcBorders>
                    <w:tl2br w:val="nil"/>
                    <w:tr2bl w:val="nil"/>
                  </w:tcBorders>
                  <w:noWrap w:val="0"/>
                  <w:vAlign w:val="center"/>
                </w:tcPr>
                <w:p w14:paraId="27D655E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2046" w:type="dxa"/>
                  <w:gridSpan w:val="2"/>
                  <w:tcBorders>
                    <w:tl2br w:val="nil"/>
                    <w:tr2bl w:val="nil"/>
                  </w:tcBorders>
                  <w:noWrap w:val="0"/>
                  <w:vAlign w:val="center"/>
                </w:tcPr>
                <w:p w14:paraId="0054B5CD">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水分蒸发</w:t>
                  </w:r>
                </w:p>
              </w:tc>
              <w:tc>
                <w:tcPr>
                  <w:tcW w:w="2046" w:type="dxa"/>
                  <w:tcBorders>
                    <w:tl2br w:val="nil"/>
                    <w:tr2bl w:val="nil"/>
                  </w:tcBorders>
                  <w:noWrap w:val="0"/>
                  <w:vAlign w:val="center"/>
                </w:tcPr>
                <w:p w14:paraId="78021B66">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7196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5" w:type="dxa"/>
                  <w:tcBorders>
                    <w:tl2br w:val="nil"/>
                    <w:tr2bl w:val="nil"/>
                  </w:tcBorders>
                  <w:noWrap w:val="0"/>
                  <w:vAlign w:val="center"/>
                </w:tcPr>
                <w:p w14:paraId="573D86B3">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2046" w:type="dxa"/>
                  <w:tcBorders>
                    <w:tl2br w:val="nil"/>
                    <w:tr2bl w:val="nil"/>
                  </w:tcBorders>
                  <w:noWrap w:val="0"/>
                  <w:vAlign w:val="center"/>
                </w:tcPr>
                <w:p w14:paraId="1FBC2CC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889" w:type="dxa"/>
                  <w:vMerge w:val="restart"/>
                  <w:tcBorders>
                    <w:tl2br w:val="nil"/>
                    <w:tr2bl w:val="nil"/>
                  </w:tcBorders>
                  <w:noWrap w:val="0"/>
                  <w:vAlign w:val="center"/>
                </w:tcPr>
                <w:p w14:paraId="387E311B">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废气</w:t>
                  </w:r>
                </w:p>
              </w:tc>
              <w:tc>
                <w:tcPr>
                  <w:tcW w:w="1157" w:type="dxa"/>
                  <w:tcBorders>
                    <w:tl2br w:val="nil"/>
                    <w:tr2bl w:val="nil"/>
                  </w:tcBorders>
                  <w:noWrap w:val="0"/>
                  <w:vAlign w:val="center"/>
                </w:tcPr>
                <w:p w14:paraId="68761B17">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颗粒物</w:t>
                  </w:r>
                </w:p>
              </w:tc>
              <w:tc>
                <w:tcPr>
                  <w:tcW w:w="2046" w:type="dxa"/>
                  <w:tcBorders>
                    <w:tl2br w:val="nil"/>
                    <w:tr2bl w:val="nil"/>
                  </w:tcBorders>
                  <w:noWrap w:val="0"/>
                  <w:vAlign w:val="center"/>
                </w:tcPr>
                <w:p w14:paraId="6644A793">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069B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5" w:type="dxa"/>
                  <w:tcBorders>
                    <w:tl2br w:val="nil"/>
                    <w:tr2bl w:val="nil"/>
                  </w:tcBorders>
                  <w:noWrap w:val="0"/>
                  <w:vAlign w:val="center"/>
                </w:tcPr>
                <w:p w14:paraId="3236A5B3">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2046" w:type="dxa"/>
                  <w:tcBorders>
                    <w:tl2br w:val="nil"/>
                    <w:tr2bl w:val="nil"/>
                  </w:tcBorders>
                  <w:noWrap w:val="0"/>
                  <w:vAlign w:val="center"/>
                </w:tcPr>
                <w:p w14:paraId="5A2850C6">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889" w:type="dxa"/>
                  <w:vMerge w:val="continue"/>
                  <w:tcBorders>
                    <w:tl2br w:val="nil"/>
                    <w:tr2bl w:val="nil"/>
                  </w:tcBorders>
                  <w:noWrap w:val="0"/>
                  <w:vAlign w:val="center"/>
                </w:tcPr>
                <w:p w14:paraId="248CE569">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1157" w:type="dxa"/>
                  <w:tcBorders>
                    <w:tl2br w:val="nil"/>
                    <w:tr2bl w:val="nil"/>
                  </w:tcBorders>
                  <w:noWrap w:val="0"/>
                  <w:vAlign w:val="center"/>
                </w:tcPr>
                <w:p w14:paraId="24EFD5FC">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SO</w:t>
                  </w:r>
                  <w:r>
                    <w:rPr>
                      <w:rFonts w:hint="eastAsia"/>
                      <w:color w:val="000000"/>
                      <w:sz w:val="21"/>
                      <w:szCs w:val="21"/>
                      <w:highlight w:val="none"/>
                      <w:vertAlign w:val="subscript"/>
                      <w:lang w:val="en-US" w:eastAsia="zh-CN"/>
                    </w:rPr>
                    <w:t>2</w:t>
                  </w:r>
                </w:p>
              </w:tc>
              <w:tc>
                <w:tcPr>
                  <w:tcW w:w="2046" w:type="dxa"/>
                  <w:tcBorders>
                    <w:tl2br w:val="nil"/>
                    <w:tr2bl w:val="nil"/>
                  </w:tcBorders>
                  <w:noWrap w:val="0"/>
                  <w:vAlign w:val="center"/>
                </w:tcPr>
                <w:p w14:paraId="18B9539E">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7731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5" w:type="dxa"/>
                  <w:tcBorders>
                    <w:tl2br w:val="nil"/>
                    <w:tr2bl w:val="nil"/>
                  </w:tcBorders>
                  <w:noWrap w:val="0"/>
                  <w:vAlign w:val="center"/>
                </w:tcPr>
                <w:p w14:paraId="64BAECE3">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2046" w:type="dxa"/>
                  <w:tcBorders>
                    <w:tl2br w:val="nil"/>
                    <w:tr2bl w:val="nil"/>
                  </w:tcBorders>
                  <w:noWrap w:val="0"/>
                  <w:vAlign w:val="center"/>
                </w:tcPr>
                <w:p w14:paraId="31826530">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889" w:type="dxa"/>
                  <w:vMerge w:val="continue"/>
                  <w:tcBorders>
                    <w:tl2br w:val="nil"/>
                    <w:tr2bl w:val="nil"/>
                  </w:tcBorders>
                  <w:noWrap w:val="0"/>
                  <w:vAlign w:val="center"/>
                </w:tcPr>
                <w:p w14:paraId="31A402FF">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1157" w:type="dxa"/>
                  <w:tcBorders>
                    <w:tl2br w:val="nil"/>
                    <w:tr2bl w:val="nil"/>
                  </w:tcBorders>
                  <w:noWrap w:val="0"/>
                  <w:vAlign w:val="center"/>
                </w:tcPr>
                <w:p w14:paraId="7C2AC0C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NOx</w:t>
                  </w:r>
                </w:p>
              </w:tc>
              <w:tc>
                <w:tcPr>
                  <w:tcW w:w="2046" w:type="dxa"/>
                  <w:tcBorders>
                    <w:tl2br w:val="nil"/>
                    <w:tr2bl w:val="nil"/>
                  </w:tcBorders>
                  <w:noWrap w:val="0"/>
                  <w:vAlign w:val="center"/>
                </w:tcPr>
                <w:p w14:paraId="4E6E7BAA">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561A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5" w:type="dxa"/>
                  <w:tcBorders>
                    <w:tl2br w:val="nil"/>
                    <w:tr2bl w:val="nil"/>
                  </w:tcBorders>
                  <w:noWrap w:val="0"/>
                  <w:vAlign w:val="center"/>
                </w:tcPr>
                <w:p w14:paraId="7C418FE6">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2046" w:type="dxa"/>
                  <w:tcBorders>
                    <w:tl2br w:val="nil"/>
                    <w:tr2bl w:val="nil"/>
                  </w:tcBorders>
                  <w:noWrap w:val="0"/>
                  <w:vAlign w:val="center"/>
                </w:tcPr>
                <w:p w14:paraId="7C8AB80F">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889" w:type="dxa"/>
                  <w:vMerge w:val="continue"/>
                  <w:tcBorders>
                    <w:tl2br w:val="nil"/>
                    <w:tr2bl w:val="nil"/>
                  </w:tcBorders>
                  <w:noWrap w:val="0"/>
                  <w:vAlign w:val="center"/>
                </w:tcPr>
                <w:p w14:paraId="2D1C80E0">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1157" w:type="dxa"/>
                  <w:tcBorders>
                    <w:tl2br w:val="nil"/>
                    <w:tr2bl w:val="nil"/>
                  </w:tcBorders>
                  <w:noWrap w:val="0"/>
                  <w:vAlign w:val="center"/>
                </w:tcPr>
                <w:p w14:paraId="6CD2CA80">
                  <w:pPr>
                    <w:keepNext w:val="0"/>
                    <w:keepLines w:val="0"/>
                    <w:widowControl/>
                    <w:suppressLineNumbers w:val="0"/>
                    <w:jc w:val="center"/>
                    <w:textAlignment w:val="center"/>
                    <w:rPr>
                      <w:rFonts w:hint="default" w:ascii="Times New Roman" w:hAnsi="Times New Roman" w:eastAsia="宋体" w:cs="Times New Roman"/>
                      <w:snapToGrid w:val="0"/>
                      <w:color w:val="000000"/>
                      <w:sz w:val="24"/>
                      <w:szCs w:val="24"/>
                      <w:lang w:val="en-US" w:eastAsia="zh-CN"/>
                    </w:rPr>
                  </w:pPr>
                  <w:r>
                    <w:rPr>
                      <w:rFonts w:hint="eastAsia" w:ascii="Times New Roman" w:hAnsi="Times New Roman" w:eastAsia="宋体" w:cs="Times New Roman"/>
                      <w:snapToGrid w:val="0"/>
                      <w:color w:val="000000"/>
                      <w:sz w:val="24"/>
                      <w:szCs w:val="24"/>
                      <w:lang w:val="en-US" w:eastAsia="zh-CN"/>
                    </w:rPr>
                    <w:t>沥青烟</w:t>
                  </w:r>
                </w:p>
              </w:tc>
              <w:tc>
                <w:tcPr>
                  <w:tcW w:w="2046" w:type="dxa"/>
                  <w:tcBorders>
                    <w:tl2br w:val="nil"/>
                    <w:tr2bl w:val="nil"/>
                  </w:tcBorders>
                  <w:noWrap w:val="0"/>
                  <w:vAlign w:val="center"/>
                </w:tcPr>
                <w:p w14:paraId="45E84FEE">
                  <w:pPr>
                    <w:keepNext w:val="0"/>
                    <w:keepLines w:val="0"/>
                    <w:widowControl/>
                    <w:suppressLineNumbers w:val="0"/>
                    <w:jc w:val="center"/>
                    <w:textAlignment w:val="center"/>
                    <w:rPr>
                      <w:rFonts w:hint="default" w:ascii="Times New Roman" w:hAnsi="Times New Roman" w:eastAsia="宋体" w:cs="Times New Roman"/>
                      <w:snapToGrid w:val="0"/>
                      <w:color w:val="000000"/>
                      <w:sz w:val="24"/>
                      <w:szCs w:val="24"/>
                      <w:lang w:val="en-US" w:eastAsia="zh-CN"/>
                    </w:rPr>
                  </w:pPr>
                </w:p>
              </w:tc>
            </w:tr>
            <w:tr w14:paraId="40F4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5" w:type="dxa"/>
                  <w:tcBorders>
                    <w:tl2br w:val="nil"/>
                    <w:tr2bl w:val="nil"/>
                  </w:tcBorders>
                  <w:noWrap w:val="0"/>
                  <w:vAlign w:val="center"/>
                </w:tcPr>
                <w:p w14:paraId="182DD639">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2046" w:type="dxa"/>
                  <w:tcBorders>
                    <w:tl2br w:val="nil"/>
                    <w:tr2bl w:val="nil"/>
                  </w:tcBorders>
                  <w:noWrap w:val="0"/>
                  <w:vAlign w:val="center"/>
                </w:tcPr>
                <w:p w14:paraId="5BB83EFD">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p>
              </w:tc>
              <w:tc>
                <w:tcPr>
                  <w:tcW w:w="889" w:type="dxa"/>
                  <w:vMerge w:val="continue"/>
                  <w:tcBorders>
                    <w:tl2br w:val="nil"/>
                    <w:tr2bl w:val="nil"/>
                  </w:tcBorders>
                  <w:noWrap w:val="0"/>
                  <w:vAlign w:val="center"/>
                </w:tcPr>
                <w:p w14:paraId="5BB8454C">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p>
              </w:tc>
              <w:tc>
                <w:tcPr>
                  <w:tcW w:w="1157" w:type="dxa"/>
                  <w:tcBorders>
                    <w:tl2br w:val="nil"/>
                    <w:tr2bl w:val="nil"/>
                  </w:tcBorders>
                  <w:noWrap w:val="0"/>
                  <w:vAlign w:val="center"/>
                </w:tcPr>
                <w:p w14:paraId="439BB77E">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VOCs</w:t>
                  </w:r>
                </w:p>
              </w:tc>
              <w:tc>
                <w:tcPr>
                  <w:tcW w:w="2046" w:type="dxa"/>
                  <w:tcBorders>
                    <w:tl2br w:val="nil"/>
                    <w:tr2bl w:val="nil"/>
                  </w:tcBorders>
                  <w:noWrap w:val="0"/>
                  <w:vAlign w:val="center"/>
                </w:tcPr>
                <w:p w14:paraId="34E487F2">
                  <w:pPr>
                    <w:keepNext w:val="0"/>
                    <w:keepLines w:val="0"/>
                    <w:widowControl/>
                    <w:suppressLineNumbers w:val="0"/>
                    <w:jc w:val="center"/>
                    <w:textAlignment w:val="center"/>
                    <w:rPr>
                      <w:rFonts w:hint="default" w:ascii="Times New Roman" w:hAnsi="Times New Roman" w:cs="Times New Roman"/>
                      <w:color w:val="000000"/>
                      <w:sz w:val="21"/>
                      <w:szCs w:val="21"/>
                      <w:highlight w:val="none"/>
                      <w:lang w:val="en-US" w:eastAsia="zh-CN"/>
                    </w:rPr>
                  </w:pPr>
                </w:p>
              </w:tc>
            </w:tr>
            <w:tr w14:paraId="23CC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tcBorders>
                    <w:tl2br w:val="nil"/>
                    <w:tr2bl w:val="nil"/>
                  </w:tcBorders>
                  <w:noWrap w:val="0"/>
                  <w:vAlign w:val="center"/>
                </w:tcPr>
                <w:p w14:paraId="35223BF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r>
                    <w:rPr>
                      <w:rFonts w:hint="eastAsia"/>
                      <w:color w:val="000000"/>
                      <w:sz w:val="21"/>
                      <w:szCs w:val="21"/>
                      <w:highlight w:val="none"/>
                      <w:lang w:val="en-US" w:eastAsia="zh-CN"/>
                    </w:rPr>
                    <w:t>合计</w:t>
                  </w:r>
                </w:p>
              </w:tc>
              <w:tc>
                <w:tcPr>
                  <w:tcW w:w="2046" w:type="dxa"/>
                  <w:tcBorders>
                    <w:tl2br w:val="nil"/>
                    <w:tr2bl w:val="nil"/>
                  </w:tcBorders>
                  <w:noWrap w:val="0"/>
                  <w:vAlign w:val="center"/>
                </w:tcPr>
                <w:p w14:paraId="6B825BEA">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42750.164</w:t>
                  </w:r>
                </w:p>
              </w:tc>
              <w:tc>
                <w:tcPr>
                  <w:tcW w:w="2046" w:type="dxa"/>
                  <w:gridSpan w:val="2"/>
                  <w:tcBorders>
                    <w:tl2br w:val="nil"/>
                    <w:tr2bl w:val="nil"/>
                  </w:tcBorders>
                  <w:noWrap w:val="0"/>
                  <w:vAlign w:val="center"/>
                </w:tcPr>
                <w:p w14:paraId="7D685B0B">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color w:val="000000"/>
                      <w:sz w:val="21"/>
                      <w:szCs w:val="21"/>
                      <w:highlight w:val="none"/>
                      <w:lang w:val="en-US" w:eastAsia="zh-CN"/>
                    </w:rPr>
                  </w:pPr>
                  <w:r>
                    <w:rPr>
                      <w:rFonts w:hint="eastAsia"/>
                      <w:color w:val="000000"/>
                      <w:sz w:val="21"/>
                      <w:szCs w:val="21"/>
                      <w:highlight w:val="none"/>
                      <w:lang w:val="en-US" w:eastAsia="zh-CN"/>
                    </w:rPr>
                    <w:t>合计</w:t>
                  </w:r>
                </w:p>
              </w:tc>
              <w:tc>
                <w:tcPr>
                  <w:tcW w:w="2046" w:type="dxa"/>
                  <w:tcBorders>
                    <w:tl2br w:val="nil"/>
                    <w:tr2bl w:val="nil"/>
                  </w:tcBorders>
                  <w:noWrap w:val="0"/>
                  <w:vAlign w:val="center"/>
                </w:tcPr>
                <w:p w14:paraId="7B9F6317">
                  <w:pPr>
                    <w:pStyle w:val="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color w:val="000000"/>
                      <w:sz w:val="21"/>
                      <w:szCs w:val="21"/>
                      <w:highlight w:val="none"/>
                      <w:lang w:val="en-US" w:eastAsia="zh-CN"/>
                    </w:rPr>
                  </w:pPr>
                </w:p>
              </w:tc>
            </w:tr>
          </w:tbl>
          <w:p w14:paraId="3FF8ABBE">
            <w:pPr>
              <w:pStyle w:val="12"/>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Chars="200" w:right="0" w:rightChars="0"/>
              <w:jc w:val="both"/>
              <w:textAlignment w:val="auto"/>
              <w:rPr>
                <w:rFonts w:hint="eastAsia" w:hAnsi="Times New Roman" w:eastAsia="宋体" w:cs="Times New Roman"/>
                <w:b/>
                <w:bCs/>
                <w:color w:val="000000"/>
                <w:sz w:val="24"/>
                <w:szCs w:val="24"/>
                <w:lang w:val="en-US" w:eastAsia="zh-CN"/>
              </w:rPr>
            </w:pPr>
            <w:r>
              <w:rPr>
                <w:rFonts w:hint="eastAsia" w:hAnsi="Times New Roman" w:eastAsia="宋体" w:cs="Times New Roman"/>
                <w:b/>
                <w:bCs/>
                <w:color w:val="000000"/>
                <w:sz w:val="24"/>
                <w:szCs w:val="24"/>
                <w:lang w:val="en-US" w:eastAsia="zh-CN"/>
              </w:rPr>
              <w:t>9、本项目平面布置</w:t>
            </w:r>
          </w:p>
          <w:p w14:paraId="0ED7F21E">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auto"/>
              <w:ind w:right="0" w:rightChars="0" w:firstLine="480" w:firstLineChars="200"/>
              <w:jc w:val="both"/>
              <w:textAlignment w:val="auto"/>
              <w:rPr>
                <w:rFonts w:hint="default" w:hAnsi="Times New Roman" w:eastAsia="宋体" w:cs="Times New Roman"/>
                <w:color w:val="000000"/>
                <w:sz w:val="24"/>
                <w:szCs w:val="24"/>
                <w:lang w:val="en-US" w:eastAsia="zh-CN"/>
              </w:rPr>
            </w:pPr>
            <w:r>
              <w:rPr>
                <w:rFonts w:hint="default" w:hAnsi="Times New Roman" w:eastAsia="宋体" w:cs="Times New Roman"/>
                <w:color w:val="000000"/>
                <w:sz w:val="24"/>
                <w:szCs w:val="24"/>
                <w:lang w:val="en-US" w:eastAsia="zh-CN"/>
              </w:rPr>
              <w:t>本项目位于巴中市</w:t>
            </w:r>
            <w:r>
              <w:rPr>
                <w:rFonts w:hint="eastAsia" w:hAnsi="Times New Roman" w:eastAsia="宋体" w:cs="Times New Roman"/>
                <w:color w:val="000000"/>
                <w:sz w:val="24"/>
                <w:szCs w:val="24"/>
                <w:lang w:val="en-US" w:eastAsia="zh-CN"/>
              </w:rPr>
              <w:t>平昌经济开发区星光工业园</w:t>
            </w:r>
            <w:r>
              <w:rPr>
                <w:rFonts w:hint="default" w:hAnsi="Times New Roman" w:eastAsia="宋体" w:cs="Times New Roman"/>
                <w:color w:val="000000"/>
                <w:sz w:val="24"/>
                <w:szCs w:val="24"/>
                <w:lang w:val="en-US" w:eastAsia="zh-CN"/>
              </w:rPr>
              <w:t>，根据项目总平面图布局设计，本项目生产车间内分区布置，互不干扰，车间内生产线按照工艺流程布置，原材料以及生产区分开布置，功能分区明确、清晰，避免了物料交叉干扰，有利于各个生产线的生产。厂区大门设置在厂区</w:t>
            </w:r>
            <w:r>
              <w:rPr>
                <w:rFonts w:hint="eastAsia" w:hAnsi="Times New Roman" w:eastAsia="宋体" w:cs="Times New Roman"/>
                <w:color w:val="000000"/>
                <w:sz w:val="24"/>
                <w:szCs w:val="24"/>
                <w:lang w:val="en-US" w:eastAsia="zh-CN"/>
              </w:rPr>
              <w:t>西南</w:t>
            </w:r>
            <w:r>
              <w:rPr>
                <w:rFonts w:hint="default" w:hAnsi="Times New Roman" w:eastAsia="宋体" w:cs="Times New Roman"/>
                <w:color w:val="000000"/>
                <w:sz w:val="24"/>
                <w:szCs w:val="24"/>
                <w:lang w:val="en-US" w:eastAsia="zh-CN"/>
              </w:rPr>
              <w:t>侧，连接</w:t>
            </w:r>
            <w:r>
              <w:rPr>
                <w:rFonts w:hint="eastAsia" w:hAnsi="Times New Roman" w:eastAsia="宋体" w:cs="Times New Roman"/>
                <w:color w:val="000000"/>
                <w:sz w:val="24"/>
                <w:szCs w:val="24"/>
                <w:lang w:val="en-US" w:eastAsia="zh-CN"/>
              </w:rPr>
              <w:t>园区主要道路</w:t>
            </w:r>
            <w:r>
              <w:rPr>
                <w:rFonts w:hint="default" w:hAnsi="Times New Roman" w:eastAsia="宋体" w:cs="Times New Roman"/>
                <w:color w:val="000000"/>
                <w:sz w:val="24"/>
                <w:szCs w:val="24"/>
                <w:lang w:val="en-US" w:eastAsia="zh-CN"/>
              </w:rPr>
              <w:t>，交通</w:t>
            </w:r>
            <w:r>
              <w:rPr>
                <w:rFonts w:hint="eastAsia" w:hAnsi="Times New Roman" w:eastAsia="宋体" w:cs="Times New Roman"/>
                <w:color w:val="000000"/>
                <w:sz w:val="24"/>
                <w:szCs w:val="24"/>
                <w:lang w:val="en-US" w:eastAsia="zh-CN"/>
              </w:rPr>
              <w:t>方便</w:t>
            </w:r>
            <w:r>
              <w:rPr>
                <w:rFonts w:hint="default" w:hAnsi="Times New Roman" w:eastAsia="宋体" w:cs="Times New Roman"/>
                <w:color w:val="000000"/>
                <w:sz w:val="24"/>
                <w:szCs w:val="24"/>
                <w:lang w:val="en-US" w:eastAsia="zh-CN"/>
              </w:rPr>
              <w:t>物流的进出。</w:t>
            </w:r>
          </w:p>
          <w:p w14:paraId="28243D1D">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auto"/>
              <w:ind w:right="0" w:rightChars="0" w:firstLine="480" w:firstLineChars="200"/>
              <w:jc w:val="both"/>
              <w:textAlignment w:val="auto"/>
              <w:rPr>
                <w:rFonts w:hint="default" w:hAnsi="Times New Roman" w:eastAsia="宋体" w:cs="Times New Roman"/>
                <w:color w:val="000000"/>
                <w:lang w:val="en-US" w:eastAsia="zh-CN"/>
              </w:rPr>
            </w:pPr>
            <w:r>
              <w:rPr>
                <w:rFonts w:hint="default" w:hAnsi="Times New Roman" w:eastAsia="宋体" w:cs="Times New Roman"/>
                <w:color w:val="000000"/>
                <w:sz w:val="24"/>
                <w:szCs w:val="24"/>
                <w:lang w:val="en-US" w:eastAsia="zh-CN"/>
              </w:rPr>
              <w:t>综上，本项目在尽量满足生产工艺、运输、防火及安全要求的前提下根据地形地质条件尽可能按生产性质进行建设生产；合理利用土地、功能区分区明确、清晰，组织协作良好，方便生产联系和管理，避免人流、物流交叉干扰、污染，以确保生产运输和安全。项目平面布置合理</w:t>
            </w:r>
            <w:r>
              <w:rPr>
                <w:rFonts w:hint="eastAsia" w:hAnsi="Times New Roman" w:eastAsia="宋体" w:cs="Times New Roman"/>
                <w:color w:val="000000"/>
                <w:sz w:val="24"/>
                <w:szCs w:val="24"/>
                <w:lang w:val="en-US" w:eastAsia="zh-CN"/>
              </w:rPr>
              <w:t>。</w:t>
            </w:r>
          </w:p>
        </w:tc>
      </w:tr>
    </w:tbl>
    <w:p w14:paraId="5868D106">
      <w:pPr>
        <w:pStyle w:val="27"/>
        <w:tabs>
          <w:tab w:val="left" w:pos="1114"/>
        </w:tabs>
        <w:jc w:val="left"/>
        <w:rPr>
          <w:rFonts w:hint="eastAsia" w:ascii="黑体" w:hAnsi="黑体" w:eastAsia="黑体"/>
          <w:snapToGrid w:val="0"/>
          <w:sz w:val="36"/>
          <w:szCs w:val="36"/>
          <w:lang w:eastAsia="zh-CN"/>
        </w:rPr>
        <w:sectPr>
          <w:pgSz w:w="11905" w:h="16838"/>
          <w:pgMar w:top="1644" w:right="1531" w:bottom="1644" w:left="1531" w:header="851" w:footer="1077" w:gutter="0"/>
          <w:pgNumType w:fmt="decimal"/>
          <w:cols w:space="720" w:num="1"/>
          <w:rtlGutter w:val="0"/>
          <w:docGrid w:linePitch="312" w:charSpace="0"/>
        </w:sect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
        <w:gridCol w:w="8676"/>
      </w:tblGrid>
      <w:tr w14:paraId="759A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5" w:hRule="atLeast"/>
          <w:jc w:val="center"/>
        </w:trPr>
        <w:tc>
          <w:tcPr>
            <w:tcW w:w="383" w:type="dxa"/>
            <w:noWrap w:val="0"/>
            <w:vAlign w:val="center"/>
          </w:tcPr>
          <w:p w14:paraId="3CC35FEB">
            <w:pPr>
              <w:pStyle w:val="27"/>
              <w:jc w:val="both"/>
              <w:outlineLvl w:val="0"/>
              <w:rPr>
                <w:rFonts w:hint="eastAsia" w:ascii="黑体" w:hAnsi="黑体" w:eastAsia="黑体"/>
                <w:snapToGrid w:val="0"/>
                <w:color w:val="000000"/>
                <w:sz w:val="24"/>
                <w:szCs w:val="24"/>
                <w:vertAlign w:val="baseline"/>
              </w:rPr>
            </w:pPr>
          </w:p>
          <w:p w14:paraId="4CD95F0A">
            <w:pPr>
              <w:pStyle w:val="27"/>
              <w:jc w:val="center"/>
              <w:outlineLvl w:val="0"/>
              <w:rPr>
                <w:rFonts w:hint="eastAsia" w:ascii="黑体" w:hAnsi="黑体" w:eastAsia="黑体"/>
                <w:snapToGrid w:val="0"/>
                <w:color w:val="000000"/>
                <w:sz w:val="24"/>
                <w:szCs w:val="24"/>
                <w:vertAlign w:val="baseline"/>
              </w:rPr>
            </w:pPr>
            <w:bookmarkStart w:id="5" w:name="_Toc7317"/>
            <w:r>
              <w:rPr>
                <w:rFonts w:hint="default" w:ascii="Times New Roman" w:hAnsi="Times New Roman" w:cs="Times New Roman"/>
                <w:color w:val="000000"/>
                <w:szCs w:val="24"/>
              </w:rPr>
              <w:t>工艺流程和产排污环节</w:t>
            </w:r>
            <w:bookmarkEnd w:id="5"/>
          </w:p>
        </w:tc>
        <w:tc>
          <w:tcPr>
            <w:tcW w:w="8676" w:type="dxa"/>
            <w:noWrap w:val="0"/>
            <w:vAlign w:val="top"/>
          </w:tcPr>
          <w:p w14:paraId="35914064">
            <w:pPr>
              <w:pStyle w:val="21"/>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000000"/>
              </w:rPr>
            </w:pPr>
            <w:r>
              <w:rPr>
                <w:rFonts w:hint="eastAsia" w:ascii="宋体" w:hAnsi="宋体" w:eastAsia="宋体" w:cs="宋体"/>
                <w:b/>
                <w:bCs/>
                <w:color w:val="000000"/>
                <w:lang w:eastAsia="zh-CN"/>
              </w:rPr>
              <w:t>一</w:t>
            </w:r>
            <w:r>
              <w:rPr>
                <w:rFonts w:hint="eastAsia" w:ascii="宋体" w:hAnsi="宋体" w:eastAsia="宋体" w:cs="宋体"/>
                <w:b/>
                <w:bCs/>
                <w:color w:val="000000"/>
              </w:rPr>
              <w:t>、施工期工艺流程和产排污环节</w:t>
            </w:r>
          </w:p>
          <w:p w14:paraId="14D14B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sz w:val="24"/>
                <w:szCs w:val="24"/>
                <w:lang w:val="en-US" w:eastAsia="zh-CN"/>
              </w:rPr>
            </w:pPr>
            <w:r>
              <w:rPr>
                <w:rFonts w:hint="eastAsia" w:ascii="宋体" w:hAnsi="宋体" w:eastAsia="宋体" w:cs="宋体"/>
                <w:color w:val="000000"/>
              </w:rPr>
              <w:t>项目</w:t>
            </w:r>
            <w:r>
              <w:rPr>
                <w:rFonts w:hint="eastAsia" w:ascii="宋体" w:hAnsi="宋体" w:eastAsia="宋体" w:cs="宋体"/>
                <w:color w:val="000000"/>
                <w:lang w:val="en-US" w:eastAsia="zh-CN"/>
              </w:rPr>
              <w:t>新建3#厂房，厂区场地已平整，</w:t>
            </w:r>
            <w:r>
              <w:rPr>
                <w:rFonts w:hint="default" w:ascii="Times New Roman" w:hAnsi="Times New Roman" w:cs="Times New Roman"/>
                <w:color w:val="000000"/>
                <w:sz w:val="24"/>
                <w:szCs w:val="24"/>
              </w:rPr>
              <w:t>施工期主要包括基础工程、主体工程、设备安装、工程验收等建设工序。</w:t>
            </w:r>
            <w:r>
              <w:rPr>
                <w:rFonts w:hint="eastAsia" w:ascii="Times New Roman" w:hAnsi="Times New Roman" w:cs="Times New Roman"/>
                <w:color w:val="000000"/>
                <w:sz w:val="24"/>
                <w:szCs w:val="24"/>
                <w:lang w:val="en-US" w:eastAsia="zh-CN"/>
              </w:rPr>
              <w:t>其余部分均依托已建成厂房，施工期仅对现有厂房进行适应性改造，对设备进行安装、调试。</w:t>
            </w:r>
          </w:p>
          <w:p w14:paraId="746D2E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val="en-US" w:eastAsia="zh-CN" w:bidi="ar"/>
              </w:rPr>
              <w:t>施工期工艺流程及产排污环节如下图所示：</w:t>
            </w:r>
          </w:p>
          <w:p w14:paraId="44F12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bCs/>
                <w:color w:val="000000"/>
                <w:szCs w:val="21"/>
                <w:highlight w:val="none"/>
                <w:lang w:eastAsia="zh-CN"/>
              </w:rPr>
            </w:pPr>
            <w:r>
              <w:rPr>
                <w:rFonts w:hint="eastAsia" w:ascii="宋体" w:hAnsi="宋体" w:eastAsia="宋体"/>
                <w:bCs/>
                <w:color w:val="000000"/>
                <w:szCs w:val="21"/>
                <w:highlight w:val="none"/>
                <w:lang w:eastAsia="zh-CN"/>
              </w:rPr>
              <w:drawing>
                <wp:inline distT="0" distB="0" distL="114300" distR="114300">
                  <wp:extent cx="5371465" cy="2018030"/>
                  <wp:effectExtent l="0" t="0" r="635" b="1270"/>
                  <wp:docPr id="10" name="图片 450" descr="9d4ffa88-6d2d-4875-9fca-a447253f8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50" descr="9d4ffa88-6d2d-4875-9fca-a447253f8fe2"/>
                          <pic:cNvPicPr>
                            <a:picLocks noChangeAspect="1"/>
                          </pic:cNvPicPr>
                        </pic:nvPicPr>
                        <pic:blipFill>
                          <a:blip r:embed="rId27"/>
                          <a:stretch>
                            <a:fillRect/>
                          </a:stretch>
                        </pic:blipFill>
                        <pic:spPr>
                          <a:xfrm>
                            <a:off x="0" y="0"/>
                            <a:ext cx="5371465" cy="2018030"/>
                          </a:xfrm>
                          <a:prstGeom prst="rect">
                            <a:avLst/>
                          </a:prstGeom>
                          <a:noFill/>
                          <a:ln>
                            <a:noFill/>
                          </a:ln>
                        </pic:spPr>
                      </pic:pic>
                    </a:graphicData>
                  </a:graphic>
                </wp:inline>
              </w:drawing>
            </w:r>
          </w:p>
          <w:p w14:paraId="1BE52317">
            <w:pPr>
              <w:jc w:val="center"/>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 xml:space="preserve"> 图2-6 3#厂房施工工艺流程及污染产生情况</w:t>
            </w:r>
          </w:p>
          <w:p w14:paraId="03011D95">
            <w:pPr>
              <w:jc w:val="center"/>
              <w:rPr>
                <w:rFonts w:hint="default" w:ascii="宋体" w:hAnsi="宋体" w:eastAsia="宋体" w:cs="宋体"/>
                <w:b/>
                <w:bCs/>
                <w:color w:val="000000"/>
                <w:sz w:val="24"/>
                <w:szCs w:val="24"/>
                <w:lang w:val="en-US" w:eastAsia="zh-CN"/>
              </w:rPr>
            </w:pPr>
          </w:p>
          <w:p w14:paraId="791037C0">
            <w:pPr>
              <w:pStyle w:val="21"/>
              <w:spacing w:line="360" w:lineRule="auto"/>
              <w:jc w:val="center"/>
              <w:rPr>
                <w:rFonts w:hint="eastAsia"/>
                <w:color w:val="000000"/>
              </w:rPr>
            </w:pPr>
            <w:r>
              <w:rPr>
                <w:color w:val="000000"/>
              </w:rPr>
              <w:drawing>
                <wp:inline distT="0" distB="0" distL="114300" distR="114300">
                  <wp:extent cx="4928870" cy="1920875"/>
                  <wp:effectExtent l="0" t="0" r="5080" b="3175"/>
                  <wp:docPr id="11"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56"/>
                          <pic:cNvPicPr>
                            <a:picLocks noChangeAspect="1"/>
                          </pic:cNvPicPr>
                        </pic:nvPicPr>
                        <pic:blipFill>
                          <a:blip r:embed="rId28"/>
                          <a:stretch>
                            <a:fillRect/>
                          </a:stretch>
                        </pic:blipFill>
                        <pic:spPr>
                          <a:xfrm>
                            <a:off x="0" y="0"/>
                            <a:ext cx="4928870" cy="1920875"/>
                          </a:xfrm>
                          <a:prstGeom prst="rect">
                            <a:avLst/>
                          </a:prstGeom>
                          <a:noFill/>
                          <a:ln>
                            <a:noFill/>
                          </a:ln>
                        </pic:spPr>
                      </pic:pic>
                    </a:graphicData>
                  </a:graphic>
                </wp:inline>
              </w:drawing>
            </w:r>
          </w:p>
          <w:p w14:paraId="1A22343F">
            <w:pPr>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图2-</w:t>
            </w:r>
            <w:r>
              <w:rPr>
                <w:rFonts w:hint="eastAsia" w:ascii="宋体" w:hAnsi="宋体" w:eastAsia="宋体" w:cs="宋体"/>
                <w:b/>
                <w:bCs/>
                <w:color w:val="000000"/>
                <w:sz w:val="24"/>
                <w:szCs w:val="24"/>
                <w:lang w:val="en-US" w:eastAsia="zh-CN"/>
              </w:rPr>
              <w:t>7</w:t>
            </w:r>
            <w:r>
              <w:rPr>
                <w:rFonts w:hint="eastAsia" w:ascii="宋体" w:hAnsi="宋体" w:eastAsia="宋体" w:cs="宋体"/>
                <w:b/>
                <w:bCs/>
                <w:color w:val="000000"/>
                <w:sz w:val="24"/>
                <w:szCs w:val="24"/>
              </w:rPr>
              <w:t xml:space="preserve">  </w:t>
            </w:r>
            <w:r>
              <w:rPr>
                <w:rFonts w:hint="eastAsia" w:ascii="宋体" w:hAnsi="宋体" w:eastAsia="宋体" w:cs="宋体"/>
                <w:b/>
                <w:bCs/>
                <w:color w:val="000000"/>
                <w:sz w:val="24"/>
                <w:szCs w:val="24"/>
                <w:lang w:val="en-US" w:eastAsia="zh-CN"/>
              </w:rPr>
              <w:t>1#厂房、2#厂房</w:t>
            </w:r>
            <w:r>
              <w:rPr>
                <w:rFonts w:hint="eastAsia" w:ascii="宋体" w:hAnsi="宋体" w:eastAsia="宋体" w:cs="宋体"/>
                <w:b/>
                <w:bCs/>
                <w:color w:val="000000"/>
                <w:sz w:val="24"/>
                <w:szCs w:val="24"/>
              </w:rPr>
              <w:t>施工期工艺流程及产污位置图</w:t>
            </w:r>
          </w:p>
          <w:p w14:paraId="2E36F2AD">
            <w:pPr>
              <w:pStyle w:val="10"/>
              <w:rPr>
                <w:rFonts w:hint="default"/>
                <w:lang w:val="en-US" w:eastAsia="zh-CN"/>
              </w:rPr>
            </w:pPr>
          </w:p>
          <w:p w14:paraId="6762A604">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工艺流程简述：</w:t>
            </w:r>
          </w:p>
          <w:p w14:paraId="5BF288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cs="Times New Roman"/>
                <w:color w:val="000000"/>
                <w:sz w:val="24"/>
                <w:szCs w:val="24"/>
              </w:rPr>
              <w:t>根据项目实际情况，施工期主要包括基础工程、主体工程、设备安装、工程验收等建设工序。施工期主要污染物是施工过程中施工人员生活垃圾、生活污水、施工噪声、废气、固废（包括建筑垃圾和施工人员生活垃圾）等。</w:t>
            </w:r>
          </w:p>
          <w:p w14:paraId="410AC3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主要污染工序：</w:t>
            </w:r>
          </w:p>
          <w:p w14:paraId="6C4122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①场地回填、平整</w:t>
            </w:r>
          </w:p>
          <w:p w14:paraId="23F64A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本项目的基础工程施工前需</w:t>
            </w:r>
            <w:r>
              <w:rPr>
                <w:rFonts w:hint="default" w:ascii="Times New Roman" w:hAnsi="Times New Roman" w:cs="Times New Roman"/>
                <w:color w:val="000000"/>
                <w:sz w:val="24"/>
                <w:szCs w:val="24"/>
                <w:lang w:val="en-US" w:eastAsia="zh-CN"/>
              </w:rPr>
              <w:t>进行</w:t>
            </w:r>
            <w:r>
              <w:rPr>
                <w:rFonts w:hint="default" w:ascii="Times New Roman" w:hAnsi="Times New Roman" w:cs="Times New Roman"/>
                <w:color w:val="000000"/>
                <w:sz w:val="24"/>
                <w:szCs w:val="24"/>
              </w:rPr>
              <w:t>土方回填施工、场地平整，主要污染物为噪声、扬尘、水土流失。</w:t>
            </w:r>
          </w:p>
          <w:p w14:paraId="1E459E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②基础工程</w:t>
            </w:r>
          </w:p>
          <w:p w14:paraId="37C342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厂区平整、场地硬化与基础施工时，由挖土机、运土卡车等运行时，主要产生污</w:t>
            </w:r>
            <w:r>
              <w:rPr>
                <w:rFonts w:hint="eastAsia" w:cs="Times New Roman"/>
                <w:color w:val="000000"/>
                <w:sz w:val="24"/>
                <w:szCs w:val="24"/>
                <w:lang w:eastAsia="zh-CN"/>
              </w:rPr>
              <w:t>染物</w:t>
            </w:r>
            <w:r>
              <w:rPr>
                <w:rFonts w:hint="eastAsia" w:cs="Times New Roman"/>
                <w:color w:val="000000"/>
                <w:sz w:val="24"/>
                <w:szCs w:val="24"/>
                <w:lang w:val="en-US" w:eastAsia="zh-CN"/>
              </w:rPr>
              <w:t>为</w:t>
            </w:r>
            <w:r>
              <w:rPr>
                <w:rFonts w:hint="default" w:ascii="Times New Roman" w:hAnsi="Times New Roman" w:cs="Times New Roman"/>
                <w:color w:val="000000"/>
                <w:sz w:val="24"/>
                <w:szCs w:val="24"/>
              </w:rPr>
              <w:t>噪声和固废，同时产生扬尘和工人施工生活废水。</w:t>
            </w:r>
          </w:p>
          <w:p w14:paraId="3CA5EC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③主体工程</w:t>
            </w:r>
          </w:p>
          <w:p w14:paraId="79C6C3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主体工程施工主要用到机械设备为起重机、升降机等起重吊装机械；运行时产生污染物有噪声、固废、机械尾气以及施工人员生活污水。</w:t>
            </w:r>
          </w:p>
          <w:p w14:paraId="24F8B4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④设备安装</w:t>
            </w:r>
          </w:p>
          <w:p w14:paraId="41279D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本项目在基础建设完成后，主要是设备的安装调试，此时的污染因素主要为：设备安装调试时产生的噪声、设备包装废料。</w:t>
            </w:r>
          </w:p>
          <w:p w14:paraId="5C44B58B">
            <w:pPr>
              <w:pStyle w:val="6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b w:val="0"/>
                <w:bCs/>
                <w:color w:val="000000"/>
                <w:szCs w:val="21"/>
                <w:highlight w:val="none"/>
                <w:lang w:val="en-US" w:eastAsia="zh-CN"/>
              </w:rPr>
            </w:pPr>
            <w:r>
              <w:rPr>
                <w:rFonts w:hint="default" w:ascii="Times New Roman" w:hAnsi="Times New Roman" w:cs="Times New Roman"/>
                <w:color w:val="000000"/>
                <w:sz w:val="24"/>
                <w:szCs w:val="24"/>
              </w:rPr>
              <w:t>本项目施工期较短，施工期环境影响相对较小，且随着施工期的结束对环境的影响也随之结束。</w:t>
            </w:r>
          </w:p>
          <w:p w14:paraId="112C57D0">
            <w:pPr>
              <w:pStyle w:val="2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color w:val="000000"/>
                <w:lang w:eastAsia="zh-CN"/>
              </w:rPr>
            </w:pPr>
            <w:r>
              <w:rPr>
                <w:rFonts w:hint="eastAsia" w:ascii="宋体" w:hAnsi="宋体" w:eastAsia="宋体" w:cs="宋体"/>
                <w:b/>
                <w:bCs/>
                <w:color w:val="000000"/>
                <w:sz w:val="24"/>
                <w:szCs w:val="24"/>
                <w:lang w:eastAsia="zh-CN"/>
              </w:rPr>
              <w:t>二、</w:t>
            </w:r>
            <w:r>
              <w:rPr>
                <w:rFonts w:hint="eastAsia" w:ascii="宋体" w:hAnsi="宋体" w:eastAsia="宋体" w:cs="宋体"/>
                <w:b/>
                <w:bCs/>
                <w:color w:val="000000"/>
                <w:sz w:val="24"/>
                <w:szCs w:val="24"/>
              </w:rPr>
              <w:t>营运期生产工艺和产污环节</w:t>
            </w:r>
          </w:p>
          <w:p w14:paraId="0CEE0147">
            <w:pPr>
              <w:pStyle w:val="46"/>
              <w:rPr>
                <w:rFonts w:hint="eastAsia"/>
                <w:b/>
                <w:bCs/>
                <w:color w:val="000000"/>
                <w:lang w:eastAsia="zh-CN"/>
              </w:rPr>
            </w:pPr>
            <w:r>
              <w:rPr>
                <w:rFonts w:hint="eastAsia"/>
                <w:b w:val="0"/>
                <w:bCs w:val="0"/>
                <w:color w:val="000000"/>
                <w:lang w:eastAsia="zh-CN"/>
              </w:rPr>
              <w:t>项目总生产工艺流程及产污节点分析如下：</w:t>
            </w:r>
          </w:p>
          <w:p w14:paraId="205DD257">
            <w:pPr>
              <w:pStyle w:val="46"/>
              <w:ind w:left="0" w:leftChars="0" w:firstLine="0" w:firstLineChars="0"/>
              <w:jc w:val="center"/>
              <w:rPr>
                <w:rFonts w:hint="eastAsia"/>
                <w:b/>
                <w:bCs/>
                <w:color w:val="000000"/>
                <w:lang w:eastAsia="zh-CN"/>
              </w:rPr>
            </w:pPr>
          </w:p>
          <w:p w14:paraId="11C908A8">
            <w:pPr>
              <w:pStyle w:val="46"/>
              <w:ind w:left="0" w:leftChars="0" w:firstLine="0" w:firstLineChars="0"/>
              <w:jc w:val="center"/>
              <w:rPr>
                <w:rFonts w:hint="eastAsia"/>
                <w:b/>
                <w:bCs/>
                <w:color w:val="000000"/>
                <w:lang w:eastAsia="zh-CN"/>
              </w:rPr>
            </w:pPr>
          </w:p>
          <w:p w14:paraId="4A3D0FC9">
            <w:pPr>
              <w:pStyle w:val="46"/>
              <w:ind w:left="0" w:leftChars="0" w:firstLine="0" w:firstLineChars="0"/>
              <w:jc w:val="center"/>
              <w:rPr>
                <w:rFonts w:hint="eastAsia"/>
                <w:b/>
                <w:bCs/>
                <w:color w:val="000000"/>
                <w:lang w:eastAsia="zh-CN"/>
              </w:rPr>
            </w:pPr>
          </w:p>
          <w:p w14:paraId="51A8209F">
            <w:pPr>
              <w:pStyle w:val="46"/>
              <w:ind w:left="0" w:leftChars="0" w:firstLine="0" w:firstLineChars="0"/>
              <w:jc w:val="center"/>
              <w:rPr>
                <w:rFonts w:hint="eastAsia"/>
                <w:b/>
                <w:bCs/>
                <w:color w:val="000000"/>
                <w:lang w:eastAsia="zh-CN"/>
              </w:rPr>
            </w:pPr>
          </w:p>
          <w:p w14:paraId="2206C0C1">
            <w:pPr>
              <w:keepNext w:val="0"/>
              <w:keepLines w:val="0"/>
              <w:widowControl/>
              <w:suppressLineNumbers w:val="0"/>
              <w:jc w:val="center"/>
              <w:rPr>
                <w:highlight w:val="yellow"/>
              </w:rPr>
            </w:pPr>
            <w:r>
              <w:rPr>
                <w:rFonts w:hint="eastAsia" w:ascii="宋体" w:hAnsi="宋体" w:eastAsia="宋体" w:cs="宋体"/>
                <w:color w:val="000000"/>
                <w:kern w:val="0"/>
                <w:sz w:val="24"/>
                <w:szCs w:val="24"/>
                <w:highlight w:val="yellow"/>
                <w:lang w:val="en-US" w:eastAsia="zh-CN" w:bidi="ar"/>
              </w:rPr>
              <w:t>涉及商业机密，不予公开</w:t>
            </w:r>
          </w:p>
          <w:p w14:paraId="5BDBCC57">
            <w:pPr>
              <w:pStyle w:val="46"/>
              <w:ind w:left="0" w:leftChars="0" w:firstLine="0" w:firstLineChars="0"/>
              <w:jc w:val="center"/>
              <w:rPr>
                <w:rFonts w:hint="eastAsia"/>
                <w:b/>
                <w:bCs/>
                <w:color w:val="000000"/>
                <w:lang w:eastAsia="zh-CN"/>
              </w:rPr>
            </w:pPr>
          </w:p>
          <w:p w14:paraId="6DF6D758">
            <w:pPr>
              <w:pStyle w:val="46"/>
              <w:ind w:left="0" w:leftChars="0" w:firstLine="0" w:firstLineChars="0"/>
              <w:jc w:val="center"/>
              <w:rPr>
                <w:rFonts w:hint="eastAsia"/>
                <w:b/>
                <w:bCs/>
                <w:color w:val="000000"/>
                <w:lang w:eastAsia="zh-CN"/>
              </w:rPr>
            </w:pPr>
          </w:p>
          <w:p w14:paraId="7D535B42">
            <w:pPr>
              <w:pStyle w:val="46"/>
              <w:ind w:left="0" w:leftChars="0" w:firstLine="0" w:firstLineChars="0"/>
              <w:jc w:val="center"/>
              <w:rPr>
                <w:rFonts w:hint="eastAsia"/>
                <w:b/>
                <w:bCs/>
                <w:color w:val="000000"/>
                <w:lang w:eastAsia="zh-CN"/>
              </w:rPr>
            </w:pPr>
          </w:p>
          <w:p w14:paraId="6CDA7CC5">
            <w:pPr>
              <w:pStyle w:val="46"/>
              <w:ind w:left="0" w:leftChars="0" w:firstLine="0" w:firstLineChars="0"/>
              <w:jc w:val="center"/>
              <w:rPr>
                <w:rFonts w:hint="eastAsia"/>
                <w:b/>
                <w:bCs/>
                <w:color w:val="000000"/>
                <w:lang w:eastAsia="zh-CN"/>
              </w:rPr>
            </w:pPr>
          </w:p>
          <w:p w14:paraId="7B4B4079">
            <w:pPr>
              <w:pStyle w:val="46"/>
              <w:ind w:left="0" w:leftChars="0" w:firstLine="0" w:firstLineChars="0"/>
              <w:jc w:val="center"/>
              <w:rPr>
                <w:rFonts w:hint="eastAsia"/>
                <w:b/>
                <w:bCs/>
                <w:color w:val="000000"/>
                <w:lang w:eastAsia="zh-CN"/>
              </w:rPr>
            </w:pPr>
          </w:p>
          <w:p w14:paraId="1B44A1FE">
            <w:pPr>
              <w:pStyle w:val="46"/>
              <w:ind w:left="0" w:leftChars="0" w:firstLine="0" w:firstLineChars="0"/>
              <w:jc w:val="center"/>
              <w:rPr>
                <w:rFonts w:hint="eastAsia"/>
                <w:b/>
                <w:bCs/>
                <w:color w:val="000000"/>
                <w:lang w:eastAsia="zh-CN"/>
              </w:rPr>
            </w:pPr>
            <w:r>
              <w:rPr>
                <w:rFonts w:hint="eastAsia"/>
                <w:b/>
                <w:bCs/>
                <w:color w:val="000000"/>
                <w:lang w:eastAsia="zh-CN"/>
              </w:rPr>
              <w:t>图</w:t>
            </w:r>
            <w:r>
              <w:rPr>
                <w:rFonts w:hint="eastAsia"/>
                <w:b/>
                <w:bCs/>
                <w:color w:val="000000"/>
                <w:lang w:val="en-US" w:eastAsia="zh-CN"/>
              </w:rPr>
              <w:t xml:space="preserve">2-8  </w:t>
            </w:r>
            <w:r>
              <w:rPr>
                <w:rFonts w:hint="eastAsia"/>
                <w:b/>
                <w:bCs/>
                <w:color w:val="000000"/>
                <w:lang w:eastAsia="zh-CN"/>
              </w:rPr>
              <w:t>项目总生产工艺流程及产污环节示意图</w:t>
            </w:r>
          </w:p>
          <w:p w14:paraId="5CA0A8CB">
            <w:pPr>
              <w:pStyle w:val="106"/>
              <w:spacing w:before="181" w:line="360" w:lineRule="auto"/>
              <w:ind w:left="114" w:right="103" w:firstLine="474"/>
            </w:pPr>
            <w:r>
              <w:rPr>
                <w:spacing w:val="-1"/>
              </w:rPr>
              <w:t>本项目所使用的负极材料半成品已经通过粉碎、造粒等处理，粒径较小为颗粒状。故本次预炭化前无需预处理加工，可直接装炉。</w:t>
            </w:r>
          </w:p>
          <w:p w14:paraId="12DCE5C0">
            <w:pPr>
              <w:pStyle w:val="46"/>
            </w:pPr>
            <w:r>
              <w:rPr>
                <w:b/>
                <w:bCs/>
                <w:spacing w:val="-1"/>
              </w:rPr>
              <w:t>投料：</w:t>
            </w:r>
            <w:r>
              <w:rPr>
                <w:spacing w:val="-1"/>
              </w:rPr>
              <w:t>本项目外购负极材料半成品为吨袋包装，通过汽车运输至厂内后，经行车调至投</w:t>
            </w:r>
            <w:r>
              <w:rPr>
                <w:spacing w:val="-5"/>
              </w:rPr>
              <w:t>料站顶部投料仓处，由人工进行拆袋，拆袋后物料落入投料仓内，经负压吸料进行管道输送，输送后经滤筒后，物料进入投料站内，由于为负压吸料，多余空气经过滤筒会带出少量粉尘，</w:t>
            </w:r>
            <w:r>
              <w:rPr>
                <w:spacing w:val="-2"/>
              </w:rPr>
              <w:t>故</w:t>
            </w:r>
            <w:r>
              <w:rPr>
                <w:b/>
                <w:bCs/>
                <w:spacing w:val="-2"/>
                <w:u w:val="single" w:color="auto"/>
              </w:rPr>
              <w:t>吸料环节会产生投料粉尘</w:t>
            </w:r>
            <w:r>
              <w:rPr>
                <w:spacing w:val="-40"/>
                <w:u w:val="single" w:color="auto"/>
              </w:rPr>
              <w:t xml:space="preserve"> </w:t>
            </w:r>
            <w:r>
              <w:rPr>
                <w:spacing w:val="-2"/>
              </w:rPr>
              <w:t>，由于投料位置紧贴投料仓，项目物料为颗粒状，粒径较大</w:t>
            </w:r>
            <w:r>
              <w:t>且含一定水分，故投料粉尘产生量不大</w:t>
            </w:r>
            <w:r>
              <w:rPr>
                <w:rFonts w:hint="eastAsia"/>
                <w:lang w:eastAsia="zh-CN"/>
              </w:rPr>
              <w:t>，</w:t>
            </w:r>
            <w:r>
              <w:rPr>
                <w:rFonts w:hint="eastAsia"/>
                <w:lang w:val="en-US" w:eastAsia="zh-CN"/>
              </w:rPr>
              <w:t>投料粉尘在设备周围沉降，无组织排放</w:t>
            </w:r>
            <w:r>
              <w:rPr>
                <w:spacing w:val="-1"/>
              </w:rPr>
              <w:t>。</w:t>
            </w:r>
          </w:p>
          <w:p w14:paraId="001E3B64">
            <w:pPr>
              <w:pStyle w:val="106"/>
              <w:spacing w:before="1" w:line="358" w:lineRule="auto"/>
              <w:ind w:left="107" w:right="103" w:firstLine="480"/>
              <w:jc w:val="both"/>
            </w:pPr>
            <w:r>
              <w:rPr>
                <w:b/>
                <w:bCs/>
                <w:spacing w:val="-1"/>
              </w:rPr>
              <w:t>装料：</w:t>
            </w:r>
            <w:r>
              <w:rPr>
                <w:spacing w:val="-1"/>
              </w:rPr>
              <w:t>物料由投料站的自动装料系统负压输送至隧道窑的坩埚，完成装填。并确保物料</w:t>
            </w:r>
            <w:r>
              <w:rPr>
                <w:spacing w:val="-3"/>
              </w:rPr>
              <w:t>填充密度精准控制在</w:t>
            </w:r>
            <w:r>
              <w:rPr>
                <w:spacing w:val="-34"/>
              </w:rPr>
              <w:t xml:space="preserve"> </w:t>
            </w:r>
            <w:r>
              <w:rPr>
                <w:rFonts w:ascii="Times New Roman" w:hAnsi="Times New Roman" w:eastAsia="Times New Roman" w:cs="Times New Roman"/>
                <w:spacing w:val="-3"/>
              </w:rPr>
              <w:t>0.60</w:t>
            </w:r>
            <w:r>
              <w:rPr>
                <w:spacing w:val="-3"/>
              </w:rPr>
              <w:t>±</w:t>
            </w:r>
            <w:r>
              <w:rPr>
                <w:rFonts w:ascii="Times New Roman" w:hAnsi="Times New Roman" w:eastAsia="Times New Roman" w:cs="Times New Roman"/>
                <w:spacing w:val="-3"/>
              </w:rPr>
              <w:t>0.05g/cm</w:t>
            </w:r>
            <w:r>
              <w:rPr>
                <w:spacing w:val="-3"/>
              </w:rPr>
              <w:t>³</w:t>
            </w:r>
            <w:r>
              <w:rPr>
                <w:spacing w:val="-87"/>
              </w:rPr>
              <w:t xml:space="preserve"> </w:t>
            </w:r>
            <w:r>
              <w:rPr>
                <w:spacing w:val="-3"/>
              </w:rPr>
              <w:t>。随后，采用集尘器对物料开展脱气处理。产生的装料</w:t>
            </w:r>
            <w:r>
              <w:rPr>
                <w:spacing w:val="-2"/>
              </w:rPr>
              <w:t>粉尘主要是空气、颗粒物，</w:t>
            </w:r>
            <w:r>
              <w:rPr>
                <w:b/>
                <w:bCs/>
                <w:spacing w:val="-2"/>
                <w:u w:val="single" w:color="auto"/>
              </w:rPr>
              <w:t>装料环节会产生装料粉尘</w:t>
            </w:r>
            <w:r>
              <w:rPr>
                <w:spacing w:val="-39"/>
                <w:u w:val="single" w:color="auto"/>
              </w:rPr>
              <w:t xml:space="preserve"> </w:t>
            </w:r>
            <w:r>
              <w:rPr>
                <w:b/>
                <w:bCs/>
                <w:spacing w:val="-2"/>
                <w:u w:val="single" w:color="auto"/>
              </w:rPr>
              <w:t>，</w:t>
            </w:r>
            <w:r>
              <w:rPr>
                <w:spacing w:val="-2"/>
              </w:rPr>
              <w:t>经管道收集后，进入袋式除尘器</w:t>
            </w:r>
            <w:r>
              <w:t>处理后最终经</w:t>
            </w:r>
            <w:r>
              <w:rPr>
                <w:spacing w:val="-17"/>
              </w:rPr>
              <w:t xml:space="preserve"> </w:t>
            </w:r>
            <w:r>
              <w:rPr>
                <w:rFonts w:ascii="Times New Roman" w:hAnsi="Times New Roman" w:eastAsia="Times New Roman" w:cs="Times New Roman"/>
              </w:rPr>
              <w:t xml:space="preserve">1 </w:t>
            </w:r>
            <w:r>
              <w:rPr>
                <w:rFonts w:hint="default" w:ascii="Times New Roman" w:hAnsi="Times New Roman" w:cs="Times New Roman"/>
              </w:rPr>
              <w:t>根</w:t>
            </w:r>
            <w:r>
              <w:rPr>
                <w:rFonts w:hint="default" w:ascii="Times New Roman" w:hAnsi="Times New Roman" w:cs="Times New Roman"/>
                <w:lang w:val="en-US" w:eastAsia="zh-CN"/>
              </w:rPr>
              <w:t>15</w:t>
            </w:r>
            <w:r>
              <w:rPr>
                <w:rFonts w:hint="default" w:ascii="Times New Roman" w:hAnsi="Times New Roman" w:eastAsia="Times New Roman" w:cs="Times New Roman"/>
              </w:rPr>
              <w:t>m</w:t>
            </w:r>
            <w:r>
              <w:t>排气筒高于厂房屋顶排放。</w:t>
            </w:r>
          </w:p>
          <w:p w14:paraId="0F627D9E">
            <w:pPr>
              <w:pStyle w:val="106"/>
              <w:spacing w:before="6" w:line="359" w:lineRule="auto"/>
              <w:ind w:left="109" w:right="22" w:firstLine="480"/>
              <w:jc w:val="both"/>
            </w:pPr>
            <w:r>
              <w:rPr>
                <w:rFonts w:hint="eastAsia"/>
                <w:b/>
                <w:bCs/>
                <w:spacing w:val="-1"/>
                <w:lang w:val="en-US" w:eastAsia="zh-CN"/>
              </w:rPr>
              <w:t>预碳化</w:t>
            </w:r>
            <w:r>
              <w:rPr>
                <w:b/>
                <w:bCs/>
                <w:spacing w:val="-1"/>
              </w:rPr>
              <w:t>：</w:t>
            </w:r>
            <w:r>
              <w:rPr>
                <w:spacing w:val="-1"/>
              </w:rPr>
              <w:t>装填完毕的坩埚在传动设备的稳定驱动下，连续有序地输送至窑内，依次经过</w:t>
            </w:r>
            <w:r>
              <w:rPr>
                <w:spacing w:val="-11"/>
              </w:rPr>
              <w:t>预热段、升温段、高温段，其中高温段窑内参数为（温度</w:t>
            </w:r>
            <w:r>
              <w:rPr>
                <w:spacing w:val="-31"/>
              </w:rPr>
              <w:t xml:space="preserve"> </w:t>
            </w:r>
            <w:r>
              <w:rPr>
                <w:rFonts w:hint="eastAsia" w:ascii="Times New Roman" w:hAnsi="Times New Roman" w:eastAsia="宋体" w:cs="Times New Roman"/>
                <w:spacing w:val="-11"/>
                <w:lang w:val="en-US" w:eastAsia="zh-CN"/>
              </w:rPr>
              <w:t>1000</w:t>
            </w:r>
            <w:r>
              <w:rPr>
                <w:spacing w:val="-11"/>
              </w:rPr>
              <w:t>℃</w:t>
            </w:r>
            <w:r>
              <w:rPr>
                <w:rFonts w:ascii="Times New Roman" w:hAnsi="Times New Roman" w:eastAsia="Times New Roman" w:cs="Times New Roman"/>
                <w:spacing w:val="-11"/>
              </w:rPr>
              <w:t>~</w:t>
            </w:r>
            <w:r>
              <w:rPr>
                <w:rFonts w:ascii="Times New Roman" w:hAnsi="Times New Roman" w:eastAsia="Times New Roman" w:cs="Times New Roman"/>
                <w:spacing w:val="-32"/>
              </w:rPr>
              <w:t xml:space="preserve"> </w:t>
            </w:r>
            <w:r>
              <w:rPr>
                <w:rFonts w:ascii="Times New Roman" w:hAnsi="Times New Roman" w:eastAsia="Times New Roman" w:cs="Times New Roman"/>
                <w:spacing w:val="-11"/>
              </w:rPr>
              <w:t>1</w:t>
            </w:r>
            <w:r>
              <w:rPr>
                <w:rFonts w:hint="eastAsia" w:ascii="Times New Roman" w:hAnsi="Times New Roman" w:eastAsia="宋体" w:cs="Times New Roman"/>
                <w:spacing w:val="-11"/>
                <w:lang w:val="en-US" w:eastAsia="zh-CN"/>
              </w:rPr>
              <w:t>1</w:t>
            </w:r>
            <w:r>
              <w:rPr>
                <w:rFonts w:ascii="Times New Roman" w:hAnsi="Times New Roman" w:eastAsia="Times New Roman" w:cs="Times New Roman"/>
                <w:spacing w:val="-11"/>
              </w:rPr>
              <w:t>00</w:t>
            </w:r>
            <w:r>
              <w:rPr>
                <w:spacing w:val="-11"/>
              </w:rPr>
              <w:t>℃</w:t>
            </w:r>
            <w:r>
              <w:rPr>
                <w:spacing w:val="-91"/>
              </w:rPr>
              <w:t xml:space="preserve"> </w:t>
            </w:r>
            <w:r>
              <w:rPr>
                <w:spacing w:val="-11"/>
              </w:rPr>
              <w:t>, 周期</w:t>
            </w:r>
            <w:r>
              <w:rPr>
                <w:spacing w:val="-55"/>
              </w:rPr>
              <w:t xml:space="preserve"> </w:t>
            </w:r>
            <w:r>
              <w:rPr>
                <w:rFonts w:ascii="Times New Roman" w:hAnsi="Times New Roman" w:eastAsia="Times New Roman" w:cs="Times New Roman"/>
                <w:spacing w:val="-11"/>
              </w:rPr>
              <w:t>22 ~60</w:t>
            </w:r>
            <w:r>
              <w:rPr>
                <w:spacing w:val="-11"/>
              </w:rPr>
              <w:t>小时）。</w:t>
            </w:r>
            <w:r>
              <w:rPr>
                <w:spacing w:val="-1"/>
              </w:rPr>
              <w:t>然后以天然气作为可靠的点火源将中温段物料充分逸出的挥发份成功点燃并释放能量，并充</w:t>
            </w:r>
            <w:r>
              <w:rPr>
                <w:spacing w:val="-2"/>
              </w:rPr>
              <w:t>分余热再利用。随后物料会进行</w:t>
            </w:r>
            <w:r>
              <w:rPr>
                <w:spacing w:val="-41"/>
              </w:rPr>
              <w:t xml:space="preserve"> </w:t>
            </w:r>
            <w:r>
              <w:rPr>
                <w:rFonts w:ascii="Times New Roman" w:hAnsi="Times New Roman" w:eastAsia="Times New Roman" w:cs="Times New Roman"/>
                <w:spacing w:val="-2"/>
              </w:rPr>
              <w:t>4</w:t>
            </w:r>
            <w:r>
              <w:rPr>
                <w:spacing w:val="-2"/>
              </w:rPr>
              <w:t>至</w:t>
            </w:r>
            <w:r>
              <w:rPr>
                <w:spacing w:val="-51"/>
              </w:rPr>
              <w:t xml:space="preserve"> </w:t>
            </w:r>
            <w:r>
              <w:rPr>
                <w:rFonts w:ascii="Times New Roman" w:hAnsi="Times New Roman" w:eastAsia="Times New Roman" w:cs="Times New Roman"/>
                <w:spacing w:val="-2"/>
              </w:rPr>
              <w:t>7</w:t>
            </w:r>
            <w:r>
              <w:rPr>
                <w:spacing w:val="-2"/>
              </w:rPr>
              <w:t>小时的</w:t>
            </w:r>
            <w:r>
              <w:rPr>
                <w:spacing w:val="-32"/>
              </w:rPr>
              <w:t xml:space="preserve"> </w:t>
            </w:r>
            <w:r>
              <w:rPr>
                <w:rFonts w:ascii="Times New Roman" w:hAnsi="Times New Roman" w:eastAsia="Times New Roman" w:cs="Times New Roman"/>
                <w:spacing w:val="-2"/>
              </w:rPr>
              <w:t>1100</w:t>
            </w:r>
            <w:r>
              <w:rPr>
                <w:spacing w:val="-2"/>
              </w:rPr>
              <w:t>℃高温处理，此环节产生</w:t>
            </w:r>
            <w:r>
              <w:rPr>
                <w:rFonts w:hint="eastAsia"/>
                <w:spacing w:val="-2"/>
                <w:lang w:val="en-US" w:eastAsia="zh-CN"/>
              </w:rPr>
              <w:t>预碳化</w:t>
            </w:r>
            <w:r>
              <w:rPr>
                <w:spacing w:val="-2"/>
              </w:rPr>
              <w:t>废气。</w:t>
            </w:r>
          </w:p>
          <w:p w14:paraId="70DA0E81">
            <w:pPr>
              <w:pStyle w:val="106"/>
              <w:spacing w:line="359" w:lineRule="auto"/>
              <w:ind w:left="107" w:right="211" w:firstLine="484"/>
            </w:pPr>
            <w:r>
              <w:t>项目</w:t>
            </w:r>
            <w:r>
              <w:rPr>
                <w:rFonts w:hint="eastAsia"/>
                <w:lang w:val="en-US" w:eastAsia="zh-CN"/>
              </w:rPr>
              <w:t>预碳</w:t>
            </w:r>
            <w:r>
              <w:t>化能源为天然气，此外，预碳化物料挥发出的</w:t>
            </w:r>
            <w:r>
              <w:rPr>
                <w:spacing w:val="-1"/>
              </w:rPr>
              <w:t>挥发份（</w:t>
            </w:r>
            <w:r>
              <w:rPr>
                <w:rFonts w:ascii="Times New Roman" w:hAnsi="Times New Roman" w:eastAsia="Times New Roman" w:cs="Times New Roman"/>
                <w:spacing w:val="-1"/>
              </w:rPr>
              <w:t>VOCs</w:t>
            </w:r>
            <w:r>
              <w:rPr>
                <w:spacing w:val="-1"/>
              </w:rPr>
              <w:t>）作为燃料给隧</w:t>
            </w:r>
            <w:r>
              <w:t>道窑提供热量。因此，燃烧反应产生的烟气量</w:t>
            </w:r>
            <w:r>
              <w:rPr>
                <w:rFonts w:ascii="Times New Roman" w:hAnsi="Times New Roman" w:eastAsia="Times New Roman" w:cs="Times New Roman"/>
              </w:rPr>
              <w:t>=</w:t>
            </w:r>
            <w:r>
              <w:t>天然气烟气量</w:t>
            </w:r>
            <w:r>
              <w:rPr>
                <w:rFonts w:ascii="Times New Roman" w:hAnsi="Times New Roman" w:eastAsia="Times New Roman" w:cs="Times New Roman"/>
                <w:spacing w:val="-1"/>
              </w:rPr>
              <w:t>+</w:t>
            </w:r>
            <w:r>
              <w:rPr>
                <w:spacing w:val="-1"/>
              </w:rPr>
              <w:t>挥发性气体燃烧烟气量。</w:t>
            </w:r>
          </w:p>
          <w:p w14:paraId="23588E75">
            <w:pPr>
              <w:pStyle w:val="106"/>
              <w:spacing w:before="2" w:line="360" w:lineRule="auto"/>
              <w:ind w:left="108" w:right="41" w:firstLine="483"/>
              <w:jc w:val="both"/>
            </w:pPr>
            <w:r>
              <w:rPr>
                <w:spacing w:val="-1"/>
              </w:rPr>
              <w:t>如果隧道窑内</w:t>
            </w:r>
            <w:r>
              <w:rPr>
                <w:spacing w:val="-47"/>
              </w:rPr>
              <w:t xml:space="preserve"> </w:t>
            </w:r>
            <w:r>
              <w:rPr>
                <w:rFonts w:ascii="Times New Roman" w:hAnsi="Times New Roman" w:eastAsia="Times New Roman" w:cs="Times New Roman"/>
                <w:spacing w:val="-1"/>
              </w:rPr>
              <w:t xml:space="preserve">VOCs </w:t>
            </w:r>
            <w:r>
              <w:rPr>
                <w:spacing w:val="-1"/>
              </w:rPr>
              <w:t>燃烧不充分，则可能增加天然气耗量，且炉窑尾气中</w:t>
            </w:r>
            <w:r>
              <w:rPr>
                <w:spacing w:val="-58"/>
              </w:rPr>
              <w:t xml:space="preserve"> </w:t>
            </w:r>
            <w:r>
              <w:rPr>
                <w:rFonts w:ascii="Times New Roman" w:hAnsi="Times New Roman" w:eastAsia="Times New Roman" w:cs="Times New Roman"/>
                <w:spacing w:val="-1"/>
              </w:rPr>
              <w:t xml:space="preserve">VOCs </w:t>
            </w:r>
            <w:r>
              <w:rPr>
                <w:spacing w:val="-1"/>
              </w:rPr>
              <w:t>排放量较大，不利于环保要求。为保障炉窑充分燃烧，项目需要补充足够新鲜空气，同时为确保提</w:t>
            </w:r>
            <w:r>
              <w:rPr>
                <w:spacing w:val="-5"/>
              </w:rPr>
              <w:t>高能源利用效率，隧道窑部分高温段烟气会引入前端进行余热循环利用。依据项目设计资料，</w:t>
            </w:r>
            <w:r>
              <w:rPr>
                <w:spacing w:val="-1"/>
              </w:rPr>
              <w:t>项目隧道窑内各工段进风、排风示意图如下：</w:t>
            </w:r>
          </w:p>
          <w:p w14:paraId="4A108E36">
            <w:pPr>
              <w:pStyle w:val="46"/>
              <w:ind w:left="0" w:leftChars="0" w:firstLine="0" w:firstLineChars="0"/>
              <w:jc w:val="center"/>
              <w:rPr>
                <w:rFonts w:hint="eastAsia"/>
                <w:b/>
                <w:bCs/>
                <w:color w:val="000000"/>
                <w:lang w:eastAsia="zh-CN"/>
              </w:rPr>
            </w:pPr>
          </w:p>
          <w:p w14:paraId="2D305DE6">
            <w:pPr>
              <w:pStyle w:val="46"/>
              <w:ind w:left="0" w:leftChars="0" w:firstLine="0" w:firstLineChars="0"/>
              <w:jc w:val="center"/>
              <w:rPr>
                <w:rFonts w:hint="eastAsia"/>
                <w:b/>
                <w:bCs/>
                <w:color w:val="000000"/>
                <w:lang w:eastAsia="zh-CN"/>
              </w:rPr>
            </w:pPr>
          </w:p>
          <w:p w14:paraId="731B0AA4">
            <w:pPr>
              <w:pStyle w:val="46"/>
              <w:ind w:left="0" w:leftChars="0" w:firstLine="0" w:firstLineChars="0"/>
              <w:jc w:val="center"/>
              <w:rPr>
                <w:rFonts w:hint="eastAsia"/>
                <w:b/>
                <w:bCs/>
                <w:color w:val="000000"/>
                <w:lang w:eastAsia="zh-CN"/>
              </w:rPr>
            </w:pPr>
          </w:p>
          <w:p w14:paraId="649E0F65">
            <w:pPr>
              <w:pStyle w:val="46"/>
              <w:ind w:left="0" w:leftChars="0" w:firstLine="0" w:firstLineChars="0"/>
              <w:jc w:val="center"/>
              <w:rPr>
                <w:rFonts w:hint="eastAsia"/>
                <w:b/>
                <w:bCs/>
                <w:color w:val="000000"/>
                <w:lang w:eastAsia="zh-CN"/>
              </w:rPr>
            </w:pPr>
            <w:r>
              <w:rPr>
                <w:rFonts w:hint="eastAsia" w:ascii="宋体" w:hAnsi="宋体" w:eastAsia="宋体" w:cs="宋体"/>
                <w:color w:val="000000"/>
                <w:kern w:val="0"/>
                <w:sz w:val="24"/>
                <w:szCs w:val="24"/>
                <w:highlight w:val="yellow"/>
                <w:lang w:val="en-US" w:eastAsia="zh-CN" w:bidi="ar"/>
              </w:rPr>
              <w:t>涉及商业机密，不予公开</w:t>
            </w:r>
          </w:p>
          <w:p w14:paraId="0AD0D8B6">
            <w:pPr>
              <w:pStyle w:val="46"/>
              <w:ind w:left="0" w:leftChars="0" w:firstLine="0" w:firstLineChars="0"/>
              <w:jc w:val="center"/>
              <w:rPr>
                <w:rFonts w:hint="eastAsia"/>
                <w:b/>
                <w:bCs/>
                <w:color w:val="000000"/>
                <w:lang w:eastAsia="zh-CN"/>
              </w:rPr>
            </w:pPr>
          </w:p>
          <w:p w14:paraId="6169FD74">
            <w:pPr>
              <w:pStyle w:val="46"/>
              <w:ind w:left="0" w:leftChars="0" w:firstLine="0" w:firstLineChars="0"/>
              <w:jc w:val="center"/>
              <w:rPr>
                <w:rFonts w:hint="eastAsia"/>
                <w:b/>
                <w:bCs/>
                <w:color w:val="000000"/>
                <w:lang w:eastAsia="zh-CN"/>
              </w:rPr>
            </w:pPr>
          </w:p>
          <w:p w14:paraId="2B14B597">
            <w:pPr>
              <w:pStyle w:val="46"/>
              <w:ind w:left="0" w:leftChars="0" w:firstLine="0" w:firstLineChars="0"/>
              <w:jc w:val="center"/>
              <w:rPr>
                <w:rFonts w:hint="eastAsia"/>
                <w:b/>
                <w:bCs/>
                <w:color w:val="000000"/>
                <w:lang w:eastAsia="zh-CN"/>
              </w:rPr>
            </w:pPr>
          </w:p>
          <w:p w14:paraId="1BDB977D">
            <w:pPr>
              <w:pStyle w:val="46"/>
              <w:ind w:left="0" w:leftChars="0" w:firstLine="0" w:firstLineChars="0"/>
              <w:jc w:val="center"/>
              <w:rPr>
                <w:rFonts w:hint="eastAsia"/>
                <w:b/>
                <w:bCs/>
                <w:color w:val="000000"/>
                <w:lang w:eastAsia="zh-CN"/>
              </w:rPr>
            </w:pPr>
          </w:p>
          <w:p w14:paraId="5A8C694B">
            <w:pPr>
              <w:pStyle w:val="46"/>
              <w:ind w:left="0" w:leftChars="0" w:firstLine="0" w:firstLineChars="0"/>
              <w:jc w:val="center"/>
              <w:rPr>
                <w:rFonts w:hint="default"/>
                <w:b/>
                <w:bCs/>
                <w:color w:val="000000"/>
                <w:lang w:val="en-US" w:eastAsia="zh-CN"/>
              </w:rPr>
            </w:pPr>
            <w:r>
              <w:rPr>
                <w:rFonts w:hint="eastAsia"/>
                <w:b/>
                <w:bCs/>
                <w:color w:val="000000"/>
                <w:lang w:eastAsia="zh-CN"/>
              </w:rPr>
              <w:t>图</w:t>
            </w:r>
            <w:r>
              <w:rPr>
                <w:rFonts w:hint="eastAsia"/>
                <w:b/>
                <w:bCs/>
                <w:color w:val="000000"/>
                <w:lang w:val="en-US" w:eastAsia="zh-CN"/>
              </w:rPr>
              <w:t xml:space="preserve">2-9 </w:t>
            </w:r>
            <w:r>
              <w:rPr>
                <w:rFonts w:hint="eastAsia"/>
                <w:b/>
                <w:bCs/>
                <w:color w:val="000000"/>
                <w:lang w:eastAsia="zh-CN"/>
              </w:rPr>
              <w:t>项目</w:t>
            </w:r>
            <w:r>
              <w:rPr>
                <w:rFonts w:hint="eastAsia"/>
                <w:b/>
                <w:bCs/>
                <w:color w:val="000000"/>
                <w:lang w:val="en-US" w:eastAsia="zh-CN"/>
              </w:rPr>
              <w:t>隧道窑进风、排烟走向示意图</w:t>
            </w:r>
          </w:p>
          <w:p w14:paraId="3D6A25F1">
            <w:pPr>
              <w:pStyle w:val="106"/>
              <w:spacing w:before="181" w:line="359" w:lineRule="auto"/>
              <w:ind w:left="109" w:right="191" w:firstLine="495" w:firstLineChars="207"/>
            </w:pPr>
            <w:r>
              <w:rPr>
                <w:b/>
                <w:bCs/>
                <w:spacing w:val="-1"/>
              </w:rPr>
              <w:t>流程说明：</w:t>
            </w:r>
            <w:r>
              <w:rPr>
                <w:spacing w:val="-1"/>
              </w:rPr>
              <w:t>物料在进入预热阶段后，利用从冷却段引来的余热烟气进行升温，将温度升</w:t>
            </w:r>
            <w:r>
              <w:rPr>
                <w:spacing w:val="1"/>
              </w:rPr>
              <w:t>高至</w:t>
            </w:r>
            <w:r>
              <w:rPr>
                <w:spacing w:val="-49"/>
              </w:rPr>
              <w:t xml:space="preserve"> </w:t>
            </w:r>
            <w:r>
              <w:rPr>
                <w:rFonts w:ascii="Times New Roman" w:hAnsi="Times New Roman" w:eastAsia="Times New Roman" w:cs="Times New Roman"/>
                <w:spacing w:val="1"/>
              </w:rPr>
              <w:t>500</w:t>
            </w:r>
            <w:r>
              <w:rPr>
                <w:spacing w:val="1"/>
              </w:rPr>
              <w:t>℃左右后，进入升温段，在这一阶段物料中的</w:t>
            </w:r>
            <w:r>
              <w:rPr>
                <w:spacing w:val="-57"/>
              </w:rPr>
              <w:t xml:space="preserve"> </w:t>
            </w:r>
            <w:r>
              <w:rPr>
                <w:rFonts w:ascii="Times New Roman" w:hAnsi="Times New Roman" w:eastAsia="Times New Roman" w:cs="Times New Roman"/>
              </w:rPr>
              <w:t>VOCs</w:t>
            </w:r>
            <w:r>
              <w:rPr>
                <w:spacing w:val="1"/>
              </w:rPr>
              <w:t>会大量挥</w:t>
            </w:r>
            <w:r>
              <w:t>发出来，在升温段利用助燃风机、引入天然气进行点火升温，引燃物料挥发</w:t>
            </w:r>
            <w:r>
              <w:rPr>
                <w:spacing w:val="-1"/>
              </w:rPr>
              <w:t>出的有机物，燃烧温度将达到</w:t>
            </w:r>
            <w:r>
              <w:rPr>
                <w:rFonts w:hint="eastAsia" w:ascii="Times New Roman" w:hAnsi="Times New Roman" w:eastAsia="宋体" w:cs="Times New Roman"/>
                <w:spacing w:val="-3"/>
                <w:lang w:val="en-US" w:eastAsia="zh-CN"/>
              </w:rPr>
              <w:t>1000</w:t>
            </w:r>
            <w:r>
              <w:rPr>
                <w:rFonts w:ascii="Times New Roman" w:hAnsi="Times New Roman" w:eastAsia="Times New Roman" w:cs="Times New Roman"/>
                <w:spacing w:val="-3"/>
              </w:rPr>
              <w:t>~</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w:t>
            </w:r>
            <w:r>
              <w:rPr>
                <w:rFonts w:hint="eastAsia" w:ascii="Times New Roman" w:hAnsi="Times New Roman" w:eastAsia="宋体" w:cs="Times New Roman"/>
                <w:spacing w:val="-3"/>
                <w:lang w:val="en-US" w:eastAsia="zh-CN"/>
              </w:rPr>
              <w:t>1</w:t>
            </w:r>
            <w:r>
              <w:rPr>
                <w:rFonts w:ascii="Times New Roman" w:hAnsi="Times New Roman" w:eastAsia="Times New Roman" w:cs="Times New Roman"/>
                <w:spacing w:val="-3"/>
              </w:rPr>
              <w:t>00</w:t>
            </w:r>
            <w:r>
              <w:rPr>
                <w:spacing w:val="-3"/>
              </w:rPr>
              <w:t>℃</w:t>
            </w:r>
            <w:r>
              <w:rPr>
                <w:spacing w:val="-91"/>
              </w:rPr>
              <w:t xml:space="preserve"> </w:t>
            </w:r>
            <w:r>
              <w:rPr>
                <w:spacing w:val="-3"/>
              </w:rPr>
              <w:t>,</w:t>
            </w:r>
            <w:r>
              <w:rPr>
                <w:spacing w:val="69"/>
              </w:rPr>
              <w:t xml:space="preserve"> </w:t>
            </w:r>
            <w:r>
              <w:rPr>
                <w:spacing w:val="-3"/>
              </w:rPr>
              <w:t>高温周期约</w:t>
            </w:r>
            <w:r>
              <w:rPr>
                <w:spacing w:val="-55"/>
              </w:rPr>
              <w:t xml:space="preserve"> </w:t>
            </w:r>
            <w:r>
              <w:rPr>
                <w:rFonts w:ascii="Times New Roman" w:hAnsi="Times New Roman" w:eastAsia="Times New Roman" w:cs="Times New Roman"/>
                <w:spacing w:val="-3"/>
              </w:rPr>
              <w:t xml:space="preserve">22 </w:t>
            </w:r>
            <w:r>
              <w:rPr>
                <w:rFonts w:ascii="Times New Roman" w:hAnsi="Times New Roman" w:eastAsia="Times New Roman" w:cs="Times New Roman"/>
                <w:spacing w:val="-4"/>
              </w:rPr>
              <w:t>~60</w:t>
            </w:r>
            <w:r>
              <w:rPr>
                <w:spacing w:val="-4"/>
              </w:rPr>
              <w:t>小时，此阶段将物料中的水份、</w:t>
            </w:r>
            <w:r>
              <w:rPr>
                <w:rFonts w:ascii="Times New Roman" w:hAnsi="Times New Roman" w:eastAsia="Times New Roman" w:cs="Times New Roman"/>
                <w:spacing w:val="-4"/>
              </w:rPr>
              <w:t xml:space="preserve">VOCs </w:t>
            </w:r>
            <w:r>
              <w:rPr>
                <w:spacing w:val="-4"/>
              </w:rPr>
              <w:t>进行处理削减，从</w:t>
            </w:r>
            <w:r>
              <w:rPr>
                <w:spacing w:val="-1"/>
              </w:rPr>
              <w:t>而提高物料含碳量（即预碳化目的）。</w:t>
            </w:r>
          </w:p>
          <w:p w14:paraId="1401D8F0">
            <w:pPr>
              <w:pStyle w:val="106"/>
              <w:spacing w:before="1" w:line="359" w:lineRule="auto"/>
              <w:ind w:left="109" w:right="103" w:firstLine="480"/>
              <w:jc w:val="both"/>
              <w:rPr>
                <w:rFonts w:hint="default" w:ascii="Times New Roman" w:hAnsi="Times New Roman" w:eastAsia="宋体" w:cs="Times New Roman"/>
                <w:spacing w:val="-5"/>
              </w:rPr>
            </w:pPr>
            <w:r>
              <w:rPr>
                <w:rFonts w:hint="default" w:ascii="Times New Roman" w:hAnsi="Times New Roman" w:cs="Times New Roman"/>
                <w:spacing w:val="-1"/>
              </w:rPr>
              <w:t>余热烟气在预热工段充分换热利用后，通过排烟风机排出；升温段、高温段产生的水蒸</w:t>
            </w:r>
            <w:r>
              <w:rPr>
                <w:rFonts w:hint="default" w:ascii="Times New Roman" w:hAnsi="Times New Roman" w:cs="Times New Roman"/>
                <w:spacing w:val="-2"/>
              </w:rPr>
              <w:t>气通过排潮风机排出，两者汇合后（预炭化废气</w:t>
            </w:r>
            <w:r>
              <w:rPr>
                <w:rFonts w:hint="default" w:ascii="Times New Roman" w:hAnsi="Times New Roman" w:cs="Times New Roman"/>
                <w:spacing w:val="-3"/>
              </w:rPr>
              <w:t>）最终经一根管道收集进入“</w:t>
            </w:r>
            <w:r>
              <w:rPr>
                <w:rFonts w:hint="default" w:ascii="Times New Roman" w:hAnsi="Times New Roman" w:cs="Times New Roman"/>
                <w:spacing w:val="-3"/>
                <w:lang w:val="en-US" w:eastAsia="zh-CN"/>
              </w:rPr>
              <w:t>降温塔+双碱</w:t>
            </w:r>
            <w:r>
              <w:rPr>
                <w:rFonts w:hint="default" w:ascii="Times New Roman" w:hAnsi="Times New Roman" w:eastAsia="宋体" w:cs="Times New Roman"/>
                <w:spacing w:val="-2"/>
                <w:lang w:val="en-US" w:eastAsia="zh-CN"/>
              </w:rPr>
              <w:t>法脱硫+电捕焦油器</w:t>
            </w:r>
            <w:r>
              <w:rPr>
                <w:rFonts w:hint="default" w:ascii="Times New Roman" w:hAnsi="Times New Roman" w:eastAsia="宋体" w:cs="Times New Roman"/>
                <w:spacing w:val="-2"/>
              </w:rPr>
              <w:t>”</w:t>
            </w:r>
            <w:r>
              <w:rPr>
                <w:rFonts w:hint="default" w:ascii="Times New Roman" w:hAnsi="Times New Roman" w:eastAsia="宋体" w:cs="Times New Roman"/>
                <w:spacing w:val="-2"/>
                <w:lang w:eastAsia="zh-CN"/>
              </w:rPr>
              <w:t>（</w:t>
            </w:r>
            <w:r>
              <w:rPr>
                <w:rFonts w:hint="default" w:ascii="Times New Roman" w:hAnsi="Times New Roman" w:eastAsia="宋体" w:cs="Times New Roman"/>
                <w:spacing w:val="-2"/>
                <w:lang w:val="en-US" w:eastAsia="zh-CN"/>
              </w:rPr>
              <w:t>本项目</w:t>
            </w:r>
            <w:r>
              <w:rPr>
                <w:rFonts w:hint="default" w:ascii="Times New Roman" w:hAnsi="Times New Roman" w:cs="Times New Roman"/>
                <w:spacing w:val="-1"/>
                <w:lang w:val="en-US" w:eastAsia="zh-CN"/>
              </w:rPr>
              <w:t>新增1套，依托2套</w:t>
            </w:r>
            <w:r>
              <w:rPr>
                <w:rFonts w:hint="default" w:ascii="Times New Roman" w:hAnsi="Times New Roman" w:cs="Times New Roman"/>
                <w:spacing w:val="-1"/>
                <w:lang w:eastAsia="zh-CN"/>
              </w:rPr>
              <w:t>）</w:t>
            </w:r>
            <w:r>
              <w:rPr>
                <w:rFonts w:hint="default" w:ascii="Times New Roman" w:hAnsi="Times New Roman" w:cs="Times New Roman"/>
                <w:spacing w:val="-1"/>
              </w:rPr>
              <w:t>处理</w:t>
            </w:r>
            <w:r>
              <w:rPr>
                <w:rFonts w:hint="default" w:ascii="Times New Roman" w:hAnsi="Times New Roman" w:eastAsia="宋体" w:cs="Times New Roman"/>
                <w:spacing w:val="-5"/>
              </w:rPr>
              <w:t>后经 1 根</w:t>
            </w:r>
            <w:r>
              <w:rPr>
                <w:rFonts w:hint="default" w:ascii="Times New Roman" w:hAnsi="Times New Roman" w:eastAsia="宋体" w:cs="Times New Roman"/>
                <w:spacing w:val="-5"/>
                <w:lang w:val="en-US" w:eastAsia="zh-CN"/>
              </w:rPr>
              <w:t>33m</w:t>
            </w:r>
            <w:r>
              <w:rPr>
                <w:rFonts w:hint="default" w:ascii="Times New Roman" w:hAnsi="Times New Roman" w:eastAsia="宋体" w:cs="Times New Roman"/>
                <w:spacing w:val="-5"/>
              </w:rPr>
              <w:t>排气筒排放。</w:t>
            </w:r>
          </w:p>
          <w:p w14:paraId="160D79AD">
            <w:pPr>
              <w:pStyle w:val="106"/>
              <w:spacing w:before="1" w:line="359" w:lineRule="auto"/>
              <w:ind w:left="108" w:right="103" w:firstLine="481"/>
              <w:jc w:val="both"/>
            </w:pPr>
            <w:r>
              <w:rPr>
                <w:spacing w:val="-1"/>
              </w:rPr>
              <w:t>经预炭化处理后，物料进入强冷工段，将采用冷却风机将物料强力制冷至</w:t>
            </w:r>
            <w:r>
              <w:rPr>
                <w:spacing w:val="-32"/>
              </w:rPr>
              <w:t xml:space="preserve"> </w:t>
            </w:r>
            <w:r>
              <w:rPr>
                <w:rFonts w:ascii="Times New Roman" w:hAnsi="Times New Roman" w:eastAsia="Times New Roman" w:cs="Times New Roman"/>
                <w:spacing w:val="-1"/>
              </w:rPr>
              <w:t>160</w:t>
            </w:r>
            <w:r>
              <w:rPr>
                <w:spacing w:val="-1"/>
              </w:rPr>
              <w:t>℃并</w:t>
            </w:r>
            <w:r>
              <w:rPr>
                <w:spacing w:val="-2"/>
              </w:rPr>
              <w:t>完成</w:t>
            </w:r>
            <w:r>
              <w:rPr>
                <w:spacing w:val="-1"/>
              </w:rPr>
              <w:t>出窑。强冷工段采用冷却风机引入冷空气进行降温，降温换热后在强冷工段的热空气基本不含污染物，直接经一根隧道窑窑尾排气管在车间内排放。</w:t>
            </w:r>
          </w:p>
          <w:p w14:paraId="4F753215">
            <w:pPr>
              <w:pStyle w:val="106"/>
              <w:spacing w:before="1" w:line="359" w:lineRule="auto"/>
              <w:ind w:left="107" w:right="41" w:firstLine="481"/>
              <w:jc w:val="both"/>
            </w:pPr>
            <w:r>
              <w:rPr>
                <w:b/>
                <w:bCs/>
                <w:spacing w:val="-5"/>
              </w:rPr>
              <w:t>气幕风机：</w:t>
            </w:r>
            <w:r>
              <w:rPr>
                <w:spacing w:val="-5"/>
              </w:rPr>
              <w:t>为隔绝温度及废气，在预热段进</w:t>
            </w:r>
            <w:r>
              <w:rPr>
                <w:spacing w:val="-6"/>
              </w:rPr>
              <w:t>料口、高温段与强冷段之间设置有空气幕墙，</w:t>
            </w:r>
            <w:r>
              <w:t>同时兼具补风作用。原理如下：气帘（</w:t>
            </w:r>
            <w:r>
              <w:rPr>
                <w:rFonts w:ascii="Times New Roman" w:hAnsi="Times New Roman" w:eastAsia="Times New Roman" w:cs="Times New Roman"/>
              </w:rPr>
              <w:t>Air C</w:t>
            </w:r>
            <w:r>
              <w:rPr>
                <w:rFonts w:ascii="Times New Roman" w:hAnsi="Times New Roman" w:eastAsia="Times New Roman" w:cs="Times New Roman"/>
                <w:spacing w:val="-1"/>
              </w:rPr>
              <w:t>urtain</w:t>
            </w:r>
            <w:r>
              <w:rPr>
                <w:spacing w:val="5"/>
              </w:rPr>
              <w:t>），</w:t>
            </w:r>
            <w:r>
              <w:rPr>
                <w:spacing w:val="-1"/>
              </w:rPr>
              <w:t>又称气幕或空气屏障，是通过高速气流形成的无形屏障，用于隔离两个不同环境（如温度、洁净度或压力差异区域）。其核心原理是利用流体力学中的伯努利效应，在开放空间中构建可控的空气流动层，气帘设备通过风</w:t>
            </w:r>
            <w:r>
              <w:rPr>
                <w:spacing w:val="-2"/>
              </w:rPr>
              <w:t>机产生高速气流（通常为</w:t>
            </w:r>
            <w:r>
              <w:rPr>
                <w:spacing w:val="-31"/>
              </w:rPr>
              <w:t xml:space="preserve"> </w:t>
            </w:r>
            <w:r>
              <w:rPr>
                <w:rFonts w:ascii="Times New Roman" w:hAnsi="Times New Roman" w:eastAsia="Times New Roman" w:cs="Times New Roman"/>
                <w:spacing w:val="-2"/>
              </w:rPr>
              <w:t>15-35 m/s</w:t>
            </w:r>
            <w:r>
              <w:rPr>
                <w:spacing w:val="-11"/>
              </w:rPr>
              <w:t>），</w:t>
            </w:r>
            <w:r>
              <w:rPr>
                <w:spacing w:val="-2"/>
              </w:rPr>
              <w:t>气流自上而下垂直喷射时，动</w:t>
            </w:r>
            <w:r>
              <w:rPr>
                <w:spacing w:val="-3"/>
              </w:rPr>
              <w:t>能转化为压力能，形成</w:t>
            </w:r>
            <w:r>
              <w:rPr>
                <w:spacing w:val="-2"/>
              </w:rPr>
              <w:t>稳定的气态屏障。</w:t>
            </w:r>
          </w:p>
          <w:p w14:paraId="3E419075">
            <w:pPr>
              <w:pStyle w:val="106"/>
              <w:spacing w:before="3" w:line="358" w:lineRule="auto"/>
              <w:ind w:left="108" w:right="103" w:firstLine="500"/>
              <w:jc w:val="both"/>
            </w:pPr>
            <w:r>
              <w:rPr>
                <w:spacing w:val="-1"/>
              </w:rPr>
              <w:t>出窑后的物料通过负压输送系统精准无误地传输至下一个工序，整个预炭</w:t>
            </w:r>
            <w:r>
              <w:rPr>
                <w:spacing w:val="-2"/>
              </w:rPr>
              <w:t>化工艺流程环</w:t>
            </w:r>
            <w:r>
              <w:rPr>
                <w:spacing w:val="-1"/>
              </w:rPr>
              <w:t>环相扣、高效流畅，有力地保障了生产的连续性与产品质量的稳定性。</w:t>
            </w:r>
            <w:r>
              <w:rPr>
                <w:b/>
                <w:bCs/>
                <w:spacing w:val="-1"/>
              </w:rPr>
              <w:t>此环节</w:t>
            </w:r>
            <w:r>
              <w:rPr>
                <w:b/>
                <w:bCs/>
                <w:spacing w:val="-2"/>
                <w:u w:val="single" w:color="auto"/>
              </w:rPr>
              <w:t>产生</w:t>
            </w:r>
            <w:r>
              <w:rPr>
                <w:rFonts w:hint="eastAsia"/>
                <w:b/>
                <w:bCs/>
                <w:spacing w:val="-2"/>
                <w:u w:val="single" w:color="auto"/>
                <w:lang w:val="en-US" w:eastAsia="zh-CN"/>
              </w:rPr>
              <w:t>碳化</w:t>
            </w:r>
            <w:r>
              <w:rPr>
                <w:b/>
                <w:bCs/>
                <w:spacing w:val="-2"/>
                <w:u w:val="single" w:color="auto"/>
              </w:rPr>
              <w:t>废</w:t>
            </w:r>
            <w:r>
              <w:rPr>
                <w:b/>
                <w:bCs/>
                <w:spacing w:val="-4"/>
                <w:position w:val="1"/>
                <w:u w:val="single" w:color="auto"/>
              </w:rPr>
              <w:t>气</w:t>
            </w:r>
            <w:r>
              <w:rPr>
                <w:rFonts w:ascii="Times New Roman" w:hAnsi="Times New Roman" w:eastAsia="Times New Roman" w:cs="Times New Roman"/>
                <w:b/>
                <w:bCs/>
                <w:spacing w:val="-28"/>
                <w:position w:val="1"/>
                <w:u w:val="single" w:color="auto"/>
              </w:rPr>
              <w:t xml:space="preserve"> </w:t>
            </w:r>
            <w:r>
              <w:rPr>
                <w:b/>
                <w:bCs/>
                <w:spacing w:val="-4"/>
                <w:position w:val="1"/>
                <w:u w:val="single" w:color="auto"/>
              </w:rPr>
              <w:t>，主要污染物为颗粒物、</w:t>
            </w:r>
            <w:r>
              <w:rPr>
                <w:rFonts w:ascii="Times New Roman" w:hAnsi="Times New Roman" w:eastAsia="Times New Roman" w:cs="Times New Roman"/>
                <w:b/>
                <w:bCs/>
                <w:spacing w:val="-4"/>
                <w:position w:val="1"/>
                <w:u w:val="single" w:color="auto"/>
              </w:rPr>
              <w:t>SO</w:t>
            </w:r>
            <w:r>
              <w:rPr>
                <w:rFonts w:ascii="Times New Roman" w:hAnsi="Times New Roman" w:eastAsia="Times New Roman" w:cs="Times New Roman"/>
                <w:b/>
                <w:bCs/>
                <w:spacing w:val="-4"/>
                <w:sz w:val="15"/>
                <w:szCs w:val="15"/>
                <w:u w:val="single" w:color="auto"/>
              </w:rPr>
              <w:t>2</w:t>
            </w:r>
            <w:r>
              <w:rPr>
                <w:rFonts w:ascii="Times New Roman" w:hAnsi="Times New Roman" w:eastAsia="Times New Roman" w:cs="Times New Roman"/>
                <w:b/>
                <w:bCs/>
                <w:spacing w:val="-13"/>
                <w:sz w:val="15"/>
                <w:szCs w:val="15"/>
                <w:u w:val="single" w:color="auto"/>
              </w:rPr>
              <w:t xml:space="preserve"> </w:t>
            </w:r>
            <w:r>
              <w:rPr>
                <w:b/>
                <w:bCs/>
                <w:spacing w:val="-4"/>
                <w:position w:val="1"/>
                <w:u w:val="single" w:color="auto"/>
              </w:rPr>
              <w:t>、</w:t>
            </w:r>
            <w:r>
              <w:rPr>
                <w:rFonts w:ascii="Times New Roman" w:hAnsi="Times New Roman" w:eastAsia="Times New Roman" w:cs="Times New Roman"/>
                <w:b/>
                <w:bCs/>
                <w:spacing w:val="-4"/>
                <w:position w:val="1"/>
                <w:u w:val="single" w:color="auto"/>
              </w:rPr>
              <w:t>NOx</w:t>
            </w:r>
            <w:r>
              <w:rPr>
                <w:rFonts w:ascii="Times New Roman" w:hAnsi="Times New Roman" w:eastAsia="Times New Roman" w:cs="Times New Roman"/>
                <w:b/>
                <w:bCs/>
                <w:spacing w:val="-34"/>
                <w:position w:val="1"/>
                <w:u w:val="single" w:color="auto"/>
              </w:rPr>
              <w:t xml:space="preserve"> </w:t>
            </w:r>
            <w:r>
              <w:rPr>
                <w:b/>
                <w:bCs/>
                <w:spacing w:val="-4"/>
                <w:position w:val="1"/>
                <w:u w:val="single" w:color="auto"/>
              </w:rPr>
              <w:t>、苯并芘、非甲烷总烃</w:t>
            </w:r>
            <w:r>
              <w:rPr>
                <w:b/>
                <w:bCs/>
                <w:spacing w:val="-5"/>
                <w:position w:val="1"/>
                <w:u w:val="single" w:color="auto"/>
              </w:rPr>
              <w:t>、沥青烟</w:t>
            </w:r>
            <w:r>
              <w:rPr>
                <w:b/>
                <w:bCs/>
                <w:spacing w:val="-5"/>
                <w:position w:val="1"/>
              </w:rPr>
              <w:t>。</w:t>
            </w:r>
          </w:p>
          <w:p w14:paraId="061C7896">
            <w:pPr>
              <w:pStyle w:val="106"/>
              <w:spacing w:before="2" w:line="359" w:lineRule="auto"/>
              <w:ind w:left="107" w:right="103" w:firstLine="480"/>
              <w:jc w:val="both"/>
            </w:pPr>
            <w:r>
              <w:rPr>
                <w:spacing w:val="-1"/>
              </w:rPr>
              <w:t>在此过程中为充分利用余热内循环的原则：将物料加热排放的有机物作为燃料重新燃烧并对窑炉完成加热，这不仅有效降低了废气的排放量，而且降低物料中的挥发分含量，并进一步提升物料的含碳量成功促使物料的振实密度</w:t>
            </w:r>
            <w:r>
              <w:rPr>
                <w:spacing w:val="-52"/>
              </w:rPr>
              <w:t xml:space="preserve"> </w:t>
            </w:r>
            <w:r>
              <w:rPr>
                <w:rFonts w:ascii="Times New Roman" w:hAnsi="Times New Roman" w:eastAsia="Times New Roman" w:cs="Times New Roman"/>
                <w:spacing w:val="-1"/>
              </w:rPr>
              <w:t>0.9g/cm</w:t>
            </w:r>
            <w:r>
              <w:rPr>
                <w:rFonts w:ascii="Times New Roman" w:hAnsi="Times New Roman" w:eastAsia="Times New Roman" w:cs="Times New Roman"/>
                <w:spacing w:val="-1"/>
                <w:position w:val="8"/>
                <w:sz w:val="15"/>
                <w:szCs w:val="15"/>
              </w:rPr>
              <w:t xml:space="preserve">3  </w:t>
            </w:r>
            <w:r>
              <w:rPr>
                <w:spacing w:val="-1"/>
              </w:rPr>
              <w:t>以</w:t>
            </w:r>
            <w:r>
              <w:rPr>
                <w:spacing w:val="-2"/>
              </w:rPr>
              <w:t>上。不仅满足了石墨化炉的装填</w:t>
            </w:r>
            <w:r>
              <w:rPr>
                <w:spacing w:val="-1"/>
              </w:rPr>
              <w:t>量，而且有效降低了产品能耗和生产成本。为防止跑料，该工序加工过程中投料、出料均采用密闭管道连接并输送。其热工制度不随时间而变化，只与窑长有关，窑体各部位的温度稳</w:t>
            </w:r>
            <w:r>
              <w:t>定。物料由窑体一端进料，在沿窑长运动的过程中，完成包括预热、</w:t>
            </w:r>
            <w:r>
              <w:rPr>
                <w:spacing w:val="-1"/>
              </w:rPr>
              <w:t>预炭化、 冷却等阶段在内的整个过程，最后从窑体另一端出料。</w:t>
            </w:r>
          </w:p>
          <w:p w14:paraId="44DBED30">
            <w:pPr>
              <w:pStyle w:val="106"/>
              <w:spacing w:before="1" w:line="359" w:lineRule="auto"/>
              <w:ind w:left="107" w:right="103" w:firstLine="493"/>
              <w:jc w:val="both"/>
            </w:pPr>
            <w:r>
              <w:rPr>
                <w:b/>
                <w:bCs/>
                <w:spacing w:val="-1"/>
              </w:rPr>
              <w:t>隧道窑设置情况：</w:t>
            </w:r>
            <w:r>
              <w:rPr>
                <w:spacing w:val="-1"/>
              </w:rPr>
              <w:t>本项目预炭化工艺包含了预热</w:t>
            </w:r>
            <w:r>
              <w:rPr>
                <w:spacing w:val="-2"/>
              </w:rPr>
              <w:t>、升温、高温、冷却等多个工段，工艺</w:t>
            </w:r>
            <w:r>
              <w:rPr>
                <w:spacing w:val="-1"/>
              </w:rPr>
              <w:t>流程较长，本项目利用现有</w:t>
            </w:r>
            <w:r>
              <w:rPr>
                <w:rFonts w:hint="eastAsia"/>
                <w:spacing w:val="-1"/>
                <w:lang w:val="en-US" w:eastAsia="zh-CN"/>
              </w:rPr>
              <w:t>厂房</w:t>
            </w:r>
            <w:r>
              <w:rPr>
                <w:spacing w:val="-1"/>
              </w:rPr>
              <w:t>进行技改。依据工艺需要和现有厂房</w:t>
            </w:r>
            <w:r>
              <w:rPr>
                <w:spacing w:val="-2"/>
              </w:rPr>
              <w:t>条件，设置</w:t>
            </w:r>
            <w:r>
              <w:rPr>
                <w:spacing w:val="-32"/>
              </w:rPr>
              <w:t xml:space="preserve"> </w:t>
            </w:r>
            <w:r>
              <w:rPr>
                <w:rFonts w:ascii="Times New Roman" w:hAnsi="Times New Roman" w:eastAsia="Times New Roman" w:cs="Times New Roman"/>
                <w:spacing w:val="-2"/>
              </w:rPr>
              <w:t xml:space="preserve">1 </w:t>
            </w:r>
            <w:r>
              <w:rPr>
                <w:spacing w:val="-2"/>
              </w:rPr>
              <w:t>条长</w:t>
            </w:r>
            <w:r>
              <w:rPr>
                <w:rFonts w:hint="default" w:ascii="Times New Roman" w:hAnsi="Times New Roman" w:eastAsia="宋体" w:cs="Times New Roman"/>
                <w:spacing w:val="-1"/>
              </w:rPr>
              <w:t>度约</w:t>
            </w:r>
            <w:r>
              <w:rPr>
                <w:rFonts w:hint="eastAsia" w:ascii="Times New Roman" w:hAnsi="Times New Roman" w:eastAsia="宋体" w:cs="Times New Roman"/>
                <w:spacing w:val="-1"/>
                <w:lang w:val="en-US" w:eastAsia="zh-CN"/>
              </w:rPr>
              <w:t>168</w:t>
            </w:r>
            <w:r>
              <w:rPr>
                <w:rFonts w:hint="default" w:ascii="Times New Roman" w:hAnsi="Times New Roman" w:eastAsia="宋体" w:cs="Times New Roman"/>
                <w:spacing w:val="-1"/>
              </w:rPr>
              <w:t>±5 米的隧道窑预炭</w:t>
            </w:r>
            <w:r>
              <w:rPr>
                <w:spacing w:val="-1"/>
              </w:rPr>
              <w:t>化生产线，以满足设</w:t>
            </w:r>
            <w:r>
              <w:rPr>
                <w:spacing w:val="-2"/>
              </w:rPr>
              <w:t>置各生产工段。</w:t>
            </w:r>
          </w:p>
          <w:p w14:paraId="63FD6AC7">
            <w:pPr>
              <w:pStyle w:val="46"/>
              <w:ind w:left="0" w:leftChars="0" w:firstLine="466" w:firstLineChars="200"/>
              <w:rPr>
                <w:spacing w:val="-2"/>
              </w:rPr>
            </w:pPr>
            <w:r>
              <w:rPr>
                <w:b/>
                <w:bCs/>
                <w:spacing w:val="-4"/>
              </w:rPr>
              <w:t>出料、冷却：</w:t>
            </w:r>
            <w:r>
              <w:rPr>
                <w:spacing w:val="-4"/>
              </w:rPr>
              <w:t>烧成结束后经冷却窑冷却，出料温度小于</w:t>
            </w:r>
            <w:r>
              <w:rPr>
                <w:spacing w:val="-32"/>
              </w:rPr>
              <w:t xml:space="preserve"> </w:t>
            </w:r>
            <w:r>
              <w:rPr>
                <w:rFonts w:ascii="Times New Roman" w:hAnsi="Times New Roman" w:eastAsia="Times New Roman" w:cs="Times New Roman"/>
                <w:spacing w:val="-4"/>
              </w:rPr>
              <w:t>160℃</w:t>
            </w:r>
            <w:r>
              <w:rPr>
                <w:rFonts w:ascii="Times New Roman" w:hAnsi="Times New Roman" w:eastAsia="Times New Roman" w:cs="Times New Roman"/>
                <w:spacing w:val="-32"/>
              </w:rPr>
              <w:t xml:space="preserve"> </w:t>
            </w:r>
            <w:r>
              <w:rPr>
                <w:spacing w:val="-4"/>
              </w:rPr>
              <w:t>,</w:t>
            </w:r>
            <w:r>
              <w:rPr>
                <w:spacing w:val="64"/>
              </w:rPr>
              <w:t xml:space="preserve"> </w:t>
            </w:r>
            <w:r>
              <w:rPr>
                <w:spacing w:val="-4"/>
              </w:rPr>
              <w:t>然后由</w:t>
            </w:r>
            <w:r>
              <w:rPr>
                <w:spacing w:val="-5"/>
              </w:rPr>
              <w:t>自动出料系统将</w:t>
            </w:r>
            <w:r>
              <w:rPr>
                <w:spacing w:val="-2"/>
              </w:rPr>
              <w:t>物料吸至出料系统暂存罐内，经循环水冷却系统将物料冷却至</w:t>
            </w:r>
            <w:r>
              <w:rPr>
                <w:spacing w:val="-50"/>
              </w:rPr>
              <w:t xml:space="preserve"> </w:t>
            </w:r>
            <w:r>
              <w:rPr>
                <w:rFonts w:ascii="Times New Roman" w:hAnsi="Times New Roman" w:eastAsia="Times New Roman" w:cs="Times New Roman"/>
                <w:spacing w:val="-2"/>
              </w:rPr>
              <w:t>60</w:t>
            </w:r>
            <w:r>
              <w:rPr>
                <w:spacing w:val="-2"/>
              </w:rPr>
              <w:t>℃</w:t>
            </w:r>
            <w:r>
              <w:rPr>
                <w:spacing w:val="-3"/>
              </w:rPr>
              <w:t>以下。为保证循环冷却水</w:t>
            </w:r>
            <w:r>
              <w:rPr>
                <w:spacing w:val="-2"/>
              </w:rPr>
              <w:t>水质，不定期会产生少量</w:t>
            </w:r>
            <w:r>
              <w:rPr>
                <w:b/>
                <w:bCs/>
                <w:spacing w:val="-2"/>
                <w:u w:val="single" w:color="auto"/>
              </w:rPr>
              <w:t>循环冷却排水</w:t>
            </w:r>
            <w:r>
              <w:rPr>
                <w:spacing w:val="-41"/>
                <w:u w:val="single" w:color="auto"/>
              </w:rPr>
              <w:t xml:space="preserve"> </w:t>
            </w:r>
            <w:r>
              <w:rPr>
                <w:spacing w:val="-2"/>
              </w:rPr>
              <w:t>。</w:t>
            </w:r>
          </w:p>
          <w:p w14:paraId="6CE28FF7">
            <w:pPr>
              <w:pStyle w:val="106"/>
              <w:keepNext w:val="0"/>
              <w:keepLines w:val="0"/>
              <w:pageBreakBefore w:val="0"/>
              <w:widowControl w:val="0"/>
              <w:kinsoku/>
              <w:wordWrap/>
              <w:overflowPunct/>
              <w:topLinePunct w:val="0"/>
              <w:autoSpaceDE/>
              <w:autoSpaceDN/>
              <w:bidi w:val="0"/>
              <w:adjustRightInd/>
              <w:snapToGrid/>
              <w:spacing w:before="30" w:line="360" w:lineRule="auto"/>
              <w:ind w:left="109" w:right="103" w:firstLine="482"/>
              <w:textAlignment w:val="auto"/>
            </w:pPr>
            <w:r>
              <w:rPr>
                <w:b/>
                <w:bCs/>
                <w:spacing w:val="-1"/>
              </w:rPr>
              <w:t>打包：</w:t>
            </w:r>
            <w:r>
              <w:rPr>
                <w:spacing w:val="-1"/>
              </w:rPr>
              <w:t>冷却后的物料经密闭管道气力输送至简易打包机，经打包进入吨袋内暂存。后续</w:t>
            </w:r>
            <w:r>
              <w:rPr>
                <w:rFonts w:hint="eastAsia"/>
                <w:spacing w:val="-1"/>
                <w:lang w:val="en-US" w:eastAsia="zh-CN"/>
              </w:rPr>
              <w:t>外售下游企业继续生产</w:t>
            </w:r>
            <w:r>
              <w:rPr>
                <w:spacing w:val="-1"/>
              </w:rPr>
              <w:t>。打包过程将产生打包粉尘。</w:t>
            </w:r>
            <w:r>
              <w:rPr>
                <w:spacing w:val="-2"/>
              </w:rPr>
              <w:t>产生的打包粉尘主要是颗粒物，</w:t>
            </w:r>
          </w:p>
          <w:p w14:paraId="39AFA0EB">
            <w:pPr>
              <w:pStyle w:val="106"/>
              <w:keepNext w:val="0"/>
              <w:keepLines w:val="0"/>
              <w:pageBreakBefore w:val="0"/>
              <w:widowControl w:val="0"/>
              <w:kinsoku/>
              <w:wordWrap/>
              <w:overflowPunct/>
              <w:topLinePunct w:val="0"/>
              <w:autoSpaceDE/>
              <w:autoSpaceDN/>
              <w:bidi w:val="0"/>
              <w:adjustRightInd/>
              <w:snapToGrid/>
              <w:spacing w:line="360" w:lineRule="auto"/>
              <w:ind w:left="110" w:firstLine="480" w:firstLineChars="200"/>
              <w:textAlignment w:val="auto"/>
            </w:pPr>
            <w:r>
              <w:t>经收尘设施管道收集后，进入袋式除尘器处理后最终经</w:t>
            </w:r>
            <w:r>
              <w:rPr>
                <w:spacing w:val="-20"/>
              </w:rPr>
              <w:t xml:space="preserve"> </w:t>
            </w:r>
            <w:r>
              <w:rPr>
                <w:rFonts w:ascii="Times New Roman" w:hAnsi="Times New Roman" w:eastAsia="Times New Roman" w:cs="Times New Roman"/>
              </w:rPr>
              <w:t xml:space="preserve">1 </w:t>
            </w:r>
            <w:r>
              <w:rPr>
                <w:rFonts w:hint="eastAsia" w:ascii="Times New Roman" w:hAnsi="Times New Roman" w:eastAsia="宋体" w:cs="Times New Roman"/>
                <w:lang w:val="en-US" w:eastAsia="zh-CN"/>
              </w:rPr>
              <w:t>跟15</w:t>
            </w:r>
            <w:r>
              <w:rPr>
                <w:rFonts w:ascii="Times New Roman" w:hAnsi="Times New Roman" w:eastAsia="Times New Roman" w:cs="Times New Roman"/>
              </w:rPr>
              <w:t>m</w:t>
            </w:r>
            <w:r>
              <w:t>排气筒高于厂房屋顶排放。</w:t>
            </w:r>
          </w:p>
          <w:p w14:paraId="6B822265">
            <w:pPr>
              <w:pStyle w:val="106"/>
              <w:keepNext w:val="0"/>
              <w:keepLines w:val="0"/>
              <w:pageBreakBefore w:val="0"/>
              <w:widowControl w:val="0"/>
              <w:kinsoku/>
              <w:wordWrap/>
              <w:overflowPunct/>
              <w:topLinePunct w:val="0"/>
              <w:autoSpaceDE/>
              <w:autoSpaceDN/>
              <w:bidi w:val="0"/>
              <w:adjustRightInd/>
              <w:snapToGrid/>
              <w:spacing w:before="181" w:line="359" w:lineRule="auto"/>
              <w:ind w:left="107" w:right="103" w:firstLine="481"/>
              <w:textAlignment w:val="auto"/>
            </w:pPr>
            <w:r>
              <w:rPr>
                <w:b/>
                <w:bCs/>
                <w:spacing w:val="-2"/>
              </w:rPr>
              <w:t>其他产排污说明：</w:t>
            </w:r>
            <w:r>
              <w:rPr>
                <w:spacing w:val="-2"/>
              </w:rPr>
              <w:t>项目办公、生产区域产生生活污</w:t>
            </w:r>
            <w:r>
              <w:rPr>
                <w:spacing w:val="-3"/>
              </w:rPr>
              <w:t>水</w:t>
            </w:r>
            <w:r>
              <w:rPr>
                <w:spacing w:val="-57"/>
              </w:rPr>
              <w:t xml:space="preserve"> </w:t>
            </w:r>
            <w:r>
              <w:rPr>
                <w:spacing w:val="-3"/>
              </w:rPr>
              <w:t>、生活垃圾</w:t>
            </w:r>
            <w:r>
              <w:rPr>
                <w:rFonts w:ascii="Times New Roman" w:hAnsi="Times New Roman" w:eastAsia="Times New Roman" w:cs="Times New Roman"/>
                <w:spacing w:val="-27"/>
              </w:rPr>
              <w:t xml:space="preserve"> </w:t>
            </w:r>
            <w:r>
              <w:rPr>
                <w:spacing w:val="-3"/>
              </w:rPr>
              <w:t>。生产拆袋过程</w:t>
            </w:r>
            <w:r>
              <w:rPr>
                <w:spacing w:val="-2"/>
              </w:rPr>
              <w:t>产生</w:t>
            </w:r>
            <w:r>
              <w:rPr>
                <w:rFonts w:ascii="Times New Roman" w:hAnsi="Times New Roman" w:eastAsia="Times New Roman" w:cs="Times New Roman"/>
                <w:spacing w:val="-2"/>
              </w:rPr>
              <w:t xml:space="preserve"> </w:t>
            </w:r>
            <w:r>
              <w:rPr>
                <w:spacing w:val="-2"/>
              </w:rPr>
              <w:t>废包装材料；设备维护过程产生废机油</w:t>
            </w:r>
            <w:r>
              <w:rPr>
                <w:rFonts w:hint="eastAsia"/>
                <w:spacing w:val="-2"/>
                <w:lang w:val="en-US" w:eastAsia="zh-CN"/>
              </w:rPr>
              <w:t>/润滑油</w:t>
            </w:r>
            <w:r>
              <w:rPr>
                <w:spacing w:val="-2"/>
              </w:rPr>
              <w:t>、废含油抹布。</w:t>
            </w:r>
          </w:p>
          <w:p w14:paraId="7AB8C9A4">
            <w:pPr>
              <w:pStyle w:val="106"/>
              <w:keepNext w:val="0"/>
              <w:keepLines w:val="0"/>
              <w:pageBreakBefore w:val="0"/>
              <w:widowControl w:val="0"/>
              <w:kinsoku/>
              <w:wordWrap/>
              <w:overflowPunct/>
              <w:topLinePunct w:val="0"/>
              <w:autoSpaceDE/>
              <w:autoSpaceDN/>
              <w:bidi w:val="0"/>
              <w:adjustRightInd/>
              <w:snapToGrid/>
              <w:spacing w:line="360" w:lineRule="auto"/>
              <w:ind w:left="108"/>
              <w:textAlignment w:val="auto"/>
            </w:pPr>
            <w:r>
              <w:rPr>
                <w:b/>
                <w:bCs/>
                <w:spacing w:val="-3"/>
              </w:rPr>
              <w:t>三、项目运营期主要产污工序及污染物汇总</w:t>
            </w:r>
          </w:p>
          <w:p w14:paraId="2FD7C5F6">
            <w:pPr>
              <w:pStyle w:val="106"/>
              <w:keepNext w:val="0"/>
              <w:keepLines w:val="0"/>
              <w:pageBreakBefore w:val="0"/>
              <w:widowControl w:val="0"/>
              <w:kinsoku/>
              <w:wordWrap/>
              <w:overflowPunct/>
              <w:topLinePunct w:val="0"/>
              <w:autoSpaceDE/>
              <w:autoSpaceDN/>
              <w:bidi w:val="0"/>
              <w:adjustRightInd/>
              <w:snapToGrid/>
              <w:spacing w:line="360" w:lineRule="auto"/>
              <w:ind w:left="592"/>
              <w:textAlignment w:val="auto"/>
            </w:pPr>
            <w:r>
              <w:rPr>
                <w:spacing w:val="-1"/>
              </w:rPr>
              <w:t>项目运营期主要产污工序及污染物总汇见下表。</w:t>
            </w:r>
          </w:p>
          <w:p w14:paraId="4B5F00F3">
            <w:pPr>
              <w:numPr>
                <w:ilvl w:val="0"/>
                <w:numId w:val="15"/>
              </w:numPr>
              <w:tabs>
                <w:tab w:val="center" w:pos="4200"/>
                <w:tab w:val="left" w:pos="6035"/>
              </w:tabs>
              <w:spacing w:line="360" w:lineRule="auto"/>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项目运营期主要产污工序及污染物总汇一览表</w:t>
            </w:r>
          </w:p>
          <w:tbl>
            <w:tblPr>
              <w:tblStyle w:val="32"/>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3000"/>
              <w:gridCol w:w="3689"/>
            </w:tblGrid>
            <w:tr w14:paraId="08A4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top"/>
                </w:tcPr>
                <w:p w14:paraId="3B418441">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b/>
                      <w:bCs/>
                      <w:spacing w:val="2"/>
                      <w:sz w:val="21"/>
                      <w:szCs w:val="21"/>
                    </w:rPr>
                    <w:t>项目</w:t>
                  </w:r>
                </w:p>
              </w:tc>
              <w:tc>
                <w:tcPr>
                  <w:tcW w:w="3000" w:type="dxa"/>
                  <w:noWrap w:val="0"/>
                  <w:vAlign w:val="top"/>
                </w:tcPr>
                <w:p w14:paraId="357CCE54">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b/>
                      <w:bCs/>
                      <w:spacing w:val="5"/>
                      <w:sz w:val="21"/>
                      <w:szCs w:val="21"/>
                    </w:rPr>
                    <w:t>污染物</w:t>
                  </w:r>
                </w:p>
              </w:tc>
              <w:tc>
                <w:tcPr>
                  <w:tcW w:w="3689" w:type="dxa"/>
                  <w:noWrap w:val="0"/>
                  <w:vAlign w:val="top"/>
                </w:tcPr>
                <w:p w14:paraId="22B9C760">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b/>
                      <w:bCs/>
                      <w:spacing w:val="6"/>
                      <w:sz w:val="21"/>
                      <w:szCs w:val="21"/>
                    </w:rPr>
                    <w:t>污染工序</w:t>
                  </w:r>
                </w:p>
              </w:tc>
            </w:tr>
            <w:tr w14:paraId="60BD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0BF30D08">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5"/>
                      <w:sz w:val="21"/>
                      <w:szCs w:val="21"/>
                    </w:rPr>
                    <w:t>废气</w:t>
                  </w:r>
                </w:p>
              </w:tc>
              <w:tc>
                <w:tcPr>
                  <w:tcW w:w="3000" w:type="dxa"/>
                  <w:noWrap w:val="0"/>
                  <w:vAlign w:val="top"/>
                </w:tcPr>
                <w:p w14:paraId="6B02C655">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5"/>
                      <w:sz w:val="21"/>
                      <w:szCs w:val="21"/>
                    </w:rPr>
                    <w:t>投料粉尘</w:t>
                  </w:r>
                </w:p>
              </w:tc>
              <w:tc>
                <w:tcPr>
                  <w:tcW w:w="3689" w:type="dxa"/>
                  <w:noWrap w:val="0"/>
                  <w:vAlign w:val="top"/>
                </w:tcPr>
                <w:p w14:paraId="54D2CB4B">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8"/>
                      <w:sz w:val="21"/>
                      <w:szCs w:val="21"/>
                    </w:rPr>
                    <w:t>投料站投料环节</w:t>
                  </w:r>
                </w:p>
              </w:tc>
            </w:tr>
            <w:tr w14:paraId="581A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1B02329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41FBEFD0">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eastAsia="Times New Roman" w:cs="Times New Roman"/>
                      <w:spacing w:val="14"/>
                      <w:w w:val="101"/>
                      <w:sz w:val="21"/>
                      <w:szCs w:val="21"/>
                    </w:rPr>
                    <w:t xml:space="preserve"> </w:t>
                  </w:r>
                  <w:r>
                    <w:rPr>
                      <w:rFonts w:hint="default" w:ascii="Times New Roman" w:hAnsi="Times New Roman" w:cs="Times New Roman"/>
                      <w:spacing w:val="5"/>
                      <w:sz w:val="21"/>
                      <w:szCs w:val="21"/>
                    </w:rPr>
                    <w:t>装料粉尘</w:t>
                  </w:r>
                </w:p>
              </w:tc>
              <w:tc>
                <w:tcPr>
                  <w:tcW w:w="3689" w:type="dxa"/>
                  <w:noWrap w:val="0"/>
                  <w:vAlign w:val="top"/>
                </w:tcPr>
                <w:p w14:paraId="121198B7">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2"/>
                      <w:sz w:val="21"/>
                      <w:szCs w:val="21"/>
                    </w:rPr>
                    <w:t>自动装料系统</w:t>
                  </w:r>
                </w:p>
              </w:tc>
            </w:tr>
            <w:tr w14:paraId="4E8B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5EDE0FB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64B2AEBB">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eastAsia="Times New Roman" w:cs="Times New Roman"/>
                      <w:spacing w:val="7"/>
                      <w:sz w:val="21"/>
                      <w:szCs w:val="21"/>
                    </w:rPr>
                    <w:t xml:space="preserve"> </w:t>
                  </w:r>
                  <w:r>
                    <w:rPr>
                      <w:rFonts w:hint="default" w:ascii="Times New Roman" w:hAnsi="Times New Roman" w:cs="Times New Roman"/>
                      <w:spacing w:val="7"/>
                      <w:sz w:val="21"/>
                      <w:szCs w:val="21"/>
                    </w:rPr>
                    <w:t>预炭化工艺废气</w:t>
                  </w:r>
                </w:p>
              </w:tc>
              <w:tc>
                <w:tcPr>
                  <w:tcW w:w="3689" w:type="dxa"/>
                  <w:noWrap w:val="0"/>
                  <w:vAlign w:val="top"/>
                </w:tcPr>
                <w:p w14:paraId="25A24840">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7"/>
                      <w:sz w:val="21"/>
                      <w:szCs w:val="21"/>
                    </w:rPr>
                    <w:t>预炭化环节</w:t>
                  </w:r>
                </w:p>
              </w:tc>
            </w:tr>
            <w:tr w14:paraId="0062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3187933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012BC70F">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eastAsia" w:ascii="Times New Roman" w:hAnsi="Times New Roman" w:cs="Times New Roman"/>
                      <w:spacing w:val="5"/>
                      <w:sz w:val="21"/>
                      <w:szCs w:val="21"/>
                      <w:lang w:val="en-US" w:eastAsia="zh-CN"/>
                    </w:rPr>
                    <w:t>包装</w:t>
                  </w:r>
                  <w:r>
                    <w:rPr>
                      <w:rFonts w:hint="default" w:ascii="Times New Roman" w:hAnsi="Times New Roman" w:cs="Times New Roman"/>
                      <w:spacing w:val="5"/>
                      <w:sz w:val="21"/>
                      <w:szCs w:val="21"/>
                    </w:rPr>
                    <w:t>粉尘</w:t>
                  </w:r>
                </w:p>
              </w:tc>
              <w:tc>
                <w:tcPr>
                  <w:tcW w:w="3689" w:type="dxa"/>
                  <w:noWrap w:val="0"/>
                  <w:vAlign w:val="top"/>
                </w:tcPr>
                <w:p w14:paraId="7687D9DC">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eastAsia" w:ascii="Times New Roman" w:hAnsi="Times New Roman" w:cs="Times New Roman"/>
                      <w:spacing w:val="6"/>
                      <w:sz w:val="21"/>
                      <w:szCs w:val="21"/>
                      <w:lang w:val="en-US" w:eastAsia="zh-CN"/>
                    </w:rPr>
                    <w:t>包装</w:t>
                  </w:r>
                  <w:r>
                    <w:rPr>
                      <w:rFonts w:hint="default" w:ascii="Times New Roman" w:hAnsi="Times New Roman" w:cs="Times New Roman"/>
                      <w:spacing w:val="6"/>
                      <w:sz w:val="21"/>
                      <w:szCs w:val="21"/>
                    </w:rPr>
                    <w:t>环节</w:t>
                  </w:r>
                </w:p>
              </w:tc>
            </w:tr>
            <w:tr w14:paraId="36B8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356407E7">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5"/>
                      <w:sz w:val="21"/>
                      <w:szCs w:val="21"/>
                    </w:rPr>
                    <w:t>废水</w:t>
                  </w:r>
                </w:p>
              </w:tc>
              <w:tc>
                <w:tcPr>
                  <w:tcW w:w="3000" w:type="dxa"/>
                  <w:noWrap w:val="0"/>
                  <w:vAlign w:val="top"/>
                </w:tcPr>
                <w:p w14:paraId="7D3980FE">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eastAsia="Times New Roman" w:cs="Times New Roman"/>
                      <w:spacing w:val="14"/>
                      <w:sz w:val="21"/>
                      <w:szCs w:val="21"/>
                    </w:rPr>
                    <w:t xml:space="preserve"> </w:t>
                  </w:r>
                  <w:r>
                    <w:rPr>
                      <w:rFonts w:hint="default" w:ascii="Times New Roman" w:hAnsi="Times New Roman" w:cs="Times New Roman"/>
                      <w:spacing w:val="6"/>
                      <w:sz w:val="21"/>
                      <w:szCs w:val="21"/>
                    </w:rPr>
                    <w:t>生活污水</w:t>
                  </w:r>
                </w:p>
              </w:tc>
              <w:tc>
                <w:tcPr>
                  <w:tcW w:w="3689" w:type="dxa"/>
                  <w:noWrap w:val="0"/>
                  <w:vAlign w:val="top"/>
                </w:tcPr>
                <w:p w14:paraId="10D931E2">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5"/>
                      <w:sz w:val="21"/>
                      <w:szCs w:val="21"/>
                    </w:rPr>
                    <w:t>员工生活</w:t>
                  </w:r>
                </w:p>
              </w:tc>
            </w:tr>
            <w:tr w14:paraId="42BF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6E88FF5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01CF1433">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eastAsia="Times New Roman" w:cs="Times New Roman"/>
                      <w:spacing w:val="8"/>
                      <w:sz w:val="21"/>
                      <w:szCs w:val="21"/>
                    </w:rPr>
                    <w:t xml:space="preserve"> </w:t>
                  </w:r>
                  <w:r>
                    <w:rPr>
                      <w:rFonts w:hint="default" w:ascii="Times New Roman" w:hAnsi="Times New Roman" w:cs="Times New Roman"/>
                      <w:spacing w:val="8"/>
                      <w:sz w:val="21"/>
                      <w:szCs w:val="21"/>
                    </w:rPr>
                    <w:t>循环冷却系统排水</w:t>
                  </w:r>
                </w:p>
              </w:tc>
              <w:tc>
                <w:tcPr>
                  <w:tcW w:w="3689" w:type="dxa"/>
                  <w:noWrap w:val="0"/>
                  <w:vAlign w:val="top"/>
                </w:tcPr>
                <w:p w14:paraId="779659E7">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8"/>
                      <w:sz w:val="21"/>
                      <w:szCs w:val="21"/>
                    </w:rPr>
                    <w:t>循环冷却系统</w:t>
                  </w:r>
                </w:p>
              </w:tc>
            </w:tr>
            <w:tr w14:paraId="04B2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260A0B14">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1"/>
                      <w:sz w:val="21"/>
                      <w:szCs w:val="21"/>
                    </w:rPr>
                    <w:t>噪声</w:t>
                  </w:r>
                </w:p>
              </w:tc>
              <w:tc>
                <w:tcPr>
                  <w:tcW w:w="3000" w:type="dxa"/>
                  <w:noWrap w:val="0"/>
                  <w:vAlign w:val="top"/>
                </w:tcPr>
                <w:p w14:paraId="7AB2F7DE">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6"/>
                      <w:sz w:val="21"/>
                      <w:szCs w:val="21"/>
                    </w:rPr>
                    <w:t>设备噪声</w:t>
                  </w:r>
                </w:p>
              </w:tc>
              <w:tc>
                <w:tcPr>
                  <w:tcW w:w="3689" w:type="dxa"/>
                  <w:noWrap w:val="0"/>
                  <w:vAlign w:val="top"/>
                </w:tcPr>
                <w:p w14:paraId="4D0AB7AB">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9"/>
                      <w:sz w:val="21"/>
                      <w:szCs w:val="21"/>
                    </w:rPr>
                    <w:t>生产加工设备、检测设备运转</w:t>
                  </w:r>
                </w:p>
              </w:tc>
            </w:tr>
            <w:tr w14:paraId="05C4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7BFE612A">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5"/>
                      <w:sz w:val="21"/>
                      <w:szCs w:val="21"/>
                    </w:rPr>
                    <w:t>固废</w:t>
                  </w:r>
                </w:p>
              </w:tc>
              <w:tc>
                <w:tcPr>
                  <w:tcW w:w="3000" w:type="dxa"/>
                  <w:noWrap w:val="0"/>
                  <w:vAlign w:val="top"/>
                </w:tcPr>
                <w:p w14:paraId="142CFA46">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3"/>
                      <w:sz w:val="21"/>
                      <w:szCs w:val="21"/>
                    </w:rPr>
                    <w:t>生活垃圾</w:t>
                  </w:r>
                </w:p>
              </w:tc>
              <w:tc>
                <w:tcPr>
                  <w:tcW w:w="3689" w:type="dxa"/>
                  <w:noWrap w:val="0"/>
                  <w:vAlign w:val="top"/>
                </w:tcPr>
                <w:p w14:paraId="6812BBE3">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5"/>
                      <w:sz w:val="21"/>
                      <w:szCs w:val="21"/>
                    </w:rPr>
                    <w:t>员工生活</w:t>
                  </w:r>
                </w:p>
              </w:tc>
            </w:tr>
            <w:tr w14:paraId="6917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top"/>
                </w:tcPr>
                <w:p w14:paraId="709BF12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58668300">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6"/>
                      <w:sz w:val="21"/>
                      <w:szCs w:val="21"/>
                    </w:rPr>
                    <w:t>废包装材料</w:t>
                  </w:r>
                </w:p>
              </w:tc>
              <w:tc>
                <w:tcPr>
                  <w:tcW w:w="3689" w:type="dxa"/>
                  <w:noWrap w:val="0"/>
                  <w:vAlign w:val="top"/>
                </w:tcPr>
                <w:p w14:paraId="203D58F7">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8"/>
                      <w:sz w:val="21"/>
                      <w:szCs w:val="21"/>
                    </w:rPr>
                    <w:t>原辅料拆包及产品包装</w:t>
                  </w:r>
                </w:p>
              </w:tc>
            </w:tr>
            <w:tr w14:paraId="76F1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top"/>
                </w:tcPr>
                <w:p w14:paraId="2C3BF7D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12EED67F">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4"/>
                      <w:sz w:val="21"/>
                      <w:szCs w:val="21"/>
                    </w:rPr>
                    <w:t>脱硫石膏</w:t>
                  </w:r>
                </w:p>
              </w:tc>
              <w:tc>
                <w:tcPr>
                  <w:tcW w:w="3689" w:type="dxa"/>
                  <w:noWrap w:val="0"/>
                  <w:vAlign w:val="top"/>
                </w:tcPr>
                <w:p w14:paraId="1C556AF9">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7"/>
                      <w:sz w:val="21"/>
                      <w:szCs w:val="21"/>
                    </w:rPr>
                    <w:t>废气治理</w:t>
                  </w:r>
                </w:p>
              </w:tc>
            </w:tr>
            <w:tr w14:paraId="6ED0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top"/>
                </w:tcPr>
                <w:p w14:paraId="2B601C1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spacing w:val="-2"/>
                      <w:sz w:val="21"/>
                      <w:szCs w:val="21"/>
                      <w:vertAlign w:val="baseline"/>
                      <w:lang w:val="en-US" w:eastAsia="zh-CN"/>
                    </w:rPr>
                  </w:pPr>
                </w:p>
              </w:tc>
              <w:tc>
                <w:tcPr>
                  <w:tcW w:w="3000" w:type="dxa"/>
                  <w:noWrap w:val="0"/>
                  <w:vAlign w:val="top"/>
                </w:tcPr>
                <w:p w14:paraId="10C3999E">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pacing w:val="-2"/>
                      <w:sz w:val="21"/>
                      <w:szCs w:val="21"/>
                      <w:vertAlign w:val="baseline"/>
                      <w:lang w:val="en-US" w:eastAsia="zh-CN"/>
                    </w:rPr>
                  </w:pPr>
                  <w:r>
                    <w:rPr>
                      <w:rFonts w:hint="default" w:ascii="Times New Roman" w:hAnsi="Times New Roman" w:cs="Times New Roman"/>
                      <w:spacing w:val="3"/>
                      <w:sz w:val="21"/>
                      <w:szCs w:val="21"/>
                    </w:rPr>
                    <w:t>废机油</w:t>
                  </w:r>
                  <w:r>
                    <w:rPr>
                      <w:rFonts w:hint="eastAsia" w:ascii="Times New Roman" w:hAnsi="Times New Roman" w:cs="Times New Roman"/>
                      <w:spacing w:val="3"/>
                      <w:sz w:val="21"/>
                      <w:szCs w:val="21"/>
                      <w:lang w:val="en-US" w:eastAsia="zh-CN"/>
                    </w:rPr>
                    <w:t>/润滑油</w:t>
                  </w:r>
                </w:p>
              </w:tc>
              <w:tc>
                <w:tcPr>
                  <w:tcW w:w="3689" w:type="dxa"/>
                  <w:noWrap w:val="0"/>
                  <w:vAlign w:val="top"/>
                </w:tcPr>
                <w:p w14:paraId="2D9EC8F6">
                  <w:pPr>
                    <w:pStyle w:val="10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spacing w:val="-2"/>
                      <w:sz w:val="21"/>
                      <w:szCs w:val="21"/>
                      <w:vertAlign w:val="baseline"/>
                      <w:lang w:val="en-US" w:eastAsia="zh-CN"/>
                    </w:rPr>
                  </w:pPr>
                  <w:r>
                    <w:rPr>
                      <w:rFonts w:hint="default" w:ascii="Times New Roman" w:hAnsi="Times New Roman" w:cs="Times New Roman"/>
                      <w:spacing w:val="6"/>
                      <w:sz w:val="21"/>
                      <w:szCs w:val="21"/>
                    </w:rPr>
                    <w:t>设备维护</w:t>
                  </w:r>
                </w:p>
              </w:tc>
            </w:tr>
          </w:tbl>
          <w:p w14:paraId="2C5565A5">
            <w:pPr>
              <w:pStyle w:val="46"/>
              <w:ind w:left="0" w:leftChars="0" w:firstLine="0" w:firstLineChars="0"/>
              <w:rPr>
                <w:rFonts w:hint="default"/>
                <w:spacing w:val="-2"/>
                <w:lang w:val="en-US" w:eastAsia="zh-CN"/>
              </w:rPr>
            </w:pPr>
          </w:p>
        </w:tc>
      </w:tr>
    </w:tbl>
    <w:p w14:paraId="64C4CE3B">
      <w:pPr>
        <w:pStyle w:val="27"/>
        <w:jc w:val="both"/>
        <w:outlineLvl w:val="0"/>
        <w:rPr>
          <w:rFonts w:hint="eastAsia" w:ascii="黑体" w:hAnsi="黑体" w:eastAsia="黑体"/>
          <w:snapToGrid w:val="0"/>
          <w:sz w:val="24"/>
          <w:szCs w:val="24"/>
        </w:rPr>
      </w:pPr>
    </w:p>
    <w:p w14:paraId="7C6D7B53">
      <w:pPr>
        <w:pStyle w:val="27"/>
        <w:jc w:val="both"/>
        <w:outlineLvl w:val="0"/>
        <w:rPr>
          <w:rFonts w:hint="eastAsia" w:ascii="黑体" w:hAnsi="黑体" w:eastAsia="黑体"/>
          <w:snapToGrid w:val="0"/>
          <w:sz w:val="24"/>
          <w:szCs w:val="24"/>
        </w:r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8599"/>
      </w:tblGrid>
      <w:tr w14:paraId="4E81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0" w:type="dxa"/>
            <w:noWrap w:val="0"/>
            <w:vAlign w:val="center"/>
          </w:tcPr>
          <w:p w14:paraId="3BBB3E34">
            <w:pPr>
              <w:pStyle w:val="27"/>
              <w:jc w:val="both"/>
              <w:outlineLvl w:val="0"/>
              <w:rPr>
                <w:rFonts w:hint="eastAsia" w:ascii="黑体" w:hAnsi="黑体" w:eastAsia="黑体"/>
                <w:snapToGrid w:val="0"/>
                <w:color w:val="000000"/>
                <w:sz w:val="24"/>
                <w:szCs w:val="24"/>
                <w:vertAlign w:val="baseline"/>
              </w:rPr>
            </w:pPr>
            <w:bookmarkStart w:id="6" w:name="_Toc30252"/>
            <w:r>
              <w:rPr>
                <w:rFonts w:hint="default" w:ascii="Times New Roman" w:hAnsi="Times New Roman" w:cs="Times New Roman"/>
                <w:bCs/>
                <w:color w:val="000000"/>
                <w:kern w:val="2"/>
                <w:szCs w:val="24"/>
              </w:rPr>
              <w:t>与项目有关的原有环境污染问题</w:t>
            </w:r>
            <w:bookmarkEnd w:id="6"/>
          </w:p>
        </w:tc>
        <w:tc>
          <w:tcPr>
            <w:tcW w:w="8599" w:type="dxa"/>
            <w:noWrap w:val="0"/>
            <w:vAlign w:val="top"/>
          </w:tcPr>
          <w:p w14:paraId="1FBB154B">
            <w:pPr>
              <w:pStyle w:val="4"/>
              <w:spacing w:before="0" w:after="0" w:line="360" w:lineRule="auto"/>
              <w:ind w:firstLine="482" w:firstLineChars="200"/>
              <w:jc w:val="left"/>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rPr>
              <w:t>1、现有工程环保手续履行情况</w:t>
            </w:r>
          </w:p>
          <w:p w14:paraId="571FE32E">
            <w:pPr>
              <w:pStyle w:val="7"/>
              <w:spacing w:line="360" w:lineRule="auto"/>
              <w:ind w:firstLine="480" w:firstLineChars="200"/>
              <w:rPr>
                <w:rFonts w:hint="eastAsia" w:ascii="Times New Roman" w:hAnsi="Times New Roman" w:cs="Times New Roman"/>
                <w:color w:val="000000"/>
                <w:sz w:val="24"/>
                <w:szCs w:val="24"/>
                <w:lang w:val="en-US" w:eastAsia="zh-CN" w:bidi="ar-SA"/>
              </w:rPr>
            </w:pPr>
            <w:r>
              <w:rPr>
                <w:rFonts w:hint="eastAsia" w:ascii="Times New Roman" w:hAnsi="Times New Roman" w:cs="Times New Roman"/>
                <w:color w:val="000000"/>
                <w:sz w:val="24"/>
                <w:szCs w:val="24"/>
                <w:lang w:val="en-US" w:eastAsia="zh-CN" w:bidi="ar-SA"/>
              </w:rPr>
              <w:t>2022年7月巴中碳原子新材料科技有限公司委托四川鑫逸诚工程咨询有限公司编制完成了《平昌县锂电池负极材料生产基地建设项目环境影响报告表》，该环评报告于2022年7月29日取得巴中市平昌生态环境局批复，批复文号为：平环境审函</w:t>
            </w:r>
            <w:r>
              <w:rPr>
                <w:rFonts w:hint="eastAsia" w:ascii="宋体" w:hAnsi="宋体" w:eastAsia="宋体" w:cs="宋体"/>
              </w:rPr>
              <w:t>〔</w:t>
            </w:r>
            <w:r>
              <w:rPr>
                <w:rFonts w:hint="eastAsia" w:ascii="Times New Roman" w:hAnsi="Times New Roman" w:cs="Times New Roman"/>
                <w:color w:val="000000"/>
                <w:sz w:val="24"/>
                <w:szCs w:val="24"/>
                <w:lang w:val="en-US" w:eastAsia="zh-CN" w:bidi="ar-SA"/>
              </w:rPr>
              <w:t>2022</w:t>
            </w:r>
            <w:r>
              <w:rPr>
                <w:rFonts w:hint="eastAsia" w:ascii="宋体" w:hAnsi="宋体" w:eastAsia="宋体" w:cs="宋体"/>
              </w:rPr>
              <w:t>〕</w:t>
            </w:r>
            <w:r>
              <w:rPr>
                <w:rFonts w:hint="eastAsia" w:ascii="Times New Roman" w:hAnsi="Times New Roman" w:cs="Times New Roman"/>
                <w:color w:val="000000"/>
                <w:sz w:val="24"/>
                <w:szCs w:val="24"/>
                <w:lang w:val="en-US" w:eastAsia="zh-CN" w:bidi="ar-SA"/>
              </w:rPr>
              <w:t>6号。</w:t>
            </w:r>
          </w:p>
          <w:p w14:paraId="2C8D4CF1">
            <w:pPr>
              <w:snapToGrid w:val="0"/>
              <w:spacing w:line="360" w:lineRule="auto"/>
              <w:ind w:firstLine="480" w:firstLineChars="200"/>
              <w:rPr>
                <w:rFonts w:hint="eastAsia" w:ascii="Times New Roman" w:hAnsi="Times New Roman" w:eastAsia="宋体" w:cs="Times New Roman"/>
                <w:bCs/>
                <w:color w:val="000000"/>
                <w:sz w:val="24"/>
                <w:lang w:eastAsia="zh-CN"/>
              </w:rPr>
            </w:pPr>
            <w:r>
              <w:rPr>
                <w:rFonts w:hint="eastAsia" w:ascii="Times New Roman" w:hAnsi="Times New Roman" w:cs="Times New Roman"/>
                <w:color w:val="000000"/>
                <w:sz w:val="24"/>
                <w:szCs w:val="24"/>
                <w:lang w:val="en-US" w:eastAsia="zh-CN" w:bidi="ar-SA"/>
              </w:rPr>
              <w:t>平昌县锂电池负极材料生产基地建设项目为分期建设，石墨化生产线未建，</w:t>
            </w:r>
            <w:r>
              <w:rPr>
                <w:rFonts w:hint="eastAsia" w:ascii="Times New Roman" w:hAnsi="Times New Roman" w:cs="Times New Roman"/>
                <w:color w:val="000000"/>
                <w:sz w:val="24"/>
                <w:szCs w:val="24"/>
                <w:shd w:val="clear" w:color="auto" w:fill="auto"/>
                <w:lang w:val="en-US" w:eastAsia="zh-CN" w:bidi="ar-SA"/>
              </w:rPr>
              <w:t>2023年7月27日至7月28日、2023年11月18日至19日</w:t>
            </w:r>
            <w:r>
              <w:rPr>
                <w:rFonts w:hint="eastAsia" w:ascii="Times New Roman" w:hAnsi="Times New Roman" w:cs="Times New Roman"/>
                <w:color w:val="000000"/>
                <w:sz w:val="24"/>
                <w:szCs w:val="24"/>
                <w:lang w:val="en-US" w:eastAsia="zh-CN" w:bidi="ar-SA"/>
              </w:rPr>
              <w:t>巴中碳原子新材料科技有限公司委托</w:t>
            </w:r>
            <w:r>
              <w:rPr>
                <w:rFonts w:hint="eastAsia" w:ascii="Times New Roman" w:hAnsi="Times New Roman" w:cs="Times New Roman"/>
                <w:color w:val="000000"/>
                <w:sz w:val="24"/>
                <w:szCs w:val="24"/>
                <w:shd w:val="clear" w:color="auto" w:fill="auto"/>
                <w:lang w:val="en-US" w:eastAsia="zh-CN" w:bidi="ar-SA"/>
              </w:rPr>
              <w:t>四川华皓检测技术有限公司</w:t>
            </w:r>
            <w:r>
              <w:rPr>
                <w:rFonts w:hint="eastAsia" w:ascii="Times New Roman" w:hAnsi="Times New Roman" w:eastAsia="宋体" w:cs="Times New Roman"/>
                <w:bCs/>
                <w:color w:val="000000"/>
                <w:sz w:val="24"/>
              </w:rPr>
              <w:t>进行了</w:t>
            </w:r>
            <w:r>
              <w:rPr>
                <w:rFonts w:hint="eastAsia" w:ascii="Times New Roman" w:hAnsi="Times New Roman" w:eastAsia="宋体" w:cs="Times New Roman"/>
                <w:bCs/>
                <w:color w:val="000000"/>
                <w:sz w:val="24"/>
                <w:lang w:val="en-US" w:eastAsia="zh-CN"/>
              </w:rPr>
              <w:t>对该项目一期进行了</w:t>
            </w:r>
            <w:r>
              <w:rPr>
                <w:rFonts w:hint="eastAsia" w:ascii="Times New Roman" w:hAnsi="Times New Roman" w:eastAsia="宋体" w:cs="Times New Roman"/>
                <w:bCs/>
                <w:color w:val="000000"/>
                <w:sz w:val="24"/>
              </w:rPr>
              <w:t>环保验收监测，</w:t>
            </w:r>
            <w:r>
              <w:rPr>
                <w:rFonts w:hint="eastAsia" w:eastAsia="宋体" w:cs="Times New Roman"/>
                <w:bCs/>
                <w:color w:val="000000"/>
                <w:sz w:val="24"/>
                <w:lang w:val="en-US" w:eastAsia="zh-CN"/>
              </w:rPr>
              <w:t>并通过了自主验收，建设单位已取得排污许可证，证书编号为：91511923MAACPCCCXH001U。</w:t>
            </w:r>
          </w:p>
          <w:p w14:paraId="615DC150">
            <w:pPr>
              <w:snapToGrid w:val="0"/>
              <w:spacing w:line="360" w:lineRule="auto"/>
              <w:ind w:firstLine="480" w:firstLineChars="200"/>
              <w:rPr>
                <w:bCs/>
                <w:color w:val="000000"/>
                <w:sz w:val="24"/>
              </w:rPr>
            </w:pPr>
            <w:r>
              <w:rPr>
                <w:bCs/>
                <w:color w:val="000000"/>
                <w:sz w:val="24"/>
              </w:rPr>
              <w:t>根据调查，</w:t>
            </w:r>
            <w:r>
              <w:rPr>
                <w:rFonts w:hint="eastAsia" w:ascii="Times New Roman" w:hAnsi="Times New Roman" w:cs="Times New Roman"/>
                <w:color w:val="000000"/>
                <w:sz w:val="24"/>
                <w:szCs w:val="24"/>
                <w:lang w:val="en-US" w:eastAsia="zh-CN" w:bidi="ar-SA"/>
              </w:rPr>
              <w:t>巴中碳原子新材料科技有限公司</w:t>
            </w:r>
            <w:r>
              <w:rPr>
                <w:bCs/>
                <w:color w:val="000000"/>
                <w:sz w:val="24"/>
              </w:rPr>
              <w:t>各项目建成运行至今，未发生环境投诉事件。该厂历年环评及验收手续情况见表</w:t>
            </w:r>
            <w:r>
              <w:rPr>
                <w:rFonts w:hint="eastAsia"/>
                <w:bCs/>
                <w:color w:val="000000"/>
                <w:sz w:val="24"/>
              </w:rPr>
              <w:t>2</w:t>
            </w:r>
            <w:r>
              <w:rPr>
                <w:bCs/>
                <w:color w:val="000000"/>
                <w:sz w:val="24"/>
              </w:rPr>
              <w:t>-</w:t>
            </w:r>
            <w:r>
              <w:rPr>
                <w:rFonts w:hint="eastAsia"/>
                <w:bCs/>
                <w:color w:val="000000"/>
                <w:sz w:val="24"/>
                <w:lang w:val="en-US" w:eastAsia="zh-CN"/>
              </w:rPr>
              <w:t>9</w:t>
            </w:r>
            <w:r>
              <w:rPr>
                <w:bCs/>
                <w:color w:val="000000"/>
                <w:sz w:val="24"/>
              </w:rPr>
              <w:t>。</w:t>
            </w:r>
          </w:p>
          <w:p w14:paraId="54406E0B">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环保手续一览表</w:t>
            </w:r>
          </w:p>
          <w:tbl>
            <w:tblPr>
              <w:tblStyle w:val="31"/>
              <w:tblW w:w="811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81"/>
              <w:gridCol w:w="1349"/>
              <w:gridCol w:w="2705"/>
              <w:gridCol w:w="932"/>
              <w:gridCol w:w="1255"/>
              <w:gridCol w:w="876"/>
              <w:gridCol w:w="620"/>
            </w:tblGrid>
            <w:tr w14:paraId="05233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1" w:type="dxa"/>
                  <w:vMerge w:val="restart"/>
                  <w:tcBorders>
                    <w:tl2br w:val="nil"/>
                    <w:tr2bl w:val="nil"/>
                  </w:tcBorders>
                  <w:noWrap w:val="0"/>
                  <w:vAlign w:val="center"/>
                </w:tcPr>
                <w:p w14:paraId="6AAF91B8">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序号</w:t>
                  </w:r>
                </w:p>
              </w:tc>
              <w:tc>
                <w:tcPr>
                  <w:tcW w:w="4986" w:type="dxa"/>
                  <w:gridSpan w:val="3"/>
                  <w:tcBorders>
                    <w:tl2br w:val="nil"/>
                    <w:tr2bl w:val="nil"/>
                  </w:tcBorders>
                  <w:noWrap w:val="0"/>
                  <w:vAlign w:val="center"/>
                </w:tcPr>
                <w:p w14:paraId="3375DC6D">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环评</w:t>
                  </w:r>
                </w:p>
              </w:tc>
              <w:tc>
                <w:tcPr>
                  <w:tcW w:w="2131" w:type="dxa"/>
                  <w:gridSpan w:val="2"/>
                  <w:tcBorders>
                    <w:tl2br w:val="nil"/>
                    <w:tr2bl w:val="nil"/>
                  </w:tcBorders>
                  <w:noWrap w:val="0"/>
                  <w:vAlign w:val="center"/>
                </w:tcPr>
                <w:p w14:paraId="5523FF96">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验收</w:t>
                  </w:r>
                </w:p>
              </w:tc>
              <w:tc>
                <w:tcPr>
                  <w:tcW w:w="620" w:type="dxa"/>
                  <w:vMerge w:val="restart"/>
                  <w:tcBorders>
                    <w:tl2br w:val="nil"/>
                    <w:tr2bl w:val="nil"/>
                  </w:tcBorders>
                  <w:noWrap w:val="0"/>
                  <w:vAlign w:val="center"/>
                </w:tcPr>
                <w:p w14:paraId="123B8664">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备注</w:t>
                  </w:r>
                </w:p>
              </w:tc>
            </w:tr>
            <w:tr w14:paraId="71EA5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1" w:type="dxa"/>
                  <w:vMerge w:val="continue"/>
                  <w:tcBorders>
                    <w:tl2br w:val="nil"/>
                    <w:tr2bl w:val="nil"/>
                  </w:tcBorders>
                  <w:noWrap w:val="0"/>
                  <w:vAlign w:val="center"/>
                </w:tcPr>
                <w:p w14:paraId="01D5BD0F">
                  <w:pPr>
                    <w:pStyle w:val="95"/>
                    <w:spacing w:line="240" w:lineRule="auto"/>
                    <w:ind w:firstLine="0" w:firstLineChars="0"/>
                    <w:jc w:val="center"/>
                    <w:rPr>
                      <w:rFonts w:hint="eastAsia" w:ascii="Times New Roman" w:hAnsi="Times New Roman" w:eastAsia="宋体" w:cs="Times New Roman"/>
                      <w:color w:val="000000"/>
                      <w:sz w:val="21"/>
                      <w:szCs w:val="21"/>
                    </w:rPr>
                  </w:pPr>
                </w:p>
              </w:tc>
              <w:tc>
                <w:tcPr>
                  <w:tcW w:w="1349" w:type="dxa"/>
                  <w:tcBorders>
                    <w:tl2br w:val="nil"/>
                    <w:tr2bl w:val="nil"/>
                  </w:tcBorders>
                  <w:noWrap w:val="0"/>
                  <w:vAlign w:val="center"/>
                </w:tcPr>
                <w:p w14:paraId="7DBAE4D9">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项目名称</w:t>
                  </w:r>
                </w:p>
              </w:tc>
              <w:tc>
                <w:tcPr>
                  <w:tcW w:w="2705" w:type="dxa"/>
                  <w:tcBorders>
                    <w:tl2br w:val="nil"/>
                    <w:tr2bl w:val="nil"/>
                  </w:tcBorders>
                  <w:noWrap w:val="0"/>
                  <w:vAlign w:val="center"/>
                </w:tcPr>
                <w:p w14:paraId="0B43C64A">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建设内容</w:t>
                  </w:r>
                </w:p>
              </w:tc>
              <w:tc>
                <w:tcPr>
                  <w:tcW w:w="932" w:type="dxa"/>
                  <w:tcBorders>
                    <w:tl2br w:val="nil"/>
                    <w:tr2bl w:val="nil"/>
                  </w:tcBorders>
                  <w:noWrap w:val="0"/>
                  <w:vAlign w:val="center"/>
                </w:tcPr>
                <w:p w14:paraId="3BFEB95E">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批复</w:t>
                  </w:r>
                </w:p>
              </w:tc>
              <w:tc>
                <w:tcPr>
                  <w:tcW w:w="1255" w:type="dxa"/>
                  <w:tcBorders>
                    <w:tl2br w:val="nil"/>
                    <w:tr2bl w:val="nil"/>
                  </w:tcBorders>
                  <w:noWrap w:val="0"/>
                  <w:vAlign w:val="center"/>
                </w:tcPr>
                <w:p w14:paraId="42069A6D">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项目名称</w:t>
                  </w:r>
                </w:p>
              </w:tc>
              <w:tc>
                <w:tcPr>
                  <w:tcW w:w="876" w:type="dxa"/>
                  <w:tcBorders>
                    <w:tl2br w:val="nil"/>
                    <w:tr2bl w:val="nil"/>
                  </w:tcBorders>
                  <w:noWrap w:val="0"/>
                  <w:vAlign w:val="center"/>
                </w:tcPr>
                <w:p w14:paraId="62085497">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批复</w:t>
                  </w:r>
                </w:p>
              </w:tc>
              <w:tc>
                <w:tcPr>
                  <w:tcW w:w="620" w:type="dxa"/>
                  <w:vMerge w:val="continue"/>
                  <w:tcBorders>
                    <w:tl2br w:val="nil"/>
                    <w:tr2bl w:val="nil"/>
                  </w:tcBorders>
                  <w:noWrap w:val="0"/>
                  <w:vAlign w:val="center"/>
                </w:tcPr>
                <w:p w14:paraId="4CA51D80">
                  <w:pPr>
                    <w:pStyle w:val="95"/>
                    <w:spacing w:line="240" w:lineRule="auto"/>
                    <w:ind w:firstLine="0" w:firstLineChars="0"/>
                    <w:jc w:val="center"/>
                    <w:rPr>
                      <w:rFonts w:hint="eastAsia" w:ascii="Times New Roman" w:hAnsi="Times New Roman" w:eastAsia="宋体" w:cs="Times New Roman"/>
                      <w:color w:val="000000"/>
                      <w:sz w:val="21"/>
                      <w:szCs w:val="21"/>
                    </w:rPr>
                  </w:pPr>
                </w:p>
              </w:tc>
            </w:tr>
            <w:tr w14:paraId="55C59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1" w:type="dxa"/>
                  <w:tcBorders>
                    <w:tl2br w:val="nil"/>
                    <w:tr2bl w:val="nil"/>
                  </w:tcBorders>
                  <w:noWrap w:val="0"/>
                  <w:vAlign w:val="center"/>
                </w:tcPr>
                <w:p w14:paraId="1C730723">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1</w:t>
                  </w:r>
                </w:p>
              </w:tc>
              <w:tc>
                <w:tcPr>
                  <w:tcW w:w="1349" w:type="dxa"/>
                  <w:tcBorders>
                    <w:tl2br w:val="nil"/>
                    <w:tr2bl w:val="nil"/>
                  </w:tcBorders>
                  <w:noWrap w:val="0"/>
                  <w:vAlign w:val="center"/>
                </w:tcPr>
                <w:p w14:paraId="1542E869">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cs="Times New Roman"/>
                      <w:color w:val="000000"/>
                      <w:sz w:val="21"/>
                      <w:szCs w:val="21"/>
                      <w:lang w:val="en-US" w:eastAsia="zh-CN" w:bidi="ar-SA"/>
                    </w:rPr>
                    <w:t>平昌县锂电池负极材料生产基地建设项目环境影响报告表</w:t>
                  </w:r>
                </w:p>
              </w:tc>
              <w:tc>
                <w:tcPr>
                  <w:tcW w:w="2705" w:type="dxa"/>
                  <w:tcBorders>
                    <w:tl2br w:val="nil"/>
                    <w:tr2bl w:val="nil"/>
                  </w:tcBorders>
                  <w:noWrap w:val="0"/>
                  <w:vAlign w:val="center"/>
                </w:tcPr>
                <w:p w14:paraId="57432956">
                  <w:pPr>
                    <w:pStyle w:val="95"/>
                    <w:spacing w:line="240" w:lineRule="auto"/>
                    <w:ind w:firstLine="0" w:firstLineChars="0"/>
                    <w:jc w:val="center"/>
                    <w:rPr>
                      <w:rFonts w:hint="eastAsia" w:ascii="Times New Roman" w:hAnsi="Times New Roman" w:eastAsia="宋体" w:cs="Times New Roman"/>
                      <w:color w:val="000000"/>
                      <w:sz w:val="21"/>
                      <w:szCs w:val="21"/>
                      <w:lang w:val="en-US" w:eastAsia="zh-CN"/>
                    </w:rPr>
                  </w:pPr>
                  <w:r>
                    <w:rPr>
                      <w:rFonts w:hint="eastAsia"/>
                      <w:color w:val="auto"/>
                      <w:sz w:val="21"/>
                      <w:szCs w:val="21"/>
                    </w:rPr>
                    <w:t>项目占地面积</w:t>
                  </w:r>
                  <w:r>
                    <w:rPr>
                      <w:color w:val="auto"/>
                      <w:sz w:val="21"/>
                      <w:szCs w:val="21"/>
                    </w:rPr>
                    <w:t>52159</w:t>
                  </w:r>
                  <w:r>
                    <w:rPr>
                      <w:rFonts w:hint="eastAsia"/>
                      <w:color w:val="auto"/>
                      <w:sz w:val="21"/>
                      <w:szCs w:val="21"/>
                    </w:rPr>
                    <w:t>m</w:t>
                  </w:r>
                  <w:r>
                    <w:rPr>
                      <w:color w:val="auto"/>
                      <w:sz w:val="21"/>
                      <w:szCs w:val="21"/>
                      <w:vertAlign w:val="superscript"/>
                    </w:rPr>
                    <w:t>2</w:t>
                  </w:r>
                  <w:r>
                    <w:rPr>
                      <w:rFonts w:hint="eastAsia"/>
                      <w:color w:val="auto"/>
                      <w:sz w:val="21"/>
                      <w:szCs w:val="21"/>
                    </w:rPr>
                    <w:t>，其中利用</w:t>
                  </w:r>
                  <w:r>
                    <w:rPr>
                      <w:rFonts w:hint="eastAsia"/>
                      <w:color w:val="auto"/>
                      <w:sz w:val="21"/>
                      <w:szCs w:val="21"/>
                      <w:lang w:val="en-US" w:eastAsia="zh-CN"/>
                    </w:rPr>
                    <w:t>购买</w:t>
                  </w:r>
                  <w:r>
                    <w:rPr>
                      <w:rFonts w:hint="eastAsia"/>
                      <w:color w:val="auto"/>
                      <w:sz w:val="21"/>
                      <w:szCs w:val="21"/>
                    </w:rPr>
                    <w:t>已建厂房两栋，其中1</w:t>
                  </w:r>
                  <w:r>
                    <w:rPr>
                      <w:color w:val="auto"/>
                      <w:sz w:val="21"/>
                      <w:szCs w:val="21"/>
                    </w:rPr>
                    <w:t>#</w:t>
                  </w:r>
                  <w:r>
                    <w:rPr>
                      <w:rFonts w:hint="eastAsia"/>
                      <w:color w:val="auto"/>
                      <w:sz w:val="21"/>
                      <w:szCs w:val="21"/>
                    </w:rPr>
                    <w:t>厂房建筑面积</w:t>
                  </w:r>
                  <w:r>
                    <w:rPr>
                      <w:color w:val="auto"/>
                      <w:sz w:val="21"/>
                      <w:szCs w:val="21"/>
                    </w:rPr>
                    <w:t>9165.45</w:t>
                  </w:r>
                  <w:r>
                    <w:rPr>
                      <w:rFonts w:hint="eastAsia"/>
                      <w:color w:val="auto"/>
                      <w:sz w:val="21"/>
                      <w:szCs w:val="21"/>
                    </w:rPr>
                    <w:t>m</w:t>
                  </w:r>
                  <w:r>
                    <w:rPr>
                      <w:color w:val="auto"/>
                      <w:sz w:val="21"/>
                      <w:szCs w:val="21"/>
                      <w:vertAlign w:val="superscript"/>
                    </w:rPr>
                    <w:t>2</w:t>
                  </w:r>
                  <w:r>
                    <w:rPr>
                      <w:rFonts w:hint="eastAsia"/>
                      <w:color w:val="auto"/>
                      <w:sz w:val="21"/>
                      <w:szCs w:val="21"/>
                    </w:rPr>
                    <w:t>，</w:t>
                  </w:r>
                  <w:r>
                    <w:rPr>
                      <w:color w:val="auto"/>
                      <w:sz w:val="21"/>
                      <w:szCs w:val="21"/>
                    </w:rPr>
                    <w:t>2#</w:t>
                  </w:r>
                  <w:r>
                    <w:rPr>
                      <w:rFonts w:hint="eastAsia"/>
                      <w:color w:val="auto"/>
                      <w:sz w:val="21"/>
                      <w:szCs w:val="21"/>
                    </w:rPr>
                    <w:t>厂房建筑面积</w:t>
                  </w:r>
                  <w:r>
                    <w:rPr>
                      <w:color w:val="auto"/>
                      <w:sz w:val="21"/>
                      <w:szCs w:val="21"/>
                    </w:rPr>
                    <w:t>9174.48</w:t>
                  </w:r>
                  <w:r>
                    <w:rPr>
                      <w:rFonts w:hint="eastAsia"/>
                      <w:color w:val="auto"/>
                      <w:sz w:val="21"/>
                      <w:szCs w:val="21"/>
                    </w:rPr>
                    <w:t>m</w:t>
                  </w:r>
                  <w:r>
                    <w:rPr>
                      <w:color w:val="auto"/>
                      <w:sz w:val="21"/>
                      <w:szCs w:val="21"/>
                      <w:vertAlign w:val="superscript"/>
                    </w:rPr>
                    <w:t>2</w:t>
                  </w:r>
                  <w:r>
                    <w:rPr>
                      <w:rFonts w:hint="eastAsia"/>
                      <w:color w:val="auto"/>
                      <w:sz w:val="21"/>
                      <w:szCs w:val="21"/>
                    </w:rPr>
                    <w:t>，适应性改造后，1</w:t>
                  </w:r>
                  <w:r>
                    <w:rPr>
                      <w:color w:val="auto"/>
                      <w:sz w:val="21"/>
                      <w:szCs w:val="21"/>
                    </w:rPr>
                    <w:t>#</w:t>
                  </w:r>
                  <w:r>
                    <w:rPr>
                      <w:rFonts w:hint="eastAsia"/>
                      <w:color w:val="auto"/>
                      <w:sz w:val="21"/>
                      <w:szCs w:val="21"/>
                    </w:rPr>
                    <w:t>厂房布置主要布置石墨化生产设备，进行石墨化生产，</w:t>
                  </w:r>
                  <w:r>
                    <w:rPr>
                      <w:color w:val="auto"/>
                      <w:sz w:val="21"/>
                      <w:szCs w:val="21"/>
                    </w:rPr>
                    <w:t>2#</w:t>
                  </w:r>
                  <w:r>
                    <w:rPr>
                      <w:rFonts w:hint="eastAsia"/>
                      <w:color w:val="auto"/>
                      <w:sz w:val="21"/>
                      <w:szCs w:val="21"/>
                    </w:rPr>
                    <w:t>厂房布置原料破碎、烘干等预处理设备，成品碳化设备，进行原料预处理及成品碳化。厂房内部分隔部分区域作为原材料、成品、中间物料暂存区域。另利用已建成办公楼1栋6层，建筑面积6</w:t>
                  </w:r>
                  <w:r>
                    <w:rPr>
                      <w:color w:val="auto"/>
                      <w:sz w:val="21"/>
                      <w:szCs w:val="21"/>
                    </w:rPr>
                    <w:t>913.31</w:t>
                  </w:r>
                  <w:r>
                    <w:rPr>
                      <w:rFonts w:hint="eastAsia"/>
                      <w:color w:val="auto"/>
                      <w:sz w:val="21"/>
                      <w:szCs w:val="21"/>
                    </w:rPr>
                    <w:t>m</w:t>
                  </w:r>
                  <w:r>
                    <w:rPr>
                      <w:color w:val="auto"/>
                      <w:sz w:val="21"/>
                      <w:szCs w:val="21"/>
                      <w:vertAlign w:val="superscript"/>
                    </w:rPr>
                    <w:t>2</w:t>
                  </w:r>
                  <w:r>
                    <w:rPr>
                      <w:rFonts w:hint="eastAsia"/>
                      <w:color w:val="auto"/>
                      <w:sz w:val="21"/>
                      <w:szCs w:val="21"/>
                    </w:rPr>
                    <w:t>适应性改造作为本项目办公及住宿用房，利用已建成食堂9</w:t>
                  </w:r>
                  <w:r>
                    <w:rPr>
                      <w:color w:val="auto"/>
                      <w:sz w:val="21"/>
                      <w:szCs w:val="21"/>
                    </w:rPr>
                    <w:t>24.16</w:t>
                  </w:r>
                  <w:r>
                    <w:rPr>
                      <w:rFonts w:hint="eastAsia"/>
                      <w:color w:val="auto"/>
                      <w:sz w:val="21"/>
                      <w:szCs w:val="21"/>
                    </w:rPr>
                    <w:t>m</w:t>
                  </w:r>
                  <w:r>
                    <w:rPr>
                      <w:color w:val="auto"/>
                      <w:sz w:val="21"/>
                      <w:szCs w:val="21"/>
                      <w:vertAlign w:val="superscript"/>
                    </w:rPr>
                    <w:t>2</w:t>
                  </w:r>
                  <w:r>
                    <w:rPr>
                      <w:rFonts w:hint="eastAsia"/>
                      <w:color w:val="auto"/>
                      <w:sz w:val="21"/>
                      <w:szCs w:val="21"/>
                    </w:rPr>
                    <w:t>适应性改造作为本项目食堂使用。全厂配套设置给水、排水、供电等公用辅助设施，及废水、废气处理、固废暂存等环保设施。项目建成投产后形成年产4000吨锂电池负极材料的生产能力</w:t>
                  </w:r>
                  <w:r>
                    <w:rPr>
                      <w:rFonts w:hint="eastAsia" w:ascii="Times New Roman" w:hAnsi="Times New Roman" w:eastAsia="宋体" w:cs="Times New Roman"/>
                      <w:color w:val="000000"/>
                      <w:sz w:val="21"/>
                      <w:szCs w:val="21"/>
                      <w:lang w:eastAsia="zh-CN"/>
                    </w:rPr>
                    <w:t>。</w:t>
                  </w:r>
                </w:p>
              </w:tc>
              <w:tc>
                <w:tcPr>
                  <w:tcW w:w="932" w:type="dxa"/>
                  <w:tcBorders>
                    <w:tl2br w:val="nil"/>
                    <w:tr2bl w:val="nil"/>
                  </w:tcBorders>
                  <w:noWrap w:val="0"/>
                  <w:vAlign w:val="center"/>
                </w:tcPr>
                <w:p w14:paraId="596042D4">
                  <w:pPr>
                    <w:pStyle w:val="95"/>
                    <w:spacing w:line="240" w:lineRule="auto"/>
                    <w:ind w:firstLine="0" w:firstLineChars="0"/>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bidi="ar-SA"/>
                    </w:rPr>
                    <w:t>平环境审函〔2022〕6号</w:t>
                  </w:r>
                </w:p>
              </w:tc>
              <w:tc>
                <w:tcPr>
                  <w:tcW w:w="1255" w:type="dxa"/>
                  <w:tcBorders>
                    <w:tl2br w:val="nil"/>
                    <w:tr2bl w:val="nil"/>
                  </w:tcBorders>
                  <w:noWrap w:val="0"/>
                  <w:vAlign w:val="center"/>
                </w:tcPr>
                <w:p w14:paraId="4989F061">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平昌县锂电池负极材料生产基地建设项目（</w:t>
                  </w:r>
                  <w:r>
                    <w:rPr>
                      <w:rFonts w:hint="eastAsia" w:ascii="Times New Roman" w:hAnsi="Times New Roman" w:eastAsia="宋体" w:cs="Times New Roman"/>
                      <w:color w:val="000000"/>
                      <w:sz w:val="21"/>
                      <w:szCs w:val="21"/>
                      <w:lang w:val="en-US" w:eastAsia="zh-CN"/>
                    </w:rPr>
                    <w:t>一期</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竣工环境保护验收监测报告表</w:t>
                  </w:r>
                </w:p>
              </w:tc>
              <w:tc>
                <w:tcPr>
                  <w:tcW w:w="876" w:type="dxa"/>
                  <w:tcBorders>
                    <w:tl2br w:val="nil"/>
                    <w:tr2bl w:val="nil"/>
                  </w:tcBorders>
                  <w:noWrap w:val="0"/>
                  <w:vAlign w:val="center"/>
                </w:tcPr>
                <w:p w14:paraId="707A7AE6">
                  <w:pPr>
                    <w:pStyle w:val="95"/>
                    <w:spacing w:line="240" w:lineRule="auto"/>
                    <w:ind w:firstLine="0" w:firstLineChars="0"/>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自主验收</w:t>
                  </w:r>
                </w:p>
              </w:tc>
              <w:tc>
                <w:tcPr>
                  <w:tcW w:w="620" w:type="dxa"/>
                  <w:tcBorders>
                    <w:tl2br w:val="nil"/>
                    <w:tr2bl w:val="nil"/>
                  </w:tcBorders>
                  <w:noWrap w:val="0"/>
                  <w:vAlign w:val="center"/>
                </w:tcPr>
                <w:p w14:paraId="6CABE342">
                  <w:pPr>
                    <w:pStyle w:val="95"/>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石墨化生产线未建</w:t>
                  </w:r>
                </w:p>
              </w:tc>
            </w:tr>
          </w:tbl>
          <w:p w14:paraId="48C07BAA">
            <w:pPr>
              <w:pStyle w:val="4"/>
              <w:keepNext/>
              <w:keepLines w:val="0"/>
              <w:pageBreakBefore w:val="0"/>
              <w:widowControl w:val="0"/>
              <w:kinsoku/>
              <w:wordWrap/>
              <w:overflowPunct/>
              <w:topLinePunct w:val="0"/>
              <w:autoSpaceDE/>
              <w:autoSpaceDN/>
              <w:bidi w:val="0"/>
              <w:adjustRightInd/>
              <w:snapToGrid/>
              <w:spacing w:before="313" w:beforeLines="100" w:after="0" w:line="360" w:lineRule="auto"/>
              <w:ind w:left="105" w:leftChars="50" w:firstLine="482" w:firstLineChars="200"/>
              <w:jc w:val="left"/>
              <w:textAlignment w:val="auto"/>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rPr>
              <w:t>2、现有产品方案</w:t>
            </w:r>
          </w:p>
          <w:p w14:paraId="21601941">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现有产品及生产规模</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318"/>
              <w:gridCol w:w="1451"/>
              <w:gridCol w:w="1191"/>
              <w:gridCol w:w="3511"/>
            </w:tblGrid>
            <w:tr w14:paraId="50FA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pct"/>
                  <w:noWrap w:val="0"/>
                  <w:vAlign w:val="center"/>
                </w:tcPr>
                <w:p w14:paraId="6B5B8795">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产品名称</w:t>
                  </w:r>
                </w:p>
              </w:tc>
              <w:tc>
                <w:tcPr>
                  <w:tcW w:w="787" w:type="pct"/>
                  <w:noWrap w:val="0"/>
                  <w:vAlign w:val="center"/>
                </w:tcPr>
                <w:p w14:paraId="7AA42DDF">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kern w:val="0"/>
                      <w:sz w:val="21"/>
                      <w:szCs w:val="21"/>
                    </w:rPr>
                    <w:t>设计年产量</w:t>
                  </w:r>
                </w:p>
              </w:tc>
              <w:tc>
                <w:tcPr>
                  <w:tcW w:w="867" w:type="pct"/>
                  <w:noWrap w:val="0"/>
                  <w:vAlign w:val="center"/>
                </w:tcPr>
                <w:p w14:paraId="59D259F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实际生产规模</w:t>
                  </w:r>
                </w:p>
              </w:tc>
              <w:tc>
                <w:tcPr>
                  <w:tcW w:w="711" w:type="pct"/>
                  <w:noWrap w:val="0"/>
                  <w:vAlign w:val="center"/>
                </w:tcPr>
                <w:p w14:paraId="2700824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主要成分</w:t>
                  </w:r>
                </w:p>
              </w:tc>
              <w:tc>
                <w:tcPr>
                  <w:tcW w:w="2097" w:type="pct"/>
                  <w:noWrap w:val="0"/>
                  <w:vAlign w:val="center"/>
                </w:tcPr>
                <w:p w14:paraId="41C711F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kern w:val="0"/>
                      <w:sz w:val="21"/>
                      <w:szCs w:val="21"/>
                    </w:rPr>
                    <w:t>产品质量</w:t>
                  </w:r>
                </w:p>
              </w:tc>
            </w:tr>
            <w:tr w14:paraId="6EEA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pct"/>
                  <w:noWrap w:val="0"/>
                  <w:vAlign w:val="center"/>
                </w:tcPr>
                <w:p w14:paraId="50EF2EF8">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锂离子电池负极材料</w:t>
                  </w:r>
                </w:p>
              </w:tc>
              <w:tc>
                <w:tcPr>
                  <w:tcW w:w="787" w:type="pct"/>
                  <w:noWrap w:val="0"/>
                  <w:vAlign w:val="center"/>
                </w:tcPr>
                <w:p w14:paraId="51A838A6">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kern w:val="0"/>
                      <w:sz w:val="21"/>
                      <w:szCs w:val="21"/>
                    </w:rPr>
                    <w:t>4000t</w:t>
                  </w:r>
                </w:p>
              </w:tc>
              <w:tc>
                <w:tcPr>
                  <w:tcW w:w="867" w:type="pct"/>
                  <w:noWrap w:val="0"/>
                  <w:vAlign w:val="center"/>
                </w:tcPr>
                <w:p w14:paraId="75C0431A">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kern w:val="0"/>
                      <w:sz w:val="21"/>
                      <w:szCs w:val="21"/>
                    </w:rPr>
                    <w:t>4000t</w:t>
                  </w:r>
                </w:p>
              </w:tc>
              <w:tc>
                <w:tcPr>
                  <w:tcW w:w="711" w:type="pct"/>
                  <w:noWrap w:val="0"/>
                  <w:vAlign w:val="center"/>
                </w:tcPr>
                <w:p w14:paraId="10AC76D3">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C</w:t>
                  </w:r>
                </w:p>
              </w:tc>
              <w:tc>
                <w:tcPr>
                  <w:tcW w:w="2097" w:type="pct"/>
                  <w:noWrap w:val="0"/>
                  <w:vAlign w:val="center"/>
                </w:tcPr>
                <w:p w14:paraId="4CD800F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执行《锂离子电池石墨负极材料》（GB/T24533-2009）中人造石墨类（AG）中针状焦类（NAG）Ⅰ类级别</w:t>
                  </w:r>
                </w:p>
              </w:tc>
            </w:tr>
          </w:tbl>
          <w:p w14:paraId="4CAC850E">
            <w:pPr>
              <w:pStyle w:val="4"/>
              <w:spacing w:before="0" w:after="0" w:line="360" w:lineRule="auto"/>
              <w:ind w:firstLine="482" w:firstLineChars="200"/>
              <w:jc w:val="left"/>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rPr>
              <w:t>3、现有工程项目组成</w:t>
            </w:r>
          </w:p>
          <w:p w14:paraId="67F26DF4">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巴中碳原子新材料科技有限公司现有工程组成一览表</w:t>
            </w:r>
          </w:p>
          <w:tbl>
            <w:tblPr>
              <w:tblStyle w:val="31"/>
              <w:tblW w:w="849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16"/>
              <w:gridCol w:w="952"/>
              <w:gridCol w:w="1087"/>
              <w:gridCol w:w="3410"/>
              <w:gridCol w:w="1683"/>
              <w:gridCol w:w="650"/>
            </w:tblGrid>
            <w:tr w14:paraId="38EA53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2" w:hRule="atLeast"/>
                <w:jc w:val="center"/>
              </w:trPr>
              <w:tc>
                <w:tcPr>
                  <w:tcW w:w="716" w:type="dxa"/>
                  <w:noWrap w:val="0"/>
                  <w:vAlign w:val="center"/>
                </w:tcPr>
                <w:p w14:paraId="4F47B50F">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b/>
                      <w:bCs/>
                      <w:color w:val="000000"/>
                      <w:sz w:val="21"/>
                      <w:szCs w:val="21"/>
                    </w:rPr>
                  </w:pPr>
                  <w:r>
                    <w:rPr>
                      <w:b/>
                      <w:bCs/>
                      <w:color w:val="000000"/>
                      <w:sz w:val="21"/>
                      <w:szCs w:val="21"/>
                    </w:rPr>
                    <w:t>工程类别</w:t>
                  </w:r>
                </w:p>
              </w:tc>
              <w:tc>
                <w:tcPr>
                  <w:tcW w:w="952" w:type="dxa"/>
                  <w:noWrap w:val="0"/>
                  <w:vAlign w:val="center"/>
                </w:tcPr>
                <w:p w14:paraId="36716B5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b/>
                      <w:bCs/>
                      <w:color w:val="000000"/>
                      <w:sz w:val="21"/>
                      <w:szCs w:val="21"/>
                    </w:rPr>
                  </w:pPr>
                  <w:r>
                    <w:rPr>
                      <w:b/>
                      <w:bCs/>
                      <w:color w:val="000000"/>
                      <w:sz w:val="21"/>
                      <w:szCs w:val="21"/>
                    </w:rPr>
                    <w:t>项目名称</w:t>
                  </w:r>
                </w:p>
              </w:tc>
              <w:tc>
                <w:tcPr>
                  <w:tcW w:w="4497" w:type="dxa"/>
                  <w:gridSpan w:val="2"/>
                  <w:noWrap w:val="0"/>
                  <w:vAlign w:val="center"/>
                </w:tcPr>
                <w:p w14:paraId="7396380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b/>
                      <w:bCs/>
                      <w:color w:val="000000"/>
                      <w:sz w:val="21"/>
                      <w:szCs w:val="21"/>
                    </w:rPr>
                  </w:pPr>
                  <w:r>
                    <w:rPr>
                      <w:b/>
                      <w:bCs/>
                      <w:color w:val="000000"/>
                      <w:sz w:val="21"/>
                      <w:szCs w:val="21"/>
                    </w:rPr>
                    <w:t>建设内容</w:t>
                  </w:r>
                </w:p>
              </w:tc>
              <w:tc>
                <w:tcPr>
                  <w:tcW w:w="1683" w:type="dxa"/>
                  <w:noWrap w:val="0"/>
                  <w:vAlign w:val="center"/>
                </w:tcPr>
                <w:p w14:paraId="2862011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b/>
                      <w:bCs/>
                      <w:color w:val="000000"/>
                      <w:sz w:val="21"/>
                      <w:szCs w:val="21"/>
                      <w:lang w:eastAsia="zh-CN"/>
                    </w:rPr>
                  </w:pPr>
                  <w:r>
                    <w:rPr>
                      <w:rFonts w:hint="eastAsia"/>
                      <w:b/>
                      <w:bCs/>
                      <w:color w:val="000000"/>
                      <w:szCs w:val="21"/>
                      <w:lang w:val="en-US" w:eastAsia="zh-CN"/>
                    </w:rPr>
                    <w:t>运行期</w:t>
                  </w:r>
                  <w:r>
                    <w:rPr>
                      <w:b/>
                      <w:bCs/>
                      <w:color w:val="000000"/>
                      <w:szCs w:val="21"/>
                    </w:rPr>
                    <w:t>环境问题</w:t>
                  </w:r>
                </w:p>
              </w:tc>
              <w:tc>
                <w:tcPr>
                  <w:tcW w:w="650" w:type="dxa"/>
                  <w:noWrap w:val="0"/>
                  <w:vAlign w:val="center"/>
                </w:tcPr>
                <w:p w14:paraId="336325CB">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b/>
                      <w:bCs/>
                      <w:color w:val="000000"/>
                      <w:sz w:val="21"/>
                      <w:szCs w:val="21"/>
                      <w:lang w:val="en-US" w:eastAsia="zh-CN"/>
                    </w:rPr>
                  </w:pPr>
                  <w:r>
                    <w:rPr>
                      <w:rFonts w:hint="eastAsia"/>
                      <w:b/>
                      <w:bCs/>
                      <w:color w:val="000000"/>
                      <w:sz w:val="21"/>
                      <w:szCs w:val="21"/>
                      <w:lang w:val="en-US" w:eastAsia="zh-CN"/>
                    </w:rPr>
                    <w:t>备注</w:t>
                  </w:r>
                </w:p>
              </w:tc>
            </w:tr>
            <w:tr w14:paraId="65F97F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restart"/>
                  <w:noWrap w:val="0"/>
                  <w:vAlign w:val="center"/>
                </w:tcPr>
                <w:p w14:paraId="1B3BD26E">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主体工程</w:t>
                  </w:r>
                </w:p>
              </w:tc>
              <w:tc>
                <w:tcPr>
                  <w:tcW w:w="952" w:type="dxa"/>
                  <w:noWrap w:val="0"/>
                  <w:vAlign w:val="center"/>
                </w:tcPr>
                <w:p w14:paraId="047F2EC6">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bCs/>
                      <w:color w:val="000000"/>
                      <w:sz w:val="21"/>
                      <w:szCs w:val="21"/>
                    </w:rPr>
                  </w:pPr>
                  <w:r>
                    <w:rPr>
                      <w:bCs/>
                      <w:color w:val="000000"/>
                      <w:sz w:val="21"/>
                      <w:szCs w:val="21"/>
                    </w:rPr>
                    <w:t>1#厂房</w:t>
                  </w:r>
                </w:p>
              </w:tc>
              <w:tc>
                <w:tcPr>
                  <w:tcW w:w="4497" w:type="dxa"/>
                  <w:gridSpan w:val="2"/>
                  <w:noWrap w:val="0"/>
                  <w:vAlign w:val="center"/>
                </w:tcPr>
                <w:p w14:paraId="1B9BC322">
                  <w:pPr>
                    <w:pStyle w:val="95"/>
                    <w:spacing w:line="240" w:lineRule="auto"/>
                    <w:ind w:firstLine="0" w:firstLineChars="0"/>
                    <w:jc w:val="center"/>
                    <w:rPr>
                      <w:color w:val="000000"/>
                      <w:sz w:val="21"/>
                      <w:szCs w:val="21"/>
                    </w:rPr>
                  </w:pPr>
                  <w:r>
                    <w:rPr>
                      <w:color w:val="000000"/>
                      <w:szCs w:val="21"/>
                    </w:rPr>
                    <w:t>1F，位于厂区</w:t>
                  </w:r>
                  <w:r>
                    <w:rPr>
                      <w:rFonts w:hint="eastAsia"/>
                      <w:color w:val="000000"/>
                      <w:szCs w:val="21"/>
                    </w:rPr>
                    <w:t>中部</w:t>
                  </w:r>
                  <w:r>
                    <w:rPr>
                      <w:color w:val="000000"/>
                      <w:szCs w:val="21"/>
                    </w:rPr>
                    <w:t>，进场大门旁</w:t>
                  </w:r>
                  <w:r>
                    <w:rPr>
                      <w:rFonts w:hint="eastAsia"/>
                      <w:color w:val="000000"/>
                      <w:szCs w:val="21"/>
                    </w:rPr>
                    <w:t>，</w:t>
                  </w:r>
                  <w:r>
                    <w:rPr>
                      <w:color w:val="000000"/>
                      <w:szCs w:val="21"/>
                    </w:rPr>
                    <w:t>标准厂房，建筑面积为9165.45m</w:t>
                  </w:r>
                  <w:r>
                    <w:rPr>
                      <w:color w:val="000000"/>
                      <w:szCs w:val="21"/>
                      <w:vertAlign w:val="superscript"/>
                    </w:rPr>
                    <w:t>2</w:t>
                  </w:r>
                  <w:r>
                    <w:rPr>
                      <w:rFonts w:hint="eastAsia"/>
                      <w:color w:val="000000"/>
                      <w:szCs w:val="21"/>
                      <w:vertAlign w:val="baseline"/>
                      <w:lang w:eastAsia="zh-CN"/>
                    </w:rPr>
                    <w:t>，</w:t>
                  </w:r>
                  <w:r>
                    <w:rPr>
                      <w:rFonts w:hint="eastAsia"/>
                      <w:color w:val="000000"/>
                      <w:szCs w:val="21"/>
                      <w:vertAlign w:val="baseline"/>
                      <w:lang w:val="en-US" w:eastAsia="zh-CN"/>
                    </w:rPr>
                    <w:t>厂区南侧为成品仓库（面积约4500</w:t>
                  </w:r>
                  <w:r>
                    <w:rPr>
                      <w:color w:val="000000"/>
                      <w:szCs w:val="21"/>
                    </w:rPr>
                    <w:t>m</w:t>
                  </w:r>
                  <w:r>
                    <w:rPr>
                      <w:color w:val="000000"/>
                      <w:szCs w:val="21"/>
                      <w:vertAlign w:val="superscript"/>
                    </w:rPr>
                    <w:t>2</w:t>
                  </w:r>
                  <w:r>
                    <w:rPr>
                      <w:rFonts w:hint="eastAsia"/>
                      <w:color w:val="000000"/>
                      <w:szCs w:val="21"/>
                      <w:vertAlign w:val="baseline"/>
                      <w:lang w:val="en-US" w:eastAsia="zh-CN"/>
                    </w:rPr>
                    <w:t>），其余空置</w:t>
                  </w:r>
                </w:p>
              </w:tc>
              <w:tc>
                <w:tcPr>
                  <w:tcW w:w="1683" w:type="dxa"/>
                  <w:noWrap w:val="0"/>
                  <w:vAlign w:val="center"/>
                </w:tcPr>
                <w:p w14:paraId="6A4ED9FD">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扬尘、噪声</w:t>
                  </w:r>
                </w:p>
              </w:tc>
              <w:tc>
                <w:tcPr>
                  <w:tcW w:w="650" w:type="dxa"/>
                  <w:noWrap w:val="0"/>
                  <w:vAlign w:val="center"/>
                </w:tcPr>
                <w:p w14:paraId="44BA271A">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w:t>
                  </w:r>
                </w:p>
              </w:tc>
            </w:tr>
            <w:tr w14:paraId="76E1EE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7A5C33A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513226AD">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bCs/>
                      <w:color w:val="000000"/>
                      <w:sz w:val="21"/>
                      <w:szCs w:val="21"/>
                    </w:rPr>
                  </w:pPr>
                  <w:r>
                    <w:rPr>
                      <w:bCs/>
                      <w:color w:val="000000"/>
                      <w:sz w:val="21"/>
                      <w:szCs w:val="21"/>
                    </w:rPr>
                    <w:t>2#厂房</w:t>
                  </w:r>
                </w:p>
              </w:tc>
              <w:tc>
                <w:tcPr>
                  <w:tcW w:w="4497" w:type="dxa"/>
                  <w:gridSpan w:val="2"/>
                  <w:noWrap w:val="0"/>
                  <w:vAlign w:val="center"/>
                </w:tcPr>
                <w:p w14:paraId="4574C99F">
                  <w:pPr>
                    <w:pStyle w:val="95"/>
                    <w:spacing w:line="240" w:lineRule="auto"/>
                    <w:ind w:firstLine="0" w:firstLineChars="0"/>
                    <w:jc w:val="center"/>
                    <w:rPr>
                      <w:color w:val="000000"/>
                      <w:sz w:val="21"/>
                      <w:szCs w:val="21"/>
                    </w:rPr>
                  </w:pPr>
                  <w:r>
                    <w:rPr>
                      <w:color w:val="auto"/>
                      <w:szCs w:val="21"/>
                    </w:rPr>
                    <w:t>1F，位于厂区</w:t>
                  </w:r>
                  <w:r>
                    <w:rPr>
                      <w:rFonts w:hint="eastAsia"/>
                      <w:color w:val="auto"/>
                      <w:szCs w:val="21"/>
                    </w:rPr>
                    <w:t>西南侧</w:t>
                  </w:r>
                  <w:r>
                    <w:rPr>
                      <w:color w:val="auto"/>
                      <w:szCs w:val="21"/>
                    </w:rPr>
                    <w:t>，标准厂房，建筑面积为9174.48m</w:t>
                  </w:r>
                  <w:r>
                    <w:rPr>
                      <w:color w:val="auto"/>
                      <w:szCs w:val="21"/>
                      <w:vertAlign w:val="superscript"/>
                    </w:rPr>
                    <w:t>2</w:t>
                  </w:r>
                  <w:r>
                    <w:rPr>
                      <w:color w:val="auto"/>
                      <w:szCs w:val="21"/>
                    </w:rPr>
                    <w:t>，</w:t>
                  </w:r>
                  <w:r>
                    <w:rPr>
                      <w:rFonts w:hint="eastAsia"/>
                      <w:color w:val="auto"/>
                      <w:szCs w:val="21"/>
                    </w:rPr>
                    <w:t>主要用于烘干、整形和成品碳化生产。车间内</w:t>
                  </w:r>
                  <w:r>
                    <w:rPr>
                      <w:rFonts w:hint="eastAsia"/>
                      <w:color w:val="auto"/>
                      <w:szCs w:val="21"/>
                      <w:lang w:val="en-US" w:eastAsia="zh-CN"/>
                    </w:rPr>
                    <w:t>东北</w:t>
                  </w:r>
                  <w:r>
                    <w:rPr>
                      <w:color w:val="auto"/>
                      <w:szCs w:val="21"/>
                    </w:rPr>
                    <w:t>侧主要布设1个原料区（面积</w:t>
                  </w:r>
                  <w:r>
                    <w:rPr>
                      <w:rFonts w:hint="eastAsia"/>
                      <w:color w:val="auto"/>
                      <w:szCs w:val="21"/>
                    </w:rPr>
                    <w:t>1485</w:t>
                  </w:r>
                  <w:r>
                    <w:rPr>
                      <w:color w:val="auto"/>
                      <w:szCs w:val="21"/>
                    </w:rPr>
                    <w:t>m</w:t>
                  </w:r>
                  <w:r>
                    <w:rPr>
                      <w:color w:val="auto"/>
                      <w:szCs w:val="21"/>
                      <w:vertAlign w:val="superscript"/>
                    </w:rPr>
                    <w:t>2</w:t>
                  </w:r>
                  <w:r>
                    <w:rPr>
                      <w:color w:val="auto"/>
                      <w:szCs w:val="21"/>
                    </w:rPr>
                    <w:t>）、1个</w:t>
                  </w:r>
                  <w:r>
                    <w:rPr>
                      <w:rFonts w:hint="eastAsia"/>
                      <w:color w:val="auto"/>
                      <w:szCs w:val="21"/>
                    </w:rPr>
                    <w:t>预处理</w:t>
                  </w:r>
                  <w:r>
                    <w:rPr>
                      <w:color w:val="auto"/>
                      <w:szCs w:val="21"/>
                    </w:rPr>
                    <w:t>区（面积</w:t>
                  </w:r>
                  <w:r>
                    <w:rPr>
                      <w:rFonts w:hint="eastAsia"/>
                      <w:color w:val="auto"/>
                      <w:szCs w:val="21"/>
                    </w:rPr>
                    <w:t>2</w:t>
                  </w:r>
                  <w:r>
                    <w:rPr>
                      <w:color w:val="auto"/>
                      <w:szCs w:val="21"/>
                    </w:rPr>
                    <w:t>80m</w:t>
                  </w:r>
                  <w:r>
                    <w:rPr>
                      <w:color w:val="auto"/>
                      <w:szCs w:val="21"/>
                      <w:vertAlign w:val="superscript"/>
                    </w:rPr>
                    <w:t>2</w:t>
                  </w:r>
                  <w:r>
                    <w:rPr>
                      <w:rFonts w:hint="eastAsia"/>
                      <w:color w:val="auto"/>
                      <w:szCs w:val="21"/>
                    </w:rPr>
                    <w:t>，烘干机两台，一用一备</w:t>
                  </w:r>
                  <w:r>
                    <w:rPr>
                      <w:color w:val="auto"/>
                      <w:szCs w:val="21"/>
                    </w:rPr>
                    <w:t>）、1个</w:t>
                  </w:r>
                  <w:r>
                    <w:rPr>
                      <w:rFonts w:hint="eastAsia"/>
                      <w:color w:val="auto"/>
                      <w:szCs w:val="21"/>
                    </w:rPr>
                    <w:t>粉碎</w:t>
                  </w:r>
                  <w:r>
                    <w:rPr>
                      <w:color w:val="auto"/>
                      <w:szCs w:val="21"/>
                    </w:rPr>
                    <w:t>整形区（面积</w:t>
                  </w:r>
                  <w:r>
                    <w:rPr>
                      <w:rFonts w:hint="eastAsia"/>
                      <w:color w:val="auto"/>
                      <w:szCs w:val="21"/>
                    </w:rPr>
                    <w:t>3</w:t>
                  </w:r>
                  <w:r>
                    <w:rPr>
                      <w:color w:val="auto"/>
                      <w:szCs w:val="21"/>
                    </w:rPr>
                    <w:t>70m</w:t>
                  </w:r>
                  <w:r>
                    <w:rPr>
                      <w:color w:val="auto"/>
                      <w:szCs w:val="21"/>
                      <w:vertAlign w:val="superscript"/>
                    </w:rPr>
                    <w:t>2</w:t>
                  </w:r>
                  <w:r>
                    <w:rPr>
                      <w:rFonts w:hint="eastAsia"/>
                      <w:color w:val="auto"/>
                      <w:szCs w:val="21"/>
                    </w:rPr>
                    <w:t>，整形粉碎设备一套</w:t>
                  </w:r>
                  <w:r>
                    <w:rPr>
                      <w:color w:val="auto"/>
                      <w:szCs w:val="21"/>
                    </w:rPr>
                    <w:t>）、1个变压器区（面积</w:t>
                  </w:r>
                  <w:r>
                    <w:rPr>
                      <w:rFonts w:hint="eastAsia"/>
                      <w:color w:val="auto"/>
                      <w:szCs w:val="21"/>
                    </w:rPr>
                    <w:t>10</w:t>
                  </w:r>
                  <w:r>
                    <w:rPr>
                      <w:color w:val="auto"/>
                      <w:szCs w:val="21"/>
                    </w:rPr>
                    <w:t>0m</w:t>
                  </w:r>
                  <w:r>
                    <w:rPr>
                      <w:color w:val="auto"/>
                      <w:szCs w:val="21"/>
                      <w:vertAlign w:val="superscript"/>
                    </w:rPr>
                    <w:t>2</w:t>
                  </w:r>
                  <w:r>
                    <w:rPr>
                      <w:color w:val="auto"/>
                      <w:szCs w:val="21"/>
                    </w:rPr>
                    <w:t>）、</w:t>
                  </w:r>
                  <w:r>
                    <w:rPr>
                      <w:rFonts w:hint="eastAsia"/>
                      <w:color w:val="auto"/>
                      <w:szCs w:val="21"/>
                      <w:lang w:val="en-US" w:eastAsia="zh-CN"/>
                    </w:rPr>
                    <w:t>1个</w:t>
                  </w:r>
                  <w:r>
                    <w:rPr>
                      <w:rFonts w:hint="eastAsia"/>
                      <w:color w:val="auto"/>
                      <w:szCs w:val="21"/>
                    </w:rPr>
                    <w:t>中控室及备件库（面积约210</w:t>
                  </w:r>
                  <w:r>
                    <w:rPr>
                      <w:color w:val="auto"/>
                      <w:szCs w:val="21"/>
                    </w:rPr>
                    <w:t>m</w:t>
                  </w:r>
                  <w:r>
                    <w:rPr>
                      <w:color w:val="auto"/>
                      <w:szCs w:val="21"/>
                      <w:vertAlign w:val="superscript"/>
                    </w:rPr>
                    <w:t>2</w:t>
                  </w:r>
                  <w:r>
                    <w:rPr>
                      <w:rFonts w:hint="eastAsia"/>
                      <w:color w:val="auto"/>
                      <w:szCs w:val="21"/>
                    </w:rPr>
                    <w:t>）1个</w:t>
                  </w:r>
                  <w:r>
                    <w:rPr>
                      <w:rFonts w:hint="eastAsia"/>
                      <w:color w:val="auto"/>
                      <w:szCs w:val="21"/>
                      <w:lang w:val="en-US" w:eastAsia="zh-CN"/>
                    </w:rPr>
                    <w:t>半成品暂存区</w:t>
                  </w:r>
                  <w:r>
                    <w:rPr>
                      <w:rFonts w:hint="eastAsia"/>
                      <w:color w:val="auto"/>
                      <w:szCs w:val="21"/>
                      <w:lang w:eastAsia="zh-CN"/>
                    </w:rPr>
                    <w:t>；</w:t>
                  </w:r>
                  <w:r>
                    <w:rPr>
                      <w:rFonts w:hint="eastAsia"/>
                      <w:color w:val="auto"/>
                      <w:szCs w:val="21"/>
                      <w:lang w:val="en-US" w:eastAsia="zh-CN"/>
                    </w:rPr>
                    <w:t>厂区中部：</w:t>
                  </w:r>
                  <w:r>
                    <w:rPr>
                      <w:rFonts w:hint="eastAsia"/>
                      <w:color w:val="auto"/>
                      <w:szCs w:val="21"/>
                    </w:rPr>
                    <w:t>一个成品碳化区（面积约1000</w:t>
                  </w:r>
                  <w:r>
                    <w:rPr>
                      <w:color w:val="auto"/>
                      <w:szCs w:val="21"/>
                    </w:rPr>
                    <w:t>m</w:t>
                  </w:r>
                  <w:r>
                    <w:rPr>
                      <w:color w:val="auto"/>
                      <w:szCs w:val="21"/>
                      <w:vertAlign w:val="superscript"/>
                    </w:rPr>
                    <w:t>2</w:t>
                  </w:r>
                  <w:r>
                    <w:rPr>
                      <w:rFonts w:hint="eastAsia"/>
                      <w:color w:val="auto"/>
                      <w:szCs w:val="21"/>
                    </w:rPr>
                    <w:t>）。</w:t>
                  </w:r>
                </w:p>
              </w:tc>
              <w:tc>
                <w:tcPr>
                  <w:tcW w:w="1683" w:type="dxa"/>
                  <w:noWrap w:val="0"/>
                  <w:vAlign w:val="center"/>
                </w:tcPr>
                <w:p w14:paraId="4FE0E509">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color w:val="000000"/>
                      <w:sz w:val="21"/>
                      <w:szCs w:val="21"/>
                      <w:lang w:val="en-US" w:eastAsia="zh-CN"/>
                    </w:rPr>
                  </w:pPr>
                  <w:r>
                    <w:rPr>
                      <w:szCs w:val="21"/>
                    </w:rPr>
                    <w:t>废水、废气、噪声、固废</w:t>
                  </w:r>
                </w:p>
              </w:tc>
              <w:tc>
                <w:tcPr>
                  <w:tcW w:w="650" w:type="dxa"/>
                  <w:noWrap w:val="0"/>
                  <w:vAlign w:val="center"/>
                </w:tcPr>
                <w:p w14:paraId="5403F8CB">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6734D2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restart"/>
                  <w:noWrap w:val="0"/>
                  <w:vAlign w:val="center"/>
                </w:tcPr>
                <w:p w14:paraId="3C531F7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eastAsia="宋体"/>
                      <w:color w:val="000000"/>
                      <w:sz w:val="21"/>
                      <w:szCs w:val="21"/>
                      <w:lang w:val="en-US" w:eastAsia="zh-CN"/>
                    </w:rPr>
                  </w:pPr>
                  <w:r>
                    <w:rPr>
                      <w:rFonts w:hint="eastAsia"/>
                      <w:color w:val="000000"/>
                      <w:sz w:val="21"/>
                      <w:szCs w:val="21"/>
                      <w:lang w:val="en-US" w:eastAsia="zh-CN"/>
                    </w:rPr>
                    <w:t>储运工程</w:t>
                  </w:r>
                </w:p>
              </w:tc>
              <w:tc>
                <w:tcPr>
                  <w:tcW w:w="952" w:type="dxa"/>
                  <w:noWrap w:val="0"/>
                  <w:vAlign w:val="center"/>
                </w:tcPr>
                <w:p w14:paraId="0EB127E4">
                  <w:pPr>
                    <w:pStyle w:val="94"/>
                    <w:keepNext w:val="0"/>
                    <w:keepLines w:val="0"/>
                    <w:pageBreakBefore w:val="0"/>
                    <w:widowControl/>
                    <w:kinsoku/>
                    <w:wordWrap/>
                    <w:overflowPunct/>
                    <w:topLinePunct w:val="0"/>
                    <w:autoSpaceDE/>
                    <w:autoSpaceDN/>
                    <w:bidi w:val="0"/>
                    <w:adjustRightInd w:val="0"/>
                    <w:snapToGrid w:val="0"/>
                    <w:spacing w:after="0"/>
                    <w:ind w:left="-42" w:leftChars="-20" w:right="-42" w:rightChars="-20" w:firstLine="0" w:firstLineChars="0"/>
                    <w:textAlignment w:val="auto"/>
                    <w:rPr>
                      <w:color w:val="000000"/>
                      <w:sz w:val="21"/>
                      <w:szCs w:val="21"/>
                    </w:rPr>
                  </w:pPr>
                  <w:r>
                    <w:rPr>
                      <w:bCs/>
                      <w:color w:val="000000"/>
                      <w:sz w:val="21"/>
                      <w:szCs w:val="21"/>
                    </w:rPr>
                    <w:t>原料</w:t>
                  </w:r>
                  <w:r>
                    <w:rPr>
                      <w:rFonts w:hint="eastAsia"/>
                      <w:bCs/>
                      <w:color w:val="000000"/>
                      <w:sz w:val="21"/>
                      <w:szCs w:val="21"/>
                      <w:lang w:val="en-US" w:eastAsia="zh-CN"/>
                    </w:rPr>
                    <w:t>暂存</w:t>
                  </w:r>
                  <w:r>
                    <w:rPr>
                      <w:color w:val="000000"/>
                      <w:sz w:val="21"/>
                      <w:szCs w:val="21"/>
                    </w:rPr>
                    <w:t>区</w:t>
                  </w:r>
                </w:p>
              </w:tc>
              <w:tc>
                <w:tcPr>
                  <w:tcW w:w="4497" w:type="dxa"/>
                  <w:gridSpan w:val="2"/>
                  <w:noWrap w:val="0"/>
                  <w:vAlign w:val="center"/>
                </w:tcPr>
                <w:p w14:paraId="5D16100C">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color w:val="000000"/>
                      <w:sz w:val="21"/>
                      <w:szCs w:val="21"/>
                    </w:rPr>
                    <w:t>位于</w:t>
                  </w:r>
                  <w:r>
                    <w:rPr>
                      <w:rFonts w:hint="eastAsia"/>
                      <w:color w:val="000000"/>
                      <w:sz w:val="21"/>
                      <w:szCs w:val="21"/>
                      <w:lang w:val="en-US" w:eastAsia="zh-CN"/>
                    </w:rPr>
                    <w:t>厂区西北</w:t>
                  </w:r>
                  <w:r>
                    <w:rPr>
                      <w:rFonts w:hint="eastAsia"/>
                      <w:color w:val="000000"/>
                      <w:sz w:val="21"/>
                      <w:szCs w:val="21"/>
                    </w:rPr>
                    <w:t>侧，</w:t>
                  </w:r>
                  <w:r>
                    <w:rPr>
                      <w:color w:val="000000"/>
                      <w:sz w:val="21"/>
                      <w:szCs w:val="21"/>
                    </w:rPr>
                    <w:t>设置1个原料</w:t>
                  </w:r>
                  <w:r>
                    <w:rPr>
                      <w:rFonts w:hint="eastAsia"/>
                      <w:color w:val="000000"/>
                      <w:sz w:val="21"/>
                      <w:szCs w:val="21"/>
                      <w:lang w:val="en-US" w:eastAsia="zh-CN"/>
                    </w:rPr>
                    <w:t>暂存</w:t>
                  </w:r>
                  <w:r>
                    <w:rPr>
                      <w:color w:val="000000"/>
                      <w:sz w:val="21"/>
                      <w:szCs w:val="21"/>
                    </w:rPr>
                    <w:t>区（面积</w:t>
                  </w:r>
                  <w:r>
                    <w:rPr>
                      <w:rFonts w:hint="eastAsia"/>
                      <w:color w:val="000000"/>
                      <w:sz w:val="21"/>
                      <w:szCs w:val="21"/>
                      <w:lang w:val="en-US" w:eastAsia="zh-CN"/>
                    </w:rPr>
                    <w:t>1000</w:t>
                  </w:r>
                  <w:r>
                    <w:rPr>
                      <w:color w:val="000000"/>
                      <w:sz w:val="21"/>
                      <w:szCs w:val="21"/>
                    </w:rPr>
                    <w:t>m</w:t>
                  </w:r>
                  <w:r>
                    <w:rPr>
                      <w:color w:val="000000"/>
                      <w:sz w:val="21"/>
                      <w:szCs w:val="21"/>
                      <w:vertAlign w:val="superscript"/>
                    </w:rPr>
                    <w:t>2</w:t>
                  </w:r>
                  <w:r>
                    <w:rPr>
                      <w:color w:val="000000"/>
                      <w:sz w:val="21"/>
                      <w:szCs w:val="21"/>
                    </w:rPr>
                    <w:t>）</w:t>
                  </w:r>
                  <w:r>
                    <w:rPr>
                      <w:rFonts w:hint="eastAsia"/>
                      <w:color w:val="000000"/>
                      <w:sz w:val="21"/>
                      <w:szCs w:val="21"/>
                    </w:rPr>
                    <w:t>用于原辅料</w:t>
                  </w:r>
                  <w:r>
                    <w:rPr>
                      <w:rFonts w:hint="eastAsia"/>
                      <w:color w:val="000000"/>
                      <w:sz w:val="21"/>
                      <w:szCs w:val="21"/>
                      <w:lang w:val="en-US" w:eastAsia="zh-CN"/>
                    </w:rPr>
                    <w:t>暂存</w:t>
                  </w:r>
                  <w:r>
                    <w:rPr>
                      <w:color w:val="000000"/>
                      <w:sz w:val="21"/>
                      <w:szCs w:val="21"/>
                    </w:rPr>
                    <w:t>。</w:t>
                  </w:r>
                </w:p>
              </w:tc>
              <w:tc>
                <w:tcPr>
                  <w:tcW w:w="1683" w:type="dxa"/>
                  <w:noWrap w:val="0"/>
                  <w:vAlign w:val="center"/>
                </w:tcPr>
                <w:p w14:paraId="5CADEDA4">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szCs w:val="21"/>
                    </w:rPr>
                    <w:t>/</w:t>
                  </w:r>
                </w:p>
              </w:tc>
              <w:tc>
                <w:tcPr>
                  <w:tcW w:w="650" w:type="dxa"/>
                  <w:noWrap w:val="0"/>
                  <w:vAlign w:val="center"/>
                </w:tcPr>
                <w:p w14:paraId="1A7388F5">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06AE8C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38B488FA">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2746874F">
                  <w:pPr>
                    <w:pStyle w:val="94"/>
                    <w:keepNext w:val="0"/>
                    <w:keepLines w:val="0"/>
                    <w:pageBreakBefore w:val="0"/>
                    <w:kinsoku/>
                    <w:wordWrap/>
                    <w:overflowPunct/>
                    <w:topLinePunct w:val="0"/>
                    <w:autoSpaceDE/>
                    <w:autoSpaceDN/>
                    <w:bidi w:val="0"/>
                    <w:adjustRightInd w:val="0"/>
                    <w:snapToGrid w:val="0"/>
                    <w:ind w:left="-42" w:leftChars="-20" w:right="-42" w:rightChars="-20" w:firstLine="0" w:firstLineChars="0"/>
                    <w:textAlignment w:val="auto"/>
                    <w:rPr>
                      <w:rFonts w:hint="default" w:eastAsia="宋体"/>
                      <w:bCs/>
                      <w:color w:val="000000"/>
                      <w:sz w:val="21"/>
                      <w:szCs w:val="21"/>
                      <w:lang w:val="en-US" w:eastAsia="zh-CN"/>
                    </w:rPr>
                  </w:pPr>
                  <w:r>
                    <w:rPr>
                      <w:rFonts w:hint="eastAsia"/>
                      <w:bCs/>
                      <w:szCs w:val="21"/>
                      <w:lang w:val="en-US" w:eastAsia="zh-CN"/>
                    </w:rPr>
                    <w:t>预处理暂存区</w:t>
                  </w:r>
                </w:p>
              </w:tc>
              <w:tc>
                <w:tcPr>
                  <w:tcW w:w="4497" w:type="dxa"/>
                  <w:gridSpan w:val="2"/>
                  <w:noWrap w:val="0"/>
                  <w:vAlign w:val="center"/>
                </w:tcPr>
                <w:p w14:paraId="7B25527E">
                  <w:pPr>
                    <w:pStyle w:val="95"/>
                    <w:spacing w:line="240" w:lineRule="auto"/>
                    <w:ind w:firstLine="0" w:firstLineChars="0"/>
                    <w:jc w:val="center"/>
                    <w:rPr>
                      <w:rFonts w:hint="default" w:eastAsia="宋体"/>
                      <w:color w:val="000000"/>
                      <w:sz w:val="21"/>
                      <w:szCs w:val="21"/>
                      <w:lang w:val="en-US" w:eastAsia="zh-CN"/>
                    </w:rPr>
                  </w:pPr>
                  <w:r>
                    <w:rPr>
                      <w:rFonts w:hint="eastAsia"/>
                      <w:color w:val="auto"/>
                      <w:szCs w:val="21"/>
                      <w:lang w:val="en-US" w:eastAsia="zh-CN"/>
                    </w:rPr>
                    <w:t>位于2#厂房西侧，烘干区东北侧（</w:t>
                  </w:r>
                  <w:r>
                    <w:rPr>
                      <w:color w:val="auto"/>
                      <w:szCs w:val="21"/>
                    </w:rPr>
                    <w:t>面积</w:t>
                  </w:r>
                  <w:r>
                    <w:rPr>
                      <w:rFonts w:hint="eastAsia"/>
                      <w:color w:val="auto"/>
                      <w:szCs w:val="21"/>
                      <w:lang w:val="en-US" w:eastAsia="zh-CN"/>
                    </w:rPr>
                    <w:t>100</w:t>
                  </w:r>
                  <w:r>
                    <w:rPr>
                      <w:color w:val="auto"/>
                      <w:szCs w:val="21"/>
                    </w:rPr>
                    <w:t>m</w:t>
                  </w:r>
                  <w:r>
                    <w:rPr>
                      <w:color w:val="auto"/>
                      <w:szCs w:val="21"/>
                      <w:vertAlign w:val="superscript"/>
                    </w:rPr>
                    <w:t>2</w:t>
                  </w:r>
                  <w:r>
                    <w:rPr>
                      <w:rFonts w:hint="eastAsia"/>
                      <w:color w:val="auto"/>
                      <w:szCs w:val="21"/>
                      <w:lang w:val="en-US" w:eastAsia="zh-CN"/>
                    </w:rPr>
                    <w:t>），用于预处理后的暂存。</w:t>
                  </w:r>
                </w:p>
              </w:tc>
              <w:tc>
                <w:tcPr>
                  <w:tcW w:w="1683" w:type="dxa"/>
                  <w:noWrap w:val="0"/>
                  <w:vAlign w:val="center"/>
                </w:tcPr>
                <w:p w14:paraId="15719A0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lang w:val="en-US" w:eastAsia="zh-CN"/>
                    </w:rPr>
                  </w:pPr>
                  <w:r>
                    <w:rPr>
                      <w:rFonts w:hint="eastAsia"/>
                      <w:szCs w:val="21"/>
                    </w:rPr>
                    <w:t>/</w:t>
                  </w:r>
                </w:p>
              </w:tc>
              <w:tc>
                <w:tcPr>
                  <w:tcW w:w="650" w:type="dxa"/>
                  <w:noWrap w:val="0"/>
                  <w:vAlign w:val="center"/>
                </w:tcPr>
                <w:p w14:paraId="3450094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lang w:val="en-US" w:eastAsia="zh-CN"/>
                    </w:rPr>
                  </w:pPr>
                  <w:r>
                    <w:rPr>
                      <w:rFonts w:hint="eastAsia" w:eastAsia="宋体"/>
                      <w:color w:val="000000"/>
                      <w:sz w:val="21"/>
                      <w:szCs w:val="21"/>
                      <w:lang w:val="en-US" w:eastAsia="zh-CN"/>
                    </w:rPr>
                    <w:t>/</w:t>
                  </w:r>
                </w:p>
              </w:tc>
            </w:tr>
            <w:tr w14:paraId="527150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3F2B21EF">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76D18963">
                  <w:pPr>
                    <w:pStyle w:val="94"/>
                    <w:keepNext w:val="0"/>
                    <w:keepLines w:val="0"/>
                    <w:pageBreakBefore w:val="0"/>
                    <w:widowControl/>
                    <w:kinsoku/>
                    <w:wordWrap/>
                    <w:overflowPunct/>
                    <w:topLinePunct w:val="0"/>
                    <w:autoSpaceDE/>
                    <w:autoSpaceDN/>
                    <w:bidi w:val="0"/>
                    <w:adjustRightInd w:val="0"/>
                    <w:snapToGrid w:val="0"/>
                    <w:spacing w:after="0"/>
                    <w:ind w:left="-42" w:leftChars="-20" w:right="-42" w:rightChars="-20" w:firstLine="0" w:firstLineChars="0"/>
                    <w:textAlignment w:val="auto"/>
                    <w:rPr>
                      <w:color w:val="000000"/>
                      <w:sz w:val="21"/>
                      <w:szCs w:val="21"/>
                    </w:rPr>
                  </w:pPr>
                  <w:r>
                    <w:rPr>
                      <w:rFonts w:hint="eastAsia"/>
                      <w:bCs/>
                      <w:color w:val="000000"/>
                      <w:sz w:val="21"/>
                      <w:szCs w:val="21"/>
                      <w:lang w:val="en-US" w:eastAsia="zh-CN"/>
                    </w:rPr>
                    <w:t>成品库房</w:t>
                  </w:r>
                </w:p>
              </w:tc>
              <w:tc>
                <w:tcPr>
                  <w:tcW w:w="4497" w:type="dxa"/>
                  <w:gridSpan w:val="2"/>
                  <w:noWrap w:val="0"/>
                  <w:vAlign w:val="center"/>
                </w:tcPr>
                <w:p w14:paraId="67EC9AA0">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bCs/>
                      <w:color w:val="000000"/>
                      <w:sz w:val="21"/>
                      <w:szCs w:val="21"/>
                    </w:rPr>
                    <w:t>位于</w:t>
                  </w:r>
                  <w:r>
                    <w:rPr>
                      <w:rFonts w:hint="eastAsia"/>
                      <w:bCs/>
                      <w:color w:val="000000"/>
                      <w:sz w:val="21"/>
                      <w:szCs w:val="21"/>
                      <w:lang w:val="en-US" w:eastAsia="zh-CN"/>
                    </w:rPr>
                    <w:t>1</w:t>
                  </w:r>
                  <w:r>
                    <w:rPr>
                      <w:bCs/>
                      <w:color w:val="000000"/>
                      <w:sz w:val="21"/>
                      <w:szCs w:val="21"/>
                    </w:rPr>
                    <w:t>#厂房</w:t>
                  </w:r>
                  <w:r>
                    <w:rPr>
                      <w:rFonts w:hint="eastAsia"/>
                      <w:bCs/>
                      <w:color w:val="000000"/>
                      <w:sz w:val="21"/>
                      <w:szCs w:val="21"/>
                    </w:rPr>
                    <w:t>内</w:t>
                  </w:r>
                  <w:r>
                    <w:rPr>
                      <w:rFonts w:hint="eastAsia"/>
                      <w:bCs/>
                      <w:color w:val="000000"/>
                      <w:sz w:val="21"/>
                      <w:szCs w:val="21"/>
                      <w:lang w:val="en-US" w:eastAsia="zh-CN"/>
                    </w:rPr>
                    <w:t>南侧（</w:t>
                  </w:r>
                  <w:r>
                    <w:rPr>
                      <w:color w:val="000000"/>
                      <w:sz w:val="21"/>
                      <w:szCs w:val="21"/>
                    </w:rPr>
                    <w:t>面积</w:t>
                  </w:r>
                  <w:r>
                    <w:rPr>
                      <w:rFonts w:hint="eastAsia"/>
                      <w:color w:val="000000"/>
                      <w:sz w:val="21"/>
                      <w:szCs w:val="21"/>
                      <w:lang w:val="en-US" w:eastAsia="zh-CN"/>
                    </w:rPr>
                    <w:t>4500</w:t>
                  </w:r>
                  <w:r>
                    <w:rPr>
                      <w:color w:val="000000"/>
                      <w:sz w:val="21"/>
                      <w:szCs w:val="21"/>
                    </w:rPr>
                    <w:t>m</w:t>
                  </w:r>
                  <w:r>
                    <w:rPr>
                      <w:color w:val="000000"/>
                      <w:sz w:val="21"/>
                      <w:szCs w:val="21"/>
                      <w:vertAlign w:val="superscript"/>
                    </w:rPr>
                    <w:t>2</w:t>
                  </w:r>
                  <w:r>
                    <w:rPr>
                      <w:rFonts w:hint="eastAsia"/>
                      <w:bCs/>
                      <w:color w:val="000000"/>
                      <w:sz w:val="21"/>
                      <w:szCs w:val="21"/>
                      <w:lang w:val="en-US" w:eastAsia="zh-CN"/>
                    </w:rPr>
                    <w:t>）</w:t>
                  </w:r>
                  <w:r>
                    <w:rPr>
                      <w:rFonts w:hint="eastAsia"/>
                      <w:color w:val="000000"/>
                      <w:sz w:val="21"/>
                      <w:szCs w:val="21"/>
                    </w:rPr>
                    <w:t>，用于项目</w:t>
                  </w:r>
                  <w:r>
                    <w:rPr>
                      <w:rFonts w:hint="eastAsia"/>
                      <w:color w:val="000000"/>
                      <w:sz w:val="21"/>
                      <w:szCs w:val="21"/>
                      <w:lang w:val="en-US" w:eastAsia="zh-CN"/>
                    </w:rPr>
                    <w:t>锂离子</w:t>
                  </w:r>
                  <w:r>
                    <w:rPr>
                      <w:rFonts w:hint="eastAsia"/>
                      <w:color w:val="000000"/>
                      <w:sz w:val="21"/>
                      <w:szCs w:val="21"/>
                    </w:rPr>
                    <w:t>负极材料成品堆放</w:t>
                  </w:r>
                  <w:r>
                    <w:rPr>
                      <w:color w:val="000000"/>
                      <w:sz w:val="21"/>
                      <w:szCs w:val="21"/>
                    </w:rPr>
                    <w:t>。</w:t>
                  </w:r>
                </w:p>
              </w:tc>
              <w:tc>
                <w:tcPr>
                  <w:tcW w:w="1683" w:type="dxa"/>
                  <w:noWrap w:val="0"/>
                  <w:vAlign w:val="center"/>
                </w:tcPr>
                <w:p w14:paraId="634DA829">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bCs/>
                      <w:color w:val="000000"/>
                      <w:sz w:val="21"/>
                      <w:szCs w:val="21"/>
                    </w:rPr>
                  </w:pPr>
                  <w:r>
                    <w:rPr>
                      <w:rFonts w:hint="eastAsia"/>
                      <w:szCs w:val="21"/>
                    </w:rPr>
                    <w:t>/</w:t>
                  </w:r>
                </w:p>
              </w:tc>
              <w:tc>
                <w:tcPr>
                  <w:tcW w:w="650" w:type="dxa"/>
                  <w:noWrap w:val="0"/>
                  <w:vAlign w:val="center"/>
                </w:tcPr>
                <w:p w14:paraId="3CF61AD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bCs/>
                      <w:color w:val="000000"/>
                      <w:sz w:val="21"/>
                      <w:szCs w:val="21"/>
                    </w:rPr>
                  </w:pPr>
                  <w:r>
                    <w:rPr>
                      <w:rFonts w:hint="eastAsia" w:eastAsia="宋体"/>
                      <w:color w:val="000000"/>
                      <w:sz w:val="21"/>
                      <w:szCs w:val="21"/>
                      <w:lang w:val="en-US" w:eastAsia="zh-CN"/>
                    </w:rPr>
                    <w:t>/</w:t>
                  </w:r>
                </w:p>
              </w:tc>
            </w:tr>
            <w:tr w14:paraId="2420C6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342F9735">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09F77C16">
                  <w:pPr>
                    <w:pStyle w:val="94"/>
                    <w:keepNext w:val="0"/>
                    <w:keepLines w:val="0"/>
                    <w:pageBreakBefore w:val="0"/>
                    <w:widowControl/>
                    <w:kinsoku/>
                    <w:wordWrap/>
                    <w:overflowPunct/>
                    <w:topLinePunct w:val="0"/>
                    <w:autoSpaceDE/>
                    <w:autoSpaceDN/>
                    <w:bidi w:val="0"/>
                    <w:adjustRightInd w:val="0"/>
                    <w:snapToGrid w:val="0"/>
                    <w:spacing w:after="0"/>
                    <w:ind w:left="-42" w:leftChars="-20" w:right="-42" w:rightChars="-20" w:firstLine="0" w:firstLineChars="0"/>
                    <w:textAlignment w:val="auto"/>
                    <w:rPr>
                      <w:rFonts w:hint="default"/>
                      <w:bCs/>
                      <w:color w:val="000000"/>
                      <w:sz w:val="21"/>
                      <w:szCs w:val="21"/>
                      <w:lang w:val="en-US" w:eastAsia="zh-CN"/>
                    </w:rPr>
                  </w:pPr>
                  <w:r>
                    <w:rPr>
                      <w:rFonts w:hint="eastAsia"/>
                      <w:bCs/>
                      <w:color w:val="000000"/>
                      <w:sz w:val="21"/>
                      <w:szCs w:val="21"/>
                      <w:lang w:val="en-US" w:eastAsia="zh-CN"/>
                    </w:rPr>
                    <w:t>辅料库房</w:t>
                  </w:r>
                </w:p>
              </w:tc>
              <w:tc>
                <w:tcPr>
                  <w:tcW w:w="4497" w:type="dxa"/>
                  <w:gridSpan w:val="2"/>
                  <w:noWrap w:val="0"/>
                  <w:vAlign w:val="center"/>
                </w:tcPr>
                <w:p w14:paraId="2EDA41D4">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bCs/>
                      <w:color w:val="000000"/>
                      <w:sz w:val="21"/>
                      <w:szCs w:val="21"/>
                      <w:lang w:val="en-US" w:eastAsia="zh-CN"/>
                    </w:rPr>
                  </w:pPr>
                  <w:r>
                    <w:rPr>
                      <w:rFonts w:hint="eastAsia"/>
                      <w:bCs/>
                      <w:color w:val="000000"/>
                      <w:sz w:val="21"/>
                      <w:szCs w:val="21"/>
                      <w:lang w:val="en-US" w:eastAsia="zh-CN"/>
                    </w:rPr>
                    <w:t>位于厂区东南侧，约200</w:t>
                  </w:r>
                  <w:r>
                    <w:rPr>
                      <w:color w:val="auto"/>
                      <w:szCs w:val="21"/>
                    </w:rPr>
                    <w:t>m</w:t>
                  </w:r>
                  <w:r>
                    <w:rPr>
                      <w:color w:val="auto"/>
                      <w:szCs w:val="21"/>
                      <w:vertAlign w:val="superscript"/>
                    </w:rPr>
                    <w:t>2</w:t>
                  </w:r>
                  <w:r>
                    <w:rPr>
                      <w:rFonts w:hint="eastAsia"/>
                      <w:color w:val="auto"/>
                      <w:szCs w:val="21"/>
                      <w:lang w:val="en-US" w:eastAsia="zh-CN"/>
                    </w:rPr>
                    <w:t>，用于暂存机油/润滑油，以及废气处理系统药剂。</w:t>
                  </w:r>
                </w:p>
              </w:tc>
              <w:tc>
                <w:tcPr>
                  <w:tcW w:w="1683" w:type="dxa"/>
                  <w:noWrap w:val="0"/>
                  <w:vAlign w:val="center"/>
                </w:tcPr>
                <w:p w14:paraId="058DD315">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szCs w:val="21"/>
                    </w:rPr>
                  </w:pPr>
                </w:p>
              </w:tc>
              <w:tc>
                <w:tcPr>
                  <w:tcW w:w="650" w:type="dxa"/>
                  <w:noWrap w:val="0"/>
                  <w:vAlign w:val="center"/>
                </w:tcPr>
                <w:p w14:paraId="372CF83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val="en-US" w:eastAsia="zh-CN"/>
                    </w:rPr>
                  </w:pPr>
                </w:p>
              </w:tc>
            </w:tr>
            <w:tr w14:paraId="760697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restart"/>
                  <w:noWrap w:val="0"/>
                  <w:vAlign w:val="center"/>
                </w:tcPr>
                <w:p w14:paraId="7A463885">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公用工程</w:t>
                  </w:r>
                </w:p>
              </w:tc>
              <w:tc>
                <w:tcPr>
                  <w:tcW w:w="952" w:type="dxa"/>
                  <w:noWrap w:val="0"/>
                  <w:vAlign w:val="center"/>
                </w:tcPr>
                <w:p w14:paraId="113D3A7D">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给水</w:t>
                  </w:r>
                </w:p>
              </w:tc>
              <w:tc>
                <w:tcPr>
                  <w:tcW w:w="4497" w:type="dxa"/>
                  <w:gridSpan w:val="2"/>
                  <w:noWrap w:val="0"/>
                  <w:vAlign w:val="center"/>
                </w:tcPr>
                <w:p w14:paraId="32B6159B">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color w:val="000000"/>
                      <w:sz w:val="21"/>
                      <w:szCs w:val="21"/>
                    </w:rPr>
                    <w:t>用水为自来水，供水水源来源于市政给水管网</w:t>
                  </w:r>
                </w:p>
              </w:tc>
              <w:tc>
                <w:tcPr>
                  <w:tcW w:w="1683" w:type="dxa"/>
                  <w:noWrap w:val="0"/>
                  <w:vAlign w:val="center"/>
                </w:tcPr>
                <w:p w14:paraId="0C1AE9B4">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szCs w:val="21"/>
                    </w:rPr>
                    <w:t>/</w:t>
                  </w:r>
                </w:p>
              </w:tc>
              <w:tc>
                <w:tcPr>
                  <w:tcW w:w="650" w:type="dxa"/>
                  <w:noWrap w:val="0"/>
                  <w:vAlign w:val="center"/>
                </w:tcPr>
                <w:p w14:paraId="65167CA0">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37C0C7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1F6D9C9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18E3A120">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rFonts w:hint="eastAsia"/>
                      <w:color w:val="000000"/>
                      <w:sz w:val="21"/>
                      <w:szCs w:val="21"/>
                    </w:rPr>
                    <w:t>雨水</w:t>
                  </w:r>
                </w:p>
              </w:tc>
              <w:tc>
                <w:tcPr>
                  <w:tcW w:w="4497" w:type="dxa"/>
                  <w:gridSpan w:val="2"/>
                  <w:noWrap w:val="0"/>
                  <w:vAlign w:val="center"/>
                </w:tcPr>
                <w:p w14:paraId="0C19239B">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color w:val="000000"/>
                      <w:sz w:val="21"/>
                      <w:szCs w:val="21"/>
                      <w:lang w:val="en-US" w:eastAsia="zh-CN"/>
                    </w:rPr>
                  </w:pPr>
                  <w:r>
                    <w:rPr>
                      <w:color w:val="000000"/>
                      <w:sz w:val="21"/>
                      <w:szCs w:val="21"/>
                    </w:rPr>
                    <w:t>雨水通过雨水收集沟</w:t>
                  </w:r>
                  <w:r>
                    <w:rPr>
                      <w:rFonts w:hint="eastAsia"/>
                      <w:color w:val="000000"/>
                      <w:sz w:val="21"/>
                      <w:szCs w:val="21"/>
                    </w:rPr>
                    <w:t>收集，通过厂区雨水排口接园区</w:t>
                  </w:r>
                  <w:r>
                    <w:rPr>
                      <w:rFonts w:hint="eastAsia"/>
                      <w:color w:val="000000"/>
                      <w:sz w:val="21"/>
                      <w:szCs w:val="21"/>
                      <w:lang w:val="en-US" w:eastAsia="zh-CN"/>
                    </w:rPr>
                    <w:t>污水</w:t>
                  </w:r>
                  <w:r>
                    <w:rPr>
                      <w:rFonts w:hint="eastAsia"/>
                      <w:color w:val="000000"/>
                      <w:sz w:val="21"/>
                      <w:szCs w:val="21"/>
                    </w:rPr>
                    <w:t>管网排放</w:t>
                  </w:r>
                </w:p>
              </w:tc>
              <w:tc>
                <w:tcPr>
                  <w:tcW w:w="1683" w:type="dxa"/>
                  <w:noWrap w:val="0"/>
                  <w:vAlign w:val="center"/>
                </w:tcPr>
                <w:p w14:paraId="5C8591A3">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szCs w:val="21"/>
                    </w:rPr>
                    <w:t>/</w:t>
                  </w:r>
                </w:p>
              </w:tc>
              <w:tc>
                <w:tcPr>
                  <w:tcW w:w="650" w:type="dxa"/>
                  <w:noWrap w:val="0"/>
                  <w:vAlign w:val="center"/>
                </w:tcPr>
                <w:p w14:paraId="541AD8DA">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eastAsia="宋体"/>
                      <w:color w:val="000000"/>
                      <w:sz w:val="21"/>
                      <w:szCs w:val="21"/>
                      <w:lang w:val="en-US" w:eastAsia="zh-CN"/>
                    </w:rPr>
                    <w:t>/</w:t>
                  </w:r>
                </w:p>
              </w:tc>
            </w:tr>
            <w:tr w14:paraId="538AF8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1BB7CE2C">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57BE9B50">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排水</w:t>
                  </w:r>
                </w:p>
              </w:tc>
              <w:tc>
                <w:tcPr>
                  <w:tcW w:w="4497" w:type="dxa"/>
                  <w:gridSpan w:val="2"/>
                  <w:noWrap w:val="0"/>
                  <w:vAlign w:val="center"/>
                </w:tcPr>
                <w:p w14:paraId="0BF5B1BF">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color w:val="000000"/>
                      <w:sz w:val="21"/>
                      <w:szCs w:val="21"/>
                    </w:rPr>
                    <w:t>采用雨污分流，雨水通过雨水收集沟</w:t>
                  </w:r>
                  <w:r>
                    <w:rPr>
                      <w:rFonts w:hint="eastAsia"/>
                      <w:color w:val="000000"/>
                      <w:sz w:val="21"/>
                      <w:szCs w:val="21"/>
                    </w:rPr>
                    <w:t>收集，通过厂区雨水排口接园区</w:t>
                  </w:r>
                  <w:r>
                    <w:rPr>
                      <w:rFonts w:hint="eastAsia"/>
                      <w:color w:val="000000"/>
                      <w:sz w:val="21"/>
                      <w:szCs w:val="21"/>
                      <w:lang w:val="en-US" w:eastAsia="zh-CN"/>
                    </w:rPr>
                    <w:t>污水</w:t>
                  </w:r>
                  <w:r>
                    <w:rPr>
                      <w:rFonts w:hint="eastAsia"/>
                      <w:color w:val="000000"/>
                      <w:sz w:val="21"/>
                      <w:szCs w:val="21"/>
                    </w:rPr>
                    <w:t>管网排放</w:t>
                  </w:r>
                  <w:r>
                    <w:rPr>
                      <w:color w:val="000000"/>
                      <w:sz w:val="21"/>
                      <w:szCs w:val="21"/>
                    </w:rPr>
                    <w:t>；生活污水经预处理</w:t>
                  </w:r>
                  <w:r>
                    <w:rPr>
                      <w:rFonts w:hint="eastAsia"/>
                      <w:color w:val="000000"/>
                      <w:sz w:val="21"/>
                      <w:szCs w:val="21"/>
                      <w:lang w:val="en-US" w:eastAsia="zh-CN"/>
                    </w:rPr>
                    <w:t>池</w:t>
                  </w:r>
                  <w:r>
                    <w:rPr>
                      <w:rFonts w:hint="eastAsia"/>
                      <w:color w:val="000000"/>
                      <w:sz w:val="21"/>
                      <w:szCs w:val="21"/>
                    </w:rPr>
                    <w:t>（1</w:t>
                  </w:r>
                  <w:r>
                    <w:rPr>
                      <w:color w:val="000000"/>
                      <w:sz w:val="21"/>
                      <w:szCs w:val="21"/>
                    </w:rPr>
                    <w:t>00m</w:t>
                  </w:r>
                  <w:r>
                    <w:rPr>
                      <w:color w:val="000000"/>
                      <w:sz w:val="21"/>
                      <w:szCs w:val="21"/>
                      <w:vertAlign w:val="superscript"/>
                    </w:rPr>
                    <w:t>3</w:t>
                  </w:r>
                  <w:r>
                    <w:rPr>
                      <w:rFonts w:hint="eastAsia"/>
                      <w:color w:val="000000"/>
                      <w:sz w:val="21"/>
                      <w:szCs w:val="21"/>
                    </w:rPr>
                    <w:t>）</w:t>
                  </w:r>
                  <w:r>
                    <w:rPr>
                      <w:rFonts w:hint="eastAsia"/>
                      <w:color w:val="000000"/>
                      <w:sz w:val="21"/>
                      <w:szCs w:val="21"/>
                      <w:lang w:val="en-US" w:eastAsia="zh-CN"/>
                    </w:rPr>
                    <w:t>处理</w:t>
                  </w:r>
                  <w:r>
                    <w:rPr>
                      <w:color w:val="000000"/>
                      <w:sz w:val="21"/>
                      <w:szCs w:val="21"/>
                    </w:rPr>
                    <w:t>后满足《污水综合排放标准》（GB8978-1996）三级标准排入园区污水管网。</w:t>
                  </w:r>
                </w:p>
              </w:tc>
              <w:tc>
                <w:tcPr>
                  <w:tcW w:w="1683" w:type="dxa"/>
                  <w:noWrap w:val="0"/>
                  <w:vAlign w:val="center"/>
                </w:tcPr>
                <w:p w14:paraId="13D611C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szCs w:val="21"/>
                    </w:rPr>
                    <w:t>/</w:t>
                  </w:r>
                </w:p>
              </w:tc>
              <w:tc>
                <w:tcPr>
                  <w:tcW w:w="650" w:type="dxa"/>
                  <w:noWrap w:val="0"/>
                  <w:vAlign w:val="center"/>
                </w:tcPr>
                <w:p w14:paraId="431034F1">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eastAsia="宋体"/>
                      <w:color w:val="000000"/>
                      <w:sz w:val="21"/>
                      <w:szCs w:val="21"/>
                      <w:lang w:val="en-US" w:eastAsia="zh-CN"/>
                    </w:rPr>
                    <w:t>/</w:t>
                  </w:r>
                </w:p>
              </w:tc>
            </w:tr>
            <w:tr w14:paraId="5C472D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16" w:type="dxa"/>
                  <w:vMerge w:val="continue"/>
                  <w:noWrap w:val="0"/>
                  <w:vAlign w:val="center"/>
                </w:tcPr>
                <w:p w14:paraId="7DB3F2F6">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728150C7">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供电</w:t>
                  </w:r>
                </w:p>
              </w:tc>
              <w:tc>
                <w:tcPr>
                  <w:tcW w:w="4497" w:type="dxa"/>
                  <w:gridSpan w:val="2"/>
                  <w:noWrap w:val="0"/>
                  <w:vAlign w:val="center"/>
                </w:tcPr>
                <w:p w14:paraId="6498B396">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color w:val="000000"/>
                      <w:sz w:val="21"/>
                      <w:szCs w:val="21"/>
                    </w:rPr>
                    <w:t>依托厂区已建的</w:t>
                  </w:r>
                  <w:r>
                    <w:rPr>
                      <w:rFonts w:hint="eastAsia"/>
                      <w:color w:val="000000"/>
                      <w:sz w:val="21"/>
                      <w:szCs w:val="21"/>
                    </w:rPr>
                    <w:t>1个</w:t>
                  </w:r>
                  <w:r>
                    <w:rPr>
                      <w:color w:val="000000"/>
                      <w:sz w:val="21"/>
                      <w:szCs w:val="21"/>
                    </w:rPr>
                    <w:t>10KV电源，新建一个2万KVA的变压器。</w:t>
                  </w:r>
                </w:p>
              </w:tc>
              <w:tc>
                <w:tcPr>
                  <w:tcW w:w="1683" w:type="dxa"/>
                  <w:noWrap w:val="0"/>
                  <w:vAlign w:val="center"/>
                </w:tcPr>
                <w:p w14:paraId="3C54DD2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eastAsia="zh-CN"/>
                    </w:rPr>
                  </w:pPr>
                  <w:r>
                    <w:rPr>
                      <w:rFonts w:hint="eastAsia"/>
                      <w:szCs w:val="21"/>
                    </w:rPr>
                    <w:t>/</w:t>
                  </w:r>
                </w:p>
              </w:tc>
              <w:tc>
                <w:tcPr>
                  <w:tcW w:w="650" w:type="dxa"/>
                  <w:noWrap w:val="0"/>
                  <w:vAlign w:val="center"/>
                </w:tcPr>
                <w:p w14:paraId="6955504A">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eastAsia="宋体"/>
                      <w:color w:val="000000"/>
                      <w:sz w:val="21"/>
                      <w:szCs w:val="21"/>
                      <w:lang w:val="en-US" w:eastAsia="zh-CN"/>
                    </w:rPr>
                    <w:t>/</w:t>
                  </w:r>
                </w:p>
              </w:tc>
            </w:tr>
            <w:tr w14:paraId="092DDB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520CB571">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1567FC85">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供气系统</w:t>
                  </w:r>
                </w:p>
              </w:tc>
              <w:tc>
                <w:tcPr>
                  <w:tcW w:w="4497" w:type="dxa"/>
                  <w:gridSpan w:val="2"/>
                  <w:noWrap w:val="0"/>
                  <w:vAlign w:val="center"/>
                </w:tcPr>
                <w:p w14:paraId="4266C825">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color w:val="000000"/>
                      <w:sz w:val="21"/>
                      <w:szCs w:val="21"/>
                    </w:rPr>
                    <w:t>园区管网供应天然气</w:t>
                  </w:r>
                </w:p>
              </w:tc>
              <w:tc>
                <w:tcPr>
                  <w:tcW w:w="1683" w:type="dxa"/>
                  <w:noWrap w:val="0"/>
                  <w:vAlign w:val="center"/>
                </w:tcPr>
                <w:p w14:paraId="0614146B">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szCs w:val="21"/>
                    </w:rPr>
                    <w:t>/</w:t>
                  </w:r>
                </w:p>
              </w:tc>
              <w:tc>
                <w:tcPr>
                  <w:tcW w:w="650" w:type="dxa"/>
                  <w:noWrap w:val="0"/>
                  <w:vAlign w:val="center"/>
                </w:tcPr>
                <w:p w14:paraId="6AF7A1C4">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eastAsia="宋体"/>
                      <w:color w:val="000000"/>
                      <w:sz w:val="21"/>
                      <w:szCs w:val="21"/>
                      <w:lang w:val="en-US" w:eastAsia="zh-CN"/>
                    </w:rPr>
                    <w:t>/</w:t>
                  </w:r>
                </w:p>
              </w:tc>
            </w:tr>
            <w:tr w14:paraId="0D6450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restart"/>
                  <w:noWrap w:val="0"/>
                  <w:vAlign w:val="center"/>
                </w:tcPr>
                <w:p w14:paraId="28CB41CC">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辅助</w:t>
                  </w:r>
                </w:p>
                <w:p w14:paraId="5F6E046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工程</w:t>
                  </w:r>
                </w:p>
              </w:tc>
              <w:tc>
                <w:tcPr>
                  <w:tcW w:w="952" w:type="dxa"/>
                  <w:noWrap w:val="0"/>
                  <w:vAlign w:val="center"/>
                </w:tcPr>
                <w:p w14:paraId="76647B7A">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办公、住宿楼</w:t>
                  </w:r>
                </w:p>
              </w:tc>
              <w:tc>
                <w:tcPr>
                  <w:tcW w:w="4497" w:type="dxa"/>
                  <w:gridSpan w:val="2"/>
                  <w:noWrap w:val="0"/>
                  <w:vAlign w:val="center"/>
                </w:tcPr>
                <w:p w14:paraId="5862B9BF">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color w:val="000000"/>
                      <w:sz w:val="21"/>
                      <w:szCs w:val="21"/>
                    </w:rPr>
                    <w:t>利用已建办公楼，位于厂区东侧，</w:t>
                  </w:r>
                  <w:r>
                    <w:rPr>
                      <w:color w:val="000000"/>
                      <w:sz w:val="21"/>
                      <w:szCs w:val="21"/>
                    </w:rPr>
                    <w:t>进场大门旁</w:t>
                  </w:r>
                  <w:r>
                    <w:rPr>
                      <w:rFonts w:hint="eastAsia"/>
                      <w:color w:val="000000"/>
                      <w:sz w:val="21"/>
                      <w:szCs w:val="21"/>
                    </w:rPr>
                    <w:t>，</w:t>
                  </w:r>
                  <w:r>
                    <w:rPr>
                      <w:color w:val="000000"/>
                      <w:sz w:val="21"/>
                      <w:szCs w:val="21"/>
                    </w:rPr>
                    <w:t>1栋，6层，钢混结构，用作项目办公、员工住宿，建筑面积共6913.31m</w:t>
                  </w:r>
                  <w:r>
                    <w:rPr>
                      <w:color w:val="000000"/>
                      <w:sz w:val="21"/>
                      <w:szCs w:val="21"/>
                      <w:vertAlign w:val="superscript"/>
                    </w:rPr>
                    <w:t>2</w:t>
                  </w:r>
                  <w:r>
                    <w:rPr>
                      <w:color w:val="000000"/>
                      <w:sz w:val="21"/>
                      <w:szCs w:val="21"/>
                    </w:rPr>
                    <w:t>。</w:t>
                  </w:r>
                </w:p>
              </w:tc>
              <w:tc>
                <w:tcPr>
                  <w:tcW w:w="1683" w:type="dxa"/>
                  <w:noWrap w:val="0"/>
                  <w:vAlign w:val="center"/>
                </w:tcPr>
                <w:p w14:paraId="409836E6">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color w:val="000000"/>
                      <w:sz w:val="21"/>
                      <w:szCs w:val="21"/>
                      <w:lang w:val="en-US" w:eastAsia="zh-CN"/>
                    </w:rPr>
                  </w:pPr>
                  <w:r>
                    <w:rPr>
                      <w:rFonts w:hint="eastAsia"/>
                      <w:color w:val="000000"/>
                      <w:sz w:val="21"/>
                      <w:szCs w:val="21"/>
                      <w:lang w:val="en-US" w:eastAsia="zh-CN"/>
                    </w:rPr>
                    <w:t>生活污水、生活垃圾</w:t>
                  </w:r>
                </w:p>
              </w:tc>
              <w:tc>
                <w:tcPr>
                  <w:tcW w:w="650" w:type="dxa"/>
                  <w:noWrap w:val="0"/>
                  <w:vAlign w:val="center"/>
                </w:tcPr>
                <w:p w14:paraId="22CBD4C1">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eastAsia="宋体"/>
                      <w:color w:val="000000"/>
                      <w:sz w:val="21"/>
                      <w:szCs w:val="21"/>
                      <w:lang w:val="en-US" w:eastAsia="zh-CN"/>
                    </w:rPr>
                    <w:t>/</w:t>
                  </w:r>
                </w:p>
              </w:tc>
            </w:tr>
            <w:tr w14:paraId="5E2D35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1E808B1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129B6277">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食堂</w:t>
                  </w:r>
                </w:p>
              </w:tc>
              <w:tc>
                <w:tcPr>
                  <w:tcW w:w="4497" w:type="dxa"/>
                  <w:gridSpan w:val="2"/>
                  <w:noWrap w:val="0"/>
                  <w:vAlign w:val="center"/>
                </w:tcPr>
                <w:p w14:paraId="52BAFCDD">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color w:val="000000"/>
                      <w:sz w:val="21"/>
                      <w:szCs w:val="21"/>
                    </w:rPr>
                    <w:t>利用已建食堂，位于厂区东南侧，1栋</w:t>
                  </w:r>
                  <w:r>
                    <w:rPr>
                      <w:color w:val="000000"/>
                      <w:sz w:val="21"/>
                      <w:szCs w:val="21"/>
                    </w:rPr>
                    <w:t>，2层，钢混结构，用作项目员工就餐，建筑面积共924.16m</w:t>
                  </w:r>
                  <w:r>
                    <w:rPr>
                      <w:color w:val="000000"/>
                      <w:sz w:val="21"/>
                      <w:szCs w:val="21"/>
                      <w:vertAlign w:val="superscript"/>
                    </w:rPr>
                    <w:t>2</w:t>
                  </w:r>
                  <w:r>
                    <w:rPr>
                      <w:color w:val="000000"/>
                      <w:sz w:val="21"/>
                      <w:szCs w:val="21"/>
                    </w:rPr>
                    <w:t>。</w:t>
                  </w:r>
                </w:p>
              </w:tc>
              <w:tc>
                <w:tcPr>
                  <w:tcW w:w="1683" w:type="dxa"/>
                  <w:noWrap w:val="0"/>
                  <w:vAlign w:val="center"/>
                </w:tcPr>
                <w:p w14:paraId="5A4946E4">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default" w:eastAsia="宋体"/>
                      <w:color w:val="000000"/>
                      <w:sz w:val="21"/>
                      <w:szCs w:val="21"/>
                      <w:lang w:val="en-US" w:eastAsia="zh-CN"/>
                    </w:rPr>
                  </w:pPr>
                  <w:r>
                    <w:rPr>
                      <w:rFonts w:hint="eastAsia"/>
                      <w:color w:val="000000"/>
                      <w:sz w:val="21"/>
                      <w:szCs w:val="21"/>
                      <w:lang w:val="en-US" w:eastAsia="zh-CN"/>
                    </w:rPr>
                    <w:t>油烟、食堂废水</w:t>
                  </w:r>
                </w:p>
              </w:tc>
              <w:tc>
                <w:tcPr>
                  <w:tcW w:w="650" w:type="dxa"/>
                  <w:noWrap w:val="0"/>
                  <w:vAlign w:val="center"/>
                </w:tcPr>
                <w:p w14:paraId="2F29E205">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eastAsia="宋体"/>
                      <w:color w:val="000000"/>
                      <w:sz w:val="21"/>
                      <w:szCs w:val="21"/>
                      <w:lang w:val="en-US" w:eastAsia="zh-CN"/>
                    </w:rPr>
                    <w:t>/</w:t>
                  </w:r>
                </w:p>
              </w:tc>
            </w:tr>
            <w:tr w14:paraId="6A3C66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0389BE98">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43D22DD9">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rFonts w:hint="eastAsia"/>
                      <w:color w:val="000000"/>
                      <w:sz w:val="21"/>
                      <w:szCs w:val="21"/>
                    </w:rPr>
                    <w:t>循环水池</w:t>
                  </w:r>
                </w:p>
              </w:tc>
              <w:tc>
                <w:tcPr>
                  <w:tcW w:w="4497" w:type="dxa"/>
                  <w:gridSpan w:val="2"/>
                  <w:noWrap w:val="0"/>
                  <w:vAlign w:val="center"/>
                </w:tcPr>
                <w:p w14:paraId="6C372E6B">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color w:val="000000"/>
                      <w:sz w:val="21"/>
                      <w:szCs w:val="21"/>
                    </w:rPr>
                    <w:t>位于厂区东南侧，1#厂房南侧</w:t>
                  </w:r>
                  <w:r>
                    <w:rPr>
                      <w:rFonts w:hint="eastAsia"/>
                      <w:color w:val="000000"/>
                      <w:sz w:val="21"/>
                      <w:szCs w:val="21"/>
                      <w:lang w:eastAsia="zh-CN"/>
                    </w:rPr>
                    <w:t>（</w:t>
                  </w:r>
                  <w:r>
                    <w:rPr>
                      <w:rFonts w:hint="eastAsia"/>
                      <w:color w:val="000000"/>
                      <w:sz w:val="21"/>
                      <w:szCs w:val="21"/>
                      <w:lang w:val="en-US" w:eastAsia="zh-CN"/>
                    </w:rPr>
                    <w:t>40</w:t>
                  </w:r>
                  <w:r>
                    <w:rPr>
                      <w:rFonts w:hint="eastAsia"/>
                      <w:color w:val="000000"/>
                      <w:sz w:val="21"/>
                      <w:szCs w:val="21"/>
                    </w:rPr>
                    <w:t>m</w:t>
                  </w:r>
                  <w:r>
                    <w:rPr>
                      <w:rFonts w:hint="eastAsia"/>
                      <w:color w:val="000000"/>
                      <w:sz w:val="21"/>
                      <w:szCs w:val="21"/>
                      <w:vertAlign w:val="superscript"/>
                      <w:lang w:val="en-US" w:eastAsia="zh-CN"/>
                    </w:rPr>
                    <w:t>3</w:t>
                  </w:r>
                  <w:r>
                    <w:rPr>
                      <w:rFonts w:hint="eastAsia"/>
                      <w:color w:val="000000"/>
                      <w:sz w:val="21"/>
                      <w:szCs w:val="21"/>
                      <w:vertAlign w:val="baseline"/>
                      <w:lang w:eastAsia="zh-CN"/>
                    </w:rPr>
                    <w:t>）</w:t>
                  </w:r>
                  <w:r>
                    <w:rPr>
                      <w:rFonts w:hint="eastAsia"/>
                      <w:color w:val="000000"/>
                      <w:sz w:val="21"/>
                      <w:szCs w:val="21"/>
                    </w:rPr>
                    <w:t>用于厂区冷却水循环水池。</w:t>
                  </w:r>
                </w:p>
              </w:tc>
              <w:tc>
                <w:tcPr>
                  <w:tcW w:w="1683" w:type="dxa"/>
                  <w:noWrap w:val="0"/>
                  <w:vAlign w:val="center"/>
                </w:tcPr>
                <w:p w14:paraId="159A25A8">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val="en-US" w:eastAsia="zh-CN"/>
                    </w:rPr>
                  </w:pPr>
                  <w:r>
                    <w:rPr>
                      <w:rFonts w:hint="eastAsia"/>
                      <w:color w:val="000000"/>
                      <w:sz w:val="21"/>
                      <w:szCs w:val="21"/>
                      <w:lang w:val="en-US" w:eastAsia="zh-CN"/>
                    </w:rPr>
                    <w:t>/</w:t>
                  </w:r>
                </w:p>
              </w:tc>
              <w:tc>
                <w:tcPr>
                  <w:tcW w:w="650" w:type="dxa"/>
                  <w:noWrap w:val="0"/>
                  <w:vAlign w:val="center"/>
                </w:tcPr>
                <w:p w14:paraId="7C3815C2">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eastAsia="宋体"/>
                      <w:color w:val="000000"/>
                      <w:sz w:val="21"/>
                      <w:szCs w:val="21"/>
                      <w:lang w:val="en-US" w:eastAsia="zh-CN"/>
                    </w:rPr>
                    <w:t>/</w:t>
                  </w:r>
                </w:p>
              </w:tc>
            </w:tr>
            <w:tr w14:paraId="6A10F2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restart"/>
                  <w:noWrap w:val="0"/>
                  <w:vAlign w:val="center"/>
                </w:tcPr>
                <w:p w14:paraId="5012B1AB">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环保工程</w:t>
                  </w:r>
                </w:p>
              </w:tc>
              <w:tc>
                <w:tcPr>
                  <w:tcW w:w="952" w:type="dxa"/>
                  <w:vMerge w:val="restart"/>
                  <w:noWrap w:val="0"/>
                  <w:vAlign w:val="center"/>
                </w:tcPr>
                <w:p w14:paraId="03B1F82D">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废气治理措施</w:t>
                  </w:r>
                </w:p>
              </w:tc>
              <w:tc>
                <w:tcPr>
                  <w:tcW w:w="1087" w:type="dxa"/>
                  <w:noWrap w:val="0"/>
                  <w:vAlign w:val="center"/>
                </w:tcPr>
                <w:p w14:paraId="7A9D4BFA">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color w:val="000000"/>
                      <w:sz w:val="21"/>
                      <w:szCs w:val="21"/>
                    </w:rPr>
                  </w:pPr>
                  <w:r>
                    <w:rPr>
                      <w:rFonts w:hint="eastAsia"/>
                      <w:color w:val="000000"/>
                      <w:sz w:val="21"/>
                      <w:szCs w:val="21"/>
                    </w:rPr>
                    <w:t>烘干废气（颗粒物、SO</w:t>
                  </w:r>
                  <w:r>
                    <w:rPr>
                      <w:color w:val="000000"/>
                      <w:sz w:val="21"/>
                      <w:szCs w:val="21"/>
                      <w:vertAlign w:val="subscript"/>
                    </w:rPr>
                    <w:t>2</w:t>
                  </w:r>
                  <w:r>
                    <w:rPr>
                      <w:rFonts w:hint="eastAsia"/>
                      <w:color w:val="000000"/>
                      <w:sz w:val="21"/>
                      <w:szCs w:val="21"/>
                    </w:rPr>
                    <w:t>、NOx）</w:t>
                  </w:r>
                </w:p>
              </w:tc>
              <w:tc>
                <w:tcPr>
                  <w:tcW w:w="3410" w:type="dxa"/>
                  <w:noWrap w:val="0"/>
                  <w:vAlign w:val="center"/>
                </w:tcPr>
                <w:p w14:paraId="64AFA099">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eastAsia="zh-CN"/>
                    </w:rPr>
                  </w:pPr>
                  <w:r>
                    <w:rPr>
                      <w:rFonts w:hint="eastAsia"/>
                      <w:color w:val="000000"/>
                      <w:sz w:val="21"/>
                      <w:szCs w:val="21"/>
                    </w:rPr>
                    <w:t>经过烘干后的废气通过密闭管道输送至</w:t>
                  </w:r>
                  <w:r>
                    <w:rPr>
                      <w:color w:val="000000"/>
                      <w:sz w:val="21"/>
                      <w:szCs w:val="21"/>
                    </w:rPr>
                    <w:t>布袋除尘器（除尘效率为99%）+15m高排气筒排放</w:t>
                  </w:r>
                  <w:r>
                    <w:rPr>
                      <w:rFonts w:hint="eastAsia"/>
                      <w:color w:val="000000"/>
                      <w:sz w:val="21"/>
                      <w:szCs w:val="21"/>
                    </w:rPr>
                    <w:t>（P1）。</w:t>
                  </w:r>
                </w:p>
              </w:tc>
              <w:tc>
                <w:tcPr>
                  <w:tcW w:w="1683" w:type="dxa"/>
                  <w:noWrap w:val="0"/>
                  <w:vAlign w:val="center"/>
                </w:tcPr>
                <w:p w14:paraId="310EDBC8">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val="en-US" w:eastAsia="zh-CN"/>
                    </w:rPr>
                  </w:pPr>
                  <w:r>
                    <w:rPr>
                      <w:rFonts w:hint="eastAsia" w:eastAsia="宋体"/>
                      <w:color w:val="000000"/>
                      <w:sz w:val="21"/>
                      <w:szCs w:val="21"/>
                      <w:lang w:val="en-US" w:eastAsia="zh-CN"/>
                    </w:rPr>
                    <w:t>/</w:t>
                  </w:r>
                </w:p>
              </w:tc>
              <w:tc>
                <w:tcPr>
                  <w:tcW w:w="650" w:type="dxa"/>
                  <w:noWrap w:val="0"/>
                  <w:vAlign w:val="center"/>
                </w:tcPr>
                <w:p w14:paraId="4704707A">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5D16CB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textDirection w:val="tbRlV"/>
                  <w:vAlign w:val="center"/>
                </w:tcPr>
                <w:p w14:paraId="10261238">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vMerge w:val="continue"/>
                  <w:noWrap w:val="0"/>
                  <w:vAlign w:val="center"/>
                </w:tcPr>
                <w:p w14:paraId="29D7F588">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1087" w:type="dxa"/>
                  <w:noWrap w:val="0"/>
                  <w:vAlign w:val="center"/>
                </w:tcPr>
                <w:p w14:paraId="7D8C9B4B">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sz w:val="21"/>
                      <w:szCs w:val="21"/>
                    </w:rPr>
                  </w:pPr>
                  <w:r>
                    <w:rPr>
                      <w:rFonts w:hint="eastAsia"/>
                      <w:color w:val="000000"/>
                      <w:sz w:val="21"/>
                      <w:szCs w:val="21"/>
                    </w:rPr>
                    <w:t>成品碳化废气</w:t>
                  </w:r>
                </w:p>
              </w:tc>
              <w:tc>
                <w:tcPr>
                  <w:tcW w:w="3410" w:type="dxa"/>
                  <w:noWrap w:val="0"/>
                  <w:vAlign w:val="center"/>
                </w:tcPr>
                <w:p w14:paraId="50C6A43D">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sz w:val="21"/>
                      <w:szCs w:val="21"/>
                    </w:rPr>
                  </w:pPr>
                  <w:r>
                    <w:rPr>
                      <w:rFonts w:hint="eastAsia"/>
                      <w:color w:val="000000"/>
                      <w:sz w:val="21"/>
                      <w:szCs w:val="21"/>
                      <w:lang w:eastAsia="zh-CN"/>
                    </w:rPr>
                    <w:t>“降温塔</w:t>
                  </w:r>
                  <w:r>
                    <w:rPr>
                      <w:rFonts w:hint="eastAsia"/>
                      <w:color w:val="000000"/>
                      <w:sz w:val="21"/>
                      <w:szCs w:val="21"/>
                      <w:lang w:val="en-US" w:eastAsia="zh-CN"/>
                    </w:rPr>
                    <w:t>+</w:t>
                  </w:r>
                  <w:r>
                    <w:rPr>
                      <w:rFonts w:hint="eastAsia"/>
                      <w:color w:val="000000"/>
                      <w:sz w:val="21"/>
                      <w:szCs w:val="21"/>
                    </w:rPr>
                    <w:t>脱硫塔</w:t>
                  </w:r>
                  <w:r>
                    <w:rPr>
                      <w:rStyle w:val="36"/>
                      <w:rFonts w:hint="eastAsia"/>
                      <w:color w:val="000000"/>
                      <w:kern w:val="0"/>
                      <w:sz w:val="21"/>
                      <w:szCs w:val="21"/>
                    </w:rPr>
                    <w:t>（双碱法脱硫）</w:t>
                  </w:r>
                  <w:r>
                    <w:rPr>
                      <w:rFonts w:hint="eastAsia"/>
                      <w:color w:val="000000"/>
                      <w:sz w:val="21"/>
                      <w:szCs w:val="21"/>
                    </w:rPr>
                    <w:t>+</w:t>
                  </w:r>
                  <w:r>
                    <w:rPr>
                      <w:rFonts w:hint="eastAsia"/>
                      <w:color w:val="000000"/>
                      <w:sz w:val="21"/>
                      <w:szCs w:val="21"/>
                      <w:lang w:eastAsia="zh-CN"/>
                    </w:rPr>
                    <w:t>电捕焦油器”（</w:t>
                  </w:r>
                  <w:r>
                    <w:rPr>
                      <w:rFonts w:hint="eastAsia"/>
                      <w:color w:val="000000"/>
                      <w:sz w:val="21"/>
                      <w:szCs w:val="21"/>
                      <w:lang w:val="en-US" w:eastAsia="zh-CN"/>
                    </w:rPr>
                    <w:t>2套</w:t>
                  </w:r>
                  <w:r>
                    <w:rPr>
                      <w:rFonts w:hint="eastAsia"/>
                      <w:color w:val="000000"/>
                      <w:sz w:val="21"/>
                      <w:szCs w:val="21"/>
                      <w:lang w:eastAsia="zh-CN"/>
                    </w:rPr>
                    <w:t>）</w:t>
                  </w:r>
                  <w:r>
                    <w:rPr>
                      <w:rFonts w:hint="eastAsia"/>
                      <w:color w:val="000000"/>
                      <w:sz w:val="21"/>
                      <w:szCs w:val="21"/>
                    </w:rPr>
                    <w:t>+</w:t>
                  </w:r>
                  <w:r>
                    <w:rPr>
                      <w:rFonts w:hint="eastAsia"/>
                      <w:color w:val="000000"/>
                      <w:sz w:val="21"/>
                      <w:szCs w:val="21"/>
                      <w:lang w:val="en-US" w:eastAsia="zh-CN"/>
                    </w:rPr>
                    <w:t>33</w:t>
                  </w:r>
                  <w:r>
                    <w:rPr>
                      <w:rFonts w:hint="eastAsia"/>
                      <w:color w:val="000000"/>
                      <w:sz w:val="21"/>
                      <w:szCs w:val="21"/>
                    </w:rPr>
                    <w:t>m排气筒排放（</w:t>
                  </w:r>
                  <w:r>
                    <w:rPr>
                      <w:rFonts w:hint="eastAsia"/>
                      <w:color w:val="000000"/>
                      <w:sz w:val="21"/>
                      <w:szCs w:val="21"/>
                      <w:lang w:eastAsia="zh-CN"/>
                    </w:rPr>
                    <w:t>DA00</w:t>
                  </w:r>
                  <w:r>
                    <w:rPr>
                      <w:rFonts w:hint="eastAsia"/>
                      <w:color w:val="000000"/>
                      <w:sz w:val="21"/>
                      <w:szCs w:val="21"/>
                      <w:lang w:val="en-US" w:eastAsia="zh-CN"/>
                    </w:rPr>
                    <w:t>1</w:t>
                  </w:r>
                  <w:r>
                    <w:rPr>
                      <w:rFonts w:hint="eastAsia"/>
                      <w:color w:val="000000"/>
                      <w:sz w:val="21"/>
                      <w:szCs w:val="21"/>
                    </w:rPr>
                    <w:t>）</w:t>
                  </w:r>
                </w:p>
              </w:tc>
              <w:tc>
                <w:tcPr>
                  <w:tcW w:w="1683" w:type="dxa"/>
                  <w:noWrap w:val="0"/>
                  <w:vAlign w:val="center"/>
                </w:tcPr>
                <w:p w14:paraId="4803C251">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val="en-US" w:eastAsia="zh-CN"/>
                    </w:rPr>
                  </w:pPr>
                  <w:r>
                    <w:rPr>
                      <w:rFonts w:hint="eastAsia" w:eastAsia="宋体"/>
                      <w:color w:val="000000"/>
                      <w:sz w:val="21"/>
                      <w:szCs w:val="21"/>
                      <w:lang w:val="en-US" w:eastAsia="zh-CN"/>
                    </w:rPr>
                    <w:t>/</w:t>
                  </w:r>
                </w:p>
              </w:tc>
              <w:tc>
                <w:tcPr>
                  <w:tcW w:w="650" w:type="dxa"/>
                  <w:noWrap w:val="0"/>
                  <w:vAlign w:val="center"/>
                </w:tcPr>
                <w:p w14:paraId="759F3686">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566B7F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textDirection w:val="tbRlV"/>
                  <w:vAlign w:val="center"/>
                </w:tcPr>
                <w:p w14:paraId="6E3ACEB1">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vMerge w:val="continue"/>
                  <w:noWrap w:val="0"/>
                  <w:vAlign w:val="center"/>
                </w:tcPr>
                <w:p w14:paraId="5BB9A45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1087" w:type="dxa"/>
                  <w:noWrap w:val="0"/>
                  <w:vAlign w:val="center"/>
                </w:tcPr>
                <w:p w14:paraId="33473953">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kern w:val="0"/>
                      <w:sz w:val="21"/>
                      <w:szCs w:val="21"/>
                    </w:rPr>
                  </w:pPr>
                  <w:r>
                    <w:rPr>
                      <w:rFonts w:hint="eastAsia"/>
                      <w:color w:val="000000"/>
                      <w:sz w:val="21"/>
                      <w:szCs w:val="21"/>
                    </w:rPr>
                    <w:t>食堂油烟</w:t>
                  </w:r>
                </w:p>
              </w:tc>
              <w:tc>
                <w:tcPr>
                  <w:tcW w:w="3410" w:type="dxa"/>
                  <w:noWrap w:val="0"/>
                  <w:vAlign w:val="center"/>
                </w:tcPr>
                <w:p w14:paraId="47811C9F">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sz w:val="21"/>
                      <w:szCs w:val="21"/>
                    </w:rPr>
                  </w:pPr>
                  <w:r>
                    <w:rPr>
                      <w:rFonts w:hint="eastAsia"/>
                      <w:color w:val="000000"/>
                      <w:sz w:val="21"/>
                      <w:szCs w:val="21"/>
                    </w:rPr>
                    <w:t>油烟净化装置处理，引至屋顶排放。</w:t>
                  </w:r>
                </w:p>
              </w:tc>
              <w:tc>
                <w:tcPr>
                  <w:tcW w:w="1683" w:type="dxa"/>
                  <w:noWrap w:val="0"/>
                  <w:vAlign w:val="center"/>
                </w:tcPr>
                <w:p w14:paraId="67B50ED2">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w:t>
                  </w:r>
                </w:p>
              </w:tc>
              <w:tc>
                <w:tcPr>
                  <w:tcW w:w="650" w:type="dxa"/>
                  <w:noWrap w:val="0"/>
                  <w:vAlign w:val="center"/>
                </w:tcPr>
                <w:p w14:paraId="696BCCB3">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598831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3" w:hRule="atLeast"/>
                <w:jc w:val="center"/>
              </w:trPr>
              <w:tc>
                <w:tcPr>
                  <w:tcW w:w="716" w:type="dxa"/>
                  <w:vMerge w:val="continue"/>
                  <w:noWrap w:val="0"/>
                  <w:vAlign w:val="center"/>
                </w:tcPr>
                <w:p w14:paraId="0DBDAABE">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vMerge w:val="restart"/>
                  <w:noWrap w:val="0"/>
                  <w:vAlign w:val="center"/>
                </w:tcPr>
                <w:p w14:paraId="0BF4D9EE">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废水处理措施</w:t>
                  </w:r>
                </w:p>
              </w:tc>
              <w:tc>
                <w:tcPr>
                  <w:tcW w:w="1087" w:type="dxa"/>
                  <w:noWrap w:val="0"/>
                  <w:vAlign w:val="center"/>
                </w:tcPr>
                <w:p w14:paraId="45385D60">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kern w:val="0"/>
                      <w:sz w:val="21"/>
                      <w:szCs w:val="21"/>
                    </w:rPr>
                  </w:pPr>
                  <w:r>
                    <w:rPr>
                      <w:color w:val="000000"/>
                      <w:sz w:val="21"/>
                      <w:szCs w:val="21"/>
                    </w:rPr>
                    <w:t>生活污水</w:t>
                  </w:r>
                </w:p>
              </w:tc>
              <w:tc>
                <w:tcPr>
                  <w:tcW w:w="3410" w:type="dxa"/>
                  <w:tcBorders>
                    <w:bottom w:val="single" w:color="auto" w:sz="4" w:space="0"/>
                  </w:tcBorders>
                  <w:noWrap w:val="0"/>
                  <w:vAlign w:val="center"/>
                </w:tcPr>
                <w:p w14:paraId="7EDF5637">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firstLine="0" w:firstLineChars="0"/>
                    <w:jc w:val="both"/>
                    <w:textAlignment w:val="auto"/>
                    <w:rPr>
                      <w:color w:val="000000"/>
                      <w:sz w:val="21"/>
                      <w:szCs w:val="21"/>
                    </w:rPr>
                  </w:pPr>
                  <w:r>
                    <w:rPr>
                      <w:color w:val="000000"/>
                      <w:sz w:val="21"/>
                      <w:szCs w:val="21"/>
                    </w:rPr>
                    <w:t>生活区生活污水</w:t>
                  </w:r>
                  <w:r>
                    <w:rPr>
                      <w:rFonts w:hint="eastAsia"/>
                      <w:color w:val="000000"/>
                      <w:sz w:val="21"/>
                      <w:szCs w:val="21"/>
                    </w:rPr>
                    <w:t>利用</w:t>
                  </w:r>
                  <w:r>
                    <w:rPr>
                      <w:color w:val="000000"/>
                      <w:sz w:val="21"/>
                      <w:szCs w:val="21"/>
                    </w:rPr>
                    <w:t>园区已建成的1个预处理池（容积100m</w:t>
                  </w:r>
                  <w:r>
                    <w:rPr>
                      <w:color w:val="000000"/>
                      <w:sz w:val="21"/>
                      <w:szCs w:val="21"/>
                      <w:vertAlign w:val="superscript"/>
                    </w:rPr>
                    <w:t>3</w:t>
                  </w:r>
                  <w:r>
                    <w:rPr>
                      <w:color w:val="000000"/>
                      <w:sz w:val="21"/>
                      <w:szCs w:val="21"/>
                    </w:rPr>
                    <w:t>）处理后接入园区污水管网，由星光工业园区污水处理厂处理后排入巴河。</w:t>
                  </w:r>
                </w:p>
              </w:tc>
              <w:tc>
                <w:tcPr>
                  <w:tcW w:w="1683" w:type="dxa"/>
                  <w:tcBorders>
                    <w:bottom w:val="single" w:color="auto" w:sz="4" w:space="0"/>
                  </w:tcBorders>
                  <w:noWrap w:val="0"/>
                  <w:vAlign w:val="center"/>
                </w:tcPr>
                <w:p w14:paraId="15B65F6F">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firstLine="0" w:firstLineChars="0"/>
                    <w:jc w:val="center"/>
                    <w:textAlignment w:val="auto"/>
                    <w:rPr>
                      <w:rFonts w:hint="eastAsia" w:eastAsia="宋体"/>
                      <w:color w:val="000000"/>
                      <w:sz w:val="21"/>
                      <w:szCs w:val="21"/>
                      <w:lang w:val="en-US" w:eastAsia="zh-CN"/>
                    </w:rPr>
                  </w:pPr>
                  <w:r>
                    <w:rPr>
                      <w:rFonts w:hint="eastAsia" w:eastAsia="宋体"/>
                      <w:color w:val="000000"/>
                      <w:sz w:val="21"/>
                      <w:szCs w:val="21"/>
                      <w:lang w:val="en-US" w:eastAsia="zh-CN"/>
                    </w:rPr>
                    <w:t>/</w:t>
                  </w:r>
                </w:p>
              </w:tc>
              <w:tc>
                <w:tcPr>
                  <w:tcW w:w="650" w:type="dxa"/>
                  <w:tcBorders>
                    <w:bottom w:val="single" w:color="auto" w:sz="4" w:space="0"/>
                  </w:tcBorders>
                  <w:noWrap w:val="0"/>
                  <w:vAlign w:val="center"/>
                </w:tcPr>
                <w:p w14:paraId="54028504">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firstLine="0" w:firstLineChars="0"/>
                    <w:jc w:val="center"/>
                    <w:textAlignment w:val="auto"/>
                    <w:rPr>
                      <w:color w:val="000000"/>
                      <w:sz w:val="21"/>
                      <w:szCs w:val="21"/>
                    </w:rPr>
                  </w:pPr>
                  <w:r>
                    <w:rPr>
                      <w:rFonts w:hint="eastAsia" w:eastAsia="宋体"/>
                      <w:color w:val="000000"/>
                      <w:sz w:val="21"/>
                      <w:szCs w:val="21"/>
                      <w:lang w:val="en-US" w:eastAsia="zh-CN"/>
                    </w:rPr>
                    <w:t>/</w:t>
                  </w:r>
                </w:p>
              </w:tc>
            </w:tr>
            <w:tr w14:paraId="7C06A8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2968D4A8">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vMerge w:val="continue"/>
                  <w:noWrap w:val="0"/>
                  <w:vAlign w:val="center"/>
                </w:tcPr>
                <w:p w14:paraId="21A5CABF">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1087" w:type="dxa"/>
                  <w:noWrap w:val="0"/>
                  <w:vAlign w:val="center"/>
                </w:tcPr>
                <w:p w14:paraId="40B925F6">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sz w:val="21"/>
                      <w:szCs w:val="21"/>
                    </w:rPr>
                  </w:pPr>
                  <w:r>
                    <w:rPr>
                      <w:color w:val="000000"/>
                      <w:sz w:val="21"/>
                      <w:szCs w:val="21"/>
                    </w:rPr>
                    <w:t>生产废水</w:t>
                  </w:r>
                </w:p>
              </w:tc>
              <w:tc>
                <w:tcPr>
                  <w:tcW w:w="3410" w:type="dxa"/>
                  <w:tcBorders>
                    <w:top w:val="single" w:color="auto" w:sz="4" w:space="0"/>
                  </w:tcBorders>
                  <w:noWrap w:val="0"/>
                  <w:vAlign w:val="center"/>
                </w:tcPr>
                <w:p w14:paraId="277A5D53">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color w:val="000000"/>
                      <w:sz w:val="21"/>
                      <w:szCs w:val="21"/>
                    </w:rPr>
                  </w:pPr>
                  <w:r>
                    <w:rPr>
                      <w:color w:val="000000"/>
                      <w:sz w:val="21"/>
                      <w:szCs w:val="21"/>
                    </w:rPr>
                    <w:t>雨污分流，雨水经雨水沟</w:t>
                  </w:r>
                  <w:r>
                    <w:rPr>
                      <w:rFonts w:hint="eastAsia"/>
                      <w:color w:val="000000"/>
                      <w:sz w:val="21"/>
                      <w:szCs w:val="21"/>
                    </w:rPr>
                    <w:t>收集后进入雨水收集池，并经过三级处理后</w:t>
                  </w:r>
                  <w:r>
                    <w:rPr>
                      <w:color w:val="000000"/>
                      <w:sz w:val="21"/>
                      <w:szCs w:val="21"/>
                    </w:rPr>
                    <w:t>排入园区</w:t>
                  </w:r>
                  <w:r>
                    <w:rPr>
                      <w:rFonts w:hint="eastAsia"/>
                      <w:color w:val="000000"/>
                      <w:sz w:val="21"/>
                      <w:szCs w:val="21"/>
                      <w:lang w:val="en-US" w:eastAsia="zh-CN"/>
                    </w:rPr>
                    <w:t>污水</w:t>
                  </w:r>
                  <w:r>
                    <w:rPr>
                      <w:color w:val="000000"/>
                      <w:sz w:val="21"/>
                      <w:szCs w:val="21"/>
                    </w:rPr>
                    <w:t>管网</w:t>
                  </w:r>
                  <w:r>
                    <w:rPr>
                      <w:rFonts w:hint="eastAsia"/>
                      <w:color w:val="000000"/>
                      <w:sz w:val="21"/>
                      <w:szCs w:val="21"/>
                    </w:rPr>
                    <w:t>。</w:t>
                  </w:r>
                  <w:r>
                    <w:rPr>
                      <w:color w:val="000000"/>
                      <w:kern w:val="0"/>
                      <w:sz w:val="21"/>
                      <w:szCs w:val="21"/>
                      <w:lang w:bidi="ar"/>
                    </w:rPr>
                    <w:t>变压器</w:t>
                  </w:r>
                  <w:r>
                    <w:rPr>
                      <w:rFonts w:hint="eastAsia"/>
                      <w:color w:val="000000"/>
                      <w:kern w:val="0"/>
                      <w:sz w:val="21"/>
                      <w:szCs w:val="21"/>
                      <w:lang w:bidi="ar"/>
                    </w:rPr>
                    <w:t>、</w:t>
                  </w:r>
                  <w:r>
                    <w:rPr>
                      <w:color w:val="000000"/>
                      <w:kern w:val="0"/>
                      <w:sz w:val="21"/>
                      <w:szCs w:val="21"/>
                      <w:lang w:bidi="ar"/>
                    </w:rPr>
                    <w:t>炉头冷却水循环使用</w:t>
                  </w:r>
                  <w:r>
                    <w:rPr>
                      <w:rFonts w:hint="eastAsia"/>
                      <w:color w:val="000000"/>
                      <w:kern w:val="0"/>
                      <w:sz w:val="21"/>
                      <w:szCs w:val="21"/>
                      <w:lang w:bidi="ar"/>
                    </w:rPr>
                    <w:t>，进入循环水池，</w:t>
                  </w:r>
                  <w:r>
                    <w:rPr>
                      <w:rFonts w:hint="eastAsia"/>
                      <w:color w:val="000000"/>
                      <w:kern w:val="0"/>
                      <w:sz w:val="21"/>
                      <w:szCs w:val="21"/>
                      <w:lang w:val="en-US" w:eastAsia="zh-CN" w:bidi="ar"/>
                    </w:rPr>
                    <w:t>不外排</w:t>
                  </w:r>
                  <w:r>
                    <w:rPr>
                      <w:rFonts w:hint="eastAsia"/>
                      <w:color w:val="000000"/>
                      <w:kern w:val="0"/>
                      <w:sz w:val="21"/>
                      <w:szCs w:val="21"/>
                      <w:lang w:bidi="ar"/>
                    </w:rPr>
                    <w:t>。</w:t>
                  </w:r>
                </w:p>
              </w:tc>
              <w:tc>
                <w:tcPr>
                  <w:tcW w:w="1683" w:type="dxa"/>
                  <w:tcBorders>
                    <w:top w:val="single" w:color="auto" w:sz="4" w:space="0"/>
                  </w:tcBorders>
                  <w:noWrap w:val="0"/>
                  <w:vAlign w:val="center"/>
                </w:tcPr>
                <w:p w14:paraId="58CDA37F">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val="en-US" w:eastAsia="zh-CN"/>
                    </w:rPr>
                  </w:pPr>
                  <w:r>
                    <w:rPr>
                      <w:rFonts w:hint="eastAsia" w:eastAsia="宋体"/>
                      <w:color w:val="000000"/>
                      <w:sz w:val="21"/>
                      <w:szCs w:val="21"/>
                      <w:lang w:val="en-US" w:eastAsia="zh-CN"/>
                    </w:rPr>
                    <w:t>/</w:t>
                  </w:r>
                </w:p>
              </w:tc>
              <w:tc>
                <w:tcPr>
                  <w:tcW w:w="650" w:type="dxa"/>
                  <w:tcBorders>
                    <w:top w:val="single" w:color="auto" w:sz="4" w:space="0"/>
                  </w:tcBorders>
                  <w:noWrap w:val="0"/>
                  <w:vAlign w:val="center"/>
                </w:tcPr>
                <w:p w14:paraId="2AADFDAE">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68A65A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4550818F">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1D5C687D">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固废处置措施</w:t>
                  </w:r>
                </w:p>
              </w:tc>
              <w:tc>
                <w:tcPr>
                  <w:tcW w:w="1087" w:type="dxa"/>
                  <w:noWrap w:val="0"/>
                  <w:vAlign w:val="center"/>
                </w:tcPr>
                <w:p w14:paraId="63EF266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bCs/>
                      <w:color w:val="000000"/>
                      <w:sz w:val="21"/>
                      <w:szCs w:val="21"/>
                    </w:rPr>
                    <w:t>危废暂存间</w:t>
                  </w:r>
                </w:p>
              </w:tc>
              <w:tc>
                <w:tcPr>
                  <w:tcW w:w="3410" w:type="dxa"/>
                  <w:noWrap w:val="0"/>
                  <w:vAlign w:val="center"/>
                </w:tcPr>
                <w:p w14:paraId="0BAA69D4">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both"/>
                    <w:textAlignment w:val="auto"/>
                    <w:rPr>
                      <w:color w:val="000000"/>
                      <w:sz w:val="21"/>
                      <w:szCs w:val="21"/>
                    </w:rPr>
                  </w:pPr>
                  <w:r>
                    <w:rPr>
                      <w:bCs/>
                      <w:color w:val="000000"/>
                      <w:sz w:val="21"/>
                      <w:szCs w:val="21"/>
                    </w:rPr>
                    <w:t>危废暂存间</w:t>
                  </w:r>
                  <w:r>
                    <w:rPr>
                      <w:color w:val="000000"/>
                      <w:sz w:val="21"/>
                      <w:szCs w:val="21"/>
                    </w:rPr>
                    <w:t>1间，建筑面积</w:t>
                  </w:r>
                  <w:r>
                    <w:rPr>
                      <w:rFonts w:hint="eastAsia"/>
                      <w:color w:val="000000"/>
                      <w:sz w:val="21"/>
                      <w:szCs w:val="21"/>
                      <w:lang w:val="en-US" w:eastAsia="zh-CN"/>
                    </w:rPr>
                    <w:t>10</w:t>
                  </w:r>
                  <w:r>
                    <w:rPr>
                      <w:color w:val="000000"/>
                      <w:sz w:val="21"/>
                      <w:szCs w:val="21"/>
                    </w:rPr>
                    <w:t>m</w:t>
                  </w:r>
                  <w:r>
                    <w:rPr>
                      <w:color w:val="000000"/>
                      <w:sz w:val="21"/>
                      <w:szCs w:val="21"/>
                      <w:vertAlign w:val="superscript"/>
                    </w:rPr>
                    <w:t>2</w:t>
                  </w:r>
                  <w:r>
                    <w:rPr>
                      <w:color w:val="000000"/>
                      <w:sz w:val="21"/>
                      <w:szCs w:val="21"/>
                    </w:rPr>
                    <w:t>，设置在</w:t>
                  </w:r>
                  <w:r>
                    <w:rPr>
                      <w:rFonts w:hint="eastAsia"/>
                      <w:bCs/>
                      <w:color w:val="000000"/>
                      <w:sz w:val="21"/>
                      <w:szCs w:val="21"/>
                    </w:rPr>
                    <w:t>成品碳化车间旁</w:t>
                  </w:r>
                  <w:r>
                    <w:rPr>
                      <w:color w:val="000000"/>
                      <w:sz w:val="21"/>
                      <w:szCs w:val="21"/>
                    </w:rPr>
                    <w:t>；重点防渗处理。</w:t>
                  </w:r>
                </w:p>
              </w:tc>
              <w:tc>
                <w:tcPr>
                  <w:tcW w:w="1683" w:type="dxa"/>
                  <w:noWrap w:val="0"/>
                  <w:vAlign w:val="center"/>
                </w:tcPr>
                <w:p w14:paraId="17997257">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bCs/>
                      <w:color w:val="000000"/>
                      <w:sz w:val="21"/>
                      <w:szCs w:val="21"/>
                    </w:rPr>
                  </w:pPr>
                  <w:r>
                    <w:rPr>
                      <w:rFonts w:hint="eastAsia" w:eastAsia="宋体"/>
                      <w:color w:val="000000"/>
                      <w:sz w:val="21"/>
                      <w:szCs w:val="21"/>
                      <w:lang w:val="en-US" w:eastAsia="zh-CN"/>
                    </w:rPr>
                    <w:t>/</w:t>
                  </w:r>
                </w:p>
              </w:tc>
              <w:tc>
                <w:tcPr>
                  <w:tcW w:w="650" w:type="dxa"/>
                  <w:noWrap w:val="0"/>
                  <w:vAlign w:val="center"/>
                </w:tcPr>
                <w:p w14:paraId="07E3EBCA">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bCs/>
                      <w:color w:val="000000"/>
                      <w:sz w:val="21"/>
                      <w:szCs w:val="21"/>
                      <w:lang w:eastAsia="zh-CN"/>
                    </w:rPr>
                  </w:pPr>
                  <w:r>
                    <w:rPr>
                      <w:rFonts w:hint="eastAsia" w:eastAsia="宋体"/>
                      <w:color w:val="000000"/>
                      <w:sz w:val="21"/>
                      <w:szCs w:val="21"/>
                      <w:lang w:val="en-US" w:eastAsia="zh-CN"/>
                    </w:rPr>
                    <w:t>/</w:t>
                  </w:r>
                </w:p>
              </w:tc>
            </w:tr>
            <w:tr w14:paraId="2146C4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7F6FE235">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653CB88D">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噪声防治措施</w:t>
                  </w:r>
                </w:p>
              </w:tc>
              <w:tc>
                <w:tcPr>
                  <w:tcW w:w="4497" w:type="dxa"/>
                  <w:gridSpan w:val="2"/>
                  <w:noWrap w:val="0"/>
                  <w:vAlign w:val="center"/>
                </w:tcPr>
                <w:p w14:paraId="41BD830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合理布局基础减振、厂房隔音、距离衰减、定期维护设备、合理安排作业时间及厂区绿化等</w:t>
                  </w:r>
                </w:p>
              </w:tc>
              <w:tc>
                <w:tcPr>
                  <w:tcW w:w="1683" w:type="dxa"/>
                  <w:noWrap w:val="0"/>
                  <w:vAlign w:val="center"/>
                </w:tcPr>
                <w:p w14:paraId="628FED96">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eastAsia="宋体"/>
                      <w:color w:val="000000"/>
                      <w:sz w:val="21"/>
                      <w:szCs w:val="21"/>
                      <w:lang w:eastAsia="zh-CN"/>
                    </w:rPr>
                  </w:pPr>
                  <w:r>
                    <w:rPr>
                      <w:rFonts w:hint="eastAsia"/>
                      <w:color w:val="000000"/>
                      <w:sz w:val="21"/>
                      <w:szCs w:val="21"/>
                      <w:lang w:val="en-US" w:eastAsia="zh-CN"/>
                    </w:rPr>
                    <w:t>/</w:t>
                  </w:r>
                </w:p>
              </w:tc>
              <w:tc>
                <w:tcPr>
                  <w:tcW w:w="650" w:type="dxa"/>
                  <w:noWrap w:val="0"/>
                  <w:vAlign w:val="center"/>
                </w:tcPr>
                <w:p w14:paraId="1EAC2CE7">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eastAsia="宋体"/>
                      <w:color w:val="000000"/>
                      <w:sz w:val="21"/>
                      <w:szCs w:val="21"/>
                      <w:lang w:eastAsia="zh-CN"/>
                    </w:rPr>
                  </w:pPr>
                  <w:r>
                    <w:rPr>
                      <w:rFonts w:hint="eastAsia" w:eastAsia="宋体"/>
                      <w:color w:val="000000"/>
                      <w:sz w:val="21"/>
                      <w:szCs w:val="21"/>
                      <w:lang w:val="en-US" w:eastAsia="zh-CN"/>
                    </w:rPr>
                    <w:t>/</w:t>
                  </w:r>
                </w:p>
              </w:tc>
            </w:tr>
            <w:tr w14:paraId="22CF73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vMerge w:val="continue"/>
                  <w:noWrap w:val="0"/>
                  <w:vAlign w:val="center"/>
                </w:tcPr>
                <w:p w14:paraId="4753B021">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p>
              </w:tc>
              <w:tc>
                <w:tcPr>
                  <w:tcW w:w="952" w:type="dxa"/>
                  <w:noWrap w:val="0"/>
                  <w:vAlign w:val="center"/>
                </w:tcPr>
                <w:p w14:paraId="0262A38B">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地下水防治措施</w:t>
                  </w:r>
                </w:p>
              </w:tc>
              <w:tc>
                <w:tcPr>
                  <w:tcW w:w="4497" w:type="dxa"/>
                  <w:gridSpan w:val="2"/>
                  <w:noWrap w:val="0"/>
                  <w:vAlign w:val="center"/>
                </w:tcPr>
                <w:p w14:paraId="769A49F5">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textAlignment w:val="auto"/>
                    <w:rPr>
                      <w:color w:val="000000"/>
                      <w:sz w:val="21"/>
                      <w:szCs w:val="21"/>
                    </w:rPr>
                  </w:pPr>
                  <w:r>
                    <w:rPr>
                      <w:color w:val="000000"/>
                      <w:sz w:val="21"/>
                      <w:szCs w:val="21"/>
                    </w:rPr>
                    <w:t>危废暂存间采用防渗混凝土</w:t>
                  </w:r>
                  <w:r>
                    <w:rPr>
                      <w:rFonts w:hint="eastAsia"/>
                      <w:color w:val="000000"/>
                      <w:sz w:val="21"/>
                      <w:szCs w:val="21"/>
                      <w:lang w:val="en-US" w:eastAsia="zh-CN"/>
                    </w:rPr>
                    <w:t>+</w:t>
                  </w:r>
                  <w:r>
                    <w:rPr>
                      <w:color w:val="000000"/>
                      <w:sz w:val="21"/>
                      <w:szCs w:val="21"/>
                    </w:rPr>
                    <w:t>2mm环氧树脂漆防渗，设置不锈钢托盘</w:t>
                  </w:r>
                  <w:r>
                    <w:rPr>
                      <w:rFonts w:hint="eastAsia"/>
                      <w:color w:val="000000"/>
                      <w:sz w:val="21"/>
                      <w:szCs w:val="21"/>
                      <w:lang w:eastAsia="zh-CN"/>
                    </w:rPr>
                    <w:t>，一般防渗区采取防渗混凝土进行防渗</w:t>
                  </w:r>
                </w:p>
              </w:tc>
              <w:tc>
                <w:tcPr>
                  <w:tcW w:w="1683" w:type="dxa"/>
                  <w:noWrap w:val="0"/>
                  <w:vAlign w:val="center"/>
                </w:tcPr>
                <w:p w14:paraId="02C55814">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eastAsia="宋体"/>
                      <w:color w:val="000000"/>
                      <w:sz w:val="21"/>
                      <w:szCs w:val="21"/>
                      <w:lang w:eastAsia="zh-CN"/>
                    </w:rPr>
                  </w:pPr>
                  <w:r>
                    <w:rPr>
                      <w:rFonts w:hint="eastAsia"/>
                      <w:color w:val="000000"/>
                      <w:sz w:val="21"/>
                      <w:szCs w:val="21"/>
                      <w:lang w:val="en-US" w:eastAsia="zh-CN"/>
                    </w:rPr>
                    <w:t>/</w:t>
                  </w:r>
                </w:p>
              </w:tc>
              <w:tc>
                <w:tcPr>
                  <w:tcW w:w="650" w:type="dxa"/>
                  <w:noWrap w:val="0"/>
                  <w:vAlign w:val="center"/>
                </w:tcPr>
                <w:p w14:paraId="5A2AC1C6">
                  <w:pPr>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color w:val="000000"/>
                      <w:sz w:val="21"/>
                      <w:szCs w:val="21"/>
                    </w:rPr>
                  </w:pPr>
                  <w:r>
                    <w:rPr>
                      <w:rFonts w:hint="eastAsia" w:eastAsia="宋体"/>
                      <w:color w:val="000000"/>
                      <w:sz w:val="21"/>
                      <w:szCs w:val="21"/>
                      <w:lang w:val="en-US" w:eastAsia="zh-CN"/>
                    </w:rPr>
                    <w:t>/</w:t>
                  </w:r>
                </w:p>
              </w:tc>
            </w:tr>
            <w:tr w14:paraId="45F9E0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6" w:type="dxa"/>
                  <w:noWrap w:val="0"/>
                  <w:vAlign w:val="center"/>
                </w:tcPr>
                <w:p w14:paraId="123C2037">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环境风险防范措施</w:t>
                  </w:r>
                </w:p>
              </w:tc>
              <w:tc>
                <w:tcPr>
                  <w:tcW w:w="952" w:type="dxa"/>
                  <w:noWrap w:val="0"/>
                  <w:vAlign w:val="center"/>
                </w:tcPr>
                <w:p w14:paraId="7DC32CD2">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color w:val="000000"/>
                      <w:sz w:val="21"/>
                      <w:szCs w:val="21"/>
                    </w:rPr>
                    <w:t>事故应急池</w:t>
                  </w:r>
                </w:p>
              </w:tc>
              <w:tc>
                <w:tcPr>
                  <w:tcW w:w="4497" w:type="dxa"/>
                  <w:gridSpan w:val="2"/>
                  <w:noWrap w:val="0"/>
                  <w:vAlign w:val="center"/>
                </w:tcPr>
                <w:p w14:paraId="5EB24EF2">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sz w:val="21"/>
                      <w:szCs w:val="21"/>
                    </w:rPr>
                  </w:pPr>
                  <w:r>
                    <w:rPr>
                      <w:rFonts w:hint="eastAsia"/>
                      <w:color w:val="000000"/>
                      <w:sz w:val="21"/>
                      <w:szCs w:val="21"/>
                    </w:rPr>
                    <w:t>位于厂区东南侧，食堂旁，</w:t>
                  </w:r>
                  <w:r>
                    <w:rPr>
                      <w:color w:val="000000"/>
                      <w:sz w:val="21"/>
                      <w:szCs w:val="21"/>
                    </w:rPr>
                    <w:t>1座，</w:t>
                  </w:r>
                  <w:r>
                    <w:rPr>
                      <w:rFonts w:hint="eastAsia"/>
                      <w:color w:val="000000"/>
                      <w:sz w:val="21"/>
                      <w:szCs w:val="21"/>
                      <w:lang w:val="en-US" w:eastAsia="zh-CN"/>
                    </w:rPr>
                    <w:t>30</w:t>
                  </w:r>
                  <w:r>
                    <w:rPr>
                      <w:color w:val="000000"/>
                      <w:sz w:val="21"/>
                      <w:szCs w:val="21"/>
                    </w:rPr>
                    <w:t>0m</w:t>
                  </w:r>
                  <w:r>
                    <w:rPr>
                      <w:color w:val="000000"/>
                      <w:sz w:val="21"/>
                      <w:szCs w:val="21"/>
                      <w:vertAlign w:val="superscript"/>
                    </w:rPr>
                    <w:t>3</w:t>
                  </w:r>
                  <w:r>
                    <w:rPr>
                      <w:color w:val="000000"/>
                      <w:sz w:val="21"/>
                      <w:szCs w:val="21"/>
                    </w:rPr>
                    <w:t>，制定环境风险应急预案，配置环境风险物资</w:t>
                  </w:r>
                  <w:r>
                    <w:rPr>
                      <w:rFonts w:hint="eastAsia"/>
                      <w:color w:val="000000"/>
                      <w:sz w:val="21"/>
                      <w:szCs w:val="21"/>
                    </w:rPr>
                    <w:t>，应对突发事件</w:t>
                  </w:r>
                  <w:r>
                    <w:rPr>
                      <w:color w:val="000000"/>
                      <w:sz w:val="21"/>
                      <w:szCs w:val="21"/>
                    </w:rPr>
                    <w:t>。</w:t>
                  </w:r>
                </w:p>
              </w:tc>
              <w:tc>
                <w:tcPr>
                  <w:tcW w:w="1683" w:type="dxa"/>
                  <w:noWrap w:val="0"/>
                  <w:vAlign w:val="center"/>
                </w:tcPr>
                <w:p w14:paraId="64874064">
                  <w:pPr>
                    <w:pStyle w:val="95"/>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auto"/>
                    <w:rPr>
                      <w:rFonts w:hint="eastAsia"/>
                      <w:color w:val="000000"/>
                      <w:sz w:val="21"/>
                      <w:szCs w:val="21"/>
                    </w:rPr>
                  </w:pPr>
                  <w:r>
                    <w:rPr>
                      <w:rFonts w:hint="eastAsia"/>
                      <w:color w:val="000000"/>
                      <w:sz w:val="21"/>
                      <w:szCs w:val="21"/>
                      <w:lang w:val="en-US" w:eastAsia="zh-CN"/>
                    </w:rPr>
                    <w:t>/</w:t>
                  </w:r>
                </w:p>
              </w:tc>
              <w:tc>
                <w:tcPr>
                  <w:tcW w:w="650" w:type="dxa"/>
                  <w:noWrap w:val="0"/>
                  <w:vAlign w:val="center"/>
                </w:tcPr>
                <w:p w14:paraId="011F12D1">
                  <w:pPr>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color w:val="000000"/>
                      <w:sz w:val="21"/>
                      <w:szCs w:val="21"/>
                    </w:rPr>
                  </w:pPr>
                  <w:r>
                    <w:rPr>
                      <w:rFonts w:hint="eastAsia" w:eastAsia="宋体"/>
                      <w:color w:val="000000"/>
                      <w:sz w:val="21"/>
                      <w:szCs w:val="21"/>
                      <w:lang w:val="en-US" w:eastAsia="zh-CN"/>
                    </w:rPr>
                    <w:t>/</w:t>
                  </w:r>
                </w:p>
              </w:tc>
            </w:tr>
          </w:tbl>
          <w:p w14:paraId="5806BA18">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outlineLvl w:val="9"/>
              <w:rPr>
                <w:rFonts w:hint="default" w:ascii="Times New Roman" w:hAnsi="Times New Roman" w:eastAsia="宋体" w:cs="Times New Roman"/>
                <w:b/>
                <w:bCs w:val="0"/>
                <w:color w:val="000000"/>
                <w:sz w:val="24"/>
                <w:szCs w:val="24"/>
                <w:highlight w:val="none"/>
                <w:lang w:eastAsia="zh-CN"/>
              </w:rPr>
            </w:pPr>
            <w:r>
              <w:rPr>
                <w:rFonts w:hint="eastAsia" w:eastAsia="宋体" w:cs="Times New Roman"/>
                <w:b/>
                <w:bCs w:val="0"/>
                <w:color w:val="000000"/>
                <w:sz w:val="24"/>
                <w:szCs w:val="24"/>
                <w:highlight w:val="none"/>
                <w:lang w:val="en-US" w:eastAsia="zh-CN"/>
              </w:rPr>
              <w:t>4、厂区现有</w:t>
            </w:r>
            <w:r>
              <w:rPr>
                <w:rFonts w:hint="default" w:ascii="Times New Roman" w:hAnsi="Times New Roman" w:eastAsia="宋体" w:cs="Times New Roman"/>
                <w:b/>
                <w:bCs w:val="0"/>
                <w:color w:val="000000"/>
                <w:sz w:val="24"/>
                <w:szCs w:val="24"/>
                <w:highlight w:val="none"/>
                <w:lang w:eastAsia="zh-CN"/>
              </w:rPr>
              <w:t>主要生产设备</w:t>
            </w:r>
          </w:p>
          <w:p w14:paraId="7C6E442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rPr>
              <w:t>本项目主要设备见表</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w:t>
            </w:r>
            <w:r>
              <w:rPr>
                <w:rFonts w:hint="eastAsia" w:eastAsia="宋体" w:cs="Times New Roman"/>
                <w:color w:val="000000"/>
                <w:sz w:val="24"/>
                <w:szCs w:val="24"/>
                <w:lang w:val="en-US" w:eastAsia="zh-CN"/>
              </w:rPr>
              <w:t>13</w:t>
            </w:r>
            <w:r>
              <w:rPr>
                <w:rFonts w:hint="default" w:ascii="Times New Roman" w:hAnsi="Times New Roman" w:eastAsia="宋体" w:cs="Times New Roman"/>
                <w:color w:val="000000"/>
                <w:sz w:val="24"/>
                <w:szCs w:val="24"/>
              </w:rPr>
              <w:t>。</w:t>
            </w:r>
          </w:p>
          <w:p w14:paraId="601B71F5">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b/>
                <w:bCs/>
                <w:color w:val="FF0000"/>
                <w:sz w:val="24"/>
                <w:lang w:val="en-US" w:eastAsia="zh-CN"/>
              </w:rPr>
            </w:pPr>
            <w:r>
              <w:rPr>
                <w:rFonts w:hint="eastAsia" w:ascii="Times New Roman" w:hAnsi="Times New Roman" w:eastAsia="宋体" w:cs="Times New Roman"/>
                <w:b/>
                <w:bCs/>
                <w:color w:val="000000"/>
                <w:sz w:val="24"/>
                <w:lang w:val="en-US" w:eastAsia="zh-CN"/>
              </w:rPr>
              <w:t xml:space="preserve">  厂区现有</w:t>
            </w:r>
            <w:r>
              <w:rPr>
                <w:rFonts w:hint="default" w:ascii="Times New Roman" w:hAnsi="Times New Roman" w:eastAsia="宋体" w:cs="Times New Roman"/>
                <w:b/>
                <w:bCs/>
                <w:color w:val="000000"/>
                <w:sz w:val="24"/>
                <w:lang w:val="en-US" w:eastAsia="zh-CN"/>
              </w:rPr>
              <w:t>主要设备清单</w:t>
            </w:r>
          </w:p>
          <w:tbl>
            <w:tblPr>
              <w:tblStyle w:val="31"/>
              <w:tblW w:w="8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020"/>
              <w:gridCol w:w="2274"/>
              <w:gridCol w:w="2750"/>
              <w:gridCol w:w="1282"/>
            </w:tblGrid>
            <w:tr w14:paraId="2388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71" w:type="dxa"/>
                  <w:tcBorders>
                    <w:tl2br w:val="nil"/>
                    <w:tr2bl w:val="nil"/>
                  </w:tcBorders>
                  <w:noWrap w:val="0"/>
                  <w:vAlign w:val="center"/>
                </w:tcPr>
                <w:p w14:paraId="34D5DE37">
                  <w:pPr>
                    <w:keepNext w:val="0"/>
                    <w:keepLines w:val="0"/>
                    <w:pageBreakBefore w:val="0"/>
                    <w:widowControl/>
                    <w:kinsoku/>
                    <w:wordWrap/>
                    <w:overflowPunct/>
                    <w:topLinePunct w:val="0"/>
                    <w:autoSpaceDE/>
                    <w:autoSpaceDN/>
                    <w:bidi w:val="0"/>
                    <w:adjustRightInd w:val="0"/>
                    <w:snapToGrid w:val="0"/>
                    <w:spacing w:after="0"/>
                    <w:jc w:val="center"/>
                    <w:rPr>
                      <w:b/>
                      <w:bCs/>
                      <w:kern w:val="0"/>
                      <w:sz w:val="21"/>
                      <w:szCs w:val="21"/>
                    </w:rPr>
                  </w:pPr>
                  <w:r>
                    <w:rPr>
                      <w:b/>
                      <w:bCs/>
                      <w:sz w:val="21"/>
                      <w:szCs w:val="21"/>
                    </w:rPr>
                    <w:t>序号</w:t>
                  </w:r>
                </w:p>
              </w:tc>
              <w:tc>
                <w:tcPr>
                  <w:tcW w:w="1020" w:type="dxa"/>
                  <w:tcBorders>
                    <w:tl2br w:val="nil"/>
                    <w:tr2bl w:val="nil"/>
                  </w:tcBorders>
                  <w:noWrap w:val="0"/>
                  <w:vAlign w:val="center"/>
                </w:tcPr>
                <w:p w14:paraId="70662977">
                  <w:pPr>
                    <w:keepNext w:val="0"/>
                    <w:keepLines w:val="0"/>
                    <w:pageBreakBefore w:val="0"/>
                    <w:widowControl/>
                    <w:kinsoku/>
                    <w:wordWrap/>
                    <w:overflowPunct/>
                    <w:topLinePunct w:val="0"/>
                    <w:autoSpaceDE/>
                    <w:autoSpaceDN/>
                    <w:bidi w:val="0"/>
                    <w:adjustRightInd w:val="0"/>
                    <w:snapToGrid w:val="0"/>
                    <w:spacing w:after="0"/>
                    <w:jc w:val="center"/>
                    <w:rPr>
                      <w:b/>
                      <w:bCs/>
                      <w:kern w:val="0"/>
                      <w:sz w:val="21"/>
                      <w:szCs w:val="21"/>
                    </w:rPr>
                  </w:pPr>
                  <w:r>
                    <w:rPr>
                      <w:b/>
                      <w:bCs/>
                      <w:sz w:val="21"/>
                      <w:szCs w:val="21"/>
                    </w:rPr>
                    <w:t>工序</w:t>
                  </w:r>
                </w:p>
              </w:tc>
              <w:tc>
                <w:tcPr>
                  <w:tcW w:w="2274" w:type="dxa"/>
                  <w:tcBorders>
                    <w:tl2br w:val="nil"/>
                    <w:tr2bl w:val="nil"/>
                  </w:tcBorders>
                  <w:noWrap w:val="0"/>
                  <w:vAlign w:val="center"/>
                </w:tcPr>
                <w:p w14:paraId="7C21EA9A">
                  <w:pPr>
                    <w:keepNext w:val="0"/>
                    <w:keepLines w:val="0"/>
                    <w:pageBreakBefore w:val="0"/>
                    <w:widowControl/>
                    <w:kinsoku/>
                    <w:wordWrap/>
                    <w:overflowPunct/>
                    <w:topLinePunct w:val="0"/>
                    <w:autoSpaceDE/>
                    <w:autoSpaceDN/>
                    <w:bidi w:val="0"/>
                    <w:adjustRightInd w:val="0"/>
                    <w:snapToGrid w:val="0"/>
                    <w:spacing w:after="0"/>
                    <w:jc w:val="center"/>
                    <w:rPr>
                      <w:b/>
                      <w:bCs/>
                      <w:kern w:val="0"/>
                      <w:sz w:val="21"/>
                      <w:szCs w:val="21"/>
                    </w:rPr>
                  </w:pPr>
                  <w:r>
                    <w:rPr>
                      <w:b/>
                      <w:bCs/>
                      <w:sz w:val="21"/>
                      <w:szCs w:val="21"/>
                    </w:rPr>
                    <w:t>设备名称</w:t>
                  </w:r>
                </w:p>
              </w:tc>
              <w:tc>
                <w:tcPr>
                  <w:tcW w:w="2750" w:type="dxa"/>
                  <w:tcBorders>
                    <w:tl2br w:val="nil"/>
                    <w:tr2bl w:val="nil"/>
                  </w:tcBorders>
                  <w:noWrap w:val="0"/>
                  <w:vAlign w:val="center"/>
                </w:tcPr>
                <w:p w14:paraId="3AA3D7F4">
                  <w:pPr>
                    <w:keepNext w:val="0"/>
                    <w:keepLines w:val="0"/>
                    <w:pageBreakBefore w:val="0"/>
                    <w:widowControl/>
                    <w:kinsoku/>
                    <w:wordWrap/>
                    <w:overflowPunct/>
                    <w:topLinePunct w:val="0"/>
                    <w:autoSpaceDE/>
                    <w:autoSpaceDN/>
                    <w:bidi w:val="0"/>
                    <w:adjustRightInd w:val="0"/>
                    <w:snapToGrid w:val="0"/>
                    <w:spacing w:after="0"/>
                    <w:jc w:val="center"/>
                    <w:rPr>
                      <w:b/>
                      <w:bCs/>
                      <w:kern w:val="0"/>
                      <w:sz w:val="21"/>
                      <w:szCs w:val="21"/>
                    </w:rPr>
                  </w:pPr>
                  <w:r>
                    <w:rPr>
                      <w:b/>
                      <w:bCs/>
                      <w:sz w:val="21"/>
                      <w:szCs w:val="21"/>
                    </w:rPr>
                    <w:t>型号</w:t>
                  </w:r>
                </w:p>
              </w:tc>
              <w:tc>
                <w:tcPr>
                  <w:tcW w:w="1282" w:type="dxa"/>
                  <w:tcBorders>
                    <w:tl2br w:val="nil"/>
                    <w:tr2bl w:val="nil"/>
                  </w:tcBorders>
                  <w:noWrap w:val="0"/>
                  <w:vAlign w:val="center"/>
                </w:tcPr>
                <w:p w14:paraId="53938074">
                  <w:pPr>
                    <w:keepNext w:val="0"/>
                    <w:keepLines w:val="0"/>
                    <w:pageBreakBefore w:val="0"/>
                    <w:widowControl/>
                    <w:kinsoku/>
                    <w:wordWrap/>
                    <w:overflowPunct/>
                    <w:topLinePunct w:val="0"/>
                    <w:autoSpaceDE/>
                    <w:autoSpaceDN/>
                    <w:bidi w:val="0"/>
                    <w:adjustRightInd w:val="0"/>
                    <w:snapToGrid w:val="0"/>
                    <w:spacing w:after="0"/>
                    <w:jc w:val="center"/>
                    <w:rPr>
                      <w:rFonts w:hint="eastAsia"/>
                      <w:b/>
                      <w:bCs/>
                      <w:sz w:val="21"/>
                      <w:szCs w:val="21"/>
                      <w:lang w:eastAsia="zh-CN"/>
                    </w:rPr>
                  </w:pPr>
                  <w:r>
                    <w:rPr>
                      <w:rFonts w:hint="eastAsia"/>
                      <w:b/>
                      <w:bCs/>
                      <w:sz w:val="21"/>
                      <w:szCs w:val="21"/>
                      <w:lang w:eastAsia="zh-CN"/>
                    </w:rPr>
                    <w:t>实际</w:t>
                  </w:r>
                </w:p>
                <w:p w14:paraId="00C116A3">
                  <w:pPr>
                    <w:keepNext w:val="0"/>
                    <w:keepLines w:val="0"/>
                    <w:pageBreakBefore w:val="0"/>
                    <w:widowControl/>
                    <w:kinsoku/>
                    <w:wordWrap/>
                    <w:overflowPunct/>
                    <w:topLinePunct w:val="0"/>
                    <w:autoSpaceDE/>
                    <w:autoSpaceDN/>
                    <w:bidi w:val="0"/>
                    <w:adjustRightInd w:val="0"/>
                    <w:snapToGrid w:val="0"/>
                    <w:spacing w:after="0"/>
                    <w:jc w:val="center"/>
                    <w:rPr>
                      <w:rFonts w:hint="eastAsia"/>
                      <w:b/>
                      <w:bCs/>
                      <w:sz w:val="21"/>
                      <w:szCs w:val="21"/>
                      <w:lang w:eastAsia="zh-CN"/>
                    </w:rPr>
                  </w:pPr>
                  <w:r>
                    <w:rPr>
                      <w:rFonts w:hint="eastAsia"/>
                      <w:b/>
                      <w:bCs/>
                      <w:sz w:val="21"/>
                      <w:szCs w:val="21"/>
                      <w:lang w:eastAsia="zh-CN"/>
                    </w:rPr>
                    <w:t>数量</w:t>
                  </w:r>
                </w:p>
              </w:tc>
            </w:tr>
            <w:tr w14:paraId="305B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71" w:type="dxa"/>
                  <w:tcBorders>
                    <w:tl2br w:val="nil"/>
                    <w:tr2bl w:val="nil"/>
                  </w:tcBorders>
                  <w:noWrap w:val="0"/>
                  <w:vAlign w:val="center"/>
                </w:tcPr>
                <w:p w14:paraId="52F21C8E">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sz w:val="21"/>
                      <w:szCs w:val="21"/>
                    </w:rPr>
                    <w:t>1</w:t>
                  </w:r>
                </w:p>
              </w:tc>
              <w:tc>
                <w:tcPr>
                  <w:tcW w:w="1020" w:type="dxa"/>
                  <w:vMerge w:val="restart"/>
                  <w:tcBorders>
                    <w:tl2br w:val="nil"/>
                    <w:tr2bl w:val="nil"/>
                  </w:tcBorders>
                  <w:noWrap w:val="0"/>
                  <w:vAlign w:val="center"/>
                </w:tcPr>
                <w:p w14:paraId="43377F9A">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烘干</w:t>
                  </w:r>
                  <w:r>
                    <w:rPr>
                      <w:rFonts w:hint="eastAsia"/>
                      <w:kern w:val="0"/>
                      <w:sz w:val="21"/>
                      <w:szCs w:val="21"/>
                    </w:rPr>
                    <w:t>、破碎、</w:t>
                  </w:r>
                  <w:r>
                    <w:rPr>
                      <w:kern w:val="0"/>
                      <w:sz w:val="21"/>
                      <w:szCs w:val="21"/>
                    </w:rPr>
                    <w:t>整形</w:t>
                  </w:r>
                </w:p>
              </w:tc>
              <w:tc>
                <w:tcPr>
                  <w:tcW w:w="2274" w:type="dxa"/>
                  <w:tcBorders>
                    <w:tl2br w:val="nil"/>
                    <w:tr2bl w:val="nil"/>
                  </w:tcBorders>
                  <w:noWrap w:val="0"/>
                  <w:vAlign w:val="center"/>
                </w:tcPr>
                <w:p w14:paraId="03D4007B">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烘干机</w:t>
                  </w:r>
                </w:p>
              </w:tc>
              <w:tc>
                <w:tcPr>
                  <w:tcW w:w="2750" w:type="dxa"/>
                  <w:tcBorders>
                    <w:tl2br w:val="nil"/>
                    <w:tr2bl w:val="nil"/>
                  </w:tcBorders>
                  <w:noWrap w:val="0"/>
                  <w:vAlign w:val="center"/>
                </w:tcPr>
                <w:p w14:paraId="452FB14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Φ</w:t>
                  </w:r>
                  <w:r>
                    <w:rPr>
                      <w:rFonts w:hint="eastAsia"/>
                      <w:kern w:val="0"/>
                      <w:sz w:val="21"/>
                      <w:szCs w:val="21"/>
                    </w:rPr>
                    <w:t>1.5*7m</w:t>
                  </w:r>
                </w:p>
              </w:tc>
              <w:tc>
                <w:tcPr>
                  <w:tcW w:w="1282" w:type="dxa"/>
                  <w:tcBorders>
                    <w:tl2br w:val="nil"/>
                    <w:tr2bl w:val="nil"/>
                  </w:tcBorders>
                  <w:noWrap w:val="0"/>
                  <w:vAlign w:val="center"/>
                </w:tcPr>
                <w:p w14:paraId="63ADF00F">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2台（一用一备）</w:t>
                  </w:r>
                </w:p>
              </w:tc>
            </w:tr>
            <w:tr w14:paraId="50EA2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550661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sz w:val="21"/>
                      <w:szCs w:val="21"/>
                    </w:rPr>
                    <w:t>2</w:t>
                  </w:r>
                </w:p>
              </w:tc>
              <w:tc>
                <w:tcPr>
                  <w:tcW w:w="1020" w:type="dxa"/>
                  <w:vMerge w:val="continue"/>
                  <w:tcBorders>
                    <w:tl2br w:val="nil"/>
                    <w:tr2bl w:val="nil"/>
                  </w:tcBorders>
                  <w:noWrap w:val="0"/>
                  <w:vAlign w:val="center"/>
                </w:tcPr>
                <w:p w14:paraId="1BDE11E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465B034F">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除尘器</w:t>
                  </w:r>
                </w:p>
              </w:tc>
              <w:tc>
                <w:tcPr>
                  <w:tcW w:w="2750" w:type="dxa"/>
                  <w:tcBorders>
                    <w:tl2br w:val="nil"/>
                    <w:tr2bl w:val="nil"/>
                  </w:tcBorders>
                  <w:noWrap w:val="0"/>
                  <w:vAlign w:val="center"/>
                </w:tcPr>
                <w:p w14:paraId="3BAF514F">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Hac120</w:t>
                  </w:r>
                </w:p>
              </w:tc>
              <w:tc>
                <w:tcPr>
                  <w:tcW w:w="1282" w:type="dxa"/>
                  <w:tcBorders>
                    <w:tl2br w:val="nil"/>
                    <w:tr2bl w:val="nil"/>
                  </w:tcBorders>
                  <w:noWrap w:val="0"/>
                  <w:vAlign w:val="center"/>
                </w:tcPr>
                <w:p w14:paraId="6A6BE8D1">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5737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3F3E1DA9">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sz w:val="21"/>
                      <w:szCs w:val="21"/>
                    </w:rPr>
                    <w:t>3</w:t>
                  </w:r>
                </w:p>
              </w:tc>
              <w:tc>
                <w:tcPr>
                  <w:tcW w:w="1020" w:type="dxa"/>
                  <w:vMerge w:val="continue"/>
                  <w:tcBorders>
                    <w:tl2br w:val="nil"/>
                    <w:tr2bl w:val="nil"/>
                  </w:tcBorders>
                  <w:noWrap w:val="0"/>
                  <w:vAlign w:val="center"/>
                </w:tcPr>
                <w:p w14:paraId="4854F6D5">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48142CF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除尘器</w:t>
                  </w:r>
                </w:p>
              </w:tc>
              <w:tc>
                <w:tcPr>
                  <w:tcW w:w="2750" w:type="dxa"/>
                  <w:tcBorders>
                    <w:tl2br w:val="nil"/>
                    <w:tr2bl w:val="nil"/>
                  </w:tcBorders>
                  <w:noWrap w:val="0"/>
                  <w:vAlign w:val="center"/>
                </w:tcPr>
                <w:p w14:paraId="191F4B6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D800*5000</w:t>
                  </w:r>
                </w:p>
              </w:tc>
              <w:tc>
                <w:tcPr>
                  <w:tcW w:w="1282" w:type="dxa"/>
                  <w:tcBorders>
                    <w:tl2br w:val="nil"/>
                    <w:tr2bl w:val="nil"/>
                  </w:tcBorders>
                  <w:noWrap w:val="0"/>
                  <w:vAlign w:val="center"/>
                </w:tcPr>
                <w:p w14:paraId="55257FB0">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4E65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225430E5">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sz w:val="21"/>
                      <w:szCs w:val="21"/>
                    </w:rPr>
                    <w:t>4</w:t>
                  </w:r>
                </w:p>
              </w:tc>
              <w:tc>
                <w:tcPr>
                  <w:tcW w:w="1020" w:type="dxa"/>
                  <w:vMerge w:val="continue"/>
                  <w:tcBorders>
                    <w:tl2br w:val="nil"/>
                    <w:tr2bl w:val="nil"/>
                  </w:tcBorders>
                  <w:noWrap w:val="0"/>
                  <w:vAlign w:val="center"/>
                </w:tcPr>
                <w:p w14:paraId="5BCFFB45">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6F0034B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皮带输送机</w:t>
                  </w:r>
                </w:p>
              </w:tc>
              <w:tc>
                <w:tcPr>
                  <w:tcW w:w="2750" w:type="dxa"/>
                  <w:tcBorders>
                    <w:tl2br w:val="nil"/>
                    <w:tr2bl w:val="nil"/>
                  </w:tcBorders>
                  <w:noWrap w:val="0"/>
                  <w:vAlign w:val="center"/>
                </w:tcPr>
                <w:p w14:paraId="18DCCB4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7D75*500*10m</w:t>
                  </w:r>
                </w:p>
              </w:tc>
              <w:tc>
                <w:tcPr>
                  <w:tcW w:w="1282" w:type="dxa"/>
                  <w:tcBorders>
                    <w:tl2br w:val="nil"/>
                    <w:tr2bl w:val="nil"/>
                  </w:tcBorders>
                  <w:noWrap w:val="0"/>
                  <w:vAlign w:val="center"/>
                </w:tcPr>
                <w:p w14:paraId="40CCEE2F">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116B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5A4F6DB7">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5</w:t>
                  </w:r>
                </w:p>
              </w:tc>
              <w:tc>
                <w:tcPr>
                  <w:tcW w:w="1020" w:type="dxa"/>
                  <w:vMerge w:val="continue"/>
                  <w:tcBorders>
                    <w:tl2br w:val="nil"/>
                    <w:tr2bl w:val="nil"/>
                  </w:tcBorders>
                  <w:noWrap w:val="0"/>
                  <w:vAlign w:val="center"/>
                </w:tcPr>
                <w:p w14:paraId="14C087CD">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607ED4C9">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多轴破碎机</w:t>
                  </w:r>
                </w:p>
              </w:tc>
              <w:tc>
                <w:tcPr>
                  <w:tcW w:w="2750" w:type="dxa"/>
                  <w:tcBorders>
                    <w:tl2br w:val="nil"/>
                    <w:tr2bl w:val="nil"/>
                  </w:tcBorders>
                  <w:noWrap w:val="0"/>
                  <w:vAlign w:val="center"/>
                </w:tcPr>
                <w:p w14:paraId="30C786CA">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500*3000</w:t>
                  </w:r>
                </w:p>
              </w:tc>
              <w:tc>
                <w:tcPr>
                  <w:tcW w:w="1282" w:type="dxa"/>
                  <w:tcBorders>
                    <w:tl2br w:val="nil"/>
                    <w:tr2bl w:val="nil"/>
                  </w:tcBorders>
                  <w:noWrap w:val="0"/>
                  <w:vAlign w:val="center"/>
                </w:tcPr>
                <w:p w14:paraId="7C5D6FCB">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7469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25CA0985">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6</w:t>
                  </w:r>
                </w:p>
              </w:tc>
              <w:tc>
                <w:tcPr>
                  <w:tcW w:w="1020" w:type="dxa"/>
                  <w:vMerge w:val="continue"/>
                  <w:tcBorders>
                    <w:tl2br w:val="nil"/>
                    <w:tr2bl w:val="nil"/>
                  </w:tcBorders>
                  <w:noWrap w:val="0"/>
                  <w:vAlign w:val="center"/>
                </w:tcPr>
                <w:p w14:paraId="4B695850">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357F7D5A">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多管冷却机</w:t>
                  </w:r>
                </w:p>
              </w:tc>
              <w:tc>
                <w:tcPr>
                  <w:tcW w:w="2750" w:type="dxa"/>
                  <w:tcBorders>
                    <w:tl2br w:val="nil"/>
                    <w:tr2bl w:val="nil"/>
                  </w:tcBorders>
                  <w:noWrap w:val="0"/>
                  <w:vAlign w:val="center"/>
                </w:tcPr>
                <w:p w14:paraId="7A22AC7E">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2000*2000*4850</w:t>
                  </w:r>
                </w:p>
              </w:tc>
              <w:tc>
                <w:tcPr>
                  <w:tcW w:w="1282" w:type="dxa"/>
                  <w:tcBorders>
                    <w:tl2br w:val="nil"/>
                    <w:tr2bl w:val="nil"/>
                  </w:tcBorders>
                  <w:noWrap w:val="0"/>
                  <w:vAlign w:val="center"/>
                </w:tcPr>
                <w:p w14:paraId="786C38BD">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73B6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07ABD2F9">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7</w:t>
                  </w:r>
                </w:p>
              </w:tc>
              <w:tc>
                <w:tcPr>
                  <w:tcW w:w="1020" w:type="dxa"/>
                  <w:vMerge w:val="continue"/>
                  <w:tcBorders>
                    <w:tl2br w:val="nil"/>
                    <w:tr2bl w:val="nil"/>
                  </w:tcBorders>
                  <w:noWrap w:val="0"/>
                  <w:vAlign w:val="center"/>
                </w:tcPr>
                <w:p w14:paraId="01FC66E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76F6C105">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单管螺旋</w:t>
                  </w:r>
                </w:p>
              </w:tc>
              <w:tc>
                <w:tcPr>
                  <w:tcW w:w="2750" w:type="dxa"/>
                  <w:tcBorders>
                    <w:tl2br w:val="nil"/>
                    <w:tr2bl w:val="nil"/>
                  </w:tcBorders>
                  <w:noWrap w:val="0"/>
                  <w:vAlign w:val="center"/>
                </w:tcPr>
                <w:p w14:paraId="2B8C1407">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kern w:val="0"/>
                      <w:sz w:val="21"/>
                      <w:szCs w:val="21"/>
                    </w:rPr>
                    <w:t>Φ</w:t>
                  </w:r>
                  <w:r>
                    <w:rPr>
                      <w:rFonts w:hint="eastAsia"/>
                      <w:kern w:val="0"/>
                      <w:sz w:val="21"/>
                      <w:szCs w:val="21"/>
                    </w:rPr>
                    <w:t>4300*7m</w:t>
                  </w:r>
                </w:p>
              </w:tc>
              <w:tc>
                <w:tcPr>
                  <w:tcW w:w="1282" w:type="dxa"/>
                  <w:tcBorders>
                    <w:tl2br w:val="nil"/>
                    <w:tr2bl w:val="nil"/>
                  </w:tcBorders>
                  <w:noWrap w:val="0"/>
                  <w:vAlign w:val="center"/>
                </w:tcPr>
                <w:p w14:paraId="352BEFFB">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1EF1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067A3A26">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8</w:t>
                  </w:r>
                </w:p>
              </w:tc>
              <w:tc>
                <w:tcPr>
                  <w:tcW w:w="1020" w:type="dxa"/>
                  <w:vMerge w:val="continue"/>
                  <w:tcBorders>
                    <w:tl2br w:val="nil"/>
                    <w:tr2bl w:val="nil"/>
                  </w:tcBorders>
                  <w:noWrap w:val="0"/>
                  <w:vAlign w:val="center"/>
                </w:tcPr>
                <w:p w14:paraId="2AFDF46E">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6BFAF97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整形机</w:t>
                  </w:r>
                </w:p>
              </w:tc>
              <w:tc>
                <w:tcPr>
                  <w:tcW w:w="2750" w:type="dxa"/>
                  <w:tcBorders>
                    <w:tl2br w:val="nil"/>
                    <w:tr2bl w:val="nil"/>
                  </w:tcBorders>
                  <w:noWrap w:val="0"/>
                  <w:vAlign w:val="center"/>
                </w:tcPr>
                <w:p w14:paraId="11A4239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FZ*300</w:t>
                  </w:r>
                </w:p>
              </w:tc>
              <w:tc>
                <w:tcPr>
                  <w:tcW w:w="1282" w:type="dxa"/>
                  <w:tcBorders>
                    <w:tl2br w:val="nil"/>
                    <w:tr2bl w:val="nil"/>
                  </w:tcBorders>
                  <w:noWrap w:val="0"/>
                  <w:vAlign w:val="center"/>
                </w:tcPr>
                <w:p w14:paraId="00D166EB">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1套</w:t>
                  </w:r>
                </w:p>
              </w:tc>
            </w:tr>
            <w:tr w14:paraId="04BB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2A4F263D">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9</w:t>
                  </w:r>
                </w:p>
              </w:tc>
              <w:tc>
                <w:tcPr>
                  <w:tcW w:w="1020" w:type="dxa"/>
                  <w:vMerge w:val="continue"/>
                  <w:tcBorders>
                    <w:tl2br w:val="nil"/>
                    <w:tr2bl w:val="nil"/>
                  </w:tcBorders>
                  <w:noWrap w:val="0"/>
                  <w:vAlign w:val="center"/>
                </w:tcPr>
                <w:p w14:paraId="70AF6E4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24644CB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冲击磨</w:t>
                  </w:r>
                </w:p>
              </w:tc>
              <w:tc>
                <w:tcPr>
                  <w:tcW w:w="2750" w:type="dxa"/>
                  <w:tcBorders>
                    <w:tl2br w:val="nil"/>
                    <w:tr2bl w:val="nil"/>
                  </w:tcBorders>
                  <w:noWrap w:val="0"/>
                  <w:vAlign w:val="center"/>
                </w:tcPr>
                <w:p w14:paraId="338C947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FC100</w:t>
                  </w:r>
                </w:p>
              </w:tc>
              <w:tc>
                <w:tcPr>
                  <w:tcW w:w="1282" w:type="dxa"/>
                  <w:tcBorders>
                    <w:tl2br w:val="nil"/>
                    <w:tr2bl w:val="nil"/>
                  </w:tcBorders>
                  <w:noWrap w:val="0"/>
                  <w:vAlign w:val="center"/>
                </w:tcPr>
                <w:p w14:paraId="09D9B0BC">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4套</w:t>
                  </w:r>
                </w:p>
              </w:tc>
            </w:tr>
            <w:tr w14:paraId="7B6F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7511EC21">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10</w:t>
                  </w:r>
                </w:p>
              </w:tc>
              <w:tc>
                <w:tcPr>
                  <w:tcW w:w="1020" w:type="dxa"/>
                  <w:vMerge w:val="continue"/>
                  <w:tcBorders>
                    <w:tl2br w:val="nil"/>
                    <w:tr2bl w:val="nil"/>
                  </w:tcBorders>
                  <w:noWrap w:val="0"/>
                  <w:vAlign w:val="center"/>
                </w:tcPr>
                <w:p w14:paraId="12CA571B">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47E726AA">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变压器</w:t>
                  </w:r>
                </w:p>
              </w:tc>
              <w:tc>
                <w:tcPr>
                  <w:tcW w:w="2750" w:type="dxa"/>
                  <w:tcBorders>
                    <w:tl2br w:val="nil"/>
                    <w:tr2bl w:val="nil"/>
                  </w:tcBorders>
                  <w:noWrap w:val="0"/>
                  <w:vAlign w:val="center"/>
                </w:tcPr>
                <w:p w14:paraId="29C8681C">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800KVA</w:t>
                  </w:r>
                </w:p>
              </w:tc>
              <w:tc>
                <w:tcPr>
                  <w:tcW w:w="1282" w:type="dxa"/>
                  <w:tcBorders>
                    <w:tl2br w:val="nil"/>
                    <w:tr2bl w:val="nil"/>
                  </w:tcBorders>
                  <w:noWrap w:val="0"/>
                  <w:vAlign w:val="center"/>
                </w:tcPr>
                <w:p w14:paraId="7C4C966B">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786D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07179099">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11</w:t>
                  </w:r>
                </w:p>
              </w:tc>
              <w:tc>
                <w:tcPr>
                  <w:tcW w:w="1020" w:type="dxa"/>
                  <w:vMerge w:val="continue"/>
                  <w:tcBorders>
                    <w:tl2br w:val="nil"/>
                    <w:tr2bl w:val="nil"/>
                  </w:tcBorders>
                  <w:noWrap w:val="0"/>
                  <w:vAlign w:val="center"/>
                </w:tcPr>
                <w:p w14:paraId="7E0E01F3">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69015A7F">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变压器</w:t>
                  </w:r>
                </w:p>
              </w:tc>
              <w:tc>
                <w:tcPr>
                  <w:tcW w:w="2750" w:type="dxa"/>
                  <w:tcBorders>
                    <w:tl2br w:val="nil"/>
                    <w:tr2bl w:val="nil"/>
                  </w:tcBorders>
                  <w:noWrap w:val="0"/>
                  <w:vAlign w:val="center"/>
                </w:tcPr>
                <w:p w14:paraId="3F770FFB">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1250KVA</w:t>
                  </w:r>
                </w:p>
              </w:tc>
              <w:tc>
                <w:tcPr>
                  <w:tcW w:w="1282" w:type="dxa"/>
                  <w:tcBorders>
                    <w:tl2br w:val="nil"/>
                    <w:tr2bl w:val="nil"/>
                  </w:tcBorders>
                  <w:noWrap w:val="0"/>
                  <w:vAlign w:val="center"/>
                </w:tcPr>
                <w:p w14:paraId="069E1822">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kern w:val="0"/>
                      <w:sz w:val="21"/>
                      <w:szCs w:val="21"/>
                    </w:rPr>
                    <w:t>1台</w:t>
                  </w:r>
                </w:p>
              </w:tc>
            </w:tr>
            <w:tr w14:paraId="4032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71" w:type="dxa"/>
                  <w:tcBorders>
                    <w:tl2br w:val="nil"/>
                    <w:tr2bl w:val="nil"/>
                  </w:tcBorders>
                  <w:noWrap w:val="0"/>
                  <w:vAlign w:val="center"/>
                </w:tcPr>
                <w:p w14:paraId="3CF5C101">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12</w:t>
                  </w:r>
                </w:p>
              </w:tc>
              <w:tc>
                <w:tcPr>
                  <w:tcW w:w="1020" w:type="dxa"/>
                  <w:vMerge w:val="continue"/>
                  <w:tcBorders>
                    <w:tl2br w:val="nil"/>
                    <w:tr2bl w:val="nil"/>
                  </w:tcBorders>
                  <w:noWrap w:val="0"/>
                  <w:vAlign w:val="center"/>
                </w:tcPr>
                <w:p w14:paraId="5827D186">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43CCE3E4">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bidi="ar"/>
                    </w:rPr>
                    <w:t>料仓</w:t>
                  </w:r>
                </w:p>
              </w:tc>
              <w:tc>
                <w:tcPr>
                  <w:tcW w:w="2750" w:type="dxa"/>
                  <w:tcBorders>
                    <w:tl2br w:val="nil"/>
                    <w:tr2bl w:val="nil"/>
                  </w:tcBorders>
                  <w:noWrap w:val="0"/>
                  <w:vAlign w:val="center"/>
                </w:tcPr>
                <w:p w14:paraId="7709DAF0">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bidi="ar"/>
                    </w:rPr>
                    <w:t>2t</w:t>
                  </w:r>
                </w:p>
              </w:tc>
              <w:tc>
                <w:tcPr>
                  <w:tcW w:w="1282" w:type="dxa"/>
                  <w:tcBorders>
                    <w:tl2br w:val="nil"/>
                    <w:tr2bl w:val="nil"/>
                  </w:tcBorders>
                  <w:noWrap w:val="0"/>
                  <w:vAlign w:val="center"/>
                </w:tcPr>
                <w:p w14:paraId="3E940E83">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r>
                    <w:rPr>
                      <w:rFonts w:hint="eastAsia"/>
                      <w:kern w:val="0"/>
                      <w:sz w:val="21"/>
                      <w:szCs w:val="21"/>
                      <w:lang w:bidi="ar"/>
                    </w:rPr>
                    <w:t>1个</w:t>
                  </w:r>
                </w:p>
              </w:tc>
            </w:tr>
            <w:tr w14:paraId="377C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14FD8D90">
                  <w:pPr>
                    <w:keepNext w:val="0"/>
                    <w:keepLines w:val="0"/>
                    <w:pageBreakBefore w:val="0"/>
                    <w:widowControl/>
                    <w:kinsoku/>
                    <w:wordWrap/>
                    <w:overflowPunct/>
                    <w:topLinePunct w:val="0"/>
                    <w:autoSpaceDE/>
                    <w:autoSpaceDN/>
                    <w:bidi w:val="0"/>
                    <w:adjustRightInd w:val="0"/>
                    <w:snapToGrid w:val="0"/>
                    <w:spacing w:after="0"/>
                    <w:jc w:val="center"/>
                    <w:rPr>
                      <w:color w:val="000000"/>
                      <w:sz w:val="21"/>
                      <w:szCs w:val="21"/>
                    </w:rPr>
                  </w:pPr>
                  <w:r>
                    <w:rPr>
                      <w:rFonts w:hint="eastAsia"/>
                      <w:color w:val="000000"/>
                      <w:sz w:val="21"/>
                      <w:szCs w:val="21"/>
                    </w:rPr>
                    <w:t>25</w:t>
                  </w:r>
                </w:p>
              </w:tc>
              <w:tc>
                <w:tcPr>
                  <w:tcW w:w="1020" w:type="dxa"/>
                  <w:vMerge w:val="restart"/>
                  <w:tcBorders>
                    <w:tl2br w:val="nil"/>
                    <w:tr2bl w:val="nil"/>
                  </w:tcBorders>
                  <w:noWrap w:val="0"/>
                  <w:vAlign w:val="center"/>
                </w:tcPr>
                <w:p w14:paraId="11BE3392">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r>
                    <w:rPr>
                      <w:rFonts w:hint="eastAsia"/>
                      <w:color w:val="000000"/>
                      <w:kern w:val="0"/>
                      <w:sz w:val="21"/>
                      <w:szCs w:val="21"/>
                    </w:rPr>
                    <w:t>成品碳化</w:t>
                  </w:r>
                </w:p>
              </w:tc>
              <w:tc>
                <w:tcPr>
                  <w:tcW w:w="2274" w:type="dxa"/>
                  <w:tcBorders>
                    <w:tl2br w:val="nil"/>
                    <w:tr2bl w:val="nil"/>
                  </w:tcBorders>
                  <w:noWrap w:val="0"/>
                  <w:vAlign w:val="center"/>
                </w:tcPr>
                <w:p w14:paraId="484CDBAE">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sz w:val="21"/>
                      <w:szCs w:val="21"/>
                    </w:rPr>
                    <w:t>辊道炉</w:t>
                  </w:r>
                </w:p>
              </w:tc>
              <w:tc>
                <w:tcPr>
                  <w:tcW w:w="2750" w:type="dxa"/>
                  <w:tcBorders>
                    <w:tl2br w:val="nil"/>
                    <w:tr2bl w:val="nil"/>
                  </w:tcBorders>
                  <w:noWrap w:val="0"/>
                  <w:vAlign w:val="center"/>
                </w:tcPr>
                <w:p w14:paraId="3AAD8600">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60m</w:t>
                  </w:r>
                </w:p>
              </w:tc>
              <w:tc>
                <w:tcPr>
                  <w:tcW w:w="1282" w:type="dxa"/>
                  <w:tcBorders>
                    <w:tl2br w:val="nil"/>
                    <w:tr2bl w:val="nil"/>
                  </w:tcBorders>
                  <w:noWrap w:val="0"/>
                  <w:vAlign w:val="center"/>
                </w:tcPr>
                <w:p w14:paraId="50517897">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bidi="ar"/>
                    </w:rPr>
                  </w:pPr>
                  <w:r>
                    <w:rPr>
                      <w:rFonts w:hint="eastAsia"/>
                      <w:color w:val="000000"/>
                      <w:kern w:val="0"/>
                      <w:sz w:val="21"/>
                      <w:szCs w:val="21"/>
                      <w:lang w:bidi="ar"/>
                    </w:rPr>
                    <w:t>2套</w:t>
                  </w:r>
                </w:p>
              </w:tc>
            </w:tr>
            <w:tr w14:paraId="1015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7D781CCA">
                  <w:pPr>
                    <w:keepNext w:val="0"/>
                    <w:keepLines w:val="0"/>
                    <w:pageBreakBefore w:val="0"/>
                    <w:widowControl/>
                    <w:kinsoku/>
                    <w:wordWrap/>
                    <w:overflowPunct/>
                    <w:topLinePunct w:val="0"/>
                    <w:autoSpaceDE/>
                    <w:autoSpaceDN/>
                    <w:bidi w:val="0"/>
                    <w:adjustRightInd w:val="0"/>
                    <w:snapToGrid w:val="0"/>
                    <w:spacing w:after="0"/>
                    <w:jc w:val="center"/>
                    <w:rPr>
                      <w:color w:val="000000"/>
                      <w:sz w:val="21"/>
                      <w:szCs w:val="21"/>
                    </w:rPr>
                  </w:pPr>
                  <w:r>
                    <w:rPr>
                      <w:rFonts w:hint="eastAsia"/>
                      <w:color w:val="000000"/>
                      <w:sz w:val="21"/>
                      <w:szCs w:val="21"/>
                    </w:rPr>
                    <w:t>26</w:t>
                  </w:r>
                </w:p>
              </w:tc>
              <w:tc>
                <w:tcPr>
                  <w:tcW w:w="1020" w:type="dxa"/>
                  <w:vMerge w:val="continue"/>
                  <w:tcBorders>
                    <w:tl2br w:val="nil"/>
                    <w:tr2bl w:val="nil"/>
                  </w:tcBorders>
                  <w:noWrap w:val="0"/>
                  <w:vAlign w:val="center"/>
                </w:tcPr>
                <w:p w14:paraId="40B1D3DD">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2274" w:type="dxa"/>
                  <w:tcBorders>
                    <w:tl2br w:val="nil"/>
                    <w:tr2bl w:val="nil"/>
                  </w:tcBorders>
                  <w:noWrap w:val="0"/>
                  <w:vAlign w:val="center"/>
                </w:tcPr>
                <w:p w14:paraId="63764FA0">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自动输送机</w:t>
                  </w:r>
                </w:p>
              </w:tc>
              <w:tc>
                <w:tcPr>
                  <w:tcW w:w="2750" w:type="dxa"/>
                  <w:tcBorders>
                    <w:tl2br w:val="nil"/>
                    <w:tr2bl w:val="nil"/>
                  </w:tcBorders>
                  <w:noWrap w:val="0"/>
                  <w:vAlign w:val="center"/>
                </w:tcPr>
                <w:p w14:paraId="5394D433">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w:t>
                  </w:r>
                </w:p>
              </w:tc>
              <w:tc>
                <w:tcPr>
                  <w:tcW w:w="1282" w:type="dxa"/>
                  <w:tcBorders>
                    <w:tl2br w:val="nil"/>
                    <w:tr2bl w:val="nil"/>
                  </w:tcBorders>
                  <w:noWrap w:val="0"/>
                  <w:vAlign w:val="center"/>
                </w:tcPr>
                <w:p w14:paraId="0284ED1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bidi="ar"/>
                    </w:rPr>
                  </w:pPr>
                  <w:r>
                    <w:rPr>
                      <w:rFonts w:hint="eastAsia"/>
                      <w:color w:val="000000"/>
                      <w:kern w:val="0"/>
                      <w:sz w:val="21"/>
                      <w:szCs w:val="21"/>
                      <w:lang w:bidi="ar"/>
                    </w:rPr>
                    <w:t>1条</w:t>
                  </w:r>
                </w:p>
              </w:tc>
            </w:tr>
            <w:tr w14:paraId="1404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4ED9B93E">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r>
                    <w:rPr>
                      <w:rFonts w:hint="eastAsia"/>
                      <w:color w:val="000000"/>
                      <w:sz w:val="21"/>
                      <w:szCs w:val="21"/>
                    </w:rPr>
                    <w:t>27</w:t>
                  </w:r>
                </w:p>
              </w:tc>
              <w:tc>
                <w:tcPr>
                  <w:tcW w:w="1020" w:type="dxa"/>
                  <w:vMerge w:val="continue"/>
                  <w:tcBorders>
                    <w:tl2br w:val="nil"/>
                    <w:tr2bl w:val="nil"/>
                  </w:tcBorders>
                  <w:noWrap w:val="0"/>
                  <w:vAlign w:val="center"/>
                </w:tcPr>
                <w:p w14:paraId="02C968A6">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2274" w:type="dxa"/>
                  <w:tcBorders>
                    <w:tl2br w:val="nil"/>
                    <w:tr2bl w:val="nil"/>
                  </w:tcBorders>
                  <w:noWrap w:val="0"/>
                  <w:vAlign w:val="center"/>
                </w:tcPr>
                <w:p w14:paraId="46EE1BEC">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变压器</w:t>
                  </w:r>
                </w:p>
              </w:tc>
              <w:tc>
                <w:tcPr>
                  <w:tcW w:w="2750" w:type="dxa"/>
                  <w:tcBorders>
                    <w:tl2br w:val="nil"/>
                    <w:tr2bl w:val="nil"/>
                  </w:tcBorders>
                  <w:noWrap w:val="0"/>
                  <w:vAlign w:val="center"/>
                </w:tcPr>
                <w:p w14:paraId="06E31149">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1000KVA</w:t>
                  </w:r>
                </w:p>
              </w:tc>
              <w:tc>
                <w:tcPr>
                  <w:tcW w:w="1282" w:type="dxa"/>
                  <w:tcBorders>
                    <w:tl2br w:val="nil"/>
                    <w:tr2bl w:val="nil"/>
                  </w:tcBorders>
                  <w:noWrap w:val="0"/>
                  <w:vAlign w:val="center"/>
                </w:tcPr>
                <w:p w14:paraId="2D59146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bidi="ar"/>
                    </w:rPr>
                  </w:pPr>
                  <w:r>
                    <w:rPr>
                      <w:rFonts w:hint="eastAsia"/>
                      <w:color w:val="000000"/>
                      <w:kern w:val="0"/>
                      <w:sz w:val="21"/>
                      <w:szCs w:val="21"/>
                      <w:lang w:bidi="ar"/>
                    </w:rPr>
                    <w:t>/</w:t>
                  </w:r>
                </w:p>
              </w:tc>
            </w:tr>
            <w:tr w14:paraId="4894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09B4B6C8">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r>
                    <w:rPr>
                      <w:rFonts w:hint="eastAsia"/>
                      <w:color w:val="000000"/>
                      <w:sz w:val="21"/>
                      <w:szCs w:val="21"/>
                    </w:rPr>
                    <w:t>28</w:t>
                  </w:r>
                </w:p>
              </w:tc>
              <w:tc>
                <w:tcPr>
                  <w:tcW w:w="1020" w:type="dxa"/>
                  <w:vMerge w:val="continue"/>
                  <w:tcBorders>
                    <w:tl2br w:val="nil"/>
                    <w:tr2bl w:val="nil"/>
                  </w:tcBorders>
                  <w:noWrap w:val="0"/>
                  <w:vAlign w:val="center"/>
                </w:tcPr>
                <w:p w14:paraId="77F97D29">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2274" w:type="dxa"/>
                  <w:tcBorders>
                    <w:tl2br w:val="nil"/>
                    <w:tr2bl w:val="nil"/>
                  </w:tcBorders>
                  <w:noWrap w:val="0"/>
                  <w:vAlign w:val="center"/>
                </w:tcPr>
                <w:p w14:paraId="216771B4">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变压器</w:t>
                  </w:r>
                </w:p>
              </w:tc>
              <w:tc>
                <w:tcPr>
                  <w:tcW w:w="2750" w:type="dxa"/>
                  <w:tcBorders>
                    <w:tl2br w:val="nil"/>
                    <w:tr2bl w:val="nil"/>
                  </w:tcBorders>
                  <w:noWrap w:val="0"/>
                  <w:vAlign w:val="center"/>
                </w:tcPr>
                <w:p w14:paraId="2C28D11C">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2000KVA</w:t>
                  </w:r>
                </w:p>
              </w:tc>
              <w:tc>
                <w:tcPr>
                  <w:tcW w:w="1282" w:type="dxa"/>
                  <w:tcBorders>
                    <w:tl2br w:val="nil"/>
                    <w:tr2bl w:val="nil"/>
                  </w:tcBorders>
                  <w:noWrap w:val="0"/>
                  <w:vAlign w:val="center"/>
                </w:tcPr>
                <w:p w14:paraId="35437CA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bidi="ar"/>
                    </w:rPr>
                  </w:pPr>
                  <w:r>
                    <w:rPr>
                      <w:rFonts w:hint="eastAsia"/>
                      <w:color w:val="000000"/>
                      <w:kern w:val="0"/>
                      <w:sz w:val="21"/>
                      <w:szCs w:val="21"/>
                      <w:lang w:bidi="ar"/>
                    </w:rPr>
                    <w:t>/</w:t>
                  </w:r>
                </w:p>
              </w:tc>
            </w:tr>
            <w:tr w14:paraId="62A7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6814DCCC">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r>
                    <w:rPr>
                      <w:rFonts w:hint="eastAsia"/>
                      <w:color w:val="000000"/>
                      <w:kern w:val="0"/>
                      <w:sz w:val="21"/>
                      <w:szCs w:val="21"/>
                    </w:rPr>
                    <w:t>29</w:t>
                  </w:r>
                </w:p>
              </w:tc>
              <w:tc>
                <w:tcPr>
                  <w:tcW w:w="1020" w:type="dxa"/>
                  <w:vMerge w:val="continue"/>
                  <w:tcBorders>
                    <w:tl2br w:val="nil"/>
                    <w:tr2bl w:val="nil"/>
                  </w:tcBorders>
                  <w:noWrap w:val="0"/>
                  <w:vAlign w:val="center"/>
                </w:tcPr>
                <w:p w14:paraId="0A222D28">
                  <w:pPr>
                    <w:keepNext w:val="0"/>
                    <w:keepLines w:val="0"/>
                    <w:pageBreakBefore w:val="0"/>
                    <w:widowControl/>
                    <w:kinsoku/>
                    <w:wordWrap/>
                    <w:overflowPunct/>
                    <w:topLinePunct w:val="0"/>
                    <w:autoSpaceDE/>
                    <w:autoSpaceDN/>
                    <w:bidi w:val="0"/>
                    <w:adjustRightInd w:val="0"/>
                    <w:snapToGrid w:val="0"/>
                    <w:spacing w:after="0"/>
                    <w:jc w:val="center"/>
                    <w:rPr>
                      <w:color w:val="000000"/>
                      <w:kern w:val="0"/>
                      <w:sz w:val="21"/>
                      <w:szCs w:val="21"/>
                    </w:rPr>
                  </w:pPr>
                </w:p>
              </w:tc>
              <w:tc>
                <w:tcPr>
                  <w:tcW w:w="2274" w:type="dxa"/>
                  <w:tcBorders>
                    <w:tl2br w:val="nil"/>
                    <w:tr2bl w:val="nil"/>
                  </w:tcBorders>
                  <w:noWrap w:val="0"/>
                  <w:vAlign w:val="center"/>
                </w:tcPr>
                <w:p w14:paraId="282334D3">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脱硫塔</w:t>
                  </w:r>
                </w:p>
              </w:tc>
              <w:tc>
                <w:tcPr>
                  <w:tcW w:w="2750" w:type="dxa"/>
                  <w:tcBorders>
                    <w:tl2br w:val="nil"/>
                    <w:tr2bl w:val="nil"/>
                  </w:tcBorders>
                  <w:noWrap w:val="0"/>
                  <w:vAlign w:val="center"/>
                </w:tcPr>
                <w:p w14:paraId="424087C3">
                  <w:pPr>
                    <w:keepNext w:val="0"/>
                    <w:keepLines w:val="0"/>
                    <w:pageBreakBefore w:val="0"/>
                    <w:widowControl/>
                    <w:kinsoku/>
                    <w:wordWrap/>
                    <w:overflowPunct/>
                    <w:topLinePunct w:val="0"/>
                    <w:autoSpaceDE/>
                    <w:autoSpaceDN/>
                    <w:bidi w:val="0"/>
                    <w:adjustRightInd w:val="0"/>
                    <w:snapToGrid w:val="0"/>
                    <w:spacing w:after="0"/>
                    <w:jc w:val="center"/>
                    <w:textAlignment w:val="center"/>
                    <w:rPr>
                      <w:color w:val="000000"/>
                      <w:kern w:val="0"/>
                      <w:sz w:val="21"/>
                      <w:szCs w:val="21"/>
                      <w:lang w:bidi="ar"/>
                    </w:rPr>
                  </w:pPr>
                  <w:r>
                    <w:rPr>
                      <w:rFonts w:hint="eastAsia"/>
                      <w:color w:val="000000"/>
                      <w:kern w:val="0"/>
                      <w:sz w:val="21"/>
                      <w:szCs w:val="21"/>
                      <w:lang w:bidi="ar"/>
                    </w:rPr>
                    <w:t>双碱法脱硫塔</w:t>
                  </w:r>
                </w:p>
              </w:tc>
              <w:tc>
                <w:tcPr>
                  <w:tcW w:w="1282" w:type="dxa"/>
                  <w:tcBorders>
                    <w:tl2br w:val="nil"/>
                    <w:tr2bl w:val="nil"/>
                  </w:tcBorders>
                  <w:noWrap w:val="0"/>
                  <w:vAlign w:val="center"/>
                </w:tcPr>
                <w:p w14:paraId="637C558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color w:val="000000"/>
                      <w:kern w:val="0"/>
                      <w:sz w:val="21"/>
                      <w:szCs w:val="21"/>
                      <w:lang w:bidi="ar"/>
                    </w:rPr>
                  </w:pPr>
                  <w:r>
                    <w:rPr>
                      <w:rFonts w:hint="eastAsia"/>
                      <w:color w:val="000000"/>
                      <w:kern w:val="0"/>
                      <w:sz w:val="21"/>
                      <w:szCs w:val="21"/>
                      <w:lang w:bidi="ar"/>
                    </w:rPr>
                    <w:t>1套</w:t>
                  </w:r>
                </w:p>
              </w:tc>
            </w:tr>
            <w:tr w14:paraId="3DC7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05E779C4">
                  <w:pPr>
                    <w:keepNext w:val="0"/>
                    <w:keepLines w:val="0"/>
                    <w:pageBreakBefore w:val="0"/>
                    <w:widowControl/>
                    <w:kinsoku/>
                    <w:wordWrap/>
                    <w:overflowPunct/>
                    <w:topLinePunct w:val="0"/>
                    <w:autoSpaceDE/>
                    <w:autoSpaceDN/>
                    <w:bidi w:val="0"/>
                    <w:adjustRightInd w:val="0"/>
                    <w:snapToGrid w:val="0"/>
                    <w:spacing w:after="0"/>
                    <w:jc w:val="center"/>
                    <w:rPr>
                      <w:rFonts w:hint="eastAsia"/>
                      <w:kern w:val="0"/>
                      <w:sz w:val="21"/>
                      <w:szCs w:val="21"/>
                    </w:rPr>
                  </w:pPr>
                  <w:r>
                    <w:rPr>
                      <w:rFonts w:hint="eastAsia"/>
                      <w:sz w:val="21"/>
                      <w:szCs w:val="21"/>
                    </w:rPr>
                    <w:t>3</w:t>
                  </w:r>
                  <w:r>
                    <w:rPr>
                      <w:sz w:val="21"/>
                      <w:szCs w:val="21"/>
                    </w:rPr>
                    <w:t>0</w:t>
                  </w:r>
                </w:p>
              </w:tc>
              <w:tc>
                <w:tcPr>
                  <w:tcW w:w="1020" w:type="dxa"/>
                  <w:vMerge w:val="continue"/>
                  <w:tcBorders>
                    <w:tl2br w:val="nil"/>
                    <w:tr2bl w:val="nil"/>
                  </w:tcBorders>
                  <w:noWrap w:val="0"/>
                  <w:vAlign w:val="center"/>
                </w:tcPr>
                <w:p w14:paraId="4050C0A0">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34772B27">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r>
                    <w:rPr>
                      <w:rFonts w:hint="eastAsia"/>
                      <w:kern w:val="0"/>
                      <w:sz w:val="21"/>
                      <w:szCs w:val="21"/>
                      <w:lang w:bidi="ar"/>
                    </w:rPr>
                    <w:t>电捕焦油器</w:t>
                  </w:r>
                </w:p>
              </w:tc>
              <w:tc>
                <w:tcPr>
                  <w:tcW w:w="2750" w:type="dxa"/>
                  <w:tcBorders>
                    <w:tl2br w:val="nil"/>
                    <w:tr2bl w:val="nil"/>
                  </w:tcBorders>
                  <w:noWrap w:val="0"/>
                  <w:vAlign w:val="center"/>
                </w:tcPr>
                <w:p w14:paraId="3E8BCC0F">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r>
                    <w:rPr>
                      <w:rFonts w:hint="eastAsia"/>
                      <w:kern w:val="0"/>
                      <w:sz w:val="21"/>
                      <w:szCs w:val="21"/>
                      <w:lang w:bidi="ar"/>
                    </w:rPr>
                    <w:t>FD208-II</w:t>
                  </w:r>
                </w:p>
              </w:tc>
              <w:tc>
                <w:tcPr>
                  <w:tcW w:w="1282" w:type="dxa"/>
                  <w:tcBorders>
                    <w:tl2br w:val="nil"/>
                    <w:tr2bl w:val="nil"/>
                  </w:tcBorders>
                  <w:noWrap w:val="0"/>
                  <w:vAlign w:val="center"/>
                </w:tcPr>
                <w:p w14:paraId="2695A11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r>
                    <w:rPr>
                      <w:rFonts w:hint="eastAsia"/>
                      <w:kern w:val="0"/>
                      <w:sz w:val="21"/>
                      <w:szCs w:val="21"/>
                      <w:lang w:bidi="ar"/>
                    </w:rPr>
                    <w:t>1套</w:t>
                  </w:r>
                </w:p>
              </w:tc>
            </w:tr>
            <w:tr w14:paraId="2E1F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71" w:type="dxa"/>
                  <w:tcBorders>
                    <w:tl2br w:val="nil"/>
                    <w:tr2bl w:val="nil"/>
                  </w:tcBorders>
                  <w:noWrap w:val="0"/>
                  <w:vAlign w:val="center"/>
                </w:tcPr>
                <w:p w14:paraId="1DF222AA">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sz w:val="21"/>
                      <w:szCs w:val="21"/>
                    </w:rPr>
                    <w:t>31</w:t>
                  </w:r>
                </w:p>
              </w:tc>
              <w:tc>
                <w:tcPr>
                  <w:tcW w:w="1020" w:type="dxa"/>
                  <w:vMerge w:val="restart"/>
                  <w:tcBorders>
                    <w:tl2br w:val="nil"/>
                    <w:tr2bl w:val="nil"/>
                  </w:tcBorders>
                  <w:noWrap w:val="0"/>
                  <w:vAlign w:val="center"/>
                </w:tcPr>
                <w:p w14:paraId="6AF5F0E8">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kern w:val="0"/>
                      <w:sz w:val="21"/>
                      <w:szCs w:val="21"/>
                    </w:rPr>
                    <w:t>全厂</w:t>
                  </w:r>
                </w:p>
              </w:tc>
              <w:tc>
                <w:tcPr>
                  <w:tcW w:w="2274" w:type="dxa"/>
                  <w:tcBorders>
                    <w:tl2br w:val="nil"/>
                    <w:tr2bl w:val="nil"/>
                  </w:tcBorders>
                  <w:noWrap w:val="0"/>
                  <w:vAlign w:val="center"/>
                </w:tcPr>
                <w:p w14:paraId="391EBB91">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叉车</w:t>
                  </w:r>
                </w:p>
              </w:tc>
              <w:tc>
                <w:tcPr>
                  <w:tcW w:w="2750" w:type="dxa"/>
                  <w:tcBorders>
                    <w:tl2br w:val="nil"/>
                    <w:tr2bl w:val="nil"/>
                  </w:tcBorders>
                  <w:noWrap w:val="0"/>
                  <w:vAlign w:val="center"/>
                </w:tcPr>
                <w:p w14:paraId="67C41DCC">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3吨</w:t>
                  </w:r>
                </w:p>
              </w:tc>
              <w:tc>
                <w:tcPr>
                  <w:tcW w:w="1282" w:type="dxa"/>
                  <w:tcBorders>
                    <w:tl2br w:val="nil"/>
                    <w:tr2bl w:val="nil"/>
                  </w:tcBorders>
                  <w:noWrap w:val="0"/>
                  <w:vAlign w:val="center"/>
                </w:tcPr>
                <w:p w14:paraId="7E7793E2">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kern w:val="0"/>
                      <w:sz w:val="21"/>
                      <w:szCs w:val="21"/>
                      <w:lang w:bidi="ar"/>
                    </w:rPr>
                    <w:t>2台</w:t>
                  </w:r>
                </w:p>
              </w:tc>
            </w:tr>
            <w:tr w14:paraId="2877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971" w:type="dxa"/>
                  <w:tcBorders>
                    <w:tl2br w:val="nil"/>
                    <w:tr2bl w:val="nil"/>
                  </w:tcBorders>
                  <w:noWrap w:val="0"/>
                  <w:vAlign w:val="center"/>
                </w:tcPr>
                <w:p w14:paraId="47FBF6EF">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sz w:val="21"/>
                      <w:szCs w:val="21"/>
                    </w:rPr>
                    <w:t>32</w:t>
                  </w:r>
                </w:p>
              </w:tc>
              <w:tc>
                <w:tcPr>
                  <w:tcW w:w="1020" w:type="dxa"/>
                  <w:vMerge w:val="continue"/>
                  <w:tcBorders>
                    <w:tl2br w:val="nil"/>
                    <w:tr2bl w:val="nil"/>
                  </w:tcBorders>
                  <w:noWrap w:val="0"/>
                  <w:vAlign w:val="center"/>
                </w:tcPr>
                <w:p w14:paraId="3B22263C">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541D6961">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备用柴油发电机</w:t>
                  </w:r>
                </w:p>
              </w:tc>
              <w:tc>
                <w:tcPr>
                  <w:tcW w:w="2750" w:type="dxa"/>
                  <w:tcBorders>
                    <w:tl2br w:val="nil"/>
                    <w:tr2bl w:val="nil"/>
                  </w:tcBorders>
                  <w:noWrap w:val="0"/>
                  <w:vAlign w:val="center"/>
                </w:tcPr>
                <w:p w14:paraId="7F571509">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150</w:t>
                  </w:r>
                  <w:r>
                    <w:rPr>
                      <w:rFonts w:hint="eastAsia"/>
                      <w:kern w:val="0"/>
                      <w:sz w:val="21"/>
                      <w:szCs w:val="21"/>
                      <w:lang w:eastAsia="zh-CN" w:bidi="ar"/>
                    </w:rPr>
                    <w:t>kW</w:t>
                  </w:r>
                </w:p>
              </w:tc>
              <w:tc>
                <w:tcPr>
                  <w:tcW w:w="1282" w:type="dxa"/>
                  <w:tcBorders>
                    <w:tl2br w:val="nil"/>
                    <w:tr2bl w:val="nil"/>
                  </w:tcBorders>
                  <w:noWrap w:val="0"/>
                  <w:vAlign w:val="center"/>
                </w:tcPr>
                <w:p w14:paraId="590EBB44">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kern w:val="0"/>
                      <w:sz w:val="21"/>
                      <w:szCs w:val="21"/>
                      <w:lang w:bidi="ar"/>
                    </w:rPr>
                    <w:t>1台</w:t>
                  </w:r>
                </w:p>
              </w:tc>
            </w:tr>
            <w:tr w14:paraId="4C6C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0C216EA0">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r>
                    <w:rPr>
                      <w:rFonts w:hint="eastAsia"/>
                      <w:sz w:val="21"/>
                      <w:szCs w:val="21"/>
                    </w:rPr>
                    <w:t>33</w:t>
                  </w:r>
                </w:p>
              </w:tc>
              <w:tc>
                <w:tcPr>
                  <w:tcW w:w="1020" w:type="dxa"/>
                  <w:vMerge w:val="continue"/>
                  <w:tcBorders>
                    <w:tl2br w:val="nil"/>
                    <w:tr2bl w:val="nil"/>
                  </w:tcBorders>
                  <w:noWrap w:val="0"/>
                  <w:vAlign w:val="center"/>
                </w:tcPr>
                <w:p w14:paraId="15AE5584">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58BA9EE5">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高低压电力系统</w:t>
                  </w:r>
                </w:p>
              </w:tc>
              <w:tc>
                <w:tcPr>
                  <w:tcW w:w="2750" w:type="dxa"/>
                  <w:tcBorders>
                    <w:tl2br w:val="nil"/>
                    <w:tr2bl w:val="nil"/>
                  </w:tcBorders>
                  <w:noWrap w:val="0"/>
                  <w:vAlign w:val="center"/>
                </w:tcPr>
                <w:p w14:paraId="5A137EE9">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w:t>
                  </w:r>
                </w:p>
              </w:tc>
              <w:tc>
                <w:tcPr>
                  <w:tcW w:w="1282" w:type="dxa"/>
                  <w:tcBorders>
                    <w:tl2br w:val="nil"/>
                    <w:tr2bl w:val="nil"/>
                  </w:tcBorders>
                  <w:noWrap w:val="0"/>
                  <w:vAlign w:val="center"/>
                </w:tcPr>
                <w:p w14:paraId="6A8985E7">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kern w:val="0"/>
                      <w:sz w:val="21"/>
                      <w:szCs w:val="21"/>
                      <w:lang w:bidi="ar"/>
                    </w:rPr>
                    <w:t>1套</w:t>
                  </w:r>
                </w:p>
              </w:tc>
            </w:tr>
            <w:tr w14:paraId="4B05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581FF9ED">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34</w:t>
                  </w:r>
                </w:p>
              </w:tc>
              <w:tc>
                <w:tcPr>
                  <w:tcW w:w="1020" w:type="dxa"/>
                  <w:vMerge w:val="continue"/>
                  <w:tcBorders>
                    <w:tl2br w:val="nil"/>
                    <w:tr2bl w:val="nil"/>
                  </w:tcBorders>
                  <w:noWrap w:val="0"/>
                  <w:vAlign w:val="center"/>
                </w:tcPr>
                <w:p w14:paraId="751808E1">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5D0FDAED">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rFonts w:hint="eastAsia"/>
                      <w:kern w:val="0"/>
                      <w:sz w:val="21"/>
                      <w:szCs w:val="21"/>
                      <w:lang w:bidi="ar"/>
                    </w:rPr>
                    <w:t>检验</w:t>
                  </w:r>
                  <w:r>
                    <w:rPr>
                      <w:kern w:val="0"/>
                      <w:sz w:val="21"/>
                      <w:szCs w:val="21"/>
                      <w:lang w:bidi="ar"/>
                    </w:rPr>
                    <w:t>系统</w:t>
                  </w:r>
                </w:p>
              </w:tc>
              <w:tc>
                <w:tcPr>
                  <w:tcW w:w="2750" w:type="dxa"/>
                  <w:tcBorders>
                    <w:tl2br w:val="nil"/>
                    <w:tr2bl w:val="nil"/>
                  </w:tcBorders>
                  <w:noWrap w:val="0"/>
                  <w:vAlign w:val="center"/>
                </w:tcPr>
                <w:p w14:paraId="7DE908A0">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w:t>
                  </w:r>
                </w:p>
              </w:tc>
              <w:tc>
                <w:tcPr>
                  <w:tcW w:w="1282" w:type="dxa"/>
                  <w:tcBorders>
                    <w:tl2br w:val="nil"/>
                    <w:tr2bl w:val="nil"/>
                  </w:tcBorders>
                  <w:noWrap w:val="0"/>
                  <w:vAlign w:val="center"/>
                </w:tcPr>
                <w:p w14:paraId="31A2657C">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kern w:val="0"/>
                      <w:sz w:val="21"/>
                      <w:szCs w:val="21"/>
                      <w:lang w:bidi="ar"/>
                    </w:rPr>
                    <w:t>1套</w:t>
                  </w:r>
                </w:p>
              </w:tc>
            </w:tr>
            <w:tr w14:paraId="7786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23BB2E79">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35</w:t>
                  </w:r>
                </w:p>
              </w:tc>
              <w:tc>
                <w:tcPr>
                  <w:tcW w:w="1020" w:type="dxa"/>
                  <w:vMerge w:val="continue"/>
                  <w:tcBorders>
                    <w:tl2br w:val="nil"/>
                    <w:tr2bl w:val="nil"/>
                  </w:tcBorders>
                  <w:noWrap w:val="0"/>
                  <w:vAlign w:val="center"/>
                </w:tcPr>
                <w:p w14:paraId="4AFE3322">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6940B8F9">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烟气处理系统</w:t>
                  </w:r>
                </w:p>
              </w:tc>
              <w:tc>
                <w:tcPr>
                  <w:tcW w:w="2750" w:type="dxa"/>
                  <w:tcBorders>
                    <w:tl2br w:val="nil"/>
                    <w:tr2bl w:val="nil"/>
                  </w:tcBorders>
                  <w:noWrap w:val="0"/>
                  <w:vAlign w:val="center"/>
                </w:tcPr>
                <w:p w14:paraId="293D0850">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eastAsia="宋体"/>
                      <w:kern w:val="0"/>
                      <w:sz w:val="21"/>
                      <w:szCs w:val="21"/>
                      <w:lang w:val="en-US" w:eastAsia="zh-CN"/>
                    </w:rPr>
                  </w:pPr>
                  <w:r>
                    <w:rPr>
                      <w:kern w:val="0"/>
                      <w:sz w:val="21"/>
                      <w:szCs w:val="21"/>
                      <w:lang w:bidi="ar"/>
                    </w:rPr>
                    <w:t>脱硫塔</w:t>
                  </w:r>
                  <w:r>
                    <w:rPr>
                      <w:rFonts w:hint="eastAsia"/>
                      <w:kern w:val="0"/>
                      <w:sz w:val="21"/>
                      <w:szCs w:val="21"/>
                      <w:lang w:val="en-US" w:eastAsia="zh-CN" w:bidi="ar"/>
                    </w:rPr>
                    <w:t>+电捕焦油器</w:t>
                  </w:r>
                </w:p>
              </w:tc>
              <w:tc>
                <w:tcPr>
                  <w:tcW w:w="1282" w:type="dxa"/>
                  <w:tcBorders>
                    <w:tl2br w:val="nil"/>
                    <w:tr2bl w:val="nil"/>
                  </w:tcBorders>
                  <w:noWrap w:val="0"/>
                  <w:vAlign w:val="center"/>
                </w:tcPr>
                <w:p w14:paraId="7BF341A2">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val="en-US" w:eastAsia="zh-CN" w:bidi="ar"/>
                    </w:rPr>
                    <w:t>2</w:t>
                  </w:r>
                  <w:r>
                    <w:rPr>
                      <w:kern w:val="0"/>
                      <w:sz w:val="21"/>
                      <w:szCs w:val="21"/>
                      <w:lang w:bidi="ar"/>
                    </w:rPr>
                    <w:t>套</w:t>
                  </w:r>
                </w:p>
              </w:tc>
            </w:tr>
            <w:tr w14:paraId="7AF0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4F60DEEF">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36</w:t>
                  </w:r>
                </w:p>
              </w:tc>
              <w:tc>
                <w:tcPr>
                  <w:tcW w:w="1020" w:type="dxa"/>
                  <w:vMerge w:val="continue"/>
                  <w:tcBorders>
                    <w:tl2br w:val="nil"/>
                    <w:tr2bl w:val="nil"/>
                  </w:tcBorders>
                  <w:noWrap w:val="0"/>
                  <w:vAlign w:val="center"/>
                </w:tcPr>
                <w:p w14:paraId="65F1257F">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4D4071FC">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袋式除尘器</w:t>
                  </w:r>
                </w:p>
              </w:tc>
              <w:tc>
                <w:tcPr>
                  <w:tcW w:w="2750" w:type="dxa"/>
                  <w:tcBorders>
                    <w:tl2br w:val="nil"/>
                    <w:tr2bl w:val="nil"/>
                  </w:tcBorders>
                  <w:noWrap w:val="0"/>
                  <w:vAlign w:val="center"/>
                </w:tcPr>
                <w:p w14:paraId="4CDE536F">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rPr>
                  </w:pPr>
                  <w:r>
                    <w:rPr>
                      <w:kern w:val="0"/>
                      <w:sz w:val="21"/>
                      <w:szCs w:val="21"/>
                      <w:lang w:bidi="ar"/>
                    </w:rPr>
                    <w:t>/</w:t>
                  </w:r>
                </w:p>
              </w:tc>
              <w:tc>
                <w:tcPr>
                  <w:tcW w:w="1282" w:type="dxa"/>
                  <w:tcBorders>
                    <w:tl2br w:val="nil"/>
                    <w:tr2bl w:val="nil"/>
                  </w:tcBorders>
                  <w:noWrap w:val="0"/>
                  <w:vAlign w:val="center"/>
                </w:tcPr>
                <w:p w14:paraId="293E61C2">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val="en-US" w:eastAsia="zh-CN" w:bidi="ar"/>
                    </w:rPr>
                    <w:t>2</w:t>
                  </w:r>
                  <w:r>
                    <w:rPr>
                      <w:kern w:val="0"/>
                      <w:sz w:val="21"/>
                      <w:szCs w:val="21"/>
                      <w:lang w:bidi="ar"/>
                    </w:rPr>
                    <w:t>台</w:t>
                  </w:r>
                </w:p>
              </w:tc>
            </w:tr>
            <w:tr w14:paraId="77A9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1" w:type="dxa"/>
                  <w:tcBorders>
                    <w:tl2br w:val="nil"/>
                    <w:tr2bl w:val="nil"/>
                  </w:tcBorders>
                  <w:noWrap w:val="0"/>
                  <w:vAlign w:val="center"/>
                </w:tcPr>
                <w:p w14:paraId="24841024">
                  <w:pPr>
                    <w:keepNext w:val="0"/>
                    <w:keepLines w:val="0"/>
                    <w:pageBreakBefore w:val="0"/>
                    <w:widowControl/>
                    <w:kinsoku/>
                    <w:wordWrap/>
                    <w:overflowPunct/>
                    <w:topLinePunct w:val="0"/>
                    <w:autoSpaceDE/>
                    <w:autoSpaceDN/>
                    <w:bidi w:val="0"/>
                    <w:adjustRightInd w:val="0"/>
                    <w:snapToGrid w:val="0"/>
                    <w:spacing w:after="0"/>
                    <w:jc w:val="center"/>
                    <w:rPr>
                      <w:sz w:val="21"/>
                      <w:szCs w:val="21"/>
                    </w:rPr>
                  </w:pPr>
                  <w:r>
                    <w:rPr>
                      <w:rFonts w:hint="eastAsia"/>
                      <w:sz w:val="21"/>
                      <w:szCs w:val="21"/>
                    </w:rPr>
                    <w:t>37</w:t>
                  </w:r>
                </w:p>
              </w:tc>
              <w:tc>
                <w:tcPr>
                  <w:tcW w:w="1020" w:type="dxa"/>
                  <w:vMerge w:val="continue"/>
                  <w:tcBorders>
                    <w:tl2br w:val="nil"/>
                    <w:tr2bl w:val="nil"/>
                  </w:tcBorders>
                  <w:noWrap w:val="0"/>
                  <w:vAlign w:val="center"/>
                </w:tcPr>
                <w:p w14:paraId="774E8FD9">
                  <w:pPr>
                    <w:keepNext w:val="0"/>
                    <w:keepLines w:val="0"/>
                    <w:pageBreakBefore w:val="0"/>
                    <w:widowControl/>
                    <w:kinsoku/>
                    <w:wordWrap/>
                    <w:overflowPunct/>
                    <w:topLinePunct w:val="0"/>
                    <w:autoSpaceDE/>
                    <w:autoSpaceDN/>
                    <w:bidi w:val="0"/>
                    <w:adjustRightInd w:val="0"/>
                    <w:snapToGrid w:val="0"/>
                    <w:spacing w:after="0"/>
                    <w:jc w:val="center"/>
                    <w:rPr>
                      <w:kern w:val="0"/>
                      <w:sz w:val="21"/>
                      <w:szCs w:val="21"/>
                    </w:rPr>
                  </w:pPr>
                </w:p>
              </w:tc>
              <w:tc>
                <w:tcPr>
                  <w:tcW w:w="2274" w:type="dxa"/>
                  <w:tcBorders>
                    <w:tl2br w:val="nil"/>
                    <w:tr2bl w:val="nil"/>
                  </w:tcBorders>
                  <w:noWrap w:val="0"/>
                  <w:vAlign w:val="center"/>
                </w:tcPr>
                <w:p w14:paraId="6B4FD4EC">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bidi="ar"/>
                    </w:rPr>
                    <w:t>皮带输送机</w:t>
                  </w:r>
                </w:p>
              </w:tc>
              <w:tc>
                <w:tcPr>
                  <w:tcW w:w="2750" w:type="dxa"/>
                  <w:tcBorders>
                    <w:tl2br w:val="nil"/>
                    <w:tr2bl w:val="nil"/>
                  </w:tcBorders>
                  <w:noWrap w:val="0"/>
                  <w:vAlign w:val="center"/>
                </w:tcPr>
                <w:p w14:paraId="029C49F7">
                  <w:pPr>
                    <w:keepNext w:val="0"/>
                    <w:keepLines w:val="0"/>
                    <w:pageBreakBefore w:val="0"/>
                    <w:widowControl/>
                    <w:kinsoku/>
                    <w:wordWrap/>
                    <w:overflowPunct/>
                    <w:topLinePunct w:val="0"/>
                    <w:autoSpaceDE/>
                    <w:autoSpaceDN/>
                    <w:bidi w:val="0"/>
                    <w:adjustRightInd w:val="0"/>
                    <w:snapToGrid w:val="0"/>
                    <w:spacing w:after="0"/>
                    <w:jc w:val="center"/>
                    <w:textAlignment w:val="center"/>
                    <w:rPr>
                      <w:kern w:val="0"/>
                      <w:sz w:val="21"/>
                      <w:szCs w:val="21"/>
                      <w:lang w:bidi="ar"/>
                    </w:rPr>
                  </w:pPr>
                  <w:r>
                    <w:rPr>
                      <w:rFonts w:hint="eastAsia"/>
                      <w:kern w:val="0"/>
                      <w:sz w:val="21"/>
                      <w:szCs w:val="21"/>
                      <w:lang w:bidi="ar"/>
                    </w:rPr>
                    <w:t>/</w:t>
                  </w:r>
                </w:p>
              </w:tc>
              <w:tc>
                <w:tcPr>
                  <w:tcW w:w="1282" w:type="dxa"/>
                  <w:tcBorders>
                    <w:tl2br w:val="nil"/>
                    <w:tr2bl w:val="nil"/>
                  </w:tcBorders>
                  <w:noWrap w:val="0"/>
                  <w:vAlign w:val="center"/>
                </w:tcPr>
                <w:p w14:paraId="3A5CD05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kern w:val="0"/>
                      <w:sz w:val="21"/>
                      <w:szCs w:val="21"/>
                      <w:lang w:bidi="ar"/>
                    </w:rPr>
                  </w:pPr>
                  <w:r>
                    <w:rPr>
                      <w:rFonts w:hint="eastAsia"/>
                      <w:kern w:val="0"/>
                      <w:sz w:val="21"/>
                      <w:szCs w:val="21"/>
                      <w:lang w:bidi="ar"/>
                    </w:rPr>
                    <w:t>3台</w:t>
                  </w:r>
                </w:p>
              </w:tc>
            </w:tr>
          </w:tbl>
          <w:p w14:paraId="1D1E4CA6">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textAlignment w:val="auto"/>
              <w:rPr>
                <w:rFonts w:hint="eastAsia"/>
                <w:b/>
                <w:bCs/>
                <w:color w:val="000000"/>
                <w:sz w:val="24"/>
              </w:rPr>
            </w:pPr>
            <w:r>
              <w:rPr>
                <w:rFonts w:hint="eastAsia"/>
                <w:b/>
                <w:bCs/>
                <w:color w:val="000000"/>
                <w:sz w:val="24"/>
                <w:lang w:val="en-US" w:eastAsia="zh-CN"/>
              </w:rPr>
              <w:t>5</w:t>
            </w:r>
            <w:r>
              <w:rPr>
                <w:b/>
                <w:bCs/>
                <w:color w:val="000000"/>
                <w:sz w:val="24"/>
              </w:rPr>
              <w:t>、</w:t>
            </w:r>
            <w:r>
              <w:rPr>
                <w:rFonts w:hint="eastAsia"/>
                <w:b/>
                <w:bCs/>
                <w:color w:val="000000"/>
                <w:sz w:val="24"/>
              </w:rPr>
              <w:t>现有生产工艺及产污情况</w:t>
            </w:r>
          </w:p>
          <w:p w14:paraId="768E6DD2">
            <w:pPr>
              <w:keepNext w:val="0"/>
              <w:keepLines w:val="0"/>
              <w:pageBreakBefore w:val="0"/>
              <w:widowControl w:val="0"/>
              <w:tabs>
                <w:tab w:val="left" w:pos="1236"/>
              </w:tabs>
              <w:kinsoku/>
              <w:wordWrap/>
              <w:overflowPunct/>
              <w:topLinePunct w:val="0"/>
              <w:autoSpaceDE w:val="0"/>
              <w:autoSpaceDN w:val="0"/>
              <w:bidi w:val="0"/>
              <w:adjustRightInd/>
              <w:snapToGrid/>
              <w:spacing w:after="0" w:line="360" w:lineRule="auto"/>
              <w:ind w:firstLine="480" w:firstLineChars="200"/>
              <w:jc w:val="left"/>
              <w:textAlignment w:val="auto"/>
              <w:rPr>
                <w:rFonts w:hint="default" w:ascii="Times New Roman" w:hAnsi="Times New Roman" w:cs="Times New Roman"/>
                <w:color w:val="000000"/>
                <w:sz w:val="24"/>
                <w:szCs w:val="24"/>
                <w:lang w:val="zh-CN" w:eastAsia="zh-CN"/>
              </w:rPr>
            </w:pPr>
            <w:r>
              <w:rPr>
                <w:rFonts w:hint="default" w:ascii="Times New Roman" w:hAnsi="Times New Roman" w:cs="Times New Roman"/>
                <w:color w:val="000000"/>
                <w:sz w:val="24"/>
                <w:szCs w:val="24"/>
                <w:lang w:val="zh-CN" w:eastAsia="zh-CN"/>
              </w:rPr>
              <w:t>以石油焦等材料生产锂离子负极材料工艺主要包括原材料预处理工艺、石墨化工艺、沥青包覆工艺、成品碳化工艺等，本项目受技术和投资限制沥青包覆工序和石墨化工艺外委加工，因此，本项目生产工艺主要包括原材料预处理工艺、成品碳化工艺。其中预处理工艺包括破碎、烘干、粉碎、整形等，项目总生产工艺流程及产污位置分析如下：</w:t>
            </w:r>
          </w:p>
          <w:p w14:paraId="6E21B526">
            <w:pPr>
              <w:keepNext w:val="0"/>
              <w:keepLines w:val="0"/>
              <w:pageBreakBefore w:val="0"/>
              <w:widowControl w:val="0"/>
              <w:tabs>
                <w:tab w:val="left" w:pos="1236"/>
              </w:tabs>
              <w:kinsoku/>
              <w:wordWrap/>
              <w:overflowPunct/>
              <w:topLinePunct w:val="0"/>
              <w:autoSpaceDE w:val="0"/>
              <w:autoSpaceDN w:val="0"/>
              <w:bidi w:val="0"/>
              <w:adjustRightInd/>
              <w:snapToGrid/>
              <w:spacing w:after="0" w:line="360" w:lineRule="auto"/>
              <w:ind w:firstLine="420" w:firstLineChars="200"/>
              <w:jc w:val="center"/>
              <w:textAlignment w:val="auto"/>
              <w:rPr>
                <w:rFonts w:hint="default" w:ascii="Times New Roman" w:hAnsi="Times New Roman" w:cs="Times New Roman"/>
                <w:color w:val="000000"/>
                <w:sz w:val="24"/>
                <w:szCs w:val="24"/>
                <w:lang w:val="zh-CN" w:eastAsia="zh-CN"/>
              </w:rPr>
            </w:pPr>
            <w:r>
              <w:rPr>
                <w:rFonts w:hint="default" w:ascii="Times New Roman" w:hAnsi="Times New Roman" w:cs="Times New Roman"/>
                <w:color w:val="000000"/>
              </w:rPr>
              <w:drawing>
                <wp:inline distT="0" distB="0" distL="114300" distR="114300">
                  <wp:extent cx="3042285" cy="2583815"/>
                  <wp:effectExtent l="0" t="0" r="5715" b="698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9"/>
                          <a:stretch>
                            <a:fillRect/>
                          </a:stretch>
                        </pic:blipFill>
                        <pic:spPr>
                          <a:xfrm>
                            <a:off x="0" y="0"/>
                            <a:ext cx="3042285" cy="2583815"/>
                          </a:xfrm>
                          <a:prstGeom prst="rect">
                            <a:avLst/>
                          </a:prstGeom>
                          <a:noFill/>
                          <a:ln>
                            <a:noFill/>
                          </a:ln>
                        </pic:spPr>
                      </pic:pic>
                    </a:graphicData>
                  </a:graphic>
                </wp:inline>
              </w:drawing>
            </w:r>
          </w:p>
          <w:p w14:paraId="26DAE977">
            <w:pPr>
              <w:pStyle w:val="102"/>
              <w:numPr>
                <w:ilvl w:val="0"/>
                <w:numId w:val="0"/>
              </w:numPr>
              <w:spacing w:after="120"/>
              <w:rPr>
                <w:rFonts w:hint="default" w:ascii="Times New Roman" w:hAnsi="Times New Roman" w:eastAsia="宋体" w:cs="Times New Roman"/>
                <w:color w:val="000000"/>
              </w:rPr>
            </w:pPr>
            <w:r>
              <w:rPr>
                <w:rFonts w:hint="default" w:ascii="Times New Roman" w:hAnsi="Times New Roman" w:eastAsia="宋体" w:cs="Times New Roman"/>
                <w:color w:val="000000"/>
              </w:rPr>
              <w:t>图2-</w:t>
            </w:r>
            <w:r>
              <w:rPr>
                <w:rFonts w:hint="eastAsia" w:cs="Times New Roman"/>
                <w:color w:val="000000"/>
                <w:lang w:val="en-US" w:eastAsia="zh-CN"/>
              </w:rPr>
              <w:t xml:space="preserve">5 </w:t>
            </w:r>
            <w:r>
              <w:rPr>
                <w:rFonts w:hint="default" w:ascii="Times New Roman" w:hAnsi="Times New Roman" w:eastAsia="宋体" w:cs="Times New Roman"/>
                <w:color w:val="000000"/>
              </w:rPr>
              <w:t>项目总生产工艺流程及产污环节示意图</w:t>
            </w:r>
          </w:p>
          <w:p w14:paraId="19DED5B2">
            <w:pPr>
              <w:pStyle w:val="88"/>
              <w:spacing w:line="360" w:lineRule="auto"/>
              <w:ind w:firstLine="482"/>
              <w:rPr>
                <w:rFonts w:hint="default" w:ascii="Times New Roman" w:hAnsi="Times New Roman" w:cs="Times New Roman"/>
                <w:b/>
                <w:color w:val="000000"/>
              </w:rPr>
            </w:pPr>
            <w:r>
              <w:rPr>
                <w:rFonts w:hint="default" w:ascii="Times New Roman" w:hAnsi="Times New Roman" w:cs="Times New Roman"/>
                <w:b/>
                <w:color w:val="000000"/>
              </w:rPr>
              <w:t>（1）原料预处理工序工艺流程简述：</w:t>
            </w:r>
          </w:p>
          <w:p w14:paraId="052A3FF4">
            <w:pPr>
              <w:pStyle w:val="88"/>
              <w:spacing w:line="360" w:lineRule="auto"/>
              <w:ind w:firstLine="480"/>
              <w:jc w:val="left"/>
              <w:rPr>
                <w:rFonts w:hint="default" w:ascii="Times New Roman" w:hAnsi="Times New Roman" w:eastAsia="宋体" w:cs="Times New Roman"/>
                <w:color w:val="000000"/>
                <w:kern w:val="2"/>
                <w:sz w:val="24"/>
                <w:szCs w:val="24"/>
                <w:lang w:val="zh-CN" w:eastAsia="zh-CN" w:bidi="ar-SA"/>
              </w:rPr>
            </w:pPr>
            <w:r>
              <w:rPr>
                <w:rFonts w:hint="default" w:ascii="Times New Roman" w:hAnsi="Times New Roman" w:eastAsia="宋体" w:cs="Times New Roman"/>
                <w:color w:val="000000"/>
                <w:kern w:val="2"/>
                <w:sz w:val="24"/>
                <w:szCs w:val="24"/>
                <w:lang w:val="zh-CN" w:eastAsia="zh-CN" w:bidi="ar-SA"/>
              </w:rPr>
              <w:t>本项目原料预处理工序主要包括破碎、烘干、粉碎、整形等，工艺流程及产污情况见下图。</w:t>
            </w:r>
          </w:p>
          <w:p w14:paraId="66B77789">
            <w:pPr>
              <w:pStyle w:val="88"/>
              <w:spacing w:line="360" w:lineRule="auto"/>
              <w:ind w:firstLine="480"/>
              <w:jc w:val="left"/>
              <w:rPr>
                <w:rFonts w:hint="default" w:ascii="Times New Roman" w:hAnsi="Times New Roman" w:cs="Times New Roman"/>
                <w:bCs/>
                <w:color w:val="000000"/>
              </w:rPr>
            </w:pPr>
            <w:r>
              <w:rPr>
                <w:rFonts w:hint="default" w:ascii="Times New Roman" w:hAnsi="Times New Roman" w:cs="Times New Roman"/>
                <w:b/>
                <w:color w:val="000000"/>
              </w:rPr>
              <w:object>
                <v:shape id="_x0000_i1030" o:spt="75" type="#_x0000_t75" style="height:463.65pt;width:398.85pt;" o:ole="t" filled="f" o:preferrelative="t" stroked="f" coordsize="21600,21600">
                  <v:path/>
                  <v:fill on="f" focussize="0,0"/>
                  <v:stroke on="f"/>
                  <v:imagedata r:id="rId31" o:title=""/>
                  <o:lock v:ext="edit" aspectratio="f"/>
                  <w10:wrap type="none"/>
                  <w10:anchorlock/>
                </v:shape>
                <o:OLEObject Type="Embed" ProgID="Visio.Drawing.15" ShapeID="_x0000_i1030" DrawAspect="Content" ObjectID="_1468075730" r:id="rId30">
                  <o:LockedField>false</o:LockedField>
                </o:OLEObject>
              </w:object>
            </w:r>
          </w:p>
          <w:p w14:paraId="0A42FA31">
            <w:pPr>
              <w:pStyle w:val="102"/>
              <w:numPr>
                <w:ilvl w:val="0"/>
                <w:numId w:val="0"/>
              </w:numPr>
              <w:spacing w:after="12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图2-</w:t>
            </w:r>
            <w:r>
              <w:rPr>
                <w:rFonts w:hint="eastAsia" w:cs="Times New Roman"/>
                <w:color w:val="000000"/>
                <w:sz w:val="24"/>
                <w:szCs w:val="24"/>
                <w:lang w:val="en-US" w:eastAsia="zh-CN"/>
              </w:rPr>
              <w:t>6</w:t>
            </w:r>
            <w:r>
              <w:rPr>
                <w:rFonts w:hint="default" w:ascii="Times New Roman" w:hAnsi="Times New Roman" w:cs="Times New Roman"/>
                <w:color w:val="000000"/>
                <w:sz w:val="24"/>
                <w:szCs w:val="24"/>
              </w:rPr>
              <w:t>项目原料负极粉原料（煅后石油焦）预处理工艺流程</w:t>
            </w:r>
          </w:p>
          <w:p w14:paraId="0FAE9909">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一次投料</w:t>
            </w:r>
          </w:p>
          <w:p w14:paraId="12B73C6F">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bCs/>
                <w:color w:val="000000"/>
              </w:rPr>
            </w:pPr>
            <w:r>
              <w:rPr>
                <w:rFonts w:hint="default" w:ascii="Times New Roman" w:hAnsi="Times New Roman" w:cs="Times New Roman"/>
                <w:bCs/>
                <w:color w:val="000000"/>
              </w:rPr>
              <w:t>本项目</w:t>
            </w:r>
            <w:r>
              <w:rPr>
                <w:rFonts w:hint="default" w:ascii="Times New Roman" w:hAnsi="Times New Roman" w:cs="Times New Roman"/>
                <w:bCs/>
                <w:color w:val="000000"/>
                <w:lang w:val="en-US" w:eastAsia="zh-CN"/>
              </w:rPr>
              <w:t>煅后石油焦</w:t>
            </w:r>
            <w:r>
              <w:rPr>
                <w:rFonts w:hint="default" w:ascii="Times New Roman" w:hAnsi="Times New Roman" w:cs="Times New Roman"/>
                <w:bCs/>
                <w:color w:val="000000"/>
              </w:rPr>
              <w:t>采用吨袋包装运输进场原料区暂存、备用。生产采用叉车运输至预处理区；叉车提升、人工破袋进行投料至进料口。投料过程中会产生噪声、颗粒物。</w:t>
            </w:r>
          </w:p>
          <w:p w14:paraId="177420CB">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颚式破碎</w:t>
            </w:r>
          </w:p>
          <w:p w14:paraId="59A79072">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bCs/>
                <w:color w:val="000000"/>
              </w:rPr>
            </w:pPr>
            <w:r>
              <w:rPr>
                <w:rFonts w:hint="default" w:ascii="Times New Roman" w:hAnsi="Times New Roman" w:cs="Times New Roman"/>
                <w:bCs/>
                <w:color w:val="000000"/>
                <w:lang w:val="en-US" w:eastAsia="zh-CN"/>
              </w:rPr>
              <w:t>煅后⽯油焦通过输送设备运⾄颚式破碎机</w:t>
            </w:r>
            <w:r>
              <w:rPr>
                <w:rFonts w:hint="default" w:ascii="Times New Roman" w:hAnsi="Times New Roman" w:cs="Times New Roman"/>
                <w:bCs/>
                <w:color w:val="000000"/>
              </w:rPr>
              <w:t>进行破碎。颚式破碎机通过挤压破碎小于5cm的物料，破投料口通过密闭</w:t>
            </w:r>
            <w:r>
              <w:rPr>
                <w:rFonts w:hint="eastAsia" w:ascii="Times New Roman" w:hAnsi="Times New Roman" w:cs="Times New Roman"/>
                <w:bCs/>
                <w:color w:val="000000"/>
                <w:lang w:eastAsia="zh-CN"/>
              </w:rPr>
              <w:t>破碎</w:t>
            </w:r>
            <w:r>
              <w:rPr>
                <w:rFonts w:hint="default" w:ascii="Times New Roman" w:hAnsi="Times New Roman" w:cs="Times New Roman"/>
                <w:bCs/>
                <w:color w:val="000000"/>
              </w:rPr>
              <w:t>后的物料通过密闭管道输送至下一工序；破碎过程中产生噪声、颗粒物。</w:t>
            </w:r>
          </w:p>
          <w:p w14:paraId="0202BD31">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对轴破碎</w:t>
            </w:r>
          </w:p>
          <w:p w14:paraId="7F3BD031">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经过</w:t>
            </w:r>
            <w:r>
              <w:rPr>
                <w:rFonts w:hint="default" w:ascii="Times New Roman" w:hAnsi="Times New Roman" w:cs="Times New Roman"/>
                <w:bCs/>
                <w:color w:val="000000"/>
              </w:rPr>
              <w:t>颚式</w:t>
            </w:r>
            <w:r>
              <w:rPr>
                <w:rFonts w:hint="default" w:ascii="Times New Roman" w:hAnsi="Times New Roman" w:cs="Times New Roman"/>
                <w:color w:val="000000"/>
              </w:rPr>
              <w:t>破碎的</w:t>
            </w:r>
            <w:r>
              <w:rPr>
                <w:rFonts w:hint="default" w:ascii="Times New Roman" w:hAnsi="Times New Roman" w:cs="Times New Roman"/>
                <w:bCs/>
                <w:color w:val="000000"/>
                <w:lang w:val="en-US" w:eastAsia="zh-CN"/>
              </w:rPr>
              <w:t>煅后石油焦</w:t>
            </w:r>
            <w:r>
              <w:rPr>
                <w:rFonts w:hint="default" w:ascii="Times New Roman" w:hAnsi="Times New Roman" w:cs="Times New Roman"/>
                <w:color w:val="000000"/>
              </w:rPr>
              <w:t>通过密闭管道输送至对轴破碎机进行破碎。对轴破碎机通过剪切、挤压破碎达到5mm，物料通过密闭管道输送至料仓进行暂存；破碎过程产生噪声、废气。</w:t>
            </w:r>
          </w:p>
          <w:p w14:paraId="384533B7">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料仓暂存</w:t>
            </w:r>
          </w:p>
          <w:p w14:paraId="20628B0A">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经过破碎后的物料达到小于5mm的粒径要求，在密闭管道输送至料仓进行暂存。此过程会产生噪声、废气。</w:t>
            </w:r>
          </w:p>
          <w:p w14:paraId="4D571D8B">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烘干</w:t>
            </w:r>
          </w:p>
          <w:p w14:paraId="1733E397">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料仓暂存的物料通过密闭管道输送至烘干机，烘干机（含烘干装置）采用的燃料为</w:t>
            </w:r>
            <w:r>
              <w:rPr>
                <w:rFonts w:hint="eastAsia" w:cs="Times New Roman"/>
                <w:color w:val="000000"/>
                <w:lang w:val="en-US" w:eastAsia="zh-CN"/>
              </w:rPr>
              <w:t>天然气</w:t>
            </w:r>
            <w:r>
              <w:rPr>
                <w:rFonts w:hint="default" w:ascii="Times New Roman" w:hAnsi="Times New Roman" w:cs="Times New Roman"/>
                <w:color w:val="000000"/>
              </w:rPr>
              <w:t>，通入空气后，空气受热变热空气进行烘干，烘干温度为200摄氏度，烘干时间约12min，天然气燃烧后的废气通过滚筒传导热量进行烘干，不直接接触物料，烘干为间断烘干，每次烘干时间12min，然后进行补料后继续进行烘干工艺。经烘干后的</w:t>
            </w:r>
            <w:r>
              <w:rPr>
                <w:rFonts w:hint="default" w:ascii="Times New Roman" w:hAnsi="Times New Roman" w:cs="Times New Roman"/>
                <w:bCs/>
                <w:color w:val="000000"/>
              </w:rPr>
              <w:t>负极粉原料粒径</w:t>
            </w:r>
            <w:r>
              <w:rPr>
                <w:rFonts w:hint="default" w:ascii="Times New Roman" w:hAnsi="Times New Roman" w:cs="Times New Roman"/>
                <w:color w:val="000000"/>
              </w:rPr>
              <w:t>较大，由出料口人工用吨袋包裹接料口后用吨袋密封装袋后，准备进入下一道工序。烘干过程中会产生粉尘、天然气燃烧会产生燃烧废气，主要污染物为颗粒物、SO</w:t>
            </w:r>
            <w:r>
              <w:rPr>
                <w:rFonts w:hint="default" w:ascii="Times New Roman" w:hAnsi="Times New Roman" w:cs="Times New Roman"/>
                <w:color w:val="000000"/>
                <w:vertAlign w:val="subscript"/>
              </w:rPr>
              <w:t>2</w:t>
            </w:r>
            <w:r>
              <w:rPr>
                <w:rFonts w:hint="default" w:ascii="Times New Roman" w:hAnsi="Times New Roman" w:cs="Times New Roman"/>
                <w:color w:val="000000"/>
              </w:rPr>
              <w:t>、NO</w:t>
            </w:r>
            <w:r>
              <w:rPr>
                <w:rFonts w:hint="default" w:ascii="Times New Roman" w:hAnsi="Times New Roman" w:cs="Times New Roman"/>
                <w:color w:val="000000"/>
                <w:vertAlign w:val="subscript"/>
              </w:rPr>
              <w:t>x</w:t>
            </w:r>
            <w:r>
              <w:rPr>
                <w:rFonts w:hint="default" w:ascii="Times New Roman" w:hAnsi="Times New Roman" w:cs="Times New Roman"/>
                <w:color w:val="000000"/>
              </w:rPr>
              <w:t>。</w:t>
            </w:r>
          </w:p>
          <w:p w14:paraId="73D4E4AA">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包装</w:t>
            </w:r>
          </w:p>
          <w:p w14:paraId="6840B6CB">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通过烘干后，在出料口人工用吨袋进行密封包装。叉车运输至预处理暂存区进行暂存。包装过程会产生噪声、废气。</w:t>
            </w:r>
          </w:p>
          <w:p w14:paraId="0C2A60E1">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二次投料</w:t>
            </w:r>
          </w:p>
          <w:p w14:paraId="60372AB3">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经过烘干后的物料包装好，通过叉车运输至粉碎、整形区进行投料；通过叉车提升，人工破袋在投料口进行投料。此过程会产生噪声、颗粒物。</w:t>
            </w:r>
          </w:p>
          <w:p w14:paraId="247D30B0">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粉碎</w:t>
            </w:r>
          </w:p>
          <w:p w14:paraId="08F551DE">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经过投料后的物料，经过密闭管道输送至冲击磨进行粉碎，冲击磨进行磨粉，进行粉磨后的物料通过密闭皮带输送至整形机进行整形；粉碎过程产生噪声、颗粒物。</w:t>
            </w:r>
          </w:p>
          <w:p w14:paraId="489CFE08">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整形</w:t>
            </w:r>
          </w:p>
          <w:p w14:paraId="7ED506CD">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通过粉碎后的物质通过密闭管道输送至整形机进行整形，整形至小于17μm的负极粉原料，达到要求的负极粉原料在整形机出料口采用吨袋包装进行下一个工艺。此过程会产生噪声、颗粒物。</w:t>
            </w:r>
          </w:p>
          <w:p w14:paraId="186E8700">
            <w:pPr>
              <w:pStyle w:val="88"/>
              <w:keepNext w:val="0"/>
              <w:keepLines w:val="0"/>
              <w:pageBreakBefore w:val="0"/>
              <w:widowControl/>
              <w:numPr>
                <w:ilvl w:val="0"/>
                <w:numId w:val="18"/>
              </w:numPr>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b/>
                <w:color w:val="000000"/>
              </w:rPr>
            </w:pPr>
            <w:r>
              <w:rPr>
                <w:rFonts w:hint="default" w:ascii="Times New Roman" w:hAnsi="Times New Roman" w:cs="Times New Roman"/>
                <w:b/>
                <w:color w:val="000000"/>
              </w:rPr>
              <w:t>负极粉原料吨袋密封包装</w:t>
            </w:r>
          </w:p>
          <w:p w14:paraId="0AC4595E">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default" w:ascii="Times New Roman" w:hAnsi="Times New Roman" w:cs="Times New Roman"/>
                <w:color w:val="000000"/>
              </w:rPr>
            </w:pPr>
            <w:r>
              <w:rPr>
                <w:rFonts w:hint="default" w:ascii="Times New Roman" w:hAnsi="Times New Roman" w:cs="Times New Roman"/>
                <w:color w:val="000000"/>
              </w:rPr>
              <w:t>经过整形后的负极粉原料满足后续工艺要求，由人工进行吨袋包装并由叉车、行车运输至1#厂房石墨化装料区进行暂存。此过程会产生噪声、颗粒物。</w:t>
            </w:r>
          </w:p>
          <w:p w14:paraId="030D2EA1">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cs="Times New Roman"/>
                <w:b/>
                <w:bCs/>
                <w:color w:val="000000"/>
                <w:sz w:val="24"/>
              </w:rPr>
            </w:pPr>
            <w:r>
              <w:rPr>
                <w:rFonts w:hint="default" w:ascii="Times New Roman" w:hAnsi="Times New Roman" w:cs="Times New Roman"/>
                <w:b/>
                <w:bCs/>
                <w:color w:val="000000"/>
                <w:sz w:val="24"/>
              </w:rPr>
              <w:t>（</w:t>
            </w:r>
            <w:r>
              <w:rPr>
                <w:rFonts w:hint="default" w:ascii="Times New Roman" w:hAnsi="Times New Roman" w:cs="Times New Roman"/>
                <w:b/>
                <w:bCs/>
                <w:color w:val="000000"/>
                <w:sz w:val="24"/>
                <w:lang w:val="en-US" w:eastAsia="zh-CN"/>
              </w:rPr>
              <w:t>2</w:t>
            </w:r>
            <w:r>
              <w:rPr>
                <w:rFonts w:hint="default" w:ascii="Times New Roman" w:hAnsi="Times New Roman" w:cs="Times New Roman"/>
                <w:b/>
                <w:bCs/>
                <w:color w:val="000000"/>
                <w:sz w:val="24"/>
              </w:rPr>
              <w:t>）成品碳化工艺流程及产污介绍</w:t>
            </w:r>
          </w:p>
          <w:p w14:paraId="388E03E4">
            <w:pPr>
              <w:pStyle w:val="88"/>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default" w:ascii="Times New Roman" w:hAnsi="Times New Roman" w:cs="Times New Roman"/>
                <w:color w:val="000000"/>
                <w:sz w:val="24"/>
                <w:szCs w:val="24"/>
                <w:lang w:val="zh-CN" w:eastAsia="zh-CN"/>
              </w:rPr>
            </w:pPr>
            <w:r>
              <w:rPr>
                <w:rFonts w:hint="default" w:ascii="Times New Roman" w:hAnsi="Times New Roman" w:cs="Times New Roman"/>
                <w:bCs/>
                <w:color w:val="000000"/>
                <w:sz w:val="24"/>
                <w:szCs w:val="24"/>
                <w:lang w:eastAsia="zh-CN"/>
              </w:rPr>
              <w:t>本项目</w:t>
            </w:r>
            <w:r>
              <w:rPr>
                <w:rFonts w:hint="default" w:ascii="Times New Roman" w:hAnsi="Times New Roman" w:cs="Times New Roman"/>
                <w:bCs/>
                <w:color w:val="000000"/>
                <w:sz w:val="24"/>
                <w:szCs w:val="24"/>
                <w:lang w:val="en-US" w:eastAsia="zh-CN"/>
              </w:rPr>
              <w:t>成品碳化</w:t>
            </w:r>
            <w:r>
              <w:rPr>
                <w:rFonts w:hint="default" w:ascii="Times New Roman" w:hAnsi="Times New Roman" w:cs="Times New Roman"/>
                <w:bCs/>
                <w:color w:val="000000"/>
                <w:sz w:val="24"/>
                <w:szCs w:val="24"/>
                <w:lang w:eastAsia="zh-CN"/>
              </w:rPr>
              <w:t>工艺主要包括装</w:t>
            </w:r>
            <w:r>
              <w:rPr>
                <w:rFonts w:hint="default" w:ascii="Times New Roman" w:hAnsi="Times New Roman" w:cs="Times New Roman"/>
                <w:bCs/>
                <w:color w:val="000000"/>
                <w:sz w:val="24"/>
                <w:szCs w:val="24"/>
                <w:lang w:val="en-US" w:eastAsia="zh-CN"/>
              </w:rPr>
              <w:t>坩埚</w:t>
            </w:r>
            <w:r>
              <w:rPr>
                <w:rFonts w:hint="default" w:ascii="Times New Roman" w:hAnsi="Times New Roman" w:cs="Times New Roman"/>
                <w:bCs/>
                <w:color w:val="000000"/>
                <w:sz w:val="24"/>
                <w:szCs w:val="24"/>
                <w:lang w:eastAsia="zh-CN"/>
              </w:rPr>
              <w:t>、</w:t>
            </w:r>
            <w:r>
              <w:rPr>
                <w:rFonts w:hint="default" w:ascii="Times New Roman" w:hAnsi="Times New Roman" w:cs="Times New Roman"/>
                <w:bCs/>
                <w:color w:val="000000"/>
                <w:sz w:val="24"/>
                <w:szCs w:val="24"/>
                <w:lang w:val="en-US" w:eastAsia="zh-CN"/>
              </w:rPr>
              <w:t>辊道炉加热</w:t>
            </w:r>
            <w:r>
              <w:rPr>
                <w:rFonts w:hint="default" w:ascii="Times New Roman" w:hAnsi="Times New Roman" w:cs="Times New Roman"/>
                <w:bCs/>
                <w:color w:val="000000"/>
                <w:sz w:val="24"/>
                <w:szCs w:val="24"/>
                <w:lang w:eastAsia="zh-CN"/>
              </w:rPr>
              <w:t>、冷却3部分。</w:t>
            </w:r>
            <w:r>
              <w:rPr>
                <w:rFonts w:hint="default" w:ascii="Times New Roman" w:hAnsi="Times New Roman" w:cs="Times New Roman"/>
                <w:color w:val="000000"/>
              </w:rPr>
              <w:t>本项目</w:t>
            </w:r>
            <w:r>
              <w:rPr>
                <w:rFonts w:hint="default" w:ascii="Times New Roman" w:hAnsi="Times New Roman" w:cs="Times New Roman"/>
                <w:color w:val="000000"/>
                <w:szCs w:val="21"/>
              </w:rPr>
              <w:t>负极材料半成品委外包覆后，由合作单位用</w:t>
            </w:r>
            <w:r>
              <w:rPr>
                <w:rFonts w:hint="default" w:ascii="Times New Roman" w:hAnsi="Times New Roman" w:cs="Times New Roman"/>
                <w:color w:val="000000"/>
                <w:szCs w:val="21"/>
                <w:lang w:val="en-US" w:eastAsia="zh-CN"/>
              </w:rPr>
              <w:t>篷车密封运回，采用</w:t>
            </w:r>
            <w:r>
              <w:rPr>
                <w:rFonts w:hint="default" w:ascii="Times New Roman" w:hAnsi="Times New Roman" w:cs="Times New Roman"/>
                <w:color w:val="000000"/>
                <w:szCs w:val="21"/>
              </w:rPr>
              <w:t>吨袋包装运回本厂进行成品碳化</w:t>
            </w:r>
            <w:r>
              <w:rPr>
                <w:rFonts w:hint="default" w:ascii="Times New Roman" w:hAnsi="Times New Roman" w:cs="Times New Roman"/>
                <w:color w:val="000000"/>
                <w:szCs w:val="21"/>
                <w:lang w:eastAsia="zh-CN"/>
              </w:rPr>
              <w:t>。</w:t>
            </w:r>
            <w:r>
              <w:rPr>
                <w:rFonts w:hint="default" w:ascii="Times New Roman" w:hAnsi="Times New Roman" w:cs="Times New Roman"/>
                <w:bCs/>
                <w:color w:val="000000"/>
                <w:sz w:val="24"/>
                <w:szCs w:val="24"/>
                <w:lang w:eastAsia="zh-CN"/>
              </w:rPr>
              <w:t>具体工艺流程如下：</w:t>
            </w:r>
          </w:p>
          <w:p w14:paraId="152B795F">
            <w:pPr>
              <w:pStyle w:val="17"/>
              <w:jc w:val="center"/>
              <w:rPr>
                <w:rFonts w:hint="default" w:ascii="Times New Roman" w:hAnsi="Times New Roman" w:cs="Times New Roman"/>
                <w:color w:val="000000"/>
                <w:sz w:val="24"/>
                <w:szCs w:val="24"/>
                <w:lang w:val="zh-CN" w:eastAsia="zh-CN"/>
              </w:rPr>
            </w:pPr>
            <w:r>
              <w:rPr>
                <w:color w:val="000000"/>
              </w:rPr>
              <w:drawing>
                <wp:inline distT="0" distB="0" distL="114300" distR="114300">
                  <wp:extent cx="4762500" cy="2952750"/>
                  <wp:effectExtent l="0" t="0" r="0" b="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32"/>
                          <a:stretch>
                            <a:fillRect/>
                          </a:stretch>
                        </pic:blipFill>
                        <pic:spPr>
                          <a:xfrm>
                            <a:off x="0" y="0"/>
                            <a:ext cx="4762500" cy="2952750"/>
                          </a:xfrm>
                          <a:prstGeom prst="rect">
                            <a:avLst/>
                          </a:prstGeom>
                          <a:noFill/>
                          <a:ln>
                            <a:noFill/>
                          </a:ln>
                        </pic:spPr>
                      </pic:pic>
                    </a:graphicData>
                  </a:graphic>
                </wp:inline>
              </w:drawing>
            </w:r>
          </w:p>
          <w:p w14:paraId="61C298AA">
            <w:pPr>
              <w:pStyle w:val="17"/>
              <w:keepNext w:val="0"/>
              <w:keepLines w:val="0"/>
              <w:pageBreakBefore w:val="0"/>
              <w:tabs>
                <w:tab w:val="left" w:pos="1562"/>
              </w:tabs>
              <w:kinsoku/>
              <w:wordWrap/>
              <w:overflowPunct/>
              <w:topLinePunct w:val="0"/>
              <w:autoSpaceDE/>
              <w:autoSpaceDN/>
              <w:bidi w:val="0"/>
              <w:spacing w:line="360" w:lineRule="auto"/>
              <w:jc w:val="left"/>
              <w:textAlignment w:val="auto"/>
              <w:rPr>
                <w:rFonts w:hint="default" w:ascii="Times New Roman" w:hAnsi="Times New Roman" w:cs="Times New Roman"/>
                <w:b/>
                <w:bCs/>
                <w:color w:val="000000"/>
                <w:sz w:val="24"/>
                <w:szCs w:val="24"/>
                <w:lang w:val="zh-CN" w:eastAsia="zh-CN"/>
              </w:rPr>
            </w:pPr>
            <w:r>
              <w:rPr>
                <w:rFonts w:hint="default" w:ascii="Times New Roman" w:hAnsi="Times New Roman" w:cs="Times New Roman"/>
                <w:color w:val="000000"/>
                <w:sz w:val="24"/>
                <w:szCs w:val="24"/>
                <w:lang w:val="zh-CN" w:eastAsia="zh-CN"/>
              </w:rPr>
              <w:tab/>
            </w:r>
            <w:r>
              <w:rPr>
                <w:rFonts w:hint="default" w:ascii="Times New Roman" w:hAnsi="Times New Roman" w:cs="Times New Roman"/>
                <w:b/>
                <w:bCs/>
                <w:color w:val="000000"/>
                <w:sz w:val="24"/>
                <w:szCs w:val="24"/>
                <w:lang w:val="zh-CN" w:eastAsia="zh-CN"/>
              </w:rPr>
              <w:t>图2-</w:t>
            </w:r>
            <w:r>
              <w:rPr>
                <w:rFonts w:hint="eastAsia" w:cs="Times New Roman"/>
                <w:b/>
                <w:bCs/>
                <w:color w:val="000000"/>
                <w:sz w:val="24"/>
                <w:szCs w:val="24"/>
                <w:lang w:val="en-US" w:eastAsia="zh-CN"/>
              </w:rPr>
              <w:t>7</w:t>
            </w:r>
            <w:r>
              <w:rPr>
                <w:rFonts w:hint="default" w:ascii="Times New Roman" w:hAnsi="Times New Roman" w:cs="Times New Roman"/>
                <w:b/>
                <w:bCs/>
                <w:color w:val="000000"/>
                <w:sz w:val="24"/>
                <w:szCs w:val="24"/>
                <w:lang w:val="en-US" w:eastAsia="zh-CN"/>
              </w:rPr>
              <w:t xml:space="preserve">  </w:t>
            </w:r>
            <w:r>
              <w:rPr>
                <w:rFonts w:hint="default" w:ascii="Times New Roman" w:hAnsi="Times New Roman" w:cs="Times New Roman"/>
                <w:b/>
                <w:bCs/>
                <w:color w:val="000000"/>
                <w:sz w:val="24"/>
                <w:szCs w:val="24"/>
                <w:lang w:val="zh-CN" w:eastAsia="zh-CN"/>
              </w:rPr>
              <w:t>项目成品碳化流程及产污环节示意图</w:t>
            </w:r>
          </w:p>
          <w:p w14:paraId="42B08A9D">
            <w:pPr>
              <w:pStyle w:val="88"/>
              <w:keepNext w:val="0"/>
              <w:keepLines w:val="0"/>
              <w:pageBreakBefore w:val="0"/>
              <w:widowControl/>
              <w:kinsoku/>
              <w:wordWrap/>
              <w:overflowPunct/>
              <w:topLinePunct w:val="0"/>
              <w:autoSpaceDE/>
              <w:autoSpaceDN/>
              <w:bidi w:val="0"/>
              <w:adjustRightInd w:val="0"/>
              <w:snapToGrid w:val="0"/>
              <w:spacing w:after="0" w:line="360" w:lineRule="auto"/>
              <w:ind w:left="0" w:firstLine="482" w:firstLineChars="200"/>
              <w:jc w:val="left"/>
              <w:textAlignment w:val="auto"/>
              <w:rPr>
                <w:rFonts w:hint="default" w:ascii="Times New Roman" w:hAnsi="Times New Roman" w:cs="Times New Roman"/>
                <w:b/>
                <w:bCs/>
                <w:color w:val="000000"/>
                <w:lang w:val="en-US" w:eastAsia="zh-CN"/>
              </w:rPr>
            </w:pPr>
            <w:r>
              <w:rPr>
                <w:rFonts w:hint="default" w:ascii="Times New Roman" w:hAnsi="Times New Roman" w:cs="Times New Roman"/>
                <w:b/>
                <w:bCs/>
                <w:color w:val="000000"/>
                <w:lang w:val="en-US" w:eastAsia="zh-CN"/>
              </w:rPr>
              <w:t>本项目成品碳化工艺简述：</w:t>
            </w:r>
          </w:p>
          <w:p w14:paraId="07F3FA68">
            <w:pPr>
              <w:pStyle w:val="81"/>
              <w:keepNext w:val="0"/>
              <w:keepLines w:val="0"/>
              <w:pageBreakBefore w:val="0"/>
              <w:widowControl/>
              <w:numPr>
                <w:ilvl w:val="0"/>
                <w:numId w:val="19"/>
              </w:numPr>
              <w:kinsoku w:val="0"/>
              <w:wordWrap/>
              <w:overflowPunct w:val="0"/>
              <w:topLinePunct w:val="0"/>
              <w:autoSpaceDE/>
              <w:autoSpaceDN/>
              <w:bidi w:val="0"/>
              <w:adjustRightInd w:val="0"/>
              <w:snapToGrid w:val="0"/>
              <w:spacing w:after="0" w:line="360" w:lineRule="auto"/>
              <w:ind w:left="0" w:firstLine="480" w:firstLineChars="200"/>
              <w:textAlignment w:val="auto"/>
              <w:rPr>
                <w:rFonts w:hint="default" w:ascii="Times New Roman" w:hAnsi="Times New Roman" w:cs="Times New Roman"/>
                <w:b/>
                <w:color w:val="000000"/>
                <w:spacing w:val="1"/>
                <w:w w:val="99"/>
                <w:sz w:val="24"/>
                <w:szCs w:val="24"/>
              </w:rPr>
            </w:pPr>
            <w:r>
              <w:rPr>
                <w:rFonts w:hint="default" w:ascii="Times New Roman" w:hAnsi="Times New Roman" w:cs="Times New Roman"/>
                <w:b/>
                <w:color w:val="000000"/>
                <w:spacing w:val="1"/>
                <w:w w:val="99"/>
                <w:sz w:val="24"/>
                <w:szCs w:val="24"/>
                <w:lang w:eastAsia="zh-CN"/>
              </w:rPr>
              <w:t>解袋</w:t>
            </w:r>
          </w:p>
          <w:p w14:paraId="787379DC">
            <w:pPr>
              <w:pStyle w:val="81"/>
              <w:keepNext w:val="0"/>
              <w:keepLines w:val="0"/>
              <w:pageBreakBefore w:val="0"/>
              <w:widowControl/>
              <w:kinsoku w:val="0"/>
              <w:wordWrap/>
              <w:overflowPunct w:val="0"/>
              <w:topLinePunct w:val="0"/>
              <w:autoSpaceDE/>
              <w:autoSpaceDN/>
              <w:bidi w:val="0"/>
              <w:adjustRightInd w:val="0"/>
              <w:snapToGrid w:val="0"/>
              <w:spacing w:after="0" w:line="360" w:lineRule="auto"/>
              <w:ind w:left="0" w:firstLine="488" w:firstLineChars="200"/>
              <w:textAlignment w:val="auto"/>
              <w:rPr>
                <w:rFonts w:hint="default" w:ascii="Times New Roman" w:hAnsi="Times New Roman" w:cs="Times New Roman"/>
                <w:color w:val="000000"/>
                <w:spacing w:val="2"/>
                <w:sz w:val="24"/>
                <w:szCs w:val="24"/>
                <w:lang w:eastAsia="zh-CN"/>
              </w:rPr>
            </w:pPr>
            <w:r>
              <w:rPr>
                <w:rFonts w:hint="default" w:ascii="Times New Roman" w:hAnsi="Times New Roman" w:cs="Times New Roman"/>
                <w:color w:val="000000"/>
                <w:spacing w:val="2"/>
                <w:sz w:val="24"/>
                <w:szCs w:val="24"/>
                <w:lang w:eastAsia="zh-CN"/>
              </w:rPr>
              <w:t>通过</w:t>
            </w:r>
            <w:r>
              <w:rPr>
                <w:rFonts w:hint="default" w:ascii="Times New Roman" w:hAnsi="Times New Roman" w:cs="Times New Roman"/>
                <w:color w:val="000000"/>
                <w:spacing w:val="2"/>
                <w:sz w:val="24"/>
                <w:szCs w:val="24"/>
                <w:lang w:val="en-US" w:eastAsia="zh-CN"/>
              </w:rPr>
              <w:t>外委包覆</w:t>
            </w:r>
            <w:r>
              <w:rPr>
                <w:rFonts w:hint="default" w:ascii="Times New Roman" w:hAnsi="Times New Roman" w:cs="Times New Roman"/>
                <w:color w:val="000000"/>
                <w:spacing w:val="2"/>
                <w:sz w:val="24"/>
                <w:szCs w:val="24"/>
                <w:lang w:eastAsia="zh-CN"/>
              </w:rPr>
              <w:t>后得到的负极粉</w:t>
            </w:r>
            <w:r>
              <w:rPr>
                <w:rFonts w:hint="default" w:ascii="Times New Roman" w:hAnsi="Times New Roman" w:cs="Times New Roman"/>
                <w:color w:val="000000"/>
                <w:spacing w:val="2"/>
                <w:sz w:val="24"/>
                <w:szCs w:val="24"/>
                <w:lang w:val="en-US" w:eastAsia="zh-CN"/>
              </w:rPr>
              <w:t>半成品</w:t>
            </w:r>
            <w:r>
              <w:rPr>
                <w:rFonts w:hint="default" w:ascii="Times New Roman" w:hAnsi="Times New Roman" w:cs="Times New Roman"/>
                <w:color w:val="000000"/>
                <w:spacing w:val="2"/>
                <w:sz w:val="24"/>
                <w:szCs w:val="24"/>
                <w:lang w:eastAsia="zh-CN"/>
              </w:rPr>
              <w:t>通过叉车将</w:t>
            </w:r>
            <w:r>
              <w:rPr>
                <w:rFonts w:hint="default" w:ascii="Times New Roman" w:hAnsi="Times New Roman" w:cs="Times New Roman"/>
                <w:color w:val="000000"/>
                <w:spacing w:val="2"/>
                <w:sz w:val="24"/>
                <w:szCs w:val="24"/>
                <w:lang w:val="en-US" w:eastAsia="zh-CN"/>
              </w:rPr>
              <w:t>吨袋包装的负极粉半成品运输至碳化前原料区暂存，</w:t>
            </w:r>
            <w:r>
              <w:rPr>
                <w:rFonts w:hint="default" w:ascii="Times New Roman" w:hAnsi="Times New Roman" w:cs="Times New Roman"/>
                <w:color w:val="000000"/>
                <w:spacing w:val="2"/>
                <w:sz w:val="24"/>
                <w:szCs w:val="24"/>
                <w:lang w:eastAsia="zh-CN"/>
              </w:rPr>
              <w:t>人工解袋。</w:t>
            </w:r>
          </w:p>
          <w:p w14:paraId="251A1005">
            <w:pPr>
              <w:pStyle w:val="81"/>
              <w:keepNext w:val="0"/>
              <w:keepLines w:val="0"/>
              <w:pageBreakBefore w:val="0"/>
              <w:widowControl/>
              <w:numPr>
                <w:ilvl w:val="0"/>
                <w:numId w:val="19"/>
              </w:numPr>
              <w:kinsoku w:val="0"/>
              <w:wordWrap/>
              <w:overflowPunct w:val="0"/>
              <w:topLinePunct w:val="0"/>
              <w:autoSpaceDE/>
              <w:autoSpaceDN/>
              <w:bidi w:val="0"/>
              <w:adjustRightInd w:val="0"/>
              <w:snapToGrid w:val="0"/>
              <w:spacing w:after="0" w:line="360" w:lineRule="auto"/>
              <w:ind w:left="0" w:firstLine="482" w:firstLineChars="200"/>
              <w:textAlignment w:val="auto"/>
              <w:rPr>
                <w:rFonts w:hint="default" w:ascii="Times New Roman" w:hAnsi="Times New Roman" w:cs="Times New Roman"/>
                <w:b/>
                <w:color w:val="000000"/>
                <w:spacing w:val="1"/>
                <w:w w:val="99"/>
                <w:sz w:val="24"/>
                <w:szCs w:val="24"/>
              </w:rPr>
            </w:pPr>
            <w:r>
              <w:rPr>
                <w:rFonts w:hint="default" w:ascii="Times New Roman" w:hAnsi="Times New Roman" w:cs="Times New Roman"/>
                <w:b/>
                <w:color w:val="000000"/>
                <w:sz w:val="24"/>
                <w:szCs w:val="24"/>
              </w:rPr>
              <w:t>装</w:t>
            </w:r>
            <w:r>
              <w:rPr>
                <w:rFonts w:hint="default" w:ascii="Times New Roman" w:hAnsi="Times New Roman" w:cs="Times New Roman"/>
                <w:b/>
                <w:color w:val="000000"/>
                <w:sz w:val="24"/>
                <w:szCs w:val="24"/>
                <w:lang w:eastAsia="zh-CN"/>
              </w:rPr>
              <w:t>坩埚</w:t>
            </w:r>
          </w:p>
          <w:p w14:paraId="698FF95F">
            <w:pPr>
              <w:pStyle w:val="81"/>
              <w:keepNext w:val="0"/>
              <w:keepLines w:val="0"/>
              <w:pageBreakBefore w:val="0"/>
              <w:widowControl/>
              <w:kinsoku w:val="0"/>
              <w:wordWrap/>
              <w:overflowPunct w:val="0"/>
              <w:topLinePunct w:val="0"/>
              <w:autoSpaceDE/>
              <w:autoSpaceDN/>
              <w:bidi w:val="0"/>
              <w:adjustRightInd w:val="0"/>
              <w:snapToGrid w:val="0"/>
              <w:spacing w:after="0" w:line="360" w:lineRule="auto"/>
              <w:ind w:left="0" w:firstLine="480" w:firstLineChars="200"/>
              <w:textAlignment w:val="auto"/>
              <w:rPr>
                <w:rFonts w:hint="default" w:ascii="Times New Roman" w:hAnsi="Times New Roman" w:eastAsia="宋体" w:cs="Times New Roman"/>
                <w:color w:val="000000"/>
                <w:kern w:val="0"/>
                <w:sz w:val="24"/>
                <w:szCs w:val="21"/>
                <w:lang w:val="en-US" w:eastAsia="zh-CN" w:bidi="ar-SA"/>
              </w:rPr>
            </w:pPr>
            <w:r>
              <w:rPr>
                <w:rFonts w:hint="default" w:ascii="Times New Roman" w:hAnsi="Times New Roman" w:eastAsia="宋体" w:cs="Times New Roman"/>
                <w:color w:val="000000"/>
                <w:kern w:val="0"/>
                <w:sz w:val="24"/>
                <w:szCs w:val="21"/>
                <w:lang w:val="en-US" w:eastAsia="zh-CN" w:bidi="ar-SA"/>
              </w:rPr>
              <w:t>使用吸料机，采用气力输送方式将负极粉半成品从吨袋中抽吸投料进入坩埚中，然后将装有物料的坩埚经推车依次送入辊道炉内，准备进入下一步工艺；装料过程产生粉尘和噪声。</w:t>
            </w:r>
          </w:p>
          <w:p w14:paraId="1ADE9E36">
            <w:pPr>
              <w:pStyle w:val="81"/>
              <w:keepNext w:val="0"/>
              <w:keepLines w:val="0"/>
              <w:pageBreakBefore w:val="0"/>
              <w:widowControl/>
              <w:numPr>
                <w:ilvl w:val="0"/>
                <w:numId w:val="19"/>
              </w:numPr>
              <w:kinsoku w:val="0"/>
              <w:wordWrap/>
              <w:overflowPunct w:val="0"/>
              <w:topLinePunct w:val="0"/>
              <w:autoSpaceDE/>
              <w:autoSpaceDN/>
              <w:bidi w:val="0"/>
              <w:adjustRightInd w:val="0"/>
              <w:snapToGrid w:val="0"/>
              <w:spacing w:after="0" w:line="360" w:lineRule="auto"/>
              <w:ind w:left="0" w:firstLine="480" w:firstLineChars="200"/>
              <w:textAlignment w:val="auto"/>
              <w:rPr>
                <w:rFonts w:hint="default" w:ascii="Times New Roman" w:hAnsi="Times New Roman" w:cs="Times New Roman"/>
                <w:b/>
                <w:color w:val="000000"/>
                <w:spacing w:val="1"/>
                <w:w w:val="99"/>
                <w:sz w:val="24"/>
                <w:szCs w:val="24"/>
              </w:rPr>
            </w:pPr>
            <w:r>
              <w:rPr>
                <w:rFonts w:hint="default" w:ascii="Times New Roman" w:hAnsi="Times New Roman" w:cs="Times New Roman"/>
                <w:b/>
                <w:color w:val="000000"/>
                <w:spacing w:val="1"/>
                <w:w w:val="99"/>
                <w:sz w:val="24"/>
                <w:szCs w:val="24"/>
                <w:lang w:val="en-US" w:eastAsia="zh-CN"/>
              </w:rPr>
              <w:t>辊道炉加热</w:t>
            </w:r>
          </w:p>
          <w:p w14:paraId="2960F8BA">
            <w:pPr>
              <w:pStyle w:val="88"/>
              <w:keepNext w:val="0"/>
              <w:keepLines w:val="0"/>
              <w:pageBreakBefore w:val="0"/>
              <w:widowControl/>
              <w:wordWrap/>
              <w:topLinePunct w:val="0"/>
              <w:autoSpaceDE/>
              <w:autoSpaceDN/>
              <w:bidi w:val="0"/>
              <w:adjustRightInd w:val="0"/>
              <w:snapToGrid w:val="0"/>
              <w:spacing w:after="0" w:line="360" w:lineRule="auto"/>
              <w:ind w:left="0" w:firstLine="480" w:firstLineChars="200"/>
              <w:textAlignment w:val="auto"/>
              <w:rPr>
                <w:rFonts w:hint="default" w:ascii="Times New Roman" w:hAnsi="Times New Roman" w:cs="Times New Roman"/>
                <w:color w:val="0000FF"/>
              </w:rPr>
            </w:pPr>
            <w:r>
              <w:rPr>
                <w:rFonts w:hint="default" w:ascii="Times New Roman" w:hAnsi="Times New Roman" w:cs="Times New Roman"/>
                <w:color w:val="000000"/>
                <w:szCs w:val="21"/>
                <w:lang w:val="en-US" w:eastAsia="zh-CN"/>
              </w:rPr>
              <w:t>外委包覆好的负极粉半成品在</w:t>
            </w:r>
            <w:r>
              <w:rPr>
                <w:rFonts w:hint="default" w:ascii="Times New Roman" w:hAnsi="Times New Roman" w:cs="Times New Roman"/>
                <w:color w:val="000000"/>
                <w:szCs w:val="21"/>
              </w:rPr>
              <w:t>辊道炉内进行预热、升温、改性。具体生产过程如下：辊道炉通过</w:t>
            </w:r>
            <w:r>
              <w:rPr>
                <w:rFonts w:hint="eastAsia" w:ascii="Times New Roman" w:hAnsi="Times New Roman" w:cs="Times New Roman"/>
                <w:color w:val="000000"/>
                <w:szCs w:val="21"/>
                <w:lang w:eastAsia="zh-CN"/>
              </w:rPr>
              <w:t>天然气</w:t>
            </w:r>
            <w:r>
              <w:rPr>
                <w:rFonts w:hint="default" w:ascii="Times New Roman" w:hAnsi="Times New Roman" w:cs="Times New Roman"/>
                <w:color w:val="000000"/>
                <w:szCs w:val="21"/>
              </w:rPr>
              <w:t>加热，在升温过程中，将包覆材料（沥青焦）逐渐熔化，物料在加热过程中被融化后的包覆材料（沥青焦）吸附改性。加热过程中，辊道炉内的负极材料和包覆材料（沥青焦）轻组分气体会不断挥发出来。升温结束后，保持恒温状态，期间辊道炉内有机组分气体挥发出来，通过管道在风机抽力下排出。</w:t>
            </w:r>
            <w:r>
              <w:rPr>
                <w:rFonts w:hint="default" w:ascii="Times New Roman" w:hAnsi="Times New Roman" w:cs="Times New Roman"/>
                <w:color w:val="000000"/>
              </w:rPr>
              <w:t>本项目成品碳化采用</w:t>
            </w:r>
            <w:r>
              <w:rPr>
                <w:rFonts w:hint="eastAsia" w:cs="Times New Roman"/>
                <w:color w:val="000000"/>
                <w:lang w:val="en-US" w:eastAsia="zh-CN"/>
              </w:rPr>
              <w:t>2</w:t>
            </w:r>
            <w:r>
              <w:rPr>
                <w:rFonts w:hint="default" w:ascii="Times New Roman" w:hAnsi="Times New Roman" w:cs="Times New Roman"/>
                <w:color w:val="000000"/>
              </w:rPr>
              <w:t>套辊道炉，辊道炉由</w:t>
            </w:r>
            <w:r>
              <w:rPr>
                <w:rFonts w:hint="eastAsia" w:ascii="Times New Roman" w:hAnsi="Times New Roman" w:cs="Times New Roman"/>
                <w:color w:val="000000"/>
                <w:lang w:eastAsia="zh-CN"/>
              </w:rPr>
              <w:t>天然气</w:t>
            </w:r>
            <w:r>
              <w:rPr>
                <w:rFonts w:hint="default" w:ascii="Times New Roman" w:hAnsi="Times New Roman" w:cs="Times New Roman"/>
                <w:color w:val="000000"/>
              </w:rPr>
              <w:t>加热供热，温度在1200℃，碳化时间为20h。此过程产生</w:t>
            </w:r>
            <w:r>
              <w:rPr>
                <w:rFonts w:hint="default" w:ascii="Times New Roman" w:hAnsi="Times New Roman" w:cs="Times New Roman"/>
                <w:color w:val="000000"/>
                <w:lang w:val="en-US" w:eastAsia="zh-CN"/>
              </w:rPr>
              <w:t>SO</w:t>
            </w:r>
            <w:r>
              <w:rPr>
                <w:rFonts w:hint="default" w:ascii="Times New Roman" w:hAnsi="Times New Roman" w:cs="Times New Roman"/>
                <w:color w:val="000000"/>
                <w:vertAlign w:val="subscript"/>
                <w:lang w:val="en-US" w:eastAsia="zh-CN"/>
              </w:rPr>
              <w:t>2</w:t>
            </w:r>
            <w:r>
              <w:rPr>
                <w:rFonts w:hint="default" w:ascii="Times New Roman" w:hAnsi="Times New Roman" w:cs="Times New Roman"/>
                <w:color w:val="000000"/>
                <w:lang w:val="en-US" w:eastAsia="zh-CN"/>
              </w:rPr>
              <w:t>、NOx、颗粒物</w:t>
            </w:r>
            <w:r>
              <w:rPr>
                <w:rFonts w:hint="eastAsia" w:ascii="Times New Roman" w:hAnsi="Times New Roman" w:cs="Times New Roman"/>
                <w:color w:val="000000"/>
                <w:lang w:val="en-US" w:eastAsia="zh-CN"/>
              </w:rPr>
              <w:t>，</w:t>
            </w:r>
            <w:r>
              <w:rPr>
                <w:rFonts w:hint="default" w:ascii="Times New Roman" w:hAnsi="Times New Roman" w:cs="Times New Roman"/>
                <w:color w:val="000000"/>
                <w:lang w:val="en-US" w:eastAsia="zh-CN"/>
              </w:rPr>
              <w:t>苯并芘、挥发性有机物可以燃烧的很完全</w:t>
            </w:r>
            <w:r>
              <w:rPr>
                <w:rFonts w:hint="eastAsia" w:ascii="Times New Roman" w:hAnsi="Times New Roman" w:cs="Times New Roman"/>
                <w:color w:val="000000"/>
                <w:lang w:val="en-US" w:eastAsia="zh-CN"/>
              </w:rPr>
              <w:t>，分解成CO</w:t>
            </w:r>
            <w:r>
              <w:rPr>
                <w:rFonts w:hint="eastAsia" w:ascii="Times New Roman" w:hAnsi="Times New Roman" w:cs="Times New Roman"/>
                <w:color w:val="000000"/>
                <w:vertAlign w:val="subscript"/>
                <w:lang w:val="en-US" w:eastAsia="zh-CN"/>
              </w:rPr>
              <w:t>2</w:t>
            </w:r>
            <w:r>
              <w:rPr>
                <w:rFonts w:hint="eastAsia" w:ascii="Times New Roman" w:hAnsi="Times New Roman" w:cs="Times New Roman"/>
                <w:color w:val="000000"/>
                <w:lang w:val="en-US" w:eastAsia="zh-CN"/>
              </w:rPr>
              <w:t>和水</w:t>
            </w:r>
            <w:r>
              <w:rPr>
                <w:rFonts w:hint="default" w:ascii="Times New Roman" w:hAnsi="Times New Roman" w:cs="Times New Roman"/>
                <w:color w:val="000000"/>
              </w:rPr>
              <w:t>。</w:t>
            </w:r>
          </w:p>
          <w:p w14:paraId="1A1A69E2">
            <w:pPr>
              <w:pStyle w:val="81"/>
              <w:keepNext w:val="0"/>
              <w:keepLines w:val="0"/>
              <w:pageBreakBefore w:val="0"/>
              <w:widowControl/>
              <w:numPr>
                <w:ilvl w:val="0"/>
                <w:numId w:val="19"/>
              </w:numPr>
              <w:kinsoku w:val="0"/>
              <w:wordWrap/>
              <w:overflowPunct w:val="0"/>
              <w:topLinePunct w:val="0"/>
              <w:autoSpaceDE/>
              <w:autoSpaceDN/>
              <w:bidi w:val="0"/>
              <w:adjustRightInd w:val="0"/>
              <w:snapToGrid w:val="0"/>
              <w:spacing w:after="0" w:line="360" w:lineRule="auto"/>
              <w:ind w:left="0" w:firstLine="480" w:firstLineChars="200"/>
              <w:textAlignment w:val="auto"/>
              <w:rPr>
                <w:rFonts w:hint="default" w:ascii="Times New Roman" w:hAnsi="Times New Roman" w:cs="Times New Roman"/>
                <w:b/>
                <w:color w:val="000000"/>
                <w:spacing w:val="1"/>
                <w:w w:val="99"/>
                <w:sz w:val="24"/>
                <w:szCs w:val="24"/>
                <w:lang w:val="en-US" w:eastAsia="zh-CN"/>
              </w:rPr>
            </w:pPr>
            <w:r>
              <w:rPr>
                <w:rFonts w:hint="default" w:ascii="Times New Roman" w:hAnsi="Times New Roman" w:cs="Times New Roman"/>
                <w:b/>
                <w:color w:val="000000"/>
                <w:spacing w:val="1"/>
                <w:w w:val="99"/>
                <w:sz w:val="24"/>
                <w:szCs w:val="24"/>
                <w:lang w:val="en-US" w:eastAsia="zh-CN"/>
              </w:rPr>
              <w:t>包装、暂存</w:t>
            </w:r>
          </w:p>
          <w:p w14:paraId="01D56768">
            <w:pPr>
              <w:pStyle w:val="81"/>
              <w:widowControl/>
              <w:spacing w:line="360" w:lineRule="auto"/>
              <w:ind w:right="91" w:firstLine="460" w:firstLineChars="200"/>
              <w:jc w:val="left"/>
              <w:rPr>
                <w:rFonts w:hint="eastAsia" w:eastAsia="宋体" w:cs="Times New Roman"/>
                <w:color w:val="000000"/>
                <w:spacing w:val="-5"/>
                <w:sz w:val="24"/>
                <w:lang w:val="zh-CN" w:eastAsia="zh-CN"/>
              </w:rPr>
            </w:pPr>
            <w:r>
              <w:rPr>
                <w:rFonts w:hint="default" w:eastAsia="宋体" w:cs="Times New Roman"/>
                <w:color w:val="000000"/>
                <w:spacing w:val="-5"/>
                <w:sz w:val="24"/>
              </w:rPr>
              <w:t>项目清理出的产品料在</w:t>
            </w:r>
            <w:r>
              <w:rPr>
                <w:rFonts w:hint="default" w:eastAsia="宋体" w:cs="Times New Roman"/>
                <w:color w:val="000000"/>
                <w:spacing w:val="-5"/>
                <w:sz w:val="24"/>
                <w:lang w:val="en-US" w:eastAsia="zh-CN"/>
              </w:rPr>
              <w:t>2#</w:t>
            </w:r>
            <w:r>
              <w:rPr>
                <w:rFonts w:hint="default" w:eastAsia="宋体" w:cs="Times New Roman"/>
                <w:color w:val="000000"/>
                <w:spacing w:val="-5"/>
                <w:sz w:val="24"/>
              </w:rPr>
              <w:t>厂房</w:t>
            </w:r>
            <w:r>
              <w:rPr>
                <w:rFonts w:hint="default" w:eastAsia="宋体" w:cs="Times New Roman"/>
                <w:color w:val="000000"/>
                <w:spacing w:val="-5"/>
                <w:sz w:val="24"/>
                <w:lang w:val="en-US" w:eastAsia="zh-CN"/>
              </w:rPr>
              <w:t>检验中心</w:t>
            </w:r>
            <w:r>
              <w:rPr>
                <w:rFonts w:hint="default" w:eastAsia="宋体" w:cs="Times New Roman"/>
                <w:color w:val="000000"/>
                <w:spacing w:val="-5"/>
                <w:sz w:val="24"/>
              </w:rPr>
              <w:t>对产品进行检验，对产品粒度、密度等进行检验，合格品采用负压吸料机抽至高位贮料斗，由贮料斗放料至包装袋，再经电子秤称量、封口机包装后由场内</w:t>
            </w:r>
            <w:r>
              <w:rPr>
                <w:rFonts w:hint="default" w:eastAsia="宋体" w:cs="Times New Roman"/>
                <w:color w:val="000000"/>
                <w:spacing w:val="-5"/>
                <w:sz w:val="24"/>
                <w:lang w:val="en-US" w:eastAsia="zh-CN"/>
              </w:rPr>
              <w:t>行</w:t>
            </w:r>
            <w:r>
              <w:rPr>
                <w:rFonts w:hint="default" w:eastAsia="宋体" w:cs="Times New Roman"/>
                <w:color w:val="000000"/>
                <w:spacing w:val="-5"/>
                <w:sz w:val="24"/>
              </w:rPr>
              <w:t>车</w:t>
            </w:r>
            <w:r>
              <w:rPr>
                <w:rFonts w:hint="default" w:eastAsia="宋体" w:cs="Times New Roman"/>
                <w:color w:val="000000"/>
                <w:spacing w:val="-5"/>
                <w:sz w:val="24"/>
                <w:lang w:eastAsia="zh-CN"/>
              </w:rPr>
              <w:t>、</w:t>
            </w:r>
            <w:r>
              <w:rPr>
                <w:rFonts w:hint="default" w:eastAsia="宋体" w:cs="Times New Roman"/>
                <w:color w:val="000000"/>
                <w:spacing w:val="-5"/>
                <w:sz w:val="24"/>
                <w:lang w:val="en-US" w:eastAsia="zh-CN"/>
              </w:rPr>
              <w:t>叉车</w:t>
            </w:r>
            <w:r>
              <w:rPr>
                <w:rFonts w:hint="default" w:eastAsia="宋体" w:cs="Times New Roman"/>
                <w:color w:val="000000"/>
                <w:spacing w:val="-5"/>
                <w:sz w:val="24"/>
              </w:rPr>
              <w:t>转入</w:t>
            </w:r>
            <w:r>
              <w:rPr>
                <w:rFonts w:hint="default" w:eastAsia="宋体" w:cs="Times New Roman"/>
                <w:color w:val="000000"/>
                <w:spacing w:val="-5"/>
                <w:sz w:val="24"/>
                <w:lang w:val="en-US" w:eastAsia="zh-CN"/>
              </w:rPr>
              <w:t>出坩埚区进行暂存</w:t>
            </w:r>
            <w:r>
              <w:rPr>
                <w:rFonts w:hint="default" w:eastAsia="宋体" w:cs="Times New Roman"/>
                <w:color w:val="000000"/>
                <w:spacing w:val="-5"/>
                <w:sz w:val="24"/>
              </w:rPr>
              <w:t>，</w:t>
            </w:r>
            <w:r>
              <w:rPr>
                <w:rFonts w:hint="default" w:eastAsia="宋体" w:cs="Times New Roman"/>
                <w:color w:val="000000"/>
                <w:spacing w:val="-5"/>
                <w:sz w:val="24"/>
                <w:lang w:val="en-US" w:eastAsia="zh-CN"/>
              </w:rPr>
              <w:t>等待外售。</w:t>
            </w:r>
            <w:r>
              <w:rPr>
                <w:rFonts w:hint="default" w:eastAsia="宋体" w:cs="Times New Roman"/>
                <w:color w:val="000000"/>
                <w:spacing w:val="-5"/>
                <w:sz w:val="24"/>
              </w:rPr>
              <w:t>不合格品作为增碳剂外卖给钢厂。</w:t>
            </w:r>
            <w:r>
              <w:rPr>
                <w:rFonts w:hint="default" w:eastAsia="宋体" w:cs="Times New Roman"/>
                <w:color w:val="000000"/>
                <w:spacing w:val="-5"/>
                <w:sz w:val="24"/>
                <w:lang w:val="en-US" w:eastAsia="zh-CN"/>
              </w:rPr>
              <w:t>包装过程会产生噪声、粉尘。</w:t>
            </w:r>
          </w:p>
          <w:p w14:paraId="0FA90338">
            <w:pPr>
              <w:spacing w:line="360" w:lineRule="auto"/>
              <w:ind w:firstLine="482" w:firstLineChars="200"/>
              <w:jc w:val="left"/>
              <w:rPr>
                <w:b/>
                <w:bCs/>
                <w:color w:val="000000"/>
                <w:sz w:val="24"/>
              </w:rPr>
            </w:pPr>
            <w:r>
              <w:rPr>
                <w:rFonts w:hint="eastAsia"/>
                <w:b/>
                <w:bCs/>
                <w:color w:val="000000"/>
                <w:sz w:val="24"/>
                <w:lang w:val="en-US" w:eastAsia="zh-CN"/>
              </w:rPr>
              <w:t>6</w:t>
            </w:r>
            <w:r>
              <w:rPr>
                <w:b/>
                <w:bCs/>
                <w:color w:val="000000"/>
                <w:sz w:val="24"/>
              </w:rPr>
              <w:t>、现有工程主要污染物治理措施及达标排放情况</w:t>
            </w:r>
          </w:p>
          <w:p w14:paraId="702685CF">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82" w:firstLineChars="200"/>
              <w:textAlignment w:val="auto"/>
              <w:outlineLvl w:val="9"/>
              <w:rPr>
                <w:rFonts w:hint="default" w:ascii="Times New Roman" w:hAnsi="Times New Roman" w:cs="Times New Roman"/>
                <w:b w:val="0"/>
                <w:bCs w:val="0"/>
                <w:color w:val="000000"/>
                <w:sz w:val="24"/>
                <w:szCs w:val="24"/>
                <w:lang w:val="en-US" w:eastAsia="zh-CN"/>
              </w:rPr>
            </w:pPr>
            <w:r>
              <w:rPr>
                <w:rFonts w:hint="default" w:ascii="Times New Roman" w:hAnsi="Times New Roman" w:cs="Times New Roman"/>
                <w:b/>
                <w:bCs/>
                <w:color w:val="000000"/>
                <w:sz w:val="24"/>
                <w:szCs w:val="24"/>
              </w:rPr>
              <w:t>（一）废气的产生及治理</w:t>
            </w:r>
          </w:p>
          <w:p w14:paraId="60EDB3D4">
            <w:pPr>
              <w:pStyle w:val="10"/>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cs="Times New Roman"/>
                <w:b/>
                <w:bCs/>
                <w:color w:val="000000"/>
                <w:sz w:val="24"/>
                <w:szCs w:val="24"/>
                <w:lang w:val="en-US" w:eastAsia="zh-CN"/>
              </w:rPr>
            </w:pPr>
            <w:r>
              <w:rPr>
                <w:rFonts w:hint="default" w:ascii="Times New Roman" w:hAnsi="Times New Roman" w:cs="Times New Roman"/>
                <w:b w:val="0"/>
                <w:bCs w:val="0"/>
                <w:color w:val="000000"/>
                <w:sz w:val="24"/>
                <w:szCs w:val="24"/>
                <w:lang w:val="en-US" w:eastAsia="zh-CN"/>
              </w:rPr>
              <w:t>本项目产生的废气主要为负极粉原料预处理废气</w:t>
            </w:r>
            <w:r>
              <w:rPr>
                <w:rFonts w:hint="eastAsia" w:ascii="Times New Roman" w:hAnsi="Times New Roman" w:cs="Times New Roman"/>
                <w:b w:val="0"/>
                <w:bCs w:val="0"/>
                <w:color w:val="000000"/>
                <w:sz w:val="24"/>
                <w:szCs w:val="24"/>
                <w:lang w:val="en-US" w:eastAsia="zh-CN"/>
              </w:rPr>
              <w:t>和项目成品碳化工艺废气</w:t>
            </w:r>
            <w:r>
              <w:rPr>
                <w:rFonts w:hint="eastAsia" w:cs="Times New Roman"/>
                <w:b w:val="0"/>
                <w:bCs w:val="0"/>
                <w:color w:val="000000"/>
                <w:sz w:val="24"/>
                <w:szCs w:val="24"/>
                <w:lang w:val="en-US" w:eastAsia="zh-CN"/>
              </w:rPr>
              <w:t>。</w:t>
            </w:r>
          </w:p>
          <w:p w14:paraId="7B7994E4">
            <w:pPr>
              <w:pStyle w:val="10"/>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cs="Times New Roman"/>
                <w:b/>
                <w:bCs/>
                <w:color w:val="000000"/>
                <w:sz w:val="24"/>
                <w:szCs w:val="24"/>
                <w:lang w:val="en-US" w:eastAsia="zh-CN"/>
              </w:rPr>
            </w:pPr>
            <w:r>
              <w:rPr>
                <w:rFonts w:hint="default" w:ascii="Times New Roman" w:hAnsi="Times New Roman" w:cs="Times New Roman"/>
                <w:b/>
                <w:bCs/>
                <w:color w:val="000000"/>
                <w:sz w:val="24"/>
                <w:szCs w:val="24"/>
                <w:lang w:val="en-US" w:eastAsia="zh-CN"/>
              </w:rPr>
              <w:t>（1）原料预处理废气</w:t>
            </w:r>
          </w:p>
          <w:p w14:paraId="00C3D84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color w:val="000000"/>
                <w:sz w:val="24"/>
              </w:rPr>
            </w:pPr>
            <w:r>
              <w:rPr>
                <w:rFonts w:hint="eastAsia"/>
                <w:color w:val="000000"/>
                <w:sz w:val="24"/>
                <w:lang w:eastAsia="zh-CN"/>
              </w:rPr>
              <w:t>建设单位</w:t>
            </w:r>
            <w:r>
              <w:rPr>
                <w:rFonts w:hint="eastAsia"/>
                <w:color w:val="000000"/>
                <w:sz w:val="24"/>
              </w:rPr>
              <w:t>预处理工序中设为密闭车间，同时设置车间内部喷淋设备，能有效去除无组织粉尘。项目预处理产生的废气主要</w:t>
            </w:r>
            <w:r>
              <w:rPr>
                <w:rFonts w:hint="eastAsia"/>
                <w:color w:val="000000"/>
                <w:sz w:val="24"/>
                <w:lang w:eastAsia="zh-CN"/>
              </w:rPr>
              <w:t>包括投料粉尘、破碎粉尘、料仓暂存粉尘、粉碎整形粉尘、包装粉尘、烘干废气，</w:t>
            </w:r>
          </w:p>
          <w:p w14:paraId="3D906ACC">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color w:val="000000"/>
                <w:sz w:val="24"/>
                <w:lang w:eastAsia="zh-CN"/>
              </w:rPr>
            </w:pPr>
            <w:r>
              <w:rPr>
                <w:rFonts w:hint="eastAsia"/>
                <w:b/>
                <w:bCs/>
                <w:color w:val="000000"/>
                <w:sz w:val="24"/>
                <w:lang w:eastAsia="zh-CN"/>
              </w:rPr>
              <w:t>治理措施：</w:t>
            </w:r>
            <w:r>
              <w:rPr>
                <w:rFonts w:hint="eastAsia"/>
                <w:color w:val="000000"/>
                <w:sz w:val="24"/>
                <w:lang w:eastAsia="zh-CN"/>
              </w:rPr>
              <w:t>建设单位在投料口下方设置进料口进行收集投料粉尘，在颚式破碎、对轴破碎上方设置集气罩收集破碎粉尘；投料粉尘、破碎粉尘、料仓暂存粉尘、粉碎整形粉尘、包装粉尘、烘干废气通过烘干工艺配套布袋除尘进行处理后通过15m排气筒排放。</w:t>
            </w:r>
          </w:p>
          <w:p w14:paraId="1583FCEB">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b/>
                <w:bCs/>
                <w:color w:val="000000"/>
                <w:sz w:val="24"/>
                <w:lang w:val="en-US" w:eastAsia="zh-CN"/>
              </w:rPr>
            </w:pPr>
            <w:r>
              <w:rPr>
                <w:rFonts w:hint="eastAsia"/>
                <w:b/>
                <w:bCs/>
                <w:color w:val="000000"/>
                <w:sz w:val="24"/>
                <w:lang w:val="en-US" w:eastAsia="zh-CN"/>
              </w:rPr>
              <w:t>由于市场原因，目前预处理工序处于停产状态，厂区原料预处理均外委。</w:t>
            </w:r>
          </w:p>
          <w:p w14:paraId="7021CBB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宋体" w:hAnsi="宋体"/>
                <w:color w:val="000000"/>
                <w:sz w:val="24"/>
              </w:rPr>
            </w:pPr>
            <w:r>
              <w:rPr>
                <w:rFonts w:hint="eastAsia" w:ascii="宋体" w:hAnsi="宋体"/>
                <w:color w:val="000000"/>
                <w:sz w:val="24"/>
                <w:lang w:eastAsia="zh-CN"/>
              </w:rPr>
              <w:t>废气处理设施</w:t>
            </w:r>
            <w:r>
              <w:rPr>
                <w:rFonts w:hint="eastAsia" w:ascii="宋体" w:hAnsi="宋体"/>
                <w:color w:val="000000"/>
                <w:sz w:val="24"/>
              </w:rPr>
              <w:t>如下图：</w:t>
            </w:r>
          </w:p>
          <w:tbl>
            <w:tblPr>
              <w:tblStyle w:val="32"/>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8"/>
              <w:gridCol w:w="4528"/>
            </w:tblGrid>
            <w:tr w14:paraId="54E1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8" w:type="dxa"/>
                  <w:noWrap w:val="0"/>
                  <w:vAlign w:val="top"/>
                </w:tcPr>
                <w:p w14:paraId="39EC357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drawing>
                      <wp:inline distT="0" distB="0" distL="114300" distR="114300">
                        <wp:extent cx="2713990" cy="2035175"/>
                        <wp:effectExtent l="0" t="0" r="10160" b="3175"/>
                        <wp:docPr id="14" name="图片 9" descr="微信图片_2023121410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微信图片_20231214102042"/>
                                <pic:cNvPicPr>
                                  <a:picLocks noChangeAspect="1"/>
                                </pic:cNvPicPr>
                              </pic:nvPicPr>
                              <pic:blipFill>
                                <a:blip r:embed="rId33"/>
                                <a:stretch>
                                  <a:fillRect/>
                                </a:stretch>
                              </pic:blipFill>
                              <pic:spPr>
                                <a:xfrm>
                                  <a:off x="0" y="0"/>
                                  <a:ext cx="2713990" cy="2035175"/>
                                </a:xfrm>
                                <a:prstGeom prst="rect">
                                  <a:avLst/>
                                </a:prstGeom>
                                <a:noFill/>
                                <a:ln>
                                  <a:noFill/>
                                </a:ln>
                              </pic:spPr>
                            </pic:pic>
                          </a:graphicData>
                        </a:graphic>
                      </wp:inline>
                    </w:drawing>
                  </w:r>
                </w:p>
              </w:tc>
              <w:tc>
                <w:tcPr>
                  <w:tcW w:w="4528" w:type="dxa"/>
                  <w:noWrap w:val="0"/>
                  <w:vAlign w:val="top"/>
                </w:tcPr>
                <w:p w14:paraId="3F52E6C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drawing>
                      <wp:inline distT="0" distB="0" distL="114300" distR="114300">
                        <wp:extent cx="2729865" cy="2048510"/>
                        <wp:effectExtent l="0" t="0" r="13335" b="8890"/>
                        <wp:docPr id="15" name="图片 10" descr="6a21365a7ee7c69d40308b34e8e24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6a21365a7ee7c69d40308b34e8e24fd"/>
                                <pic:cNvPicPr>
                                  <a:picLocks noChangeAspect="1"/>
                                </pic:cNvPicPr>
                              </pic:nvPicPr>
                              <pic:blipFill>
                                <a:blip r:embed="rId34"/>
                                <a:stretch>
                                  <a:fillRect/>
                                </a:stretch>
                              </pic:blipFill>
                              <pic:spPr>
                                <a:xfrm>
                                  <a:off x="0" y="0"/>
                                  <a:ext cx="2729865" cy="2048510"/>
                                </a:xfrm>
                                <a:prstGeom prst="rect">
                                  <a:avLst/>
                                </a:prstGeom>
                                <a:noFill/>
                                <a:ln>
                                  <a:noFill/>
                                </a:ln>
                              </pic:spPr>
                            </pic:pic>
                          </a:graphicData>
                        </a:graphic>
                      </wp:inline>
                    </w:drawing>
                  </w:r>
                </w:p>
              </w:tc>
            </w:tr>
          </w:tbl>
          <w:p w14:paraId="478A6547">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eastAsia" w:ascii="Times New Roman" w:hAnsi="Times New Roman" w:eastAsia="宋体" w:cs="Times New Roman"/>
                <w:b/>
                <w:bCs/>
                <w:color w:val="000000"/>
                <w:sz w:val="24"/>
                <w:szCs w:val="24"/>
                <w:lang w:eastAsia="zh-CN"/>
              </w:rPr>
            </w:pPr>
            <w:r>
              <w:rPr>
                <w:rFonts w:hint="eastAsia" w:ascii="Times New Roman" w:hAnsi="Times New Roman" w:cs="Times New Roman"/>
                <w:b/>
                <w:bCs/>
                <w:color w:val="000000"/>
                <w:sz w:val="24"/>
                <w:szCs w:val="24"/>
                <w:lang w:eastAsia="zh-CN"/>
              </w:rPr>
              <w:t>（</w:t>
            </w:r>
            <w:r>
              <w:rPr>
                <w:rFonts w:hint="eastAsia" w:ascii="Times New Roman" w:hAnsi="Times New Roman" w:cs="Times New Roman"/>
                <w:b/>
                <w:bCs/>
                <w:color w:val="000000"/>
                <w:sz w:val="24"/>
                <w:szCs w:val="24"/>
                <w:lang w:val="en-US" w:eastAsia="zh-CN"/>
              </w:rPr>
              <w:t>2）</w:t>
            </w:r>
            <w:r>
              <w:rPr>
                <w:rFonts w:hint="eastAsia" w:ascii="Times New Roman" w:hAnsi="Times New Roman" w:cs="Times New Roman"/>
                <w:b/>
                <w:bCs/>
                <w:color w:val="000000"/>
                <w:sz w:val="24"/>
                <w:szCs w:val="24"/>
                <w:lang w:eastAsia="zh-CN"/>
              </w:rPr>
              <w:t>项目成品碳化工艺废气</w:t>
            </w:r>
          </w:p>
          <w:p w14:paraId="68689298">
            <w:pPr>
              <w:keepNext w:val="0"/>
              <w:keepLines w:val="0"/>
              <w:pageBreakBefore w:val="0"/>
              <w:kinsoku/>
              <w:wordWrap/>
              <w:overflowPunct/>
              <w:topLinePunct w:val="0"/>
              <w:bidi w:val="0"/>
              <w:spacing w:after="0" w:line="360" w:lineRule="auto"/>
              <w:ind w:firstLine="480" w:firstLineChars="200"/>
              <w:textAlignment w:val="auto"/>
              <w:rPr>
                <w:rFonts w:hint="default"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建设单位将成品碳化工序中设为密闭车间，同时设置车间内部喷淋设备，能有效去除无组织粉尘。本工序废气产生如下：</w:t>
            </w:r>
          </w:p>
          <w:p w14:paraId="3DB110AD">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lang w:val="en-US" w:eastAsia="zh-CN"/>
              </w:rPr>
              <w:t>装坩埚</w:t>
            </w:r>
          </w:p>
          <w:p w14:paraId="782EBBF2">
            <w:pPr>
              <w:pStyle w:val="88"/>
              <w:keepNext w:val="0"/>
              <w:keepLines w:val="0"/>
              <w:pageBreakBefore w:val="0"/>
              <w:kinsoku/>
              <w:wordWrap/>
              <w:overflowPunct/>
              <w:topLinePunct w:val="0"/>
              <w:bidi w:val="0"/>
              <w:spacing w:after="0" w:line="360" w:lineRule="auto"/>
              <w:ind w:firstLine="480" w:firstLineChars="200"/>
              <w:jc w:val="both"/>
              <w:textAlignment w:val="auto"/>
              <w:rPr>
                <w:rFonts w:hint="default" w:ascii="Times New Roman" w:hAnsi="Times New Roman" w:eastAsia="宋体" w:cs="Times New Roman"/>
                <w:color w:val="000000"/>
                <w:sz w:val="24"/>
                <w:highlight w:val="yellow"/>
                <w:lang w:val="en-US" w:eastAsia="zh-CN"/>
              </w:rPr>
            </w:pPr>
            <w:r>
              <w:rPr>
                <w:rFonts w:hint="default" w:ascii="Times New Roman" w:hAnsi="Times New Roman" w:eastAsia="宋体" w:cs="Times New Roman"/>
                <w:color w:val="000000"/>
                <w:sz w:val="24"/>
                <w:lang w:val="en-US" w:eastAsia="zh-CN"/>
              </w:rPr>
              <w:t>该工艺流程为装坩埚，</w:t>
            </w:r>
            <w:r>
              <w:rPr>
                <w:rFonts w:hint="default" w:ascii="Times New Roman" w:hAnsi="Times New Roman" w:eastAsia="宋体" w:cs="Times New Roman"/>
                <w:color w:val="000000"/>
                <w:sz w:val="24"/>
              </w:rPr>
              <w:t>主要污染物为颗粒物，本项目采用</w:t>
            </w:r>
            <w:r>
              <w:rPr>
                <w:rFonts w:hint="default" w:ascii="Times New Roman" w:hAnsi="Times New Roman" w:eastAsia="宋体" w:cs="Times New Roman"/>
                <w:color w:val="000000"/>
                <w:sz w:val="24"/>
                <w:lang w:val="en-US" w:eastAsia="zh-CN"/>
              </w:rPr>
              <w:t>吸料机进行装坩埚</w:t>
            </w:r>
            <w:r>
              <w:rPr>
                <w:rFonts w:hint="default" w:ascii="Times New Roman" w:hAnsi="Times New Roman" w:eastAsia="宋体" w:cs="Times New Roman"/>
                <w:color w:val="000000"/>
                <w:sz w:val="24"/>
              </w:rPr>
              <w:t>，</w:t>
            </w:r>
            <w:r>
              <w:rPr>
                <w:rFonts w:hint="default" w:ascii="Times New Roman" w:hAnsi="Times New Roman" w:eastAsia="宋体" w:cs="Times New Roman"/>
                <w:color w:val="000000"/>
                <w:sz w:val="24"/>
                <w:highlight w:val="none"/>
              </w:rPr>
              <w:t>粉尘产</w:t>
            </w:r>
            <w:r>
              <w:rPr>
                <w:rFonts w:hint="default" w:ascii="Times New Roman" w:hAnsi="Times New Roman" w:eastAsia="宋体" w:cs="Times New Roman"/>
                <w:color w:val="000000"/>
                <w:sz w:val="24"/>
              </w:rPr>
              <w:t>生量为</w:t>
            </w:r>
            <w:r>
              <w:rPr>
                <w:rFonts w:hint="default" w:ascii="Times New Roman" w:hAnsi="Times New Roman" w:cs="Times New Roman"/>
                <w:color w:val="000000"/>
                <w:sz w:val="24"/>
                <w:lang w:val="en-US" w:eastAsia="zh-CN"/>
              </w:rPr>
              <w:t>0.22</w:t>
            </w:r>
            <w:r>
              <w:rPr>
                <w:rFonts w:hint="default" w:ascii="Times New Roman" w:hAnsi="Times New Roman" w:eastAsia="宋体" w:cs="Times New Roman"/>
                <w:color w:val="000000"/>
                <w:sz w:val="24"/>
              </w:rPr>
              <w:t>t/a。</w:t>
            </w:r>
            <w:r>
              <w:rPr>
                <w:rFonts w:hint="default" w:ascii="Times New Roman" w:hAnsi="Times New Roman" w:eastAsia="宋体" w:cs="Times New Roman"/>
                <w:color w:val="000000"/>
                <w:sz w:val="24"/>
                <w:lang w:val="en-US" w:eastAsia="zh-CN"/>
              </w:rPr>
              <w:t>接入石</w:t>
            </w:r>
            <w:r>
              <w:rPr>
                <w:rFonts w:hint="eastAsia" w:ascii="Times New Roman" w:hAnsi="Times New Roman" w:cs="Times New Roman"/>
                <w:color w:val="000000"/>
                <w:sz w:val="24"/>
                <w:lang w:val="en-US" w:eastAsia="zh-CN"/>
              </w:rPr>
              <w:t>成品碳化</w:t>
            </w:r>
            <w:r>
              <w:rPr>
                <w:rFonts w:hint="default" w:ascii="Times New Roman" w:hAnsi="Times New Roman" w:eastAsia="宋体" w:cs="Times New Roman"/>
                <w:color w:val="000000"/>
                <w:sz w:val="24"/>
                <w:lang w:val="en-US" w:eastAsia="zh-CN"/>
              </w:rPr>
              <w:t>生产线配套</w:t>
            </w:r>
            <w:r>
              <w:rPr>
                <w:rFonts w:hint="default" w:ascii="Times New Roman" w:hAnsi="Times New Roman" w:eastAsia="宋体" w:cs="Times New Roman"/>
                <w:color w:val="000000"/>
                <w:sz w:val="24"/>
                <w:highlight w:val="none"/>
              </w:rPr>
              <w:t>1套</w:t>
            </w:r>
            <w:r>
              <w:rPr>
                <w:rFonts w:hint="eastAsia" w:ascii="Times New Roman" w:hAnsi="Times New Roman" w:eastAsia="宋体" w:cs="Times New Roman"/>
                <w:color w:val="000000"/>
                <w:sz w:val="24"/>
                <w:highlight w:val="none"/>
                <w:lang w:eastAsia="zh-CN"/>
              </w:rPr>
              <w:t>布袋</w:t>
            </w:r>
            <w:r>
              <w:rPr>
                <w:rFonts w:hint="default" w:ascii="Times New Roman" w:hAnsi="Times New Roman" w:eastAsia="宋体" w:cs="Times New Roman"/>
                <w:color w:val="000000"/>
                <w:sz w:val="24"/>
                <w:highlight w:val="none"/>
              </w:rPr>
              <w:t>除尘装置（</w:t>
            </w:r>
            <w:r>
              <w:rPr>
                <w:rFonts w:hint="eastAsia" w:ascii="Times New Roman" w:hAnsi="Times New Roman" w:cs="Times New Roman"/>
                <w:color w:val="000000"/>
                <w:sz w:val="24"/>
                <w:highlight w:val="none"/>
                <w:lang w:val="en-US" w:eastAsia="zh-CN"/>
              </w:rPr>
              <w:t>风量10000Nm</w:t>
            </w:r>
            <w:r>
              <w:rPr>
                <w:rFonts w:hint="eastAsia" w:ascii="Times New Roman" w:hAnsi="Times New Roman" w:cs="Times New Roman"/>
                <w:color w:val="000000"/>
                <w:sz w:val="24"/>
                <w:highlight w:val="none"/>
                <w:vertAlign w:val="superscript"/>
                <w:lang w:val="en-US" w:eastAsia="zh-CN"/>
              </w:rPr>
              <w:t>3</w:t>
            </w:r>
            <w:r>
              <w:rPr>
                <w:rFonts w:hint="eastAsia" w:ascii="Times New Roman" w:hAnsi="Times New Roman" w:cs="Times New Roman"/>
                <w:color w:val="000000"/>
                <w:sz w:val="24"/>
                <w:highlight w:val="none"/>
                <w:lang w:val="en-US" w:eastAsia="zh-CN"/>
              </w:rPr>
              <w:t>/h，</w:t>
            </w:r>
            <w:r>
              <w:rPr>
                <w:rFonts w:hint="default" w:ascii="Times New Roman" w:hAnsi="Times New Roman" w:eastAsia="宋体" w:cs="Times New Roman"/>
                <w:color w:val="000000"/>
                <w:sz w:val="24"/>
                <w:highlight w:val="none"/>
                <w:lang w:val="en-US" w:eastAsia="zh-CN"/>
              </w:rPr>
              <w:t>除尘效率99</w:t>
            </w:r>
            <w:r>
              <w:rPr>
                <w:rFonts w:hint="default" w:ascii="Times New Roman" w:hAnsi="Times New Roman" w:eastAsia="宋体" w:cs="Times New Roman"/>
                <w:color w:val="000000"/>
                <w:sz w:val="24"/>
                <w:highlight w:val="none"/>
              </w:rPr>
              <w:t>%），粉尘</w:t>
            </w:r>
            <w:r>
              <w:rPr>
                <w:rFonts w:hint="default" w:ascii="Times New Roman" w:hAnsi="Times New Roman" w:eastAsia="宋体" w:cs="Times New Roman"/>
                <w:color w:val="000000"/>
                <w:sz w:val="24"/>
                <w:highlight w:val="none"/>
                <w:lang w:val="en-US" w:eastAsia="zh-CN"/>
              </w:rPr>
              <w:t>经</w:t>
            </w:r>
            <w:r>
              <w:rPr>
                <w:rFonts w:hint="eastAsia" w:ascii="Times New Roman" w:hAnsi="Times New Roman" w:eastAsia="宋体" w:cs="Times New Roman"/>
                <w:color w:val="000000"/>
                <w:sz w:val="24"/>
                <w:highlight w:val="none"/>
                <w:lang w:val="en-US" w:eastAsia="zh-CN"/>
              </w:rPr>
              <w:t>布袋除尘器处理后</w:t>
            </w:r>
            <w:r>
              <w:rPr>
                <w:rFonts w:hint="default" w:ascii="Times New Roman" w:hAnsi="Times New Roman" w:eastAsia="宋体" w:cs="Times New Roman"/>
                <w:color w:val="000000"/>
                <w:sz w:val="24"/>
                <w:highlight w:val="none"/>
                <w:lang w:val="en-US" w:eastAsia="zh-CN"/>
              </w:rPr>
              <w:t>过</w:t>
            </w:r>
            <w:r>
              <w:rPr>
                <w:rFonts w:hint="eastAsia" w:ascii="Times New Roman" w:hAnsi="Times New Roman" w:eastAsia="宋体" w:cs="Times New Roman"/>
                <w:color w:val="000000"/>
                <w:sz w:val="24"/>
                <w:highlight w:val="none"/>
                <w:lang w:val="en-US" w:eastAsia="zh-CN"/>
              </w:rPr>
              <w:t>15m</w:t>
            </w:r>
            <w:r>
              <w:rPr>
                <w:rFonts w:hint="default" w:ascii="Times New Roman" w:hAnsi="Times New Roman" w:eastAsia="宋体" w:cs="Times New Roman"/>
                <w:color w:val="000000"/>
                <w:sz w:val="24"/>
                <w:highlight w:val="none"/>
                <w:lang w:val="en-US" w:eastAsia="zh-CN"/>
              </w:rPr>
              <w:t>排气筒排放。</w:t>
            </w:r>
          </w:p>
          <w:p w14:paraId="2C93A4E3">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000000"/>
                <w:sz w:val="24"/>
                <w:lang w:val="en-US" w:eastAsia="zh-CN"/>
              </w:rPr>
            </w:pPr>
            <w:r>
              <w:rPr>
                <w:rFonts w:hint="default" w:ascii="Times New Roman" w:hAnsi="Times New Roman" w:eastAsia="宋体" w:cs="Times New Roman"/>
                <w:b/>
                <w:bCs/>
                <w:color w:val="000000"/>
                <w:sz w:val="24"/>
                <w:lang w:val="en-US" w:eastAsia="zh-CN"/>
              </w:rPr>
              <w:t>辊道炉加热、冷却</w:t>
            </w:r>
          </w:p>
          <w:p w14:paraId="3AF1680A">
            <w:pPr>
              <w:pStyle w:val="88"/>
              <w:keepNext w:val="0"/>
              <w:keepLines w:val="0"/>
              <w:pageBreakBefore w:val="0"/>
              <w:kinsoku/>
              <w:wordWrap/>
              <w:overflowPunct/>
              <w:topLinePunct w:val="0"/>
              <w:bidi w:val="0"/>
              <w:spacing w:after="0" w:line="360" w:lineRule="auto"/>
              <w:ind w:firstLine="480" w:firstLineChars="200"/>
              <w:textAlignment w:val="auto"/>
              <w:rPr>
                <w:rFonts w:hint="eastAsia" w:ascii="Times New Roman" w:hAnsi="Times New Roman" w:eastAsia="宋体" w:cs="Times New Roman"/>
                <w:bCs/>
                <w:color w:val="000000"/>
                <w:lang w:val="en-US" w:eastAsia="zh-CN"/>
              </w:rPr>
            </w:pPr>
            <w:r>
              <w:rPr>
                <w:rFonts w:hint="default" w:ascii="Times New Roman" w:hAnsi="Times New Roman" w:eastAsia="宋体" w:cs="Times New Roman"/>
                <w:color w:val="000000"/>
                <w:szCs w:val="24"/>
              </w:rPr>
              <w:t>本项目成品碳化废气，在进行成品碳化过程中会产生少量VOCs及苯并芘等</w:t>
            </w:r>
            <w:r>
              <w:rPr>
                <w:rFonts w:hint="default" w:ascii="Times New Roman" w:hAnsi="Times New Roman" w:cs="Times New Roman"/>
                <w:bCs/>
                <w:color w:val="000000"/>
                <w:lang w:val="en-US" w:eastAsia="zh-CN"/>
              </w:rPr>
              <w:t>，辊道炉由</w:t>
            </w:r>
            <w:r>
              <w:rPr>
                <w:rFonts w:hint="eastAsia" w:ascii="Times New Roman" w:hAnsi="Times New Roman" w:cs="Times New Roman"/>
                <w:bCs/>
                <w:color w:val="000000"/>
                <w:lang w:val="en-US" w:eastAsia="zh-CN"/>
              </w:rPr>
              <w:t>天然气</w:t>
            </w:r>
            <w:r>
              <w:rPr>
                <w:rFonts w:hint="default" w:ascii="Times New Roman" w:hAnsi="Times New Roman" w:cs="Times New Roman"/>
                <w:bCs/>
                <w:color w:val="000000"/>
                <w:lang w:val="en-US" w:eastAsia="zh-CN"/>
              </w:rPr>
              <w:t>加热供热，温度在1200℃，碳化时间为</w:t>
            </w:r>
            <w:r>
              <w:rPr>
                <w:rFonts w:hint="eastAsia" w:ascii="Times New Roman" w:hAnsi="Times New Roman" w:cs="Times New Roman"/>
                <w:bCs/>
                <w:color w:val="000000"/>
                <w:lang w:val="en-US" w:eastAsia="zh-CN"/>
              </w:rPr>
              <w:t>2</w:t>
            </w:r>
            <w:r>
              <w:rPr>
                <w:rFonts w:hint="default" w:ascii="Times New Roman" w:hAnsi="Times New Roman" w:cs="Times New Roman"/>
                <w:bCs/>
                <w:color w:val="000000"/>
                <w:lang w:val="en-US" w:eastAsia="zh-CN"/>
              </w:rPr>
              <w:t>0h</w:t>
            </w:r>
            <w:r>
              <w:rPr>
                <w:rFonts w:hint="eastAsia" w:ascii="Times New Roman" w:hAnsi="Times New Roman" w:cs="Times New Roman"/>
                <w:bCs/>
                <w:color w:val="000000"/>
                <w:lang w:val="en-US" w:eastAsia="zh-CN"/>
              </w:rPr>
              <w:t>，</w:t>
            </w:r>
            <w:r>
              <w:rPr>
                <w:rFonts w:hint="default" w:ascii="Times New Roman" w:hAnsi="Times New Roman" w:cs="Times New Roman"/>
                <w:bCs/>
                <w:color w:val="000000"/>
                <w:lang w:val="en-US" w:eastAsia="zh-CN"/>
              </w:rPr>
              <w:t>VOCs烟气中含有大量可燃物质</w:t>
            </w:r>
            <w:r>
              <w:rPr>
                <w:rFonts w:hint="eastAsia" w:ascii="Times New Roman" w:hAnsi="Times New Roman" w:cs="Times New Roman"/>
                <w:bCs/>
                <w:color w:val="000000"/>
                <w:lang w:val="en-US" w:eastAsia="zh-CN"/>
              </w:rPr>
              <w:t>，</w:t>
            </w:r>
            <w:r>
              <w:rPr>
                <w:rFonts w:hint="default" w:ascii="Times New Roman" w:hAnsi="Times New Roman" w:cs="Times New Roman"/>
                <w:bCs/>
                <w:color w:val="000000"/>
                <w:lang w:val="en-US" w:eastAsia="zh-CN"/>
              </w:rPr>
              <w:t>当温度控制在800℃-1000℃之间，供氧充足，燃烧时间在0.5s左右，烃类物质就可以燃烧的很完全，苯并芘分子结构被破坏分解成CO</w:t>
            </w:r>
            <w:r>
              <w:rPr>
                <w:rFonts w:hint="default" w:ascii="Times New Roman" w:hAnsi="Times New Roman" w:cs="Times New Roman"/>
                <w:bCs/>
                <w:color w:val="000000"/>
                <w:vertAlign w:val="subscript"/>
                <w:lang w:val="en-US" w:eastAsia="zh-CN"/>
              </w:rPr>
              <w:t>2</w:t>
            </w:r>
            <w:r>
              <w:rPr>
                <w:rFonts w:hint="default" w:ascii="Times New Roman" w:hAnsi="Times New Roman" w:cs="Times New Roman"/>
                <w:bCs/>
                <w:color w:val="000000"/>
                <w:lang w:val="en-US" w:eastAsia="zh-CN"/>
              </w:rPr>
              <w:t>等</w:t>
            </w:r>
            <w:r>
              <w:rPr>
                <w:rFonts w:hint="eastAsia" w:ascii="Times New Roman" w:hAnsi="Times New Roman" w:cs="Times New Roman"/>
                <w:bCs/>
                <w:color w:val="000000"/>
                <w:lang w:val="en-US" w:eastAsia="zh-CN"/>
              </w:rPr>
              <w:t>。天然气燃烧废气主要为 SO</w:t>
            </w:r>
            <w:r>
              <w:rPr>
                <w:rFonts w:hint="eastAsia" w:ascii="Times New Roman" w:hAnsi="Times New Roman" w:cs="Times New Roman"/>
                <w:bCs/>
                <w:color w:val="000000"/>
                <w:vertAlign w:val="subscript"/>
                <w:lang w:val="en-US" w:eastAsia="zh-CN"/>
              </w:rPr>
              <w:t>2</w:t>
            </w:r>
            <w:r>
              <w:rPr>
                <w:rFonts w:hint="eastAsia" w:ascii="Times New Roman" w:hAnsi="Times New Roman" w:cs="Times New Roman"/>
                <w:bCs/>
                <w:color w:val="000000"/>
                <w:lang w:val="en-US" w:eastAsia="zh-CN"/>
              </w:rPr>
              <w:t>、氮氧化物、颗粒物。</w:t>
            </w:r>
          </w:p>
          <w:p w14:paraId="132F7460">
            <w:pPr>
              <w:pStyle w:val="88"/>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bCs/>
                <w:color w:val="000000"/>
                <w:highlight w:val="none"/>
              </w:rPr>
            </w:pPr>
            <w:r>
              <w:rPr>
                <w:rFonts w:hint="eastAsia" w:ascii="Times New Roman" w:hAnsi="Times New Roman" w:eastAsia="宋体" w:cs="Times New Roman"/>
                <w:bCs/>
                <w:color w:val="000000"/>
                <w:lang w:eastAsia="zh-CN"/>
              </w:rPr>
              <w:t>治理措施：</w:t>
            </w:r>
            <w:r>
              <w:rPr>
                <w:rFonts w:hint="default" w:ascii="Times New Roman" w:hAnsi="Times New Roman" w:eastAsia="宋体" w:cs="Times New Roman"/>
                <w:bCs/>
                <w:color w:val="000000"/>
              </w:rPr>
              <w:t>本项目成品碳</w:t>
            </w:r>
            <w:r>
              <w:rPr>
                <w:rFonts w:hint="default" w:ascii="Times New Roman" w:hAnsi="Times New Roman" w:eastAsia="宋体" w:cs="Times New Roman"/>
                <w:bCs/>
                <w:color w:val="000000"/>
                <w:highlight w:val="none"/>
              </w:rPr>
              <w:t>化废气直接焚烧后通过</w:t>
            </w:r>
            <w:r>
              <w:rPr>
                <w:rFonts w:hint="eastAsia" w:ascii="Times New Roman" w:hAnsi="Times New Roman" w:eastAsia="宋体" w:cs="Times New Roman"/>
                <w:bCs/>
                <w:color w:val="000000"/>
                <w:highlight w:val="none"/>
                <w:lang w:eastAsia="zh-CN"/>
              </w:rPr>
              <w:t>降温塔</w:t>
            </w:r>
            <w:r>
              <w:rPr>
                <w:rFonts w:hint="eastAsia" w:ascii="Times New Roman" w:hAnsi="Times New Roman" w:eastAsia="宋体" w:cs="Times New Roman"/>
                <w:bCs/>
                <w:color w:val="000000"/>
                <w:highlight w:val="none"/>
                <w:lang w:val="en-US" w:eastAsia="zh-CN"/>
              </w:rPr>
              <w:t>+</w:t>
            </w:r>
            <w:r>
              <w:rPr>
                <w:rFonts w:hint="default" w:ascii="Times New Roman" w:hAnsi="Times New Roman" w:eastAsia="宋体" w:cs="Times New Roman"/>
                <w:bCs/>
                <w:color w:val="000000"/>
                <w:highlight w:val="none"/>
              </w:rPr>
              <w:t>脱硫塔</w:t>
            </w:r>
            <w:r>
              <w:rPr>
                <w:rFonts w:hint="default" w:ascii="Times New Roman" w:hAnsi="Times New Roman" w:cs="Times New Roman"/>
                <w:bCs/>
                <w:color w:val="000000"/>
                <w:highlight w:val="none"/>
                <w:lang w:val="en-US" w:eastAsia="zh-CN"/>
              </w:rPr>
              <w:t>(双碱法)+</w:t>
            </w:r>
            <w:r>
              <w:rPr>
                <w:rFonts w:hint="eastAsia" w:ascii="Times New Roman" w:hAnsi="Times New Roman" w:cs="Times New Roman"/>
                <w:bCs/>
                <w:color w:val="000000"/>
                <w:highlight w:val="none"/>
                <w:lang w:val="en-US" w:eastAsia="zh-CN"/>
              </w:rPr>
              <w:t>电捕焦油器处理</w:t>
            </w:r>
            <w:r>
              <w:rPr>
                <w:rFonts w:hint="default" w:ascii="Times New Roman" w:hAnsi="Times New Roman" w:eastAsia="宋体" w:cs="Times New Roman"/>
                <w:bCs/>
                <w:color w:val="000000"/>
                <w:highlight w:val="none"/>
              </w:rPr>
              <w:t>后通过1根</w:t>
            </w:r>
            <w:r>
              <w:rPr>
                <w:rFonts w:hint="eastAsia" w:cs="Times New Roman"/>
                <w:bCs/>
                <w:color w:val="000000"/>
                <w:highlight w:val="none"/>
                <w:lang w:val="en-US" w:eastAsia="zh-CN"/>
              </w:rPr>
              <w:t>33</w:t>
            </w:r>
            <w:r>
              <w:rPr>
                <w:rFonts w:hint="default" w:ascii="Times New Roman" w:hAnsi="Times New Roman" w:eastAsia="宋体" w:cs="Times New Roman"/>
                <w:bCs/>
                <w:color w:val="000000"/>
                <w:highlight w:val="none"/>
              </w:rPr>
              <w:t>m排气筒排放。</w:t>
            </w:r>
          </w:p>
          <w:p w14:paraId="3F194E99">
            <w:pPr>
              <w:pStyle w:val="88"/>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s="Times New Roman"/>
                <w:bCs/>
                <w:color w:val="000000"/>
                <w:highlight w:val="none"/>
                <w:lang w:eastAsia="zh-CN"/>
              </w:rPr>
            </w:pPr>
            <w:r>
              <w:rPr>
                <w:rFonts w:hint="eastAsia" w:ascii="Times New Roman" w:hAnsi="Times New Roman" w:eastAsia="宋体" w:cs="Times New Roman"/>
                <w:bCs/>
                <w:color w:val="000000"/>
                <w:highlight w:val="none"/>
                <w:lang w:eastAsia="zh-CN"/>
              </w:rPr>
              <w:t>双碱法：采用钠基脱硫剂进行塔内脱硫，由于钠基脱硫剂碱性强，吸收二氧化硫后反应产物溶解度大，不会造成过饱和结晶，造成结垢堵塞问题。另一方面脱硫产物被排入</w:t>
            </w:r>
            <w:r>
              <w:rPr>
                <w:rFonts w:hint="eastAsia" w:ascii="Times New Roman" w:hAnsi="Times New Roman" w:eastAsia="宋体" w:cs="Times New Roman"/>
                <w:bCs/>
                <w:color w:val="000000"/>
                <w:highlight w:val="none"/>
                <w:lang w:val="en-US" w:eastAsia="zh-CN"/>
              </w:rPr>
              <w:t>沉淀循环</w:t>
            </w:r>
            <w:r>
              <w:rPr>
                <w:rFonts w:hint="eastAsia" w:ascii="Times New Roman" w:hAnsi="Times New Roman" w:eastAsia="宋体" w:cs="Times New Roman"/>
                <w:bCs/>
                <w:color w:val="000000"/>
                <w:highlight w:val="none"/>
                <w:lang w:eastAsia="zh-CN"/>
              </w:rPr>
              <w:t>池内用氢氧化钙进行还原再生，再生出的钠基脱硫剂再被打回脱硫塔循环使用。 钠碱双碱法脱硫技术是以Na</w:t>
            </w:r>
            <w:r>
              <w:rPr>
                <w:rFonts w:hint="eastAsia" w:ascii="Times New Roman" w:hAnsi="Times New Roman" w:eastAsia="宋体" w:cs="Times New Roman"/>
                <w:bCs/>
                <w:color w:val="000000"/>
                <w:highlight w:val="none"/>
                <w:vertAlign w:val="subscript"/>
                <w:lang w:eastAsia="zh-CN"/>
              </w:rPr>
              <w:t>2</w:t>
            </w:r>
            <w:r>
              <w:rPr>
                <w:rFonts w:hint="eastAsia" w:ascii="Times New Roman" w:hAnsi="Times New Roman" w:eastAsia="宋体" w:cs="Times New Roman"/>
                <w:bCs/>
                <w:color w:val="000000"/>
                <w:highlight w:val="none"/>
                <w:lang w:eastAsia="zh-CN"/>
              </w:rPr>
              <w:t>CO</w:t>
            </w:r>
            <w:r>
              <w:rPr>
                <w:rFonts w:hint="eastAsia" w:ascii="Times New Roman" w:hAnsi="Times New Roman" w:eastAsia="宋体" w:cs="Times New Roman"/>
                <w:bCs/>
                <w:color w:val="000000"/>
                <w:highlight w:val="none"/>
                <w:vertAlign w:val="subscript"/>
                <w:lang w:eastAsia="zh-CN"/>
              </w:rPr>
              <w:t>3</w:t>
            </w:r>
            <w:r>
              <w:rPr>
                <w:rFonts w:hint="eastAsia" w:ascii="Times New Roman" w:hAnsi="Times New Roman" w:eastAsia="宋体" w:cs="Times New Roman"/>
                <w:bCs/>
                <w:color w:val="000000"/>
                <w:highlight w:val="none"/>
                <w:lang w:eastAsia="zh-CN"/>
              </w:rPr>
              <w:t>或NaOH溶液为其中一碱吸收烟气中的有害气体，然后再用石灰或石灰石作其中二碱处理吸收烟气中有害物质后的吸收液，对吸收液进行再生，再生后的吸收液送回吸收塔循环使用。</w:t>
            </w:r>
          </w:p>
          <w:p w14:paraId="50464207">
            <w:pPr>
              <w:pStyle w:val="88"/>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s="Times New Roman"/>
                <w:bCs/>
                <w:color w:val="000000"/>
                <w:highlight w:val="none"/>
                <w:lang w:eastAsia="zh-CN"/>
              </w:rPr>
            </w:pPr>
            <w:r>
              <w:rPr>
                <w:rFonts w:hint="default" w:ascii="Times New Roman" w:hAnsi="Times New Roman" w:eastAsia="宋体" w:cs="Times New Roman"/>
                <w:bCs/>
                <w:color w:val="000000"/>
                <w:highlight w:val="none"/>
              </w:rPr>
              <w:t>电捕焦油器</w:t>
            </w:r>
            <w:r>
              <w:rPr>
                <w:rFonts w:hint="eastAsia" w:ascii="Times New Roman" w:hAnsi="Times New Roman" w:eastAsia="宋体" w:cs="Times New Roman"/>
                <w:bCs/>
                <w:color w:val="000000"/>
                <w:highlight w:val="none"/>
                <w:lang w:eastAsia="zh-CN"/>
              </w:rPr>
              <w:t>：通过电场作用使空气中的颗粒物被捕集在集电器上，进而达到净化空气的目的。在电捕焦油器中，会通过高压电场，将带电的细小颗粒物吸引到电极板上，从而达到去除空气中灰尘、烟雾、油烟等有害气体的效果。</w:t>
            </w:r>
          </w:p>
          <w:p w14:paraId="1364B911">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000000"/>
                <w:sz w:val="24"/>
                <w:lang w:val="en-US" w:eastAsia="zh-CN"/>
              </w:rPr>
            </w:pPr>
            <w:r>
              <w:rPr>
                <w:rFonts w:hint="default" w:ascii="Times New Roman" w:hAnsi="Times New Roman" w:eastAsia="宋体" w:cs="Times New Roman"/>
                <w:b/>
                <w:bCs/>
                <w:color w:val="000000"/>
                <w:sz w:val="24"/>
                <w:lang w:val="en-US" w:eastAsia="zh-CN"/>
              </w:rPr>
              <w:t>包装、暂存</w:t>
            </w:r>
          </w:p>
          <w:p w14:paraId="45AFE028">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000000"/>
                <w:kern w:val="0"/>
                <w:sz w:val="24"/>
                <w:lang w:bidi="ar"/>
              </w:rPr>
              <w:t>包装工段产生的粉尘分别经吸料机负压吸入</w:t>
            </w:r>
            <w:r>
              <w:rPr>
                <w:rFonts w:hint="default" w:ascii="Times New Roman" w:hAnsi="Times New Roman" w:eastAsia="宋体" w:cs="Times New Roman"/>
                <w:color w:val="000000"/>
                <w:kern w:val="0"/>
                <w:sz w:val="24"/>
                <w:highlight w:val="none"/>
                <w:lang w:bidi="ar"/>
              </w:rPr>
              <w:t>其料斗，然后放料至包装袋，再经电子秤称量、封口机包装后由场内运输车转入产品库房。项目产品从缓冲料仓中通过吸料机负压操作实现包装，在此过程中会有粉尘产生，成品包装工段</w:t>
            </w:r>
            <w:r>
              <w:rPr>
                <w:rFonts w:hint="default" w:ascii="Times New Roman" w:hAnsi="Times New Roman" w:eastAsia="宋体" w:cs="Times New Roman"/>
                <w:color w:val="000000"/>
                <w:sz w:val="24"/>
                <w:highlight w:val="none"/>
              </w:rPr>
              <w:t>粉尘产生量为0.</w:t>
            </w:r>
            <w:r>
              <w:rPr>
                <w:rFonts w:hint="default" w:ascii="Times New Roman" w:hAnsi="Times New Roman" w:cs="Times New Roman"/>
                <w:color w:val="000000"/>
                <w:sz w:val="24"/>
                <w:highlight w:val="none"/>
                <w:lang w:val="en-US" w:eastAsia="zh-CN"/>
              </w:rPr>
              <w:t>22</w:t>
            </w:r>
            <w:r>
              <w:rPr>
                <w:rFonts w:hint="default" w:ascii="Times New Roman" w:hAnsi="Times New Roman" w:eastAsia="宋体" w:cs="Times New Roman"/>
                <w:color w:val="000000"/>
                <w:sz w:val="24"/>
                <w:highlight w:val="none"/>
              </w:rPr>
              <w:t>t/a。</w:t>
            </w:r>
            <w:r>
              <w:rPr>
                <w:rFonts w:hint="default" w:ascii="Times New Roman" w:hAnsi="Times New Roman" w:cs="Times New Roman"/>
                <w:color w:val="auto"/>
                <w:sz w:val="24"/>
                <w:highlight w:val="none"/>
                <w:lang w:val="en-US" w:eastAsia="zh-CN"/>
              </w:rPr>
              <w:t>通过布袋除尘器</w:t>
            </w:r>
            <w:r>
              <w:rPr>
                <w:rFonts w:hint="default" w:ascii="Times New Roman" w:hAnsi="Times New Roman" w:eastAsia="宋体" w:cs="Times New Roman"/>
                <w:color w:val="auto"/>
                <w:kern w:val="0"/>
                <w:sz w:val="24"/>
                <w:highlight w:val="none"/>
                <w:lang w:bidi="ar"/>
              </w:rPr>
              <w:t>装置</w:t>
            </w:r>
            <w:r>
              <w:rPr>
                <w:rFonts w:hint="default" w:ascii="Times New Roman" w:hAnsi="Times New Roman" w:cs="Times New Roman"/>
                <w:color w:val="auto"/>
                <w:kern w:val="0"/>
                <w:sz w:val="24"/>
                <w:highlight w:val="none"/>
                <w:lang w:val="en-US" w:eastAsia="zh-CN" w:bidi="ar"/>
              </w:rPr>
              <w:t>进行除尘</w:t>
            </w:r>
            <w:r>
              <w:rPr>
                <w:rFonts w:hint="default" w:ascii="Times New Roman" w:hAnsi="Times New Roman" w:eastAsia="宋体" w:cs="Times New Roman"/>
                <w:color w:val="auto"/>
                <w:kern w:val="0"/>
                <w:sz w:val="24"/>
                <w:highlight w:val="none"/>
                <w:lang w:val="en-US" w:eastAsia="zh-CN" w:bidi="ar"/>
              </w:rPr>
              <w:t>后</w:t>
            </w:r>
            <w:r>
              <w:rPr>
                <w:rFonts w:hint="eastAsia" w:ascii="Times New Roman" w:hAnsi="Times New Roman" w:eastAsia="宋体" w:cs="Times New Roman"/>
                <w:color w:val="auto"/>
                <w:kern w:val="0"/>
                <w:sz w:val="24"/>
                <w:highlight w:val="none"/>
                <w:lang w:val="en-US" w:eastAsia="zh-CN" w:bidi="ar"/>
              </w:rPr>
              <w:t>无组织</w:t>
            </w:r>
            <w:r>
              <w:rPr>
                <w:rFonts w:hint="default" w:ascii="Times New Roman" w:hAnsi="Times New Roman" w:eastAsia="宋体" w:cs="Times New Roman"/>
                <w:color w:val="auto"/>
                <w:kern w:val="0"/>
                <w:sz w:val="24"/>
                <w:highlight w:val="none"/>
                <w:lang w:val="en-US" w:eastAsia="zh-CN" w:bidi="ar"/>
              </w:rPr>
              <w:t>排放</w:t>
            </w:r>
            <w:r>
              <w:rPr>
                <w:rFonts w:hint="default" w:ascii="Times New Roman" w:hAnsi="Times New Roman" w:eastAsia="宋体" w:cs="Times New Roman"/>
                <w:color w:val="auto"/>
                <w:kern w:val="0"/>
                <w:sz w:val="24"/>
                <w:highlight w:val="none"/>
                <w:lang w:eastAsia="zh-CN" w:bidi="ar"/>
              </w:rPr>
              <w:t>。</w:t>
            </w:r>
          </w:p>
          <w:tbl>
            <w:tblPr>
              <w:tblStyle w:val="32"/>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0"/>
              <w:gridCol w:w="4370"/>
            </w:tblGrid>
            <w:tr w14:paraId="04D17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5" w:hRule="atLeast"/>
                <w:jc w:val="center"/>
              </w:trPr>
              <w:tc>
                <w:tcPr>
                  <w:tcW w:w="4370" w:type="dxa"/>
                  <w:noWrap w:val="0"/>
                  <w:vAlign w:val="top"/>
                </w:tcPr>
                <w:p w14:paraId="3B8AC0B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drawing>
                      <wp:inline distT="0" distB="0" distL="114300" distR="114300">
                        <wp:extent cx="2729230" cy="2045970"/>
                        <wp:effectExtent l="0" t="0" r="13970" b="11430"/>
                        <wp:docPr id="16" name="图片 11" descr="微信图片_2023121410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微信图片_20231214102114"/>
                                <pic:cNvPicPr>
                                  <a:picLocks noChangeAspect="1"/>
                                </pic:cNvPicPr>
                              </pic:nvPicPr>
                              <pic:blipFill>
                                <a:blip r:embed="rId35"/>
                                <a:stretch>
                                  <a:fillRect/>
                                </a:stretch>
                              </pic:blipFill>
                              <pic:spPr>
                                <a:xfrm>
                                  <a:off x="0" y="0"/>
                                  <a:ext cx="2729230" cy="2045970"/>
                                </a:xfrm>
                                <a:prstGeom prst="rect">
                                  <a:avLst/>
                                </a:prstGeom>
                                <a:noFill/>
                                <a:ln>
                                  <a:noFill/>
                                </a:ln>
                              </pic:spPr>
                            </pic:pic>
                          </a:graphicData>
                        </a:graphic>
                      </wp:inline>
                    </w:drawing>
                  </w:r>
                </w:p>
              </w:tc>
              <w:tc>
                <w:tcPr>
                  <w:tcW w:w="4370" w:type="dxa"/>
                  <w:noWrap w:val="0"/>
                  <w:vAlign w:val="top"/>
                </w:tcPr>
                <w:p w14:paraId="1F5C34E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drawing>
                      <wp:inline distT="0" distB="0" distL="114300" distR="114300">
                        <wp:extent cx="2713990" cy="2035175"/>
                        <wp:effectExtent l="0" t="0" r="10160" b="3175"/>
                        <wp:docPr id="17" name="图片 12" descr="微信图片_2023121410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1214102109"/>
                                <pic:cNvPicPr>
                                  <a:picLocks noChangeAspect="1"/>
                                </pic:cNvPicPr>
                              </pic:nvPicPr>
                              <pic:blipFill>
                                <a:blip r:embed="rId36"/>
                                <a:stretch>
                                  <a:fillRect/>
                                </a:stretch>
                              </pic:blipFill>
                              <pic:spPr>
                                <a:xfrm>
                                  <a:off x="0" y="0"/>
                                  <a:ext cx="2713990" cy="2035175"/>
                                </a:xfrm>
                                <a:prstGeom prst="rect">
                                  <a:avLst/>
                                </a:prstGeom>
                                <a:noFill/>
                                <a:ln>
                                  <a:noFill/>
                                </a:ln>
                              </pic:spPr>
                            </pic:pic>
                          </a:graphicData>
                        </a:graphic>
                      </wp:inline>
                    </w:drawing>
                  </w:r>
                </w:p>
              </w:tc>
            </w:tr>
            <w:tr w14:paraId="1FB6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jc w:val="center"/>
              </w:trPr>
              <w:tc>
                <w:tcPr>
                  <w:tcW w:w="4370" w:type="dxa"/>
                  <w:noWrap w:val="0"/>
                  <w:vAlign w:val="center"/>
                </w:tcPr>
                <w:p w14:paraId="18C3A2A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olor w:val="000000"/>
                      <w:sz w:val="24"/>
                      <w:lang w:eastAsia="zh-CN"/>
                    </w:rPr>
                  </w:pPr>
                  <w:r>
                    <w:rPr>
                      <w:rFonts w:hint="eastAsia" w:ascii="宋体" w:hAnsi="宋体" w:eastAsia="宋体"/>
                      <w:color w:val="000000"/>
                      <w:sz w:val="24"/>
                      <w:lang w:eastAsia="zh-CN"/>
                    </w:rPr>
                    <w:drawing>
                      <wp:inline distT="0" distB="0" distL="114300" distR="114300">
                        <wp:extent cx="2729865" cy="2046605"/>
                        <wp:effectExtent l="0" t="0" r="13335" b="10795"/>
                        <wp:docPr id="18" name="图片 13" descr="2a9794b3c6f6e4a2eed5842816575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2a9794b3c6f6e4a2eed5842816575f6"/>
                                <pic:cNvPicPr>
                                  <a:picLocks noChangeAspect="1"/>
                                </pic:cNvPicPr>
                              </pic:nvPicPr>
                              <pic:blipFill>
                                <a:blip r:embed="rId37"/>
                                <a:stretch>
                                  <a:fillRect/>
                                </a:stretch>
                              </pic:blipFill>
                              <pic:spPr>
                                <a:xfrm>
                                  <a:off x="0" y="0"/>
                                  <a:ext cx="2729865" cy="2046605"/>
                                </a:xfrm>
                                <a:prstGeom prst="rect">
                                  <a:avLst/>
                                </a:prstGeom>
                                <a:noFill/>
                                <a:ln>
                                  <a:noFill/>
                                </a:ln>
                              </pic:spPr>
                            </pic:pic>
                          </a:graphicData>
                        </a:graphic>
                      </wp:inline>
                    </w:drawing>
                  </w:r>
                </w:p>
              </w:tc>
              <w:tc>
                <w:tcPr>
                  <w:tcW w:w="4370" w:type="dxa"/>
                  <w:noWrap w:val="0"/>
                  <w:vAlign w:val="center"/>
                </w:tcPr>
                <w:p w14:paraId="61E5559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olor w:val="000000"/>
                      <w:sz w:val="24"/>
                      <w:lang w:eastAsia="zh-CN"/>
                    </w:rPr>
                  </w:pPr>
                  <w:r>
                    <w:rPr>
                      <w:rFonts w:hint="eastAsia" w:ascii="宋体" w:hAnsi="宋体" w:eastAsia="宋体"/>
                      <w:color w:val="000000"/>
                      <w:sz w:val="24"/>
                      <w:lang w:eastAsia="zh-CN"/>
                    </w:rPr>
                    <w:drawing>
                      <wp:inline distT="0" distB="0" distL="114300" distR="114300">
                        <wp:extent cx="2564765" cy="2049145"/>
                        <wp:effectExtent l="0" t="0" r="6985" b="8255"/>
                        <wp:docPr id="19" name="图片 14" descr="a7b1db178ed9f54e7fb91e5261fe6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a7b1db178ed9f54e7fb91e5261fe68c"/>
                                <pic:cNvPicPr>
                                  <a:picLocks noChangeAspect="1"/>
                                </pic:cNvPicPr>
                              </pic:nvPicPr>
                              <pic:blipFill>
                                <a:blip r:embed="rId38"/>
                                <a:stretch>
                                  <a:fillRect/>
                                </a:stretch>
                              </pic:blipFill>
                              <pic:spPr>
                                <a:xfrm>
                                  <a:off x="0" y="0"/>
                                  <a:ext cx="2564765" cy="2049145"/>
                                </a:xfrm>
                                <a:prstGeom prst="rect">
                                  <a:avLst/>
                                </a:prstGeom>
                                <a:noFill/>
                                <a:ln>
                                  <a:noFill/>
                                </a:ln>
                              </pic:spPr>
                            </pic:pic>
                          </a:graphicData>
                        </a:graphic>
                      </wp:inline>
                    </w:drawing>
                  </w:r>
                </w:p>
              </w:tc>
            </w:tr>
          </w:tbl>
          <w:p w14:paraId="53080F60">
            <w:pPr>
              <w:keepNext w:val="0"/>
              <w:keepLines w:val="0"/>
              <w:pageBreakBefore w:val="0"/>
              <w:widowControl/>
              <w:kinsoku/>
              <w:wordWrap/>
              <w:overflowPunct/>
              <w:topLinePunct w:val="0"/>
              <w:autoSpaceDE/>
              <w:autoSpaceDN/>
              <w:bidi w:val="0"/>
              <w:adjustRightInd/>
              <w:snapToGrid/>
              <w:spacing w:before="157" w:beforeLines="50" w:after="0" w:line="360" w:lineRule="auto"/>
              <w:ind w:firstLine="480" w:firstLineChars="200"/>
              <w:jc w:val="left"/>
              <w:textAlignment w:val="auto"/>
              <w:rPr>
                <w:rFonts w:hint="eastAsia" w:ascii="Times New Roman" w:hAnsi="Times New Roman" w:eastAsia="宋体" w:cs="Times New Roman"/>
                <w:color w:val="000000"/>
                <w:kern w:val="0"/>
                <w:sz w:val="24"/>
                <w:lang w:val="en-US" w:eastAsia="zh-CN" w:bidi="ar"/>
              </w:rPr>
            </w:pPr>
            <w:r>
              <w:rPr>
                <w:rFonts w:hint="eastAsia" w:ascii="Times New Roman" w:hAnsi="Times New Roman" w:eastAsia="宋体" w:cs="Times New Roman"/>
                <w:color w:val="000000"/>
                <w:kern w:val="0"/>
                <w:sz w:val="24"/>
                <w:lang w:val="en-US" w:eastAsia="zh-CN" w:bidi="ar"/>
              </w:rPr>
              <w:t>另外四川华皓检测技术有限公司</w:t>
            </w:r>
            <w:r>
              <w:rPr>
                <w:rFonts w:hint="default" w:ascii="Times New Roman" w:hAnsi="Times New Roman" w:eastAsia="宋体" w:cs="Times New Roman"/>
                <w:color w:val="000000"/>
                <w:kern w:val="0"/>
                <w:sz w:val="24"/>
                <w:lang w:bidi="ar"/>
              </w:rPr>
              <w:t>于202</w:t>
            </w:r>
            <w:r>
              <w:rPr>
                <w:rFonts w:hint="eastAsia" w:ascii="Times New Roman" w:hAnsi="Times New Roman" w:eastAsia="宋体" w:cs="Times New Roman"/>
                <w:color w:val="000000"/>
                <w:kern w:val="0"/>
                <w:sz w:val="24"/>
                <w:lang w:val="en-US" w:eastAsia="zh-CN" w:bidi="ar"/>
              </w:rPr>
              <w:t>6</w:t>
            </w:r>
            <w:r>
              <w:rPr>
                <w:rFonts w:hint="default" w:ascii="Times New Roman" w:hAnsi="Times New Roman" w:eastAsia="宋体" w:cs="Times New Roman"/>
                <w:color w:val="000000"/>
                <w:kern w:val="0"/>
                <w:sz w:val="24"/>
                <w:lang w:bidi="ar"/>
              </w:rPr>
              <w:t>年</w:t>
            </w:r>
            <w:r>
              <w:rPr>
                <w:rFonts w:hint="eastAsia" w:ascii="Times New Roman" w:hAnsi="Times New Roman" w:eastAsia="宋体" w:cs="Times New Roman"/>
                <w:color w:val="000000"/>
                <w:kern w:val="0"/>
                <w:sz w:val="24"/>
                <w:lang w:val="en-US" w:eastAsia="zh-CN" w:bidi="ar"/>
              </w:rPr>
              <w:t>4</w:t>
            </w:r>
            <w:r>
              <w:rPr>
                <w:rFonts w:hint="default" w:ascii="Times New Roman" w:hAnsi="Times New Roman" w:eastAsia="宋体" w:cs="Times New Roman"/>
                <w:color w:val="000000"/>
                <w:kern w:val="0"/>
                <w:sz w:val="24"/>
                <w:lang w:bidi="ar"/>
              </w:rPr>
              <w:t>月</w:t>
            </w:r>
            <w:r>
              <w:rPr>
                <w:rFonts w:hint="eastAsia" w:ascii="Times New Roman" w:hAnsi="Times New Roman" w:eastAsia="宋体" w:cs="Times New Roman"/>
                <w:color w:val="000000"/>
                <w:kern w:val="0"/>
                <w:sz w:val="24"/>
                <w:lang w:val="en-US" w:eastAsia="zh-CN" w:bidi="ar"/>
              </w:rPr>
              <w:t>30</w:t>
            </w:r>
            <w:r>
              <w:rPr>
                <w:rFonts w:hint="default" w:ascii="Times New Roman" w:hAnsi="Times New Roman" w:eastAsia="宋体" w:cs="Times New Roman"/>
                <w:color w:val="000000"/>
                <w:kern w:val="0"/>
                <w:sz w:val="24"/>
                <w:lang w:bidi="ar"/>
              </w:rPr>
              <w:t>日在巴中碳原子新材料科技有限公司进行了</w:t>
            </w:r>
            <w:r>
              <w:rPr>
                <w:rFonts w:hint="eastAsia" w:cs="Times New Roman"/>
                <w:color w:val="000000"/>
                <w:kern w:val="0"/>
                <w:sz w:val="24"/>
                <w:lang w:val="en-US" w:eastAsia="zh-CN" w:bidi="ar"/>
              </w:rPr>
              <w:t>有组织</w:t>
            </w:r>
            <w:r>
              <w:rPr>
                <w:rFonts w:hint="default" w:ascii="Times New Roman" w:hAnsi="Times New Roman" w:eastAsia="宋体" w:cs="Times New Roman"/>
                <w:color w:val="000000"/>
                <w:kern w:val="0"/>
                <w:sz w:val="24"/>
                <w:lang w:bidi="ar"/>
              </w:rPr>
              <w:t>废气检测</w:t>
            </w:r>
            <w:r>
              <w:rPr>
                <w:rFonts w:hint="eastAsia"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检测期间，巴中碳原子新材料科技有限公司正常运行</w:t>
            </w:r>
            <w:r>
              <w:rPr>
                <w:rFonts w:hint="eastAsia" w:ascii="Times New Roman" w:hAnsi="Times New Roman" w:eastAsia="宋体" w:cs="Times New Roman"/>
                <w:color w:val="000000"/>
                <w:kern w:val="0"/>
                <w:sz w:val="24"/>
                <w:lang w:val="en-US" w:eastAsia="zh-CN" w:bidi="ar"/>
              </w:rPr>
              <w:t>，</w:t>
            </w:r>
            <w:r>
              <w:rPr>
                <w:rFonts w:hint="eastAsia" w:cs="Times New Roman"/>
                <w:color w:val="000000"/>
                <w:kern w:val="0"/>
                <w:sz w:val="24"/>
                <w:lang w:val="en-US" w:eastAsia="zh-CN" w:bidi="ar"/>
              </w:rPr>
              <w:t>有组织</w:t>
            </w:r>
            <w:r>
              <w:rPr>
                <w:rFonts w:hint="eastAsia" w:ascii="Times New Roman" w:hAnsi="Times New Roman" w:eastAsia="宋体" w:cs="Times New Roman"/>
                <w:color w:val="000000"/>
                <w:kern w:val="0"/>
                <w:sz w:val="24"/>
                <w:lang w:val="en-US" w:eastAsia="zh-CN" w:bidi="ar"/>
              </w:rPr>
              <w:t>废气监测结果见表2-13。</w:t>
            </w:r>
          </w:p>
          <w:p w14:paraId="165AE14E">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有组织废气检测结果</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4"/>
              <w:gridCol w:w="679"/>
              <w:gridCol w:w="814"/>
              <w:gridCol w:w="1790"/>
              <w:gridCol w:w="848"/>
              <w:gridCol w:w="810"/>
              <w:gridCol w:w="780"/>
              <w:gridCol w:w="855"/>
              <w:gridCol w:w="1193"/>
            </w:tblGrid>
            <w:tr w14:paraId="773BE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restart"/>
                  <w:tcBorders>
                    <w:top w:val="single" w:color="000000" w:sz="12" w:space="0"/>
                    <w:left w:val="nil"/>
                    <w:bottom w:val="single" w:color="auto" w:sz="4" w:space="0"/>
                    <w:right w:val="single" w:color="auto" w:sz="4" w:space="0"/>
                  </w:tcBorders>
                  <w:noWrap w:val="0"/>
                  <w:vAlign w:val="center"/>
                </w:tcPr>
                <w:p w14:paraId="7337F536">
                  <w:pPr>
                    <w:pStyle w:val="27"/>
                    <w:keepNext w:val="0"/>
                    <w:keepLines w:val="0"/>
                    <w:pageBreakBefore w:val="0"/>
                    <w:kinsoku/>
                    <w:wordWrap/>
                    <w:overflowPunct/>
                    <w:topLinePunct w:val="0"/>
                    <w:bidi w:val="0"/>
                    <w:adjustRightInd w:val="0"/>
                    <w:snapToGrid/>
                    <w:spacing w:before="0" w:beforeAutospacing="0" w:after="0" w:afterAutospacing="0" w:line="240" w:lineRule="exact"/>
                    <w:ind w:left="-42" w:leftChars="-20" w:right="-42" w:rightChars="-20"/>
                    <w:jc w:val="center"/>
                    <w:textAlignment w:val="auto"/>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color w:val="000000"/>
                      <w:spacing w:val="0"/>
                      <w:sz w:val="21"/>
                      <w:szCs w:val="21"/>
                      <w:highlight w:val="none"/>
                      <w:lang w:val="en-US" w:eastAsia="zh-CN"/>
                    </w:rPr>
                    <w:t>采样日期</w:t>
                  </w:r>
                </w:p>
              </w:tc>
              <w:tc>
                <w:tcPr>
                  <w:tcW w:w="679" w:type="dxa"/>
                  <w:vMerge w:val="restart"/>
                  <w:tcBorders>
                    <w:top w:val="single" w:color="000000" w:sz="12" w:space="0"/>
                    <w:left w:val="single" w:color="auto" w:sz="4" w:space="0"/>
                    <w:bottom w:val="single" w:color="auto" w:sz="4" w:space="0"/>
                    <w:right w:val="single" w:color="auto" w:sz="4" w:space="0"/>
                  </w:tcBorders>
                  <w:noWrap w:val="0"/>
                  <w:vAlign w:val="center"/>
                </w:tcPr>
                <w:p w14:paraId="33EDAF8B">
                  <w:pPr>
                    <w:pStyle w:val="27"/>
                    <w:keepNext w:val="0"/>
                    <w:keepLines w:val="0"/>
                    <w:pageBreakBefore w:val="0"/>
                    <w:kinsoku/>
                    <w:wordWrap/>
                    <w:overflowPunct/>
                    <w:topLinePunct w:val="0"/>
                    <w:bidi w:val="0"/>
                    <w:adjustRightInd w:val="0"/>
                    <w:snapToGrid/>
                    <w:spacing w:before="0" w:beforeAutospacing="0" w:after="0" w:afterAutospacing="0" w:line="240" w:lineRule="exact"/>
                    <w:ind w:left="-42" w:leftChars="-20" w:right="-42" w:rightChars="-20"/>
                    <w:jc w:val="center"/>
                    <w:textAlignment w:val="auto"/>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color w:val="000000"/>
                      <w:spacing w:val="0"/>
                      <w:sz w:val="21"/>
                      <w:szCs w:val="21"/>
                      <w:highlight w:val="none"/>
                      <w:lang w:val="en-US" w:eastAsia="zh-CN"/>
                    </w:rPr>
                    <w:t>检测点位</w:t>
                  </w:r>
                </w:p>
              </w:tc>
              <w:tc>
                <w:tcPr>
                  <w:tcW w:w="2604" w:type="dxa"/>
                  <w:gridSpan w:val="2"/>
                  <w:vMerge w:val="restart"/>
                  <w:tcBorders>
                    <w:top w:val="single" w:color="000000" w:sz="12" w:space="0"/>
                    <w:left w:val="single" w:color="auto" w:sz="4" w:space="0"/>
                    <w:bottom w:val="single" w:color="auto" w:sz="4" w:space="0"/>
                    <w:right w:val="single" w:color="auto" w:sz="4" w:space="0"/>
                  </w:tcBorders>
                  <w:noWrap w:val="0"/>
                  <w:vAlign w:val="center"/>
                </w:tcPr>
                <w:p w14:paraId="55467EB3">
                  <w:pPr>
                    <w:pStyle w:val="103"/>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eastAsia="宋体" w:cs="Times New Roman"/>
                      <w:b/>
                      <w:bCs/>
                      <w:spacing w:val="0"/>
                      <w:sz w:val="21"/>
                      <w:szCs w:val="21"/>
                      <w:highlight w:val="none"/>
                      <w:lang w:val="en-US" w:eastAsia="zh-CN"/>
                    </w:rPr>
                  </w:pPr>
                  <w:r>
                    <w:rPr>
                      <w:rFonts w:hint="default" w:ascii="Times New Roman" w:hAnsi="Times New Roman" w:eastAsia="宋体" w:cs="Times New Roman"/>
                      <w:b/>
                      <w:bCs/>
                      <w:spacing w:val="0"/>
                      <w:sz w:val="21"/>
                      <w:szCs w:val="21"/>
                      <w:highlight w:val="none"/>
                      <w:lang w:val="en-US" w:eastAsia="zh-CN"/>
                    </w:rPr>
                    <w:t>检测项目</w:t>
                  </w:r>
                </w:p>
              </w:tc>
              <w:tc>
                <w:tcPr>
                  <w:tcW w:w="3293" w:type="dxa"/>
                  <w:gridSpan w:val="4"/>
                  <w:tcBorders>
                    <w:top w:val="single" w:color="000000" w:sz="12" w:space="0"/>
                    <w:left w:val="single" w:color="auto" w:sz="4" w:space="0"/>
                    <w:bottom w:val="single" w:color="auto" w:sz="4" w:space="0"/>
                    <w:right w:val="single" w:color="auto" w:sz="4" w:space="0"/>
                  </w:tcBorders>
                  <w:noWrap w:val="0"/>
                  <w:vAlign w:val="center"/>
                </w:tcPr>
                <w:p w14:paraId="3687BC5C">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color w:val="000000"/>
                      <w:spacing w:val="0"/>
                      <w:sz w:val="21"/>
                      <w:szCs w:val="21"/>
                      <w:highlight w:val="none"/>
                      <w:lang w:val="en-US" w:eastAsia="zh-CN"/>
                    </w:rPr>
                    <w:t>检测结果</w:t>
                  </w:r>
                </w:p>
              </w:tc>
              <w:tc>
                <w:tcPr>
                  <w:tcW w:w="1193" w:type="dxa"/>
                  <w:vMerge w:val="restart"/>
                  <w:tcBorders>
                    <w:top w:val="single" w:color="000000" w:sz="12" w:space="0"/>
                    <w:left w:val="single" w:color="auto" w:sz="4" w:space="0"/>
                    <w:bottom w:val="single" w:color="auto" w:sz="4" w:space="0"/>
                    <w:right w:val="nil"/>
                  </w:tcBorders>
                  <w:noWrap w:val="0"/>
                  <w:vAlign w:val="center"/>
                </w:tcPr>
                <w:p w14:paraId="316C2177">
                  <w:pPr>
                    <w:pStyle w:val="14"/>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ascii="Times New Roman" w:hAnsi="Times New Roman" w:cs="Times New Roman"/>
                      <w:b/>
                      <w:bCs w:val="0"/>
                      <w:spacing w:val="0"/>
                      <w:sz w:val="21"/>
                      <w:szCs w:val="21"/>
                      <w:highlight w:val="none"/>
                      <w:lang w:val="en-US" w:eastAsia="zh-CN"/>
                    </w:rPr>
                  </w:pPr>
                  <w:r>
                    <w:rPr>
                      <w:rFonts w:hint="default" w:ascii="Times New Roman" w:hAnsi="Times New Roman" w:cs="Times New Roman"/>
                      <w:b/>
                      <w:bCs w:val="0"/>
                      <w:spacing w:val="0"/>
                      <w:sz w:val="21"/>
                      <w:szCs w:val="21"/>
                      <w:highlight w:val="none"/>
                      <w:lang w:val="en-US" w:eastAsia="zh-CN"/>
                    </w:rPr>
                    <w:t>标准</w:t>
                  </w:r>
                </w:p>
                <w:p w14:paraId="3153C668">
                  <w:pPr>
                    <w:pStyle w:val="14"/>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ascii="Times New Roman" w:hAnsi="Times New Roman" w:eastAsia="宋体" w:cs="Times New Roman"/>
                      <w:bCs/>
                      <w:spacing w:val="0"/>
                      <w:kern w:val="2"/>
                      <w:sz w:val="21"/>
                      <w:szCs w:val="21"/>
                      <w:highlight w:val="none"/>
                      <w:lang w:val="en-US" w:eastAsia="zh-CN" w:bidi="ar-SA"/>
                    </w:rPr>
                  </w:pPr>
                  <w:r>
                    <w:rPr>
                      <w:rFonts w:hint="default" w:ascii="Times New Roman" w:hAnsi="Times New Roman" w:cs="Times New Roman"/>
                      <w:b/>
                      <w:bCs w:val="0"/>
                      <w:spacing w:val="0"/>
                      <w:sz w:val="21"/>
                      <w:szCs w:val="21"/>
                      <w:highlight w:val="none"/>
                      <w:lang w:val="en-US" w:eastAsia="zh-CN"/>
                    </w:rPr>
                    <w:t>限值</w:t>
                  </w:r>
                </w:p>
              </w:tc>
            </w:tr>
            <w:tr w14:paraId="1A6F8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721B1BD3">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spacing w:val="0"/>
                      <w:sz w:val="21"/>
                      <w:szCs w:val="21"/>
                      <w:highlight w:val="none"/>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33AA4920">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spacing w:val="0"/>
                      <w:sz w:val="21"/>
                      <w:szCs w:val="21"/>
                      <w:highlight w:val="none"/>
                    </w:rPr>
                  </w:pPr>
                </w:p>
              </w:tc>
              <w:tc>
                <w:tcPr>
                  <w:tcW w:w="2604"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ACE425C">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spacing w:val="0"/>
                      <w:sz w:val="21"/>
                      <w:szCs w:val="21"/>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019D1430">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color w:val="000000"/>
                      <w:spacing w:val="0"/>
                      <w:sz w:val="21"/>
                      <w:szCs w:val="21"/>
                      <w:highlight w:val="none"/>
                      <w:lang w:val="en-US" w:eastAsia="zh-CN"/>
                    </w:rPr>
                  </w:pPr>
                  <w:r>
                    <w:rPr>
                      <w:rFonts w:hint="eastAsia" w:ascii="Times New Roman" w:hAnsi="Times New Roman" w:cs="Times New Roman"/>
                      <w:b/>
                      <w:bCs/>
                      <w:color w:val="000000"/>
                      <w:spacing w:val="0"/>
                      <w:sz w:val="21"/>
                      <w:szCs w:val="21"/>
                      <w:highlight w:val="none"/>
                      <w:lang w:val="en-US" w:eastAsia="zh-CN"/>
                    </w:rPr>
                    <w:t>第一次</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016B7D01">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color w:val="000000"/>
                      <w:spacing w:val="0"/>
                      <w:sz w:val="21"/>
                      <w:szCs w:val="21"/>
                      <w:highlight w:val="none"/>
                      <w:lang w:val="en-US" w:eastAsia="zh-CN"/>
                    </w:rPr>
                  </w:pPr>
                  <w:r>
                    <w:rPr>
                      <w:rFonts w:hint="eastAsia" w:ascii="Times New Roman" w:hAnsi="Times New Roman" w:cs="Times New Roman"/>
                      <w:b/>
                      <w:bCs/>
                      <w:color w:val="000000"/>
                      <w:spacing w:val="0"/>
                      <w:sz w:val="21"/>
                      <w:szCs w:val="21"/>
                      <w:highlight w:val="none"/>
                      <w:lang w:val="en-US" w:eastAsia="zh-CN"/>
                    </w:rPr>
                    <w:t>第二次</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4111139">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color w:val="000000"/>
                      <w:spacing w:val="0"/>
                      <w:sz w:val="21"/>
                      <w:szCs w:val="21"/>
                      <w:highlight w:val="none"/>
                      <w:lang w:val="en-US" w:eastAsia="zh-CN"/>
                    </w:rPr>
                  </w:pPr>
                  <w:r>
                    <w:rPr>
                      <w:rFonts w:hint="eastAsia" w:ascii="Times New Roman" w:hAnsi="Times New Roman" w:cs="Times New Roman"/>
                      <w:b/>
                      <w:bCs/>
                      <w:color w:val="000000"/>
                      <w:spacing w:val="0"/>
                      <w:sz w:val="21"/>
                      <w:szCs w:val="21"/>
                      <w:highlight w:val="none"/>
                      <w:lang w:val="en-US" w:eastAsia="zh-CN"/>
                    </w:rPr>
                    <w:t>第三次</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C10C067">
                  <w:pPr>
                    <w:keepNext w:val="0"/>
                    <w:keepLines w:val="0"/>
                    <w:pageBreakBefore w:val="0"/>
                    <w:kinsoku/>
                    <w:wordWrap/>
                    <w:overflowPunct/>
                    <w:topLinePunct w:val="0"/>
                    <w:bidi w:val="0"/>
                    <w:snapToGrid/>
                    <w:spacing w:line="240" w:lineRule="exact"/>
                    <w:ind w:left="-42" w:leftChars="-20" w:right="-42" w:rightChars="-20"/>
                    <w:jc w:val="center"/>
                    <w:textAlignment w:val="auto"/>
                    <w:rPr>
                      <w:rFonts w:hint="default" w:ascii="Times New Roman" w:hAnsi="Times New Roman" w:cs="Times New Roman"/>
                      <w:b/>
                      <w:bCs/>
                      <w:color w:val="000000"/>
                      <w:spacing w:val="0"/>
                      <w:sz w:val="21"/>
                      <w:szCs w:val="21"/>
                      <w:highlight w:val="none"/>
                      <w:lang w:val="en-US" w:eastAsia="zh-CN"/>
                    </w:rPr>
                  </w:pPr>
                  <w:r>
                    <w:rPr>
                      <w:rFonts w:hint="eastAsia" w:ascii="Times New Roman" w:hAnsi="Times New Roman" w:cs="Times New Roman"/>
                      <w:b/>
                      <w:bCs/>
                      <w:color w:val="000000"/>
                      <w:spacing w:val="0"/>
                      <w:sz w:val="21"/>
                      <w:szCs w:val="21"/>
                      <w:highlight w:val="none"/>
                      <w:lang w:val="en-US" w:eastAsia="zh-CN"/>
                    </w:rPr>
                    <w:t>平均值</w:t>
                  </w:r>
                </w:p>
              </w:tc>
              <w:tc>
                <w:tcPr>
                  <w:tcW w:w="1193" w:type="dxa"/>
                  <w:vMerge w:val="continue"/>
                  <w:tcBorders>
                    <w:top w:val="single" w:color="auto" w:sz="4" w:space="0"/>
                    <w:left w:val="single" w:color="auto" w:sz="4" w:space="0"/>
                    <w:bottom w:val="single" w:color="auto" w:sz="4" w:space="0"/>
                    <w:right w:val="nil"/>
                  </w:tcBorders>
                  <w:noWrap w:val="0"/>
                  <w:vAlign w:val="center"/>
                </w:tcPr>
                <w:p w14:paraId="72D8C527">
                  <w:pPr>
                    <w:keepNext w:val="0"/>
                    <w:keepLines w:val="0"/>
                    <w:pageBreakBefore w:val="0"/>
                    <w:kinsoku/>
                    <w:wordWrap/>
                    <w:overflowPunct/>
                    <w:topLinePunct w:val="0"/>
                    <w:bidi w:val="0"/>
                    <w:spacing w:line="240" w:lineRule="exact"/>
                    <w:jc w:val="center"/>
                    <w:textAlignment w:val="auto"/>
                    <w:rPr>
                      <w:rFonts w:hint="default" w:ascii="Times New Roman" w:hAnsi="Times New Roman" w:cs="Times New Roman"/>
                      <w:color w:val="000000"/>
                      <w:spacing w:val="0"/>
                      <w:sz w:val="21"/>
                      <w:szCs w:val="21"/>
                      <w:highlight w:val="none"/>
                      <w:lang w:val="en-US" w:eastAsia="zh-CN"/>
                    </w:rPr>
                  </w:pPr>
                </w:p>
              </w:tc>
            </w:tr>
            <w:tr w14:paraId="0D179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restart"/>
                  <w:tcBorders>
                    <w:top w:val="single" w:color="auto" w:sz="4" w:space="0"/>
                    <w:left w:val="nil"/>
                    <w:bottom w:val="single" w:color="auto" w:sz="4" w:space="0"/>
                    <w:right w:val="single" w:color="auto" w:sz="4" w:space="0"/>
                  </w:tcBorders>
                  <w:noWrap w:val="0"/>
                  <w:vAlign w:val="center"/>
                </w:tcPr>
                <w:p w14:paraId="1971B520">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kern w:val="0"/>
                      <w:sz w:val="21"/>
                      <w:szCs w:val="21"/>
                      <w:highlight w:val="none"/>
                      <w:vertAlign w:val="baseline"/>
                      <w:lang w:val="en-US" w:eastAsia="zh-CN" w:bidi="ar-SA"/>
                    </w:rPr>
                    <w:t>0</w:t>
                  </w:r>
                  <w:r>
                    <w:rPr>
                      <w:rFonts w:hint="eastAsia" w:ascii="Times New Roman" w:hAnsi="Times New Roman" w:cs="Times New Roman"/>
                      <w:color w:val="000000"/>
                      <w:kern w:val="0"/>
                      <w:sz w:val="21"/>
                      <w:szCs w:val="21"/>
                      <w:highlight w:val="none"/>
                      <w:vertAlign w:val="baseline"/>
                      <w:lang w:val="en-US" w:eastAsia="zh-CN" w:bidi="ar-SA"/>
                    </w:rPr>
                    <w:t>4</w:t>
                  </w:r>
                  <w:r>
                    <w:rPr>
                      <w:rFonts w:hint="eastAsia" w:ascii="Times New Roman" w:hAnsi="Times New Roman" w:eastAsia="宋体" w:cs="Times New Roman"/>
                      <w:color w:val="000000"/>
                      <w:kern w:val="0"/>
                      <w:sz w:val="21"/>
                      <w:szCs w:val="21"/>
                      <w:highlight w:val="none"/>
                      <w:vertAlign w:val="baseline"/>
                      <w:lang w:val="en-US" w:eastAsia="zh-CN" w:bidi="ar-SA"/>
                    </w:rPr>
                    <w:t>月</w:t>
                  </w:r>
                  <w:r>
                    <w:rPr>
                      <w:rFonts w:hint="eastAsia" w:ascii="Times New Roman" w:hAnsi="Times New Roman" w:cs="Times New Roman"/>
                      <w:color w:val="000000"/>
                      <w:kern w:val="0"/>
                      <w:sz w:val="21"/>
                      <w:szCs w:val="21"/>
                      <w:highlight w:val="none"/>
                      <w:vertAlign w:val="baseline"/>
                      <w:lang w:val="en-US" w:eastAsia="zh-CN" w:bidi="ar-SA"/>
                    </w:rPr>
                    <w:t>30</w:t>
                  </w:r>
                  <w:r>
                    <w:rPr>
                      <w:rFonts w:hint="eastAsia" w:ascii="Times New Roman" w:hAnsi="Times New Roman" w:eastAsia="宋体" w:cs="Times New Roman"/>
                      <w:color w:val="000000"/>
                      <w:kern w:val="0"/>
                      <w:sz w:val="21"/>
                      <w:szCs w:val="21"/>
                      <w:highlight w:val="none"/>
                      <w:vertAlign w:val="baseline"/>
                      <w:lang w:val="en-US" w:eastAsia="zh-CN" w:bidi="ar-SA"/>
                    </w:rPr>
                    <w:t>日</w:t>
                  </w:r>
                </w:p>
              </w:tc>
              <w:tc>
                <w:tcPr>
                  <w:tcW w:w="679" w:type="dxa"/>
                  <w:vMerge w:val="restart"/>
                  <w:tcBorders>
                    <w:top w:val="single" w:color="auto" w:sz="4" w:space="0"/>
                    <w:left w:val="single" w:color="auto" w:sz="4" w:space="0"/>
                    <w:bottom w:val="single" w:color="auto" w:sz="4" w:space="0"/>
                    <w:right w:val="single" w:color="auto" w:sz="4" w:space="0"/>
                  </w:tcBorders>
                  <w:noWrap w:val="0"/>
                  <w:vAlign w:val="center"/>
                </w:tcPr>
                <w:p w14:paraId="5DDD8525">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r>
                    <w:rPr>
                      <w:rFonts w:hint="eastAsia" w:cs="Times New Roman"/>
                      <w:b w:val="0"/>
                      <w:bCs w:val="0"/>
                      <w:kern w:val="2"/>
                      <w:sz w:val="21"/>
                      <w:szCs w:val="21"/>
                      <w:highlight w:val="none"/>
                      <w:vertAlign w:val="baseline"/>
                      <w:lang w:val="en-US" w:eastAsia="zh-CN" w:bidi="ar-SA"/>
                    </w:rPr>
                    <w:t>碳化废气排气筒排口</w:t>
                  </w:r>
                  <w:r>
                    <w:rPr>
                      <w:rFonts w:hint="eastAsia" w:ascii="Times New Roman" w:hAnsi="Times New Roman" w:eastAsia="宋体" w:cs="Times New Roman"/>
                      <w:color w:val="000000"/>
                      <w:spacing w:val="-6"/>
                      <w:sz w:val="21"/>
                      <w:szCs w:val="21"/>
                      <w:highlight w:val="none"/>
                      <w:shd w:val="clear" w:color="auto" w:fill="auto"/>
                      <w:lang w:val="en-US" w:eastAsia="zh-CN"/>
                    </w:rPr>
                    <w:t>FQ1</w:t>
                  </w:r>
                </w:p>
              </w:tc>
              <w:tc>
                <w:tcPr>
                  <w:tcW w:w="2604" w:type="dxa"/>
                  <w:gridSpan w:val="2"/>
                  <w:tcBorders>
                    <w:top w:val="single" w:color="auto" w:sz="4" w:space="0"/>
                    <w:left w:val="single" w:color="auto" w:sz="4" w:space="0"/>
                    <w:bottom w:val="single" w:color="auto" w:sz="4" w:space="0"/>
                    <w:right w:val="single" w:color="auto" w:sz="4" w:space="0"/>
                  </w:tcBorders>
                  <w:noWrap w:val="0"/>
                  <w:vAlign w:val="center"/>
                </w:tcPr>
                <w:p w14:paraId="41975FF7">
                  <w:pPr>
                    <w:pStyle w:val="103"/>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spacing w:val="0"/>
                      <w:sz w:val="21"/>
                      <w:szCs w:val="21"/>
                      <w:highlight w:val="none"/>
                      <w:shd w:val="clear" w:color="auto" w:fill="auto"/>
                      <w:lang w:val="en-US" w:eastAsia="zh-CN"/>
                    </w:rPr>
                  </w:pPr>
                  <w:r>
                    <w:rPr>
                      <w:rFonts w:hint="default" w:ascii="Times New Roman" w:hAnsi="Times New Roman" w:eastAsia="宋体" w:cs="Times New Roman"/>
                      <w:color w:val="000000"/>
                      <w:spacing w:val="0"/>
                      <w:sz w:val="21"/>
                      <w:szCs w:val="21"/>
                      <w:highlight w:val="none"/>
                      <w:lang w:val="en-US" w:eastAsia="zh-CN"/>
                    </w:rPr>
                    <w:t>排气筒高度（m）</w:t>
                  </w:r>
                </w:p>
              </w:tc>
              <w:tc>
                <w:tcPr>
                  <w:tcW w:w="4486" w:type="dxa"/>
                  <w:gridSpan w:val="5"/>
                  <w:tcBorders>
                    <w:top w:val="single" w:color="auto" w:sz="4" w:space="0"/>
                    <w:left w:val="single" w:color="auto" w:sz="4" w:space="0"/>
                    <w:bottom w:val="single" w:color="auto" w:sz="4" w:space="0"/>
                    <w:right w:val="nil"/>
                  </w:tcBorders>
                  <w:noWrap w:val="0"/>
                  <w:vAlign w:val="center"/>
                </w:tcPr>
                <w:p w14:paraId="7871E970">
                  <w:pPr>
                    <w:pStyle w:val="103"/>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eastAsia="宋体" w:cs="Times New Roman"/>
                      <w:color w:val="000000"/>
                      <w:spacing w:val="0"/>
                      <w:kern w:val="0"/>
                      <w:sz w:val="21"/>
                      <w:szCs w:val="21"/>
                      <w:highlight w:val="none"/>
                      <w:lang w:val="en-US" w:eastAsia="zh-CN" w:bidi="ar-SA"/>
                    </w:rPr>
                    <w:t>33</w:t>
                  </w:r>
                </w:p>
              </w:tc>
            </w:tr>
            <w:tr w14:paraId="44EF35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77189D58">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35BBB39">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2604" w:type="dxa"/>
                  <w:gridSpan w:val="2"/>
                  <w:tcBorders>
                    <w:top w:val="single" w:color="auto" w:sz="4" w:space="0"/>
                    <w:left w:val="single" w:color="auto" w:sz="4" w:space="0"/>
                    <w:bottom w:val="single" w:color="auto" w:sz="4" w:space="0"/>
                    <w:right w:val="single" w:color="auto" w:sz="4" w:space="0"/>
                  </w:tcBorders>
                  <w:noWrap w:val="0"/>
                  <w:vAlign w:val="center"/>
                </w:tcPr>
                <w:p w14:paraId="50F7AA61">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spacing w:val="0"/>
                      <w:sz w:val="21"/>
                      <w:szCs w:val="21"/>
                      <w:highlight w:val="none"/>
                      <w:shd w:val="clear" w:color="auto" w:fill="auto"/>
                      <w:lang w:val="en-US" w:eastAsia="zh-CN"/>
                    </w:rPr>
                  </w:pPr>
                  <w:r>
                    <w:rPr>
                      <w:rFonts w:hint="default" w:ascii="Times New Roman" w:hAnsi="Times New Roman" w:eastAsia="宋体" w:cs="Times New Roman"/>
                      <w:color w:val="000000"/>
                      <w:spacing w:val="-6"/>
                      <w:sz w:val="21"/>
                      <w:szCs w:val="21"/>
                      <w:highlight w:val="none"/>
                      <w:shd w:val="clear" w:color="auto" w:fill="auto"/>
                      <w:lang w:val="en-US" w:eastAsia="zh-CN"/>
                    </w:rPr>
                    <w:t>标干流量（Nm</w:t>
                  </w:r>
                  <w:r>
                    <w:rPr>
                      <w:rFonts w:hint="default" w:ascii="Times New Roman" w:hAnsi="Times New Roman" w:eastAsia="宋体" w:cs="Times New Roman"/>
                      <w:color w:val="000000"/>
                      <w:spacing w:val="-6"/>
                      <w:sz w:val="21"/>
                      <w:szCs w:val="21"/>
                      <w:highlight w:val="none"/>
                      <w:shd w:val="clear" w:color="auto" w:fill="auto"/>
                      <w:vertAlign w:val="superscript"/>
                      <w:lang w:val="en-US" w:eastAsia="zh-CN"/>
                    </w:rPr>
                    <w:t>3</w:t>
                  </w:r>
                  <w:r>
                    <w:rPr>
                      <w:rFonts w:hint="default" w:ascii="Times New Roman" w:hAnsi="Times New Roman" w:eastAsia="宋体" w:cs="Times New Roman"/>
                      <w:color w:val="000000"/>
                      <w:spacing w:val="-6"/>
                      <w:sz w:val="21"/>
                      <w:szCs w:val="21"/>
                      <w:highlight w:val="none"/>
                      <w:shd w:val="clear" w:color="auto" w:fill="auto"/>
                      <w:lang w:val="en-US" w:eastAsia="zh-CN"/>
                    </w:rPr>
                    <w:t>/h）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4E41D752">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64576</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5A060EF8">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64100</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4BD4BD57">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65095</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458DC00">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20931502">
                  <w:pPr>
                    <w:keepNext w:val="0"/>
                    <w:keepLines w:val="0"/>
                    <w:pageBreakBefore w:val="0"/>
                    <w:kinsoku/>
                    <w:wordWrap/>
                    <w:overflowPunct/>
                    <w:topLinePunct w:val="0"/>
                    <w:bidi w:val="0"/>
                    <w:spacing w:line="240" w:lineRule="exact"/>
                    <w:jc w:val="center"/>
                    <w:textAlignment w:val="auto"/>
                    <w:rPr>
                      <w:rFonts w:hint="eastAsia"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r>
            <w:tr w14:paraId="1A59E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254EAE91">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44506693">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14:paraId="1862D33F">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eastAsia"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spacing w:val="0"/>
                      <w:sz w:val="21"/>
                      <w:szCs w:val="21"/>
                      <w:highlight w:val="none"/>
                      <w:lang w:val="en-US" w:eastAsia="zh-CN"/>
                    </w:rPr>
                    <w:t>非甲烷总烃</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09BDB497">
                  <w:pPr>
                    <w:pStyle w:val="27"/>
                    <w:keepNext w:val="0"/>
                    <w:keepLines w:val="0"/>
                    <w:pageBreakBefore w:val="0"/>
                    <w:kinsoku/>
                    <w:wordWrap/>
                    <w:overflowPunct/>
                    <w:topLinePunct w:val="0"/>
                    <w:bidi w:val="0"/>
                    <w:adjustRightInd w:val="0"/>
                    <w:snapToGrid/>
                    <w:spacing w:before="0" w:beforeAutospacing="0" w:after="0" w:afterAutospacing="0" w:line="240" w:lineRule="exact"/>
                    <w:jc w:val="both"/>
                    <w:textAlignment w:val="auto"/>
                    <w:rPr>
                      <w:rFonts w:hint="default" w:ascii="Times New Roman" w:hAnsi="Times New Roman" w:eastAsia="宋体" w:cs="Times New Roman"/>
                      <w:spacing w:val="0"/>
                      <w:sz w:val="21"/>
                      <w:szCs w:val="21"/>
                      <w:highlight w:val="none"/>
                      <w:lang w:val="en-US" w:eastAsia="zh-CN"/>
                    </w:rPr>
                  </w:pPr>
                  <w:r>
                    <w:rPr>
                      <w:rFonts w:hint="default" w:ascii="Times New Roman" w:hAnsi="Times New Roman" w:eastAsia="宋体" w:cs="Times New Roman"/>
                      <w:color w:val="000000"/>
                      <w:spacing w:val="-6"/>
                      <w:sz w:val="21"/>
                      <w:szCs w:val="21"/>
                      <w:highlight w:val="none"/>
                      <w:lang w:val="en-US" w:eastAsia="zh-CN"/>
                    </w:rPr>
                    <w:t>排放浓度（mg/m</w:t>
                  </w:r>
                  <w:r>
                    <w:rPr>
                      <w:rFonts w:hint="default" w:ascii="Times New Roman" w:hAnsi="Times New Roman" w:eastAsia="宋体" w:cs="Times New Roman"/>
                      <w:color w:val="000000"/>
                      <w:spacing w:val="-6"/>
                      <w:sz w:val="21"/>
                      <w:szCs w:val="21"/>
                      <w:highlight w:val="none"/>
                      <w:vertAlign w:val="superscript"/>
                      <w:lang w:val="en-US" w:eastAsia="zh-CN"/>
                    </w:rPr>
                    <w:t>3</w:t>
                  </w:r>
                  <w:r>
                    <w:rPr>
                      <w:rFonts w:hint="default" w:ascii="Times New Roman" w:hAnsi="Times New Roman" w:eastAsia="宋体" w:cs="Times New Roman"/>
                      <w:color w:val="000000"/>
                      <w:spacing w:val="-6"/>
                      <w:sz w:val="21"/>
                      <w:szCs w:val="21"/>
                      <w:highlight w:val="none"/>
                      <w:lang w:val="en-US" w:eastAsia="zh-CN"/>
                    </w:rPr>
                    <w:t>）</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19CF8F6F">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2.10</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5C73DA89">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2.13</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0465F738">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2.12</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7872CDD">
                  <w:pPr>
                    <w:keepNext w:val="0"/>
                    <w:keepLines w:val="0"/>
                    <w:pageBreakBefore w:val="0"/>
                    <w:kinsoku/>
                    <w:wordWrap/>
                    <w:overflowPunct/>
                    <w:topLinePunct w:val="0"/>
                    <w:bidi w:val="0"/>
                    <w:spacing w:line="240" w:lineRule="exact"/>
                    <w:jc w:val="center"/>
                    <w:textAlignment w:val="auto"/>
                    <w:rPr>
                      <w:rFonts w:hint="eastAsia"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fldChar w:fldCharType="begin"/>
                  </w:r>
                  <w:r>
                    <w:rPr>
                      <w:rFonts w:hint="eastAsia" w:ascii="Times New Roman" w:hAnsi="Times New Roman" w:eastAsia="宋体" w:cs="Times New Roman"/>
                      <w:color w:val="000000"/>
                      <w:spacing w:val="0"/>
                      <w:kern w:val="0"/>
                      <w:sz w:val="21"/>
                      <w:szCs w:val="21"/>
                      <w:highlight w:val="none"/>
                      <w:lang w:val="en-US" w:eastAsia="zh-CN" w:bidi="ar-SA"/>
                    </w:rPr>
                    <w:instrText xml:space="preserve"> = average(E5:G5) \* MERGEFORMAT </w:instrText>
                  </w:r>
                  <w:r>
                    <w:rPr>
                      <w:rFonts w:hint="eastAsia" w:ascii="Times New Roman" w:hAnsi="Times New Roman" w:eastAsia="宋体" w:cs="Times New Roman"/>
                      <w:color w:val="000000"/>
                      <w:spacing w:val="0"/>
                      <w:kern w:val="0"/>
                      <w:sz w:val="21"/>
                      <w:szCs w:val="21"/>
                      <w:highlight w:val="none"/>
                      <w:lang w:val="en-US" w:eastAsia="zh-CN" w:bidi="ar-SA"/>
                    </w:rPr>
                    <w:fldChar w:fldCharType="separate"/>
                  </w:r>
                  <w:r>
                    <w:rPr>
                      <w:rFonts w:hint="eastAsia" w:ascii="Times New Roman" w:hAnsi="Times New Roman" w:eastAsia="宋体" w:cs="Times New Roman"/>
                      <w:color w:val="000000"/>
                      <w:spacing w:val="0"/>
                      <w:kern w:val="0"/>
                      <w:sz w:val="21"/>
                      <w:szCs w:val="21"/>
                      <w:highlight w:val="none"/>
                      <w:lang w:val="en-US" w:eastAsia="zh-CN" w:bidi="ar-SA"/>
                    </w:rPr>
                    <w:t>2.12</w:t>
                  </w:r>
                  <w:r>
                    <w:rPr>
                      <w:rFonts w:hint="eastAsia" w:ascii="Times New Roman" w:hAnsi="Times New Roman" w:eastAsia="宋体" w:cs="Times New Roman"/>
                      <w:color w:val="000000"/>
                      <w:spacing w:val="0"/>
                      <w:kern w:val="0"/>
                      <w:sz w:val="21"/>
                      <w:szCs w:val="21"/>
                      <w:highlight w:val="none"/>
                      <w:lang w:val="en-US" w:eastAsia="zh-CN" w:bidi="ar-SA"/>
                    </w:rPr>
                    <w:fldChar w:fldCharType="end"/>
                  </w:r>
                </w:p>
              </w:tc>
              <w:tc>
                <w:tcPr>
                  <w:tcW w:w="1193" w:type="dxa"/>
                  <w:tcBorders>
                    <w:top w:val="single" w:color="auto" w:sz="4" w:space="0"/>
                    <w:left w:val="single" w:color="auto" w:sz="4" w:space="0"/>
                    <w:bottom w:val="single" w:color="auto" w:sz="4" w:space="0"/>
                    <w:right w:val="nil"/>
                  </w:tcBorders>
                  <w:noWrap w:val="0"/>
                  <w:vAlign w:val="center"/>
                </w:tcPr>
                <w:p w14:paraId="20AB3DE1">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60</w:t>
                  </w:r>
                </w:p>
              </w:tc>
            </w:tr>
            <w:tr w14:paraId="6F9B1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0DBA77B1">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7A1CFEF2">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14:paraId="5D54C358">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14:paraId="73863485">
                  <w:pPr>
                    <w:pStyle w:val="103"/>
                    <w:keepNext w:val="0"/>
                    <w:keepLines w:val="0"/>
                    <w:pageBreakBefore w:val="0"/>
                    <w:kinsoku/>
                    <w:wordWrap/>
                    <w:overflowPunct/>
                    <w:topLinePunct w:val="0"/>
                    <w:bidi w:val="0"/>
                    <w:adjustRightInd w:val="0"/>
                    <w:snapToGrid/>
                    <w:spacing w:line="240" w:lineRule="exact"/>
                    <w:jc w:val="both"/>
                    <w:textAlignment w:val="auto"/>
                    <w:rPr>
                      <w:rFonts w:hint="default" w:ascii="Times New Roman" w:hAnsi="Times New Roman" w:eastAsia="宋体" w:cs="Times New Roman"/>
                      <w:spacing w:val="0"/>
                      <w:sz w:val="21"/>
                      <w:szCs w:val="21"/>
                      <w:highlight w:val="none"/>
                      <w:lang w:val="en-US" w:eastAsia="zh-CN"/>
                    </w:rPr>
                  </w:pPr>
                  <w:r>
                    <w:rPr>
                      <w:rFonts w:hint="default" w:ascii="Times New Roman" w:hAnsi="Times New Roman" w:eastAsia="宋体" w:cs="Times New Roman"/>
                      <w:spacing w:val="0"/>
                      <w:sz w:val="21"/>
                      <w:szCs w:val="21"/>
                      <w:highlight w:val="none"/>
                      <w:lang w:val="en-US" w:eastAsia="zh-CN"/>
                    </w:rPr>
                    <w:t>排放速率（kg/h）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5C2AD90B">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0.136</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46E559B6">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0.137</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039F6CA8">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0.138</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02B8CFD">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default" w:ascii="Times New Roman" w:hAnsi="Times New Roman" w:eastAsia="宋体" w:cs="Times New Roman"/>
                      <w:color w:val="000000"/>
                      <w:spacing w:val="0"/>
                      <w:kern w:val="0"/>
                      <w:sz w:val="21"/>
                      <w:szCs w:val="21"/>
                      <w:highlight w:val="none"/>
                      <w:lang w:val="en-US" w:eastAsia="zh-CN" w:bidi="ar-SA"/>
                    </w:rPr>
                    <w:fldChar w:fldCharType="begin"/>
                  </w:r>
                  <w:r>
                    <w:rPr>
                      <w:rFonts w:hint="default" w:ascii="Times New Roman" w:hAnsi="Times New Roman" w:eastAsia="宋体" w:cs="Times New Roman"/>
                      <w:color w:val="000000"/>
                      <w:spacing w:val="0"/>
                      <w:kern w:val="0"/>
                      <w:sz w:val="21"/>
                      <w:szCs w:val="21"/>
                      <w:highlight w:val="none"/>
                      <w:lang w:val="en-US" w:eastAsia="zh-CN" w:bidi="ar-SA"/>
                    </w:rPr>
                    <w:instrText xml:space="preserve"> = average(E6:G6) \* MERGEFORMAT </w:instrText>
                  </w:r>
                  <w:r>
                    <w:rPr>
                      <w:rFonts w:hint="default" w:ascii="Times New Roman" w:hAnsi="Times New Roman" w:eastAsia="宋体" w:cs="Times New Roman"/>
                      <w:color w:val="000000"/>
                      <w:spacing w:val="0"/>
                      <w:kern w:val="0"/>
                      <w:sz w:val="21"/>
                      <w:szCs w:val="21"/>
                      <w:highlight w:val="none"/>
                      <w:lang w:val="en-US" w:eastAsia="zh-CN" w:bidi="ar-SA"/>
                    </w:rPr>
                    <w:fldChar w:fldCharType="separate"/>
                  </w:r>
                  <w:r>
                    <w:rPr>
                      <w:rFonts w:hint="default" w:ascii="Times New Roman" w:hAnsi="Times New Roman" w:eastAsia="宋体" w:cs="Times New Roman"/>
                      <w:color w:val="000000"/>
                      <w:spacing w:val="0"/>
                      <w:kern w:val="0"/>
                      <w:sz w:val="21"/>
                      <w:szCs w:val="21"/>
                      <w:highlight w:val="none"/>
                      <w:lang w:val="en-US" w:eastAsia="zh-CN" w:bidi="ar-SA"/>
                    </w:rPr>
                    <w:t>0.137</w:t>
                  </w:r>
                  <w:r>
                    <w:rPr>
                      <w:rFonts w:hint="default" w:ascii="Times New Roman" w:hAnsi="Times New Roman" w:eastAsia="宋体" w:cs="Times New Roman"/>
                      <w:color w:val="000000"/>
                      <w:spacing w:val="0"/>
                      <w:kern w:val="0"/>
                      <w:sz w:val="21"/>
                      <w:szCs w:val="21"/>
                      <w:highlight w:val="none"/>
                      <w:lang w:val="en-US" w:eastAsia="zh-CN" w:bidi="ar-SA"/>
                    </w:rPr>
                    <w:fldChar w:fldCharType="end"/>
                  </w:r>
                </w:p>
              </w:tc>
              <w:tc>
                <w:tcPr>
                  <w:tcW w:w="1193" w:type="dxa"/>
                  <w:tcBorders>
                    <w:top w:val="single" w:color="auto" w:sz="4" w:space="0"/>
                    <w:left w:val="single" w:color="auto" w:sz="4" w:space="0"/>
                    <w:bottom w:val="single" w:color="auto" w:sz="4" w:space="0"/>
                    <w:right w:val="nil"/>
                  </w:tcBorders>
                  <w:noWrap w:val="0"/>
                  <w:vAlign w:val="center"/>
                </w:tcPr>
                <w:p w14:paraId="070FF9E7">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10</w:t>
                  </w:r>
                </w:p>
              </w:tc>
            </w:tr>
            <w:tr w14:paraId="4B1B40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5E4CA7F1">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B2ABAC7">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2604" w:type="dxa"/>
                  <w:gridSpan w:val="2"/>
                  <w:tcBorders>
                    <w:top w:val="single" w:color="auto" w:sz="4" w:space="0"/>
                    <w:left w:val="single" w:color="auto" w:sz="4" w:space="0"/>
                    <w:bottom w:val="single" w:color="auto" w:sz="4" w:space="0"/>
                    <w:right w:val="single" w:color="auto" w:sz="4" w:space="0"/>
                  </w:tcBorders>
                  <w:noWrap w:val="0"/>
                  <w:vAlign w:val="center"/>
                </w:tcPr>
                <w:p w14:paraId="63FCBCFC">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spacing w:val="0"/>
                      <w:sz w:val="21"/>
                      <w:szCs w:val="21"/>
                      <w:highlight w:val="none"/>
                      <w:shd w:val="clear" w:color="auto" w:fill="auto"/>
                      <w:lang w:val="en-US" w:eastAsia="zh-CN"/>
                    </w:rPr>
                  </w:pPr>
                  <w:r>
                    <w:rPr>
                      <w:rFonts w:hint="default" w:ascii="Times New Roman" w:hAnsi="Times New Roman" w:eastAsia="宋体" w:cs="Times New Roman"/>
                      <w:color w:val="000000"/>
                      <w:spacing w:val="-6"/>
                      <w:sz w:val="21"/>
                      <w:szCs w:val="21"/>
                      <w:highlight w:val="none"/>
                      <w:shd w:val="clear" w:color="auto" w:fill="auto"/>
                      <w:lang w:val="en-US" w:eastAsia="zh-CN"/>
                    </w:rPr>
                    <w:t>标干流量（Nm</w:t>
                  </w:r>
                  <w:r>
                    <w:rPr>
                      <w:rFonts w:hint="default" w:ascii="Times New Roman" w:hAnsi="Times New Roman" w:eastAsia="宋体" w:cs="Times New Roman"/>
                      <w:color w:val="000000"/>
                      <w:spacing w:val="-6"/>
                      <w:sz w:val="21"/>
                      <w:szCs w:val="21"/>
                      <w:highlight w:val="none"/>
                      <w:shd w:val="clear" w:color="auto" w:fill="auto"/>
                      <w:vertAlign w:val="superscript"/>
                      <w:lang w:val="en-US" w:eastAsia="zh-CN"/>
                    </w:rPr>
                    <w:t>3</w:t>
                  </w:r>
                  <w:r>
                    <w:rPr>
                      <w:rFonts w:hint="default" w:ascii="Times New Roman" w:hAnsi="Times New Roman" w:eastAsia="宋体" w:cs="Times New Roman"/>
                      <w:color w:val="000000"/>
                      <w:spacing w:val="-6"/>
                      <w:sz w:val="21"/>
                      <w:szCs w:val="21"/>
                      <w:highlight w:val="none"/>
                      <w:shd w:val="clear" w:color="auto" w:fill="auto"/>
                      <w:lang w:val="en-US" w:eastAsia="zh-CN"/>
                    </w:rPr>
                    <w:t>/h）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06BF6261">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64019</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61FD4D0C">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62340</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76D5A8AA">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63435</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7C6EFDA">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5B7B90C8">
                  <w:pPr>
                    <w:keepNext w:val="0"/>
                    <w:keepLines w:val="0"/>
                    <w:pageBreakBefore w:val="0"/>
                    <w:kinsoku/>
                    <w:wordWrap/>
                    <w:overflowPunct/>
                    <w:topLinePunct w:val="0"/>
                    <w:bidi w:val="0"/>
                    <w:spacing w:line="240" w:lineRule="exact"/>
                    <w:jc w:val="center"/>
                    <w:textAlignment w:val="auto"/>
                    <w:rPr>
                      <w:rFonts w:hint="eastAsia"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r>
            <w:tr w14:paraId="2C5D3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719A7642">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820D7A4">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14:paraId="31640B2C">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eastAsia"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b w:val="0"/>
                      <w:bCs w:val="0"/>
                      <w:sz w:val="21"/>
                      <w:szCs w:val="21"/>
                      <w:highlight w:val="none"/>
                      <w:vertAlign w:val="baseline"/>
                      <w:lang w:val="en-US" w:eastAsia="zh-CN"/>
                    </w:rPr>
                    <w:t>苯并（a）芘</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3C2C0433">
                  <w:pPr>
                    <w:pStyle w:val="27"/>
                    <w:keepNext w:val="0"/>
                    <w:keepLines w:val="0"/>
                    <w:pageBreakBefore w:val="0"/>
                    <w:kinsoku/>
                    <w:wordWrap/>
                    <w:overflowPunct/>
                    <w:topLinePunct w:val="0"/>
                    <w:bidi w:val="0"/>
                    <w:adjustRightInd w:val="0"/>
                    <w:snapToGrid/>
                    <w:spacing w:before="0" w:beforeAutospacing="0" w:after="0" w:afterAutospacing="0" w:line="240" w:lineRule="exact"/>
                    <w:jc w:val="both"/>
                    <w:textAlignment w:val="auto"/>
                    <w:rPr>
                      <w:rFonts w:hint="default" w:ascii="Times New Roman" w:hAnsi="Times New Roman" w:eastAsia="宋体" w:cs="Times New Roman"/>
                      <w:spacing w:val="0"/>
                      <w:sz w:val="21"/>
                      <w:szCs w:val="21"/>
                      <w:highlight w:val="none"/>
                      <w:lang w:val="en-US" w:eastAsia="zh-CN"/>
                    </w:rPr>
                  </w:pPr>
                  <w:r>
                    <w:rPr>
                      <w:rFonts w:hint="default" w:ascii="Times New Roman" w:hAnsi="Times New Roman" w:eastAsia="宋体" w:cs="Times New Roman"/>
                      <w:color w:val="000000"/>
                      <w:spacing w:val="-6"/>
                      <w:sz w:val="21"/>
                      <w:szCs w:val="21"/>
                      <w:highlight w:val="none"/>
                      <w:lang w:val="en-US" w:eastAsia="zh-CN"/>
                    </w:rPr>
                    <w:t>排放浓度（mg/m</w:t>
                  </w:r>
                  <w:r>
                    <w:rPr>
                      <w:rFonts w:hint="default" w:ascii="Times New Roman" w:hAnsi="Times New Roman" w:eastAsia="宋体" w:cs="Times New Roman"/>
                      <w:color w:val="000000"/>
                      <w:spacing w:val="-6"/>
                      <w:sz w:val="21"/>
                      <w:szCs w:val="21"/>
                      <w:highlight w:val="none"/>
                      <w:vertAlign w:val="superscript"/>
                      <w:lang w:val="en-US" w:eastAsia="zh-CN"/>
                    </w:rPr>
                    <w:t>3</w:t>
                  </w:r>
                  <w:r>
                    <w:rPr>
                      <w:rFonts w:hint="default" w:ascii="Times New Roman" w:hAnsi="Times New Roman" w:eastAsia="宋体" w:cs="Times New Roman"/>
                      <w:color w:val="000000"/>
                      <w:spacing w:val="-6"/>
                      <w:sz w:val="21"/>
                      <w:szCs w:val="21"/>
                      <w:highlight w:val="none"/>
                      <w:lang w:val="en-US" w:eastAsia="zh-CN"/>
                    </w:rPr>
                    <w:t>）</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1D2D4F2D">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ND</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42E6EB2C">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ND</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4D8E9DA">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ND</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36153F0">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047CE479">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0.030</w:t>
                  </w:r>
                  <w:r>
                    <w:rPr>
                      <w:rFonts w:hint="default" w:ascii="Times New Roman" w:hAnsi="Times New Roman" w:eastAsia="宋体" w:cs="Times New Roman"/>
                      <w:color w:val="000000"/>
                      <w:spacing w:val="-6"/>
                      <w:kern w:val="0"/>
                      <w:sz w:val="21"/>
                      <w:szCs w:val="21"/>
                      <w:highlight w:val="none"/>
                      <w:lang w:val="en-US" w:eastAsia="zh-CN" w:bidi="ar-SA"/>
                    </w:rPr>
                    <w:t>×</w:t>
                  </w:r>
                  <w:r>
                    <w:rPr>
                      <w:rFonts w:hint="eastAsia" w:ascii="Times New Roman" w:hAnsi="Times New Roman" w:cs="Times New Roman"/>
                      <w:color w:val="000000"/>
                      <w:spacing w:val="-6"/>
                      <w:kern w:val="0"/>
                      <w:sz w:val="21"/>
                      <w:szCs w:val="21"/>
                      <w:highlight w:val="none"/>
                      <w:lang w:val="en-US" w:eastAsia="zh-CN" w:bidi="ar-SA"/>
                    </w:rPr>
                    <w:t>10</w:t>
                  </w:r>
                  <w:r>
                    <w:rPr>
                      <w:rFonts w:hint="eastAsia" w:ascii="Times New Roman" w:hAnsi="Times New Roman" w:cs="Times New Roman"/>
                      <w:color w:val="000000"/>
                      <w:spacing w:val="-6"/>
                      <w:kern w:val="0"/>
                      <w:sz w:val="21"/>
                      <w:szCs w:val="21"/>
                      <w:highlight w:val="none"/>
                      <w:vertAlign w:val="superscript"/>
                      <w:lang w:val="en-US" w:eastAsia="zh-CN" w:bidi="ar-SA"/>
                    </w:rPr>
                    <w:t>-3</w:t>
                  </w:r>
                </w:p>
              </w:tc>
            </w:tr>
            <w:tr w14:paraId="3CFBA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7B158780">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0018A1A">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14:paraId="6B8940A8">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14:paraId="6F5EC192">
                  <w:pPr>
                    <w:pStyle w:val="103"/>
                    <w:keepNext w:val="0"/>
                    <w:keepLines w:val="0"/>
                    <w:pageBreakBefore w:val="0"/>
                    <w:kinsoku/>
                    <w:wordWrap/>
                    <w:overflowPunct/>
                    <w:topLinePunct w:val="0"/>
                    <w:bidi w:val="0"/>
                    <w:adjustRightInd w:val="0"/>
                    <w:snapToGrid/>
                    <w:spacing w:line="240" w:lineRule="exact"/>
                    <w:jc w:val="both"/>
                    <w:textAlignment w:val="auto"/>
                    <w:rPr>
                      <w:rFonts w:hint="default" w:ascii="Times New Roman" w:hAnsi="Times New Roman" w:eastAsia="宋体" w:cs="Times New Roman"/>
                      <w:spacing w:val="0"/>
                      <w:sz w:val="21"/>
                      <w:szCs w:val="21"/>
                      <w:highlight w:val="none"/>
                      <w:lang w:val="en-US" w:eastAsia="zh-CN"/>
                    </w:rPr>
                  </w:pPr>
                  <w:r>
                    <w:rPr>
                      <w:rFonts w:hint="default" w:ascii="Times New Roman" w:hAnsi="Times New Roman" w:eastAsia="宋体" w:cs="Times New Roman"/>
                      <w:spacing w:val="0"/>
                      <w:sz w:val="21"/>
                      <w:szCs w:val="21"/>
                      <w:highlight w:val="none"/>
                      <w:lang w:val="en-US" w:eastAsia="zh-CN"/>
                    </w:rPr>
                    <w:t>排放速率（kg/h）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3A161A28">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0E92AF25">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03E17B79">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5A799D9">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6F1FEBF8">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0.050</w:t>
                  </w:r>
                  <w:r>
                    <w:rPr>
                      <w:rFonts w:hint="default" w:ascii="Times New Roman" w:hAnsi="Times New Roman" w:eastAsia="宋体" w:cs="Times New Roman"/>
                      <w:color w:val="000000"/>
                      <w:spacing w:val="-6"/>
                      <w:kern w:val="0"/>
                      <w:sz w:val="21"/>
                      <w:szCs w:val="21"/>
                      <w:highlight w:val="none"/>
                      <w:lang w:val="en-US" w:eastAsia="zh-CN" w:bidi="ar-SA"/>
                    </w:rPr>
                    <w:t>×</w:t>
                  </w:r>
                  <w:r>
                    <w:rPr>
                      <w:rFonts w:hint="eastAsia" w:ascii="Times New Roman" w:hAnsi="Times New Roman" w:cs="Times New Roman"/>
                      <w:color w:val="000000"/>
                      <w:spacing w:val="-6"/>
                      <w:kern w:val="0"/>
                      <w:sz w:val="21"/>
                      <w:szCs w:val="21"/>
                      <w:highlight w:val="none"/>
                      <w:lang w:val="en-US" w:eastAsia="zh-CN" w:bidi="ar-SA"/>
                    </w:rPr>
                    <w:t>10</w:t>
                  </w:r>
                  <w:r>
                    <w:rPr>
                      <w:rFonts w:hint="eastAsia" w:ascii="Times New Roman" w:hAnsi="Times New Roman" w:cs="Times New Roman"/>
                      <w:color w:val="000000"/>
                      <w:spacing w:val="-6"/>
                      <w:kern w:val="0"/>
                      <w:sz w:val="21"/>
                      <w:szCs w:val="21"/>
                      <w:highlight w:val="none"/>
                      <w:vertAlign w:val="superscript"/>
                      <w:lang w:val="en-US" w:eastAsia="zh-CN" w:bidi="ar-SA"/>
                    </w:rPr>
                    <w:t>-3</w:t>
                  </w:r>
                </w:p>
              </w:tc>
            </w:tr>
            <w:tr w14:paraId="516C4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1D8EA685">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2A4198FE">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2604" w:type="dxa"/>
                  <w:gridSpan w:val="2"/>
                  <w:tcBorders>
                    <w:top w:val="single" w:color="auto" w:sz="4" w:space="0"/>
                    <w:left w:val="single" w:color="auto" w:sz="4" w:space="0"/>
                    <w:bottom w:val="single" w:color="auto" w:sz="4" w:space="0"/>
                    <w:right w:val="single" w:color="auto" w:sz="4" w:space="0"/>
                  </w:tcBorders>
                  <w:noWrap w:val="0"/>
                  <w:vAlign w:val="center"/>
                </w:tcPr>
                <w:p w14:paraId="33F916C0">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spacing w:val="0"/>
                      <w:sz w:val="21"/>
                      <w:szCs w:val="21"/>
                      <w:highlight w:val="none"/>
                      <w:shd w:val="clear" w:color="auto" w:fill="auto"/>
                      <w:lang w:val="en-US" w:eastAsia="zh-CN"/>
                    </w:rPr>
                  </w:pPr>
                  <w:r>
                    <w:rPr>
                      <w:rFonts w:hint="default" w:ascii="Times New Roman" w:hAnsi="Times New Roman" w:eastAsia="宋体" w:cs="Times New Roman"/>
                      <w:color w:val="000000"/>
                      <w:spacing w:val="-6"/>
                      <w:sz w:val="21"/>
                      <w:szCs w:val="21"/>
                      <w:highlight w:val="none"/>
                      <w:shd w:val="clear" w:color="auto" w:fill="auto"/>
                      <w:lang w:val="en-US" w:eastAsia="zh-CN"/>
                    </w:rPr>
                    <w:t>标干流量（Nm</w:t>
                  </w:r>
                  <w:r>
                    <w:rPr>
                      <w:rFonts w:hint="default" w:ascii="Times New Roman" w:hAnsi="Times New Roman" w:eastAsia="宋体" w:cs="Times New Roman"/>
                      <w:color w:val="000000"/>
                      <w:spacing w:val="-6"/>
                      <w:sz w:val="21"/>
                      <w:szCs w:val="21"/>
                      <w:highlight w:val="none"/>
                      <w:shd w:val="clear" w:color="auto" w:fill="auto"/>
                      <w:vertAlign w:val="superscript"/>
                      <w:lang w:val="en-US" w:eastAsia="zh-CN"/>
                    </w:rPr>
                    <w:t>3</w:t>
                  </w:r>
                  <w:r>
                    <w:rPr>
                      <w:rFonts w:hint="default" w:ascii="Times New Roman" w:hAnsi="Times New Roman" w:eastAsia="宋体" w:cs="Times New Roman"/>
                      <w:color w:val="000000"/>
                      <w:spacing w:val="-6"/>
                      <w:sz w:val="21"/>
                      <w:szCs w:val="21"/>
                      <w:highlight w:val="none"/>
                      <w:shd w:val="clear" w:color="auto" w:fill="auto"/>
                      <w:lang w:val="en-US" w:eastAsia="zh-CN"/>
                    </w:rPr>
                    <w:t>/h）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07972755">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65366</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24E2490F">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64188</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7DE4A5C9">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65966</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67B608E">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34CDF186">
                  <w:pPr>
                    <w:keepNext w:val="0"/>
                    <w:keepLines w:val="0"/>
                    <w:pageBreakBefore w:val="0"/>
                    <w:kinsoku/>
                    <w:wordWrap/>
                    <w:overflowPunct/>
                    <w:topLinePunct w:val="0"/>
                    <w:bidi w:val="0"/>
                    <w:spacing w:line="240" w:lineRule="exact"/>
                    <w:jc w:val="center"/>
                    <w:textAlignment w:val="auto"/>
                    <w:rPr>
                      <w:rFonts w:hint="eastAsia"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r>
            <w:tr w14:paraId="5B281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0BEAEBC7">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7ACBD2F9">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14:paraId="68D32CDF">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eastAsia"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b w:val="0"/>
                      <w:bCs w:val="0"/>
                      <w:sz w:val="21"/>
                      <w:szCs w:val="21"/>
                      <w:highlight w:val="none"/>
                      <w:vertAlign w:val="baseline"/>
                      <w:lang w:val="en-US" w:eastAsia="zh-CN"/>
                    </w:rPr>
                    <w:t>沥青烟</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7AFBC257">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default" w:ascii="Times New Roman" w:hAnsi="Times New Roman" w:eastAsia="宋体" w:cs="Times New Roman"/>
                      <w:color w:val="000000"/>
                      <w:spacing w:val="0"/>
                      <w:sz w:val="21"/>
                      <w:szCs w:val="21"/>
                      <w:highlight w:val="none"/>
                      <w:lang w:val="en-US" w:eastAsia="zh-CN"/>
                    </w:rPr>
                    <w:t>排放浓度（mg/m</w:t>
                  </w:r>
                  <w:r>
                    <w:rPr>
                      <w:rFonts w:hint="default" w:ascii="Times New Roman" w:hAnsi="Times New Roman" w:eastAsia="宋体" w:cs="Times New Roman"/>
                      <w:color w:val="000000"/>
                      <w:spacing w:val="0"/>
                      <w:sz w:val="21"/>
                      <w:szCs w:val="21"/>
                      <w:highlight w:val="none"/>
                      <w:vertAlign w:val="superscript"/>
                      <w:lang w:val="en-US" w:eastAsia="zh-CN"/>
                    </w:rPr>
                    <w:t>3</w:t>
                  </w:r>
                  <w:r>
                    <w:rPr>
                      <w:rFonts w:hint="default" w:ascii="Times New Roman" w:hAnsi="Times New Roman" w:eastAsia="宋体" w:cs="Times New Roman"/>
                      <w:color w:val="000000"/>
                      <w:spacing w:val="0"/>
                      <w:sz w:val="21"/>
                      <w:szCs w:val="21"/>
                      <w:highlight w:val="none"/>
                      <w:lang w:val="en-US" w:eastAsia="zh-CN"/>
                    </w:rPr>
                    <w:t>）</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5118F4EE">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2.5</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437049C7">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2.7</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79F57DE">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2.4</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4111691">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11A72A05">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70</w:t>
                  </w:r>
                </w:p>
              </w:tc>
            </w:tr>
            <w:tr w14:paraId="07D99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111F8E03">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212E5AF6">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14:paraId="463D224B">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14:paraId="659823E4">
                  <w:pPr>
                    <w:pStyle w:val="103"/>
                    <w:keepNext w:val="0"/>
                    <w:keepLines w:val="0"/>
                    <w:pageBreakBefore w:val="0"/>
                    <w:kinsoku/>
                    <w:wordWrap/>
                    <w:overflowPunct/>
                    <w:topLinePunct w:val="0"/>
                    <w:bidi w:val="0"/>
                    <w:adjustRightInd w:val="0"/>
                    <w:snapToGrid/>
                    <w:spacing w:line="240" w:lineRule="exact"/>
                    <w:jc w:val="both"/>
                    <w:textAlignment w:val="auto"/>
                    <w:rPr>
                      <w:rFonts w:hint="default" w:ascii="Times New Roman" w:hAnsi="Times New Roman" w:eastAsia="宋体" w:cs="Times New Roman"/>
                      <w:color w:val="000000"/>
                      <w:spacing w:val="0"/>
                      <w:sz w:val="21"/>
                      <w:szCs w:val="21"/>
                      <w:highlight w:val="none"/>
                      <w:lang w:val="en-US" w:eastAsia="zh-CN" w:bidi="ar-SA"/>
                    </w:rPr>
                  </w:pPr>
                  <w:r>
                    <w:rPr>
                      <w:rFonts w:hint="default" w:ascii="Times New Roman" w:hAnsi="Times New Roman" w:eastAsia="宋体" w:cs="Times New Roman"/>
                      <w:spacing w:val="0"/>
                      <w:sz w:val="21"/>
                      <w:szCs w:val="21"/>
                      <w:highlight w:val="none"/>
                      <w:lang w:val="en-US" w:eastAsia="zh-CN"/>
                    </w:rPr>
                    <w:t>排放速率（kg/h）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16706E7D">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0.163</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35980108">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0.173</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713B1AC2">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0.158</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3E7FC5E">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2DB72B14">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0.18</w:t>
                  </w:r>
                </w:p>
              </w:tc>
            </w:tr>
            <w:tr w14:paraId="6786E2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70D04632">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26B6E69A">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14:paraId="68292AAF">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spacing w:val="0"/>
                      <w:sz w:val="21"/>
                      <w:szCs w:val="21"/>
                      <w:highlight w:val="none"/>
                      <w:lang w:val="en-US" w:eastAsia="zh-CN"/>
                    </w:rPr>
                    <w:t>氮氧化物</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1E9F7493">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default" w:ascii="Times New Roman" w:hAnsi="Times New Roman" w:eastAsia="宋体" w:cs="Times New Roman"/>
                      <w:color w:val="000000"/>
                      <w:spacing w:val="0"/>
                      <w:sz w:val="21"/>
                      <w:szCs w:val="21"/>
                      <w:highlight w:val="none"/>
                      <w:lang w:val="en-US" w:eastAsia="zh-CN"/>
                    </w:rPr>
                    <w:t>排放浓度（mg/m</w:t>
                  </w:r>
                  <w:r>
                    <w:rPr>
                      <w:rFonts w:hint="default" w:ascii="Times New Roman" w:hAnsi="Times New Roman" w:eastAsia="宋体" w:cs="Times New Roman"/>
                      <w:color w:val="000000"/>
                      <w:spacing w:val="0"/>
                      <w:sz w:val="21"/>
                      <w:szCs w:val="21"/>
                      <w:highlight w:val="none"/>
                      <w:vertAlign w:val="superscript"/>
                      <w:lang w:val="en-US" w:eastAsia="zh-CN"/>
                    </w:rPr>
                    <w:t>3</w:t>
                  </w:r>
                  <w:r>
                    <w:rPr>
                      <w:rFonts w:hint="default" w:ascii="Times New Roman" w:hAnsi="Times New Roman" w:eastAsia="宋体" w:cs="Times New Roman"/>
                      <w:color w:val="000000"/>
                      <w:spacing w:val="0"/>
                      <w:sz w:val="21"/>
                      <w:szCs w:val="21"/>
                      <w:highlight w:val="none"/>
                      <w:lang w:val="en-US" w:eastAsia="zh-CN"/>
                    </w:rPr>
                    <w:t>）</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634C825F">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19</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245C0DF1">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20</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61EF42E8">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18</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4DA762E">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45574637">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240</w:t>
                  </w:r>
                </w:p>
              </w:tc>
            </w:tr>
            <w:tr w14:paraId="71B0E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29D27A8D">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500ECC82">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14:paraId="72B32AC0">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14:paraId="7FEE8C82">
                  <w:pPr>
                    <w:pStyle w:val="103"/>
                    <w:keepNext w:val="0"/>
                    <w:keepLines w:val="0"/>
                    <w:pageBreakBefore w:val="0"/>
                    <w:kinsoku/>
                    <w:wordWrap/>
                    <w:overflowPunct/>
                    <w:topLinePunct w:val="0"/>
                    <w:bidi w:val="0"/>
                    <w:adjustRightInd w:val="0"/>
                    <w:snapToGrid/>
                    <w:spacing w:line="240" w:lineRule="exact"/>
                    <w:jc w:val="both"/>
                    <w:textAlignment w:val="auto"/>
                    <w:rPr>
                      <w:rFonts w:hint="default" w:ascii="Times New Roman" w:hAnsi="Times New Roman" w:eastAsia="宋体" w:cs="Times New Roman"/>
                      <w:color w:val="000000"/>
                      <w:spacing w:val="0"/>
                      <w:sz w:val="21"/>
                      <w:szCs w:val="21"/>
                      <w:highlight w:val="none"/>
                      <w:lang w:val="en-US" w:eastAsia="zh-CN" w:bidi="ar-SA"/>
                    </w:rPr>
                  </w:pPr>
                  <w:r>
                    <w:rPr>
                      <w:rFonts w:hint="default" w:ascii="Times New Roman" w:hAnsi="Times New Roman" w:eastAsia="宋体" w:cs="Times New Roman"/>
                      <w:spacing w:val="0"/>
                      <w:sz w:val="21"/>
                      <w:szCs w:val="21"/>
                      <w:highlight w:val="none"/>
                      <w:lang w:val="en-US" w:eastAsia="zh-CN"/>
                    </w:rPr>
                    <w:t>排放速率（kg/h）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617CBF46">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1.24</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6ABE5506">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1.28</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589266F6">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1.19</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7AE8395">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7F0521CF">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0.77</w:t>
                  </w:r>
                </w:p>
              </w:tc>
            </w:tr>
            <w:tr w14:paraId="7C15AC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0BD9C4DE">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spacing w:val="0"/>
                      <w:sz w:val="21"/>
                      <w:szCs w:val="21"/>
                      <w:highlight w:val="none"/>
                      <w:lang w:val="en-US" w:eastAsia="zh-CN"/>
                    </w:rPr>
                    <w:t>0</w:t>
                  </w: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7802C1F1">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14:paraId="4BFFD9FF">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spacing w:val="0"/>
                      <w:sz w:val="21"/>
                      <w:szCs w:val="21"/>
                      <w:highlight w:val="none"/>
                      <w:lang w:val="en-US" w:eastAsia="zh-CN"/>
                    </w:rPr>
                    <w:t>二氧化硫</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7CDDB2AA">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default" w:ascii="Times New Roman" w:hAnsi="Times New Roman" w:eastAsia="宋体" w:cs="Times New Roman"/>
                      <w:color w:val="000000"/>
                      <w:spacing w:val="0"/>
                      <w:sz w:val="21"/>
                      <w:szCs w:val="21"/>
                      <w:highlight w:val="none"/>
                      <w:lang w:val="en-US" w:eastAsia="zh-CN"/>
                    </w:rPr>
                    <w:t>排放浓度（mg/m</w:t>
                  </w:r>
                  <w:r>
                    <w:rPr>
                      <w:rFonts w:hint="default" w:ascii="Times New Roman" w:hAnsi="Times New Roman" w:eastAsia="宋体" w:cs="Times New Roman"/>
                      <w:color w:val="000000"/>
                      <w:spacing w:val="0"/>
                      <w:sz w:val="21"/>
                      <w:szCs w:val="21"/>
                      <w:highlight w:val="none"/>
                      <w:vertAlign w:val="superscript"/>
                      <w:lang w:val="en-US" w:eastAsia="zh-CN"/>
                    </w:rPr>
                    <w:t>3</w:t>
                  </w:r>
                  <w:r>
                    <w:rPr>
                      <w:rFonts w:hint="default" w:ascii="Times New Roman" w:hAnsi="Times New Roman" w:eastAsia="宋体" w:cs="Times New Roman"/>
                      <w:color w:val="000000"/>
                      <w:spacing w:val="0"/>
                      <w:sz w:val="21"/>
                      <w:szCs w:val="21"/>
                      <w:highlight w:val="none"/>
                      <w:lang w:val="en-US" w:eastAsia="zh-CN"/>
                    </w:rPr>
                    <w:t>）</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2397B951">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ND</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7FF4F7B4">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ND</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359814F">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ND</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AAF96BF">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445F36BE">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550</w:t>
                  </w:r>
                </w:p>
              </w:tc>
            </w:tr>
            <w:tr w14:paraId="4C5336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13BBF773">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572909A">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14:paraId="296C67F0">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14:paraId="17A060BD">
                  <w:pPr>
                    <w:pStyle w:val="103"/>
                    <w:keepNext w:val="0"/>
                    <w:keepLines w:val="0"/>
                    <w:pageBreakBefore w:val="0"/>
                    <w:kinsoku/>
                    <w:wordWrap/>
                    <w:overflowPunct/>
                    <w:topLinePunct w:val="0"/>
                    <w:bidi w:val="0"/>
                    <w:adjustRightInd w:val="0"/>
                    <w:snapToGrid/>
                    <w:spacing w:line="240" w:lineRule="exact"/>
                    <w:jc w:val="both"/>
                    <w:textAlignment w:val="auto"/>
                    <w:rPr>
                      <w:rFonts w:hint="default" w:ascii="Times New Roman" w:hAnsi="Times New Roman" w:eastAsia="宋体" w:cs="Times New Roman"/>
                      <w:color w:val="000000"/>
                      <w:spacing w:val="0"/>
                      <w:sz w:val="21"/>
                      <w:szCs w:val="21"/>
                      <w:highlight w:val="none"/>
                      <w:lang w:val="en-US" w:eastAsia="zh-CN" w:bidi="ar-SA"/>
                    </w:rPr>
                  </w:pPr>
                  <w:r>
                    <w:rPr>
                      <w:rFonts w:hint="default" w:ascii="Times New Roman" w:hAnsi="Times New Roman" w:eastAsia="宋体" w:cs="Times New Roman"/>
                      <w:spacing w:val="0"/>
                      <w:sz w:val="21"/>
                      <w:szCs w:val="21"/>
                      <w:highlight w:val="none"/>
                      <w:lang w:val="en-US" w:eastAsia="zh-CN"/>
                    </w:rPr>
                    <w:t>排放速率（kg/h）</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4AA1B9C4">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7041B13E">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172B40A5">
                  <w:pPr>
                    <w:adjustRightInd w:val="0"/>
                    <w:spacing w:before="0" w:beforeAutospacing="0" w:after="0" w:afterAutospacing="0" w:line="24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0BAD336">
                  <w:pPr>
                    <w:adjustRightInd w:val="0"/>
                    <w:spacing w:before="0" w:beforeAutospacing="0" w:after="0" w:afterAutospacing="0" w:line="240" w:lineRule="auto"/>
                    <w:jc w:val="center"/>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c>
                <w:tcPr>
                  <w:tcW w:w="1193" w:type="dxa"/>
                  <w:tcBorders>
                    <w:top w:val="single" w:color="auto" w:sz="4" w:space="0"/>
                    <w:left w:val="single" w:color="auto" w:sz="4" w:space="0"/>
                    <w:bottom w:val="single" w:color="auto" w:sz="4" w:space="0"/>
                    <w:right w:val="nil"/>
                  </w:tcBorders>
                  <w:noWrap w:val="0"/>
                  <w:vAlign w:val="center"/>
                </w:tcPr>
                <w:p w14:paraId="2FFEEF24">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2.6</w:t>
                  </w:r>
                </w:p>
              </w:tc>
            </w:tr>
            <w:tr w14:paraId="712AA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7D2AF5FD">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944D961">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2604" w:type="dxa"/>
                  <w:gridSpan w:val="2"/>
                  <w:tcBorders>
                    <w:top w:val="single" w:color="auto" w:sz="4" w:space="0"/>
                    <w:left w:val="single" w:color="auto" w:sz="4" w:space="0"/>
                    <w:bottom w:val="single" w:color="auto" w:sz="4" w:space="0"/>
                    <w:right w:val="single" w:color="auto" w:sz="4" w:space="0"/>
                  </w:tcBorders>
                  <w:noWrap w:val="0"/>
                  <w:vAlign w:val="center"/>
                </w:tcPr>
                <w:p w14:paraId="44246C69">
                  <w:pPr>
                    <w:pStyle w:val="27"/>
                    <w:keepNext w:val="0"/>
                    <w:keepLines w:val="0"/>
                    <w:pageBreakBefore w:val="0"/>
                    <w:kinsoku/>
                    <w:wordWrap/>
                    <w:overflowPunct/>
                    <w:topLinePunct w:val="0"/>
                    <w:bidi w:val="0"/>
                    <w:adjustRightInd w:val="0"/>
                    <w:snapToGrid/>
                    <w:spacing w:before="0" w:beforeAutospacing="0" w:after="0" w:afterAutospacing="0" w:line="240" w:lineRule="exact"/>
                    <w:jc w:val="center"/>
                    <w:textAlignment w:val="auto"/>
                    <w:rPr>
                      <w:rFonts w:hint="default" w:ascii="Times New Roman" w:hAnsi="Times New Roman" w:eastAsia="宋体" w:cs="Times New Roman"/>
                      <w:spacing w:val="0"/>
                      <w:sz w:val="21"/>
                      <w:szCs w:val="21"/>
                      <w:highlight w:val="none"/>
                      <w:shd w:val="clear" w:color="auto" w:fill="auto"/>
                      <w:lang w:val="en-US" w:eastAsia="zh-CN"/>
                    </w:rPr>
                  </w:pPr>
                  <w:r>
                    <w:rPr>
                      <w:rFonts w:hint="default" w:ascii="Times New Roman" w:hAnsi="Times New Roman" w:eastAsia="宋体" w:cs="Times New Roman"/>
                      <w:color w:val="000000"/>
                      <w:spacing w:val="-6"/>
                      <w:sz w:val="21"/>
                      <w:szCs w:val="21"/>
                      <w:highlight w:val="none"/>
                      <w:shd w:val="clear" w:color="auto" w:fill="auto"/>
                      <w:lang w:val="en-US" w:eastAsia="zh-CN"/>
                    </w:rPr>
                    <w:t>标干流量（Nm</w:t>
                  </w:r>
                  <w:r>
                    <w:rPr>
                      <w:rFonts w:hint="default" w:ascii="Times New Roman" w:hAnsi="Times New Roman" w:eastAsia="宋体" w:cs="Times New Roman"/>
                      <w:color w:val="000000"/>
                      <w:spacing w:val="-6"/>
                      <w:sz w:val="21"/>
                      <w:szCs w:val="21"/>
                      <w:highlight w:val="none"/>
                      <w:shd w:val="clear" w:color="auto" w:fill="auto"/>
                      <w:vertAlign w:val="superscript"/>
                      <w:lang w:val="en-US" w:eastAsia="zh-CN"/>
                    </w:rPr>
                    <w:t>3</w:t>
                  </w:r>
                  <w:r>
                    <w:rPr>
                      <w:rFonts w:hint="default" w:ascii="Times New Roman" w:hAnsi="Times New Roman" w:eastAsia="宋体" w:cs="Times New Roman"/>
                      <w:color w:val="000000"/>
                      <w:spacing w:val="-6"/>
                      <w:sz w:val="21"/>
                      <w:szCs w:val="21"/>
                      <w:highlight w:val="none"/>
                      <w:shd w:val="clear" w:color="auto" w:fill="auto"/>
                      <w:lang w:val="en-US" w:eastAsia="zh-CN"/>
                    </w:rPr>
                    <w:t>/h）</w:t>
                  </w:r>
                </w:p>
              </w:tc>
              <w:tc>
                <w:tcPr>
                  <w:tcW w:w="3293" w:type="dxa"/>
                  <w:gridSpan w:val="4"/>
                  <w:tcBorders>
                    <w:top w:val="single" w:color="auto" w:sz="4" w:space="0"/>
                    <w:left w:val="single" w:color="auto" w:sz="4" w:space="0"/>
                    <w:bottom w:val="single" w:color="auto" w:sz="4" w:space="0"/>
                    <w:right w:val="single" w:color="auto" w:sz="4" w:space="0"/>
                  </w:tcBorders>
                  <w:noWrap w:val="0"/>
                  <w:vAlign w:val="center"/>
                </w:tcPr>
                <w:p w14:paraId="16351254">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64223</w:t>
                  </w:r>
                </w:p>
              </w:tc>
              <w:tc>
                <w:tcPr>
                  <w:tcW w:w="1193" w:type="dxa"/>
                  <w:tcBorders>
                    <w:top w:val="single" w:color="auto" w:sz="4" w:space="0"/>
                    <w:left w:val="single" w:color="auto" w:sz="4" w:space="0"/>
                    <w:bottom w:val="single" w:color="auto" w:sz="4" w:space="0"/>
                    <w:right w:val="nil"/>
                  </w:tcBorders>
                  <w:noWrap w:val="0"/>
                  <w:vAlign w:val="center"/>
                </w:tcPr>
                <w:p w14:paraId="7653813B">
                  <w:pPr>
                    <w:keepNext w:val="0"/>
                    <w:keepLines w:val="0"/>
                    <w:pageBreakBefore w:val="0"/>
                    <w:kinsoku/>
                    <w:wordWrap/>
                    <w:overflowPunct/>
                    <w:topLinePunct w:val="0"/>
                    <w:bidi w:val="0"/>
                    <w:spacing w:line="240" w:lineRule="exact"/>
                    <w:jc w:val="center"/>
                    <w:textAlignment w:val="auto"/>
                    <w:rPr>
                      <w:rFonts w:hint="eastAsia"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w:t>
                  </w:r>
                </w:p>
              </w:tc>
            </w:tr>
            <w:tr w14:paraId="46A92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5071F6F9">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06A65A1A">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14:paraId="5AF9C0DD">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eastAsia"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spacing w:val="0"/>
                      <w:sz w:val="21"/>
                      <w:szCs w:val="21"/>
                      <w:highlight w:val="none"/>
                      <w:lang w:val="en-US" w:eastAsia="zh-CN"/>
                    </w:rPr>
                    <w:t>颗粒物</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36703C49">
                  <w:pPr>
                    <w:pStyle w:val="27"/>
                    <w:keepNext w:val="0"/>
                    <w:keepLines w:val="0"/>
                    <w:pageBreakBefore w:val="0"/>
                    <w:kinsoku/>
                    <w:wordWrap/>
                    <w:overflowPunct/>
                    <w:topLinePunct w:val="0"/>
                    <w:bidi w:val="0"/>
                    <w:adjustRightInd w:val="0"/>
                    <w:snapToGrid/>
                    <w:spacing w:before="0" w:beforeAutospacing="0" w:after="0" w:afterAutospacing="0" w:line="240" w:lineRule="exact"/>
                    <w:jc w:val="both"/>
                    <w:textAlignment w:val="auto"/>
                    <w:rPr>
                      <w:rFonts w:hint="default" w:ascii="Times New Roman" w:hAnsi="Times New Roman" w:eastAsia="宋体" w:cs="Times New Roman"/>
                      <w:spacing w:val="0"/>
                      <w:sz w:val="21"/>
                      <w:szCs w:val="21"/>
                      <w:highlight w:val="none"/>
                      <w:lang w:val="en-US" w:eastAsia="zh-CN"/>
                    </w:rPr>
                  </w:pPr>
                  <w:r>
                    <w:rPr>
                      <w:rFonts w:hint="default" w:ascii="Times New Roman" w:hAnsi="Times New Roman" w:eastAsia="宋体" w:cs="Times New Roman"/>
                      <w:color w:val="000000"/>
                      <w:spacing w:val="-6"/>
                      <w:sz w:val="21"/>
                      <w:szCs w:val="21"/>
                      <w:highlight w:val="none"/>
                      <w:lang w:val="en-US" w:eastAsia="zh-CN"/>
                    </w:rPr>
                    <w:t>排放浓度（mg/m</w:t>
                  </w:r>
                  <w:r>
                    <w:rPr>
                      <w:rFonts w:hint="default" w:ascii="Times New Roman" w:hAnsi="Times New Roman" w:eastAsia="宋体" w:cs="Times New Roman"/>
                      <w:color w:val="000000"/>
                      <w:spacing w:val="-6"/>
                      <w:sz w:val="21"/>
                      <w:szCs w:val="21"/>
                      <w:highlight w:val="none"/>
                      <w:vertAlign w:val="superscript"/>
                      <w:lang w:val="en-US" w:eastAsia="zh-CN"/>
                    </w:rPr>
                    <w:t>3</w:t>
                  </w:r>
                  <w:r>
                    <w:rPr>
                      <w:rFonts w:hint="default" w:ascii="Times New Roman" w:hAnsi="Times New Roman" w:eastAsia="宋体" w:cs="Times New Roman"/>
                      <w:color w:val="000000"/>
                      <w:spacing w:val="-6"/>
                      <w:sz w:val="21"/>
                      <w:szCs w:val="21"/>
                      <w:highlight w:val="none"/>
                      <w:lang w:val="en-US" w:eastAsia="zh-CN"/>
                    </w:rPr>
                    <w:t>）</w:t>
                  </w:r>
                </w:p>
              </w:tc>
              <w:tc>
                <w:tcPr>
                  <w:tcW w:w="3293" w:type="dxa"/>
                  <w:gridSpan w:val="4"/>
                  <w:tcBorders>
                    <w:top w:val="single" w:color="auto" w:sz="4" w:space="0"/>
                    <w:left w:val="single" w:color="auto" w:sz="4" w:space="0"/>
                    <w:bottom w:val="single" w:color="auto" w:sz="4" w:space="0"/>
                    <w:right w:val="single" w:color="auto" w:sz="4" w:space="0"/>
                  </w:tcBorders>
                  <w:noWrap w:val="0"/>
                  <w:vAlign w:val="center"/>
                </w:tcPr>
                <w:p w14:paraId="7DED2277">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2.7</w:t>
                  </w:r>
                </w:p>
              </w:tc>
              <w:tc>
                <w:tcPr>
                  <w:tcW w:w="1193" w:type="dxa"/>
                  <w:tcBorders>
                    <w:top w:val="single" w:color="auto" w:sz="4" w:space="0"/>
                    <w:left w:val="single" w:color="auto" w:sz="4" w:space="0"/>
                    <w:bottom w:val="single" w:color="auto" w:sz="4" w:space="0"/>
                    <w:right w:val="nil"/>
                  </w:tcBorders>
                  <w:noWrap w:val="0"/>
                  <w:vAlign w:val="center"/>
                </w:tcPr>
                <w:p w14:paraId="3ABC58CE">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120</w:t>
                  </w:r>
                </w:p>
              </w:tc>
            </w:tr>
            <w:tr w14:paraId="702A2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574" w:type="dxa"/>
                  <w:vMerge w:val="continue"/>
                  <w:tcBorders>
                    <w:top w:val="single" w:color="auto" w:sz="4" w:space="0"/>
                    <w:left w:val="nil"/>
                    <w:bottom w:val="single" w:color="auto" w:sz="4" w:space="0"/>
                    <w:right w:val="single" w:color="auto" w:sz="4" w:space="0"/>
                  </w:tcBorders>
                  <w:noWrap w:val="0"/>
                  <w:vAlign w:val="center"/>
                </w:tcPr>
                <w:p w14:paraId="262CA415">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679" w:type="dxa"/>
                  <w:vMerge w:val="continue"/>
                  <w:tcBorders>
                    <w:top w:val="single" w:color="auto" w:sz="4" w:space="0"/>
                    <w:left w:val="single" w:color="auto" w:sz="4" w:space="0"/>
                    <w:bottom w:val="single" w:color="auto" w:sz="4" w:space="0"/>
                    <w:right w:val="single" w:color="auto" w:sz="4" w:space="0"/>
                  </w:tcBorders>
                  <w:noWrap w:val="0"/>
                  <w:vAlign w:val="center"/>
                </w:tcPr>
                <w:p w14:paraId="2D5B4D9C">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b w:val="0"/>
                      <w:bCs w:val="0"/>
                      <w:color w:val="000000"/>
                      <w:spacing w:val="-11"/>
                      <w:sz w:val="21"/>
                      <w:szCs w:val="21"/>
                      <w:highlight w:val="none"/>
                      <w:vertAlign w:val="baseline"/>
                      <w:lang w:val="en-US" w:eastAsia="zh-CN"/>
                    </w:rPr>
                  </w:pP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14:paraId="67CB4C80">
                  <w:pPr>
                    <w:pStyle w:val="27"/>
                    <w:keepNext w:val="0"/>
                    <w:keepLines w:val="0"/>
                    <w:pageBreakBefore w:val="0"/>
                    <w:kinsoku/>
                    <w:wordWrap/>
                    <w:overflowPunct/>
                    <w:topLinePunct w:val="0"/>
                    <w:bidi w:val="0"/>
                    <w:adjustRightInd w:val="0"/>
                    <w:spacing w:before="0" w:beforeAutospacing="0" w:after="0" w:afterAutospacing="0" w:line="240" w:lineRule="exact"/>
                    <w:jc w:val="center"/>
                    <w:textAlignment w:val="auto"/>
                    <w:rPr>
                      <w:rFonts w:hint="default" w:ascii="Times New Roman" w:hAnsi="Times New Roman" w:eastAsia="宋体" w:cs="Times New Roman"/>
                      <w:color w:val="000000"/>
                      <w:spacing w:val="0"/>
                      <w:sz w:val="21"/>
                      <w:szCs w:val="21"/>
                      <w:highlight w:val="none"/>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14:paraId="32A5933D">
                  <w:pPr>
                    <w:pStyle w:val="103"/>
                    <w:keepNext w:val="0"/>
                    <w:keepLines w:val="0"/>
                    <w:pageBreakBefore w:val="0"/>
                    <w:kinsoku/>
                    <w:wordWrap/>
                    <w:overflowPunct/>
                    <w:topLinePunct w:val="0"/>
                    <w:bidi w:val="0"/>
                    <w:adjustRightInd w:val="0"/>
                    <w:snapToGrid/>
                    <w:spacing w:line="240" w:lineRule="exact"/>
                    <w:jc w:val="both"/>
                    <w:textAlignment w:val="auto"/>
                    <w:rPr>
                      <w:rFonts w:hint="default" w:ascii="Times New Roman" w:hAnsi="Times New Roman" w:eastAsia="宋体" w:cs="Times New Roman"/>
                      <w:spacing w:val="0"/>
                      <w:sz w:val="21"/>
                      <w:szCs w:val="21"/>
                      <w:highlight w:val="none"/>
                      <w:lang w:val="en-US" w:eastAsia="zh-CN"/>
                    </w:rPr>
                  </w:pPr>
                  <w:r>
                    <w:rPr>
                      <w:rFonts w:hint="default" w:ascii="Times New Roman" w:hAnsi="Times New Roman" w:eastAsia="宋体" w:cs="Times New Roman"/>
                      <w:spacing w:val="0"/>
                      <w:sz w:val="21"/>
                      <w:szCs w:val="21"/>
                      <w:highlight w:val="none"/>
                      <w:lang w:val="en-US" w:eastAsia="zh-CN"/>
                    </w:rPr>
                    <w:t>排放速率（kg/h）</w:t>
                  </w:r>
                </w:p>
              </w:tc>
              <w:tc>
                <w:tcPr>
                  <w:tcW w:w="3293" w:type="dxa"/>
                  <w:gridSpan w:val="4"/>
                  <w:tcBorders>
                    <w:top w:val="single" w:color="auto" w:sz="4" w:space="0"/>
                    <w:left w:val="single" w:color="auto" w:sz="4" w:space="0"/>
                    <w:bottom w:val="single" w:color="auto" w:sz="4" w:space="0"/>
                    <w:right w:val="single" w:color="auto" w:sz="4" w:space="0"/>
                  </w:tcBorders>
                  <w:noWrap w:val="0"/>
                  <w:vAlign w:val="center"/>
                </w:tcPr>
                <w:p w14:paraId="3B938427">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0.173</w:t>
                  </w:r>
                </w:p>
              </w:tc>
              <w:tc>
                <w:tcPr>
                  <w:tcW w:w="1193" w:type="dxa"/>
                  <w:tcBorders>
                    <w:top w:val="single" w:color="auto" w:sz="4" w:space="0"/>
                    <w:left w:val="single" w:color="auto" w:sz="4" w:space="0"/>
                    <w:bottom w:val="single" w:color="auto" w:sz="4" w:space="0"/>
                    <w:right w:val="nil"/>
                  </w:tcBorders>
                  <w:noWrap w:val="0"/>
                  <w:vAlign w:val="center"/>
                </w:tcPr>
                <w:p w14:paraId="609ABCCC">
                  <w:pPr>
                    <w:keepNext w:val="0"/>
                    <w:keepLines w:val="0"/>
                    <w:pageBreakBefore w:val="0"/>
                    <w:kinsoku/>
                    <w:wordWrap/>
                    <w:overflowPunct/>
                    <w:topLinePunct w:val="0"/>
                    <w:bidi w:val="0"/>
                    <w:spacing w:line="240" w:lineRule="exact"/>
                    <w:jc w:val="center"/>
                    <w:textAlignment w:val="auto"/>
                    <w:rPr>
                      <w:rFonts w:hint="default"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000000"/>
                      <w:spacing w:val="0"/>
                      <w:kern w:val="0"/>
                      <w:sz w:val="21"/>
                      <w:szCs w:val="21"/>
                      <w:highlight w:val="none"/>
                      <w:lang w:val="en-US" w:eastAsia="zh-CN" w:bidi="ar-SA"/>
                    </w:rPr>
                    <w:t>3.5</w:t>
                  </w:r>
                </w:p>
              </w:tc>
            </w:tr>
            <w:tr w14:paraId="1FC9B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8343" w:type="dxa"/>
                  <w:gridSpan w:val="9"/>
                  <w:tcBorders>
                    <w:top w:val="single" w:color="auto" w:sz="4" w:space="0"/>
                    <w:left w:val="nil"/>
                    <w:right w:val="nil"/>
                  </w:tcBorders>
                  <w:noWrap w:val="0"/>
                  <w:vAlign w:val="center"/>
                </w:tcPr>
                <w:p w14:paraId="6CBB4010">
                  <w:pPr>
                    <w:keepNext w:val="0"/>
                    <w:keepLines w:val="0"/>
                    <w:pageBreakBefore w:val="0"/>
                    <w:kinsoku/>
                    <w:wordWrap/>
                    <w:overflowPunct/>
                    <w:topLinePunct w:val="0"/>
                    <w:bidi w:val="0"/>
                    <w:spacing w:line="240" w:lineRule="exact"/>
                    <w:jc w:val="both"/>
                    <w:textAlignment w:val="auto"/>
                    <w:rPr>
                      <w:rFonts w:hint="eastAsia" w:ascii="Times New Roman" w:hAnsi="Times New Roman" w:eastAsia="宋体" w:cs="Times New Roman"/>
                      <w:color w:val="000000"/>
                      <w:spacing w:val="0"/>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备注：</w:t>
                  </w:r>
                  <w:r>
                    <w:rPr>
                      <w:rFonts w:hint="default" w:ascii="Times New Roman" w:hAnsi="Times New Roman" w:eastAsia="宋体" w:cs="Times New Roman"/>
                      <w:spacing w:val="0"/>
                      <w:sz w:val="21"/>
                      <w:szCs w:val="21"/>
                      <w:highlight w:val="none"/>
                      <w:lang w:val="en-US" w:eastAsia="zh-CN"/>
                    </w:rPr>
                    <w:t>ND表示检测结果低于方法检出限或未检出</w:t>
                  </w:r>
                  <w:r>
                    <w:rPr>
                      <w:rFonts w:hint="default" w:ascii="Times New Roman" w:hAnsi="Times New Roman" w:eastAsia="宋体" w:cs="Times New Roman"/>
                      <w:color w:val="auto"/>
                      <w:kern w:val="0"/>
                      <w:sz w:val="21"/>
                      <w:szCs w:val="21"/>
                      <w:highlight w:val="none"/>
                      <w:lang w:val="en-US" w:eastAsia="zh-CN" w:bidi="ar-SA"/>
                    </w:rPr>
                    <w:t>。</w:t>
                  </w:r>
                </w:p>
              </w:tc>
            </w:tr>
          </w:tbl>
          <w:p w14:paraId="4446913B">
            <w:pPr>
              <w:keepNext w:val="0"/>
              <w:keepLines w:val="0"/>
              <w:pageBreakBefore w:val="0"/>
              <w:widowControl/>
              <w:kinsoku/>
              <w:wordWrap/>
              <w:overflowPunct/>
              <w:topLinePunct w:val="0"/>
              <w:autoSpaceDE/>
              <w:autoSpaceDN/>
              <w:bidi w:val="0"/>
              <w:adjustRightInd/>
              <w:snapToGrid/>
              <w:spacing w:after="0" w:line="360" w:lineRule="auto"/>
              <w:ind w:firstLine="482" w:firstLineChars="200"/>
              <w:jc w:val="left"/>
              <w:textAlignment w:val="auto"/>
              <w:rPr>
                <w:rFonts w:hint="default" w:ascii="Times New Roman" w:hAnsi="Times New Roman" w:cs="Times New Roman"/>
                <w:spacing w:val="1"/>
                <w:sz w:val="24"/>
                <w:szCs w:val="24"/>
                <w:lang w:val="en-US" w:eastAsia="zh-CN"/>
              </w:rPr>
            </w:pPr>
            <w:r>
              <w:rPr>
                <w:rFonts w:hint="default" w:ascii="Times New Roman" w:hAnsi="Times New Roman" w:eastAsia="宋体" w:cs="Times New Roman"/>
                <w:b/>
                <w:sz w:val="24"/>
                <w:szCs w:val="24"/>
                <w:lang w:val="en-US" w:eastAsia="zh-CN"/>
              </w:rPr>
              <w:br w:type="page"/>
            </w:r>
          </w:p>
          <w:p w14:paraId="643B4D53">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无组织废气检测结果</w:t>
            </w:r>
          </w:p>
          <w:tbl>
            <w:tblPr>
              <w:tblStyle w:val="100"/>
              <w:tblW w:w="843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9"/>
              <w:gridCol w:w="3231"/>
              <w:gridCol w:w="784"/>
              <w:gridCol w:w="895"/>
              <w:gridCol w:w="954"/>
              <w:gridCol w:w="802"/>
              <w:gridCol w:w="837"/>
            </w:tblGrid>
            <w:tr w14:paraId="41A33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929" w:type="dxa"/>
                  <w:vMerge w:val="restart"/>
                  <w:tcBorders>
                    <w:left w:val="nil"/>
                    <w:bottom w:val="nil"/>
                  </w:tcBorders>
                  <w:noWrap w:val="0"/>
                  <w:vAlign w:val="center"/>
                </w:tcPr>
                <w:p w14:paraId="4DB86767">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检测项目</w:t>
                  </w:r>
                </w:p>
              </w:tc>
              <w:tc>
                <w:tcPr>
                  <w:tcW w:w="3231" w:type="dxa"/>
                  <w:vMerge w:val="restart"/>
                  <w:tcBorders>
                    <w:bottom w:val="nil"/>
                  </w:tcBorders>
                  <w:noWrap w:val="0"/>
                  <w:vAlign w:val="center"/>
                </w:tcPr>
                <w:p w14:paraId="660E4D52">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检测点位</w:t>
                  </w:r>
                </w:p>
              </w:tc>
              <w:tc>
                <w:tcPr>
                  <w:tcW w:w="2633" w:type="dxa"/>
                  <w:gridSpan w:val="3"/>
                  <w:tcBorders>
                    <w:right w:val="single" w:color="auto" w:sz="4" w:space="0"/>
                  </w:tcBorders>
                  <w:noWrap w:val="0"/>
                  <w:vAlign w:val="center"/>
                </w:tcPr>
                <w:p w14:paraId="32248525">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检测结果</w:t>
                  </w:r>
                </w:p>
              </w:tc>
              <w:tc>
                <w:tcPr>
                  <w:tcW w:w="802" w:type="dxa"/>
                  <w:vMerge w:val="restart"/>
                  <w:tcBorders>
                    <w:left w:val="single" w:color="auto" w:sz="4" w:space="0"/>
                  </w:tcBorders>
                  <w:noWrap w:val="0"/>
                  <w:vAlign w:val="center"/>
                </w:tcPr>
                <w:p w14:paraId="58EF8212">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eastAsia" w:ascii="Times New Roman" w:cs="Times New Roman"/>
                      <w:color w:val="000000"/>
                      <w:spacing w:val="0"/>
                      <w:sz w:val="21"/>
                      <w:szCs w:val="21"/>
                      <w:lang w:val="en-US" w:eastAsia="zh-CN"/>
                    </w:rPr>
                    <w:t>标准限值</w:t>
                  </w:r>
                </w:p>
              </w:tc>
              <w:tc>
                <w:tcPr>
                  <w:tcW w:w="837" w:type="dxa"/>
                  <w:vMerge w:val="restart"/>
                  <w:tcBorders>
                    <w:bottom w:val="nil"/>
                    <w:right w:val="nil"/>
                  </w:tcBorders>
                  <w:noWrap w:val="0"/>
                  <w:vAlign w:val="center"/>
                </w:tcPr>
                <w:p w14:paraId="7C8AA733">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单位</w:t>
                  </w:r>
                </w:p>
              </w:tc>
            </w:tr>
            <w:tr w14:paraId="680E5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929" w:type="dxa"/>
                  <w:vMerge w:val="continue"/>
                  <w:tcBorders>
                    <w:top w:val="nil"/>
                    <w:left w:val="nil"/>
                  </w:tcBorders>
                  <w:noWrap w:val="0"/>
                  <w:vAlign w:val="center"/>
                </w:tcPr>
                <w:p w14:paraId="21584EAE">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3231" w:type="dxa"/>
                  <w:vMerge w:val="continue"/>
                  <w:tcBorders>
                    <w:top w:val="nil"/>
                  </w:tcBorders>
                  <w:noWrap w:val="0"/>
                  <w:vAlign w:val="center"/>
                </w:tcPr>
                <w:p w14:paraId="0C476641">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784" w:type="dxa"/>
                  <w:noWrap w:val="0"/>
                  <w:vAlign w:val="center"/>
                </w:tcPr>
                <w:p w14:paraId="7E08CBD5">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第一次</w:t>
                  </w:r>
                </w:p>
              </w:tc>
              <w:tc>
                <w:tcPr>
                  <w:tcW w:w="895" w:type="dxa"/>
                  <w:noWrap w:val="0"/>
                  <w:vAlign w:val="center"/>
                </w:tcPr>
                <w:p w14:paraId="1EB96B3C">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第二次</w:t>
                  </w:r>
                </w:p>
              </w:tc>
              <w:tc>
                <w:tcPr>
                  <w:tcW w:w="954" w:type="dxa"/>
                  <w:tcBorders>
                    <w:bottom w:val="single" w:color="auto" w:sz="4" w:space="0"/>
                    <w:right w:val="single" w:color="auto" w:sz="4" w:space="0"/>
                  </w:tcBorders>
                  <w:noWrap w:val="0"/>
                  <w:vAlign w:val="center"/>
                </w:tcPr>
                <w:p w14:paraId="7D66ECB0">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第三次</w:t>
                  </w:r>
                </w:p>
              </w:tc>
              <w:tc>
                <w:tcPr>
                  <w:tcW w:w="802" w:type="dxa"/>
                  <w:vMerge w:val="continue"/>
                  <w:tcBorders>
                    <w:left w:val="single" w:color="auto" w:sz="4" w:space="0"/>
                    <w:bottom w:val="single" w:color="auto" w:sz="4" w:space="0"/>
                  </w:tcBorders>
                  <w:noWrap w:val="0"/>
                  <w:vAlign w:val="center"/>
                </w:tcPr>
                <w:p w14:paraId="1C1CE71A">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837" w:type="dxa"/>
                  <w:vMerge w:val="continue"/>
                  <w:tcBorders>
                    <w:top w:val="nil"/>
                    <w:bottom w:val="single" w:color="auto" w:sz="4" w:space="0"/>
                    <w:right w:val="nil"/>
                  </w:tcBorders>
                  <w:noWrap w:val="0"/>
                  <w:vAlign w:val="center"/>
                </w:tcPr>
                <w:p w14:paraId="760CCC3A">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r>
            <w:tr w14:paraId="2C848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929" w:type="dxa"/>
                  <w:vMerge w:val="restart"/>
                  <w:tcBorders>
                    <w:left w:val="nil"/>
                  </w:tcBorders>
                  <w:noWrap w:val="0"/>
                  <w:vAlign w:val="center"/>
                </w:tcPr>
                <w:p w14:paraId="5BFB2F39">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p w14:paraId="4FC7750F">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颗粒物</w:t>
                  </w:r>
                </w:p>
              </w:tc>
              <w:tc>
                <w:tcPr>
                  <w:tcW w:w="3231" w:type="dxa"/>
                  <w:noWrap w:val="0"/>
                  <w:vAlign w:val="center"/>
                </w:tcPr>
                <w:p w14:paraId="3FFF28CB">
                  <w:pPr>
                    <w:numPr>
                      <w:ilvl w:val="0"/>
                      <w:numId w:val="0"/>
                    </w:numPr>
                    <w:ind w:left="0" w:leftChars="0" w:firstLine="0" w:firstLineChars="0"/>
                    <w:jc w:val="center"/>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sz w:val="21"/>
                      <w:szCs w:val="21"/>
                      <w:highlight w:val="none"/>
                      <w:shd w:val="clear" w:color="auto" w:fill="auto"/>
                      <w:lang w:eastAsia="zh-CN"/>
                    </w:rPr>
                    <w:t>厂界</w:t>
                  </w:r>
                  <w:r>
                    <w:rPr>
                      <w:rFonts w:hint="default" w:ascii="Times New Roman" w:hAnsi="Times New Roman" w:eastAsia="宋体" w:cs="Times New Roman"/>
                      <w:sz w:val="21"/>
                      <w:szCs w:val="21"/>
                      <w:highlight w:val="none"/>
                      <w:shd w:val="clear" w:color="auto" w:fill="auto"/>
                      <w:lang w:val="en-US" w:eastAsia="zh-CN"/>
                    </w:rPr>
                    <w:t>上风向G1</w:t>
                  </w:r>
                </w:p>
              </w:tc>
              <w:tc>
                <w:tcPr>
                  <w:tcW w:w="784" w:type="dxa"/>
                  <w:noWrap w:val="0"/>
                  <w:vAlign w:val="center"/>
                </w:tcPr>
                <w:p w14:paraId="775D4253">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0.191</w:t>
                  </w:r>
                </w:p>
              </w:tc>
              <w:tc>
                <w:tcPr>
                  <w:tcW w:w="895" w:type="dxa"/>
                  <w:noWrap w:val="0"/>
                  <w:vAlign w:val="center"/>
                </w:tcPr>
                <w:p w14:paraId="279C6467">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0.179</w:t>
                  </w:r>
                </w:p>
              </w:tc>
              <w:tc>
                <w:tcPr>
                  <w:tcW w:w="954" w:type="dxa"/>
                  <w:tcBorders>
                    <w:top w:val="single" w:color="auto" w:sz="4" w:space="0"/>
                  </w:tcBorders>
                  <w:noWrap w:val="0"/>
                  <w:vAlign w:val="center"/>
                </w:tcPr>
                <w:p w14:paraId="6124749F">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0.202</w:t>
                  </w:r>
                </w:p>
              </w:tc>
              <w:tc>
                <w:tcPr>
                  <w:tcW w:w="802" w:type="dxa"/>
                  <w:vMerge w:val="restart"/>
                  <w:tcBorders>
                    <w:top w:val="single" w:color="auto" w:sz="4" w:space="0"/>
                  </w:tcBorders>
                  <w:noWrap w:val="0"/>
                  <w:vAlign w:val="center"/>
                </w:tcPr>
                <w:p w14:paraId="67A8CC71">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eastAsia" w:ascii="Times New Roman" w:cs="Times New Roman"/>
                      <w:color w:val="000000"/>
                      <w:spacing w:val="0"/>
                      <w:sz w:val="21"/>
                      <w:szCs w:val="21"/>
                      <w:lang w:val="en-US" w:eastAsia="zh-CN"/>
                    </w:rPr>
                    <w:t>1.0</w:t>
                  </w:r>
                </w:p>
              </w:tc>
              <w:tc>
                <w:tcPr>
                  <w:tcW w:w="837" w:type="dxa"/>
                  <w:vMerge w:val="restart"/>
                  <w:tcBorders>
                    <w:top w:val="single" w:color="auto" w:sz="4" w:space="0"/>
                    <w:right w:val="nil"/>
                  </w:tcBorders>
                  <w:noWrap w:val="0"/>
                  <w:vAlign w:val="center"/>
                </w:tcPr>
                <w:p w14:paraId="13BE8192">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color w:val="000000"/>
                      <w:spacing w:val="0"/>
                      <w:sz w:val="21"/>
                      <w:szCs w:val="21"/>
                      <w:lang w:val="en-US" w:eastAsia="zh-CN"/>
                    </w:rPr>
                    <w:t>mg/m³</w:t>
                  </w:r>
                </w:p>
              </w:tc>
            </w:tr>
            <w:tr w14:paraId="51C47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29" w:type="dxa"/>
                  <w:vMerge w:val="continue"/>
                  <w:tcBorders>
                    <w:left w:val="nil"/>
                  </w:tcBorders>
                  <w:noWrap w:val="0"/>
                  <w:vAlign w:val="center"/>
                </w:tcPr>
                <w:p w14:paraId="77D99D77">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3231" w:type="dxa"/>
                  <w:noWrap w:val="0"/>
                  <w:vAlign w:val="center"/>
                </w:tcPr>
                <w:p w14:paraId="51105AC6">
                  <w:pPr>
                    <w:numPr>
                      <w:ilvl w:val="0"/>
                      <w:numId w:val="0"/>
                    </w:numPr>
                    <w:ind w:left="0" w:leftChars="0" w:firstLine="0" w:firstLineChars="0"/>
                    <w:jc w:val="center"/>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sz w:val="21"/>
                      <w:szCs w:val="21"/>
                      <w:highlight w:val="none"/>
                      <w:lang w:eastAsia="zh-CN"/>
                    </w:rPr>
                    <w:t>厂界</w:t>
                  </w:r>
                  <w:r>
                    <w:rPr>
                      <w:rFonts w:hint="default" w:ascii="Times New Roman" w:hAnsi="Times New Roman" w:eastAsia="宋体" w:cs="Times New Roman"/>
                      <w:sz w:val="21"/>
                      <w:szCs w:val="21"/>
                      <w:highlight w:val="none"/>
                      <w:lang w:val="en-US" w:eastAsia="zh-CN"/>
                    </w:rPr>
                    <w:t>下风向</w:t>
                  </w:r>
                  <w:r>
                    <w:rPr>
                      <w:rFonts w:hint="default" w:ascii="Times New Roman" w:hAnsi="Times New Roman" w:eastAsia="宋体" w:cs="Times New Roman"/>
                      <w:sz w:val="21"/>
                      <w:szCs w:val="21"/>
                      <w:highlight w:val="none"/>
                      <w:shd w:val="clear" w:color="auto" w:fill="auto"/>
                      <w:lang w:val="en-US" w:eastAsia="zh-CN"/>
                    </w:rPr>
                    <w:t>G2</w:t>
                  </w:r>
                </w:p>
              </w:tc>
              <w:tc>
                <w:tcPr>
                  <w:tcW w:w="784" w:type="dxa"/>
                  <w:noWrap w:val="0"/>
                  <w:vAlign w:val="center"/>
                </w:tcPr>
                <w:p w14:paraId="38990C77">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0.265</w:t>
                  </w:r>
                </w:p>
              </w:tc>
              <w:tc>
                <w:tcPr>
                  <w:tcW w:w="895" w:type="dxa"/>
                  <w:noWrap w:val="0"/>
                  <w:vAlign w:val="center"/>
                </w:tcPr>
                <w:p w14:paraId="2EC816C4">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0.252</w:t>
                  </w:r>
                </w:p>
              </w:tc>
              <w:tc>
                <w:tcPr>
                  <w:tcW w:w="954" w:type="dxa"/>
                  <w:noWrap w:val="0"/>
                  <w:vAlign w:val="center"/>
                </w:tcPr>
                <w:p w14:paraId="5B21A868">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0.289</w:t>
                  </w:r>
                </w:p>
              </w:tc>
              <w:tc>
                <w:tcPr>
                  <w:tcW w:w="802" w:type="dxa"/>
                  <w:vMerge w:val="continue"/>
                  <w:noWrap w:val="0"/>
                  <w:vAlign w:val="center"/>
                </w:tcPr>
                <w:p w14:paraId="6C2CACDD">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837" w:type="dxa"/>
                  <w:vMerge w:val="continue"/>
                  <w:tcBorders>
                    <w:right w:val="nil"/>
                  </w:tcBorders>
                  <w:noWrap w:val="0"/>
                  <w:vAlign w:val="center"/>
                </w:tcPr>
                <w:p w14:paraId="3788FD32">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r>
            <w:tr w14:paraId="5E8B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29" w:type="dxa"/>
                  <w:vMerge w:val="continue"/>
                  <w:tcBorders>
                    <w:left w:val="nil"/>
                  </w:tcBorders>
                  <w:noWrap w:val="0"/>
                  <w:vAlign w:val="center"/>
                </w:tcPr>
                <w:p w14:paraId="2BE7C15A">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3231" w:type="dxa"/>
                  <w:noWrap w:val="0"/>
                  <w:vAlign w:val="center"/>
                </w:tcPr>
                <w:p w14:paraId="389C0F8D">
                  <w:pPr>
                    <w:numPr>
                      <w:ilvl w:val="0"/>
                      <w:numId w:val="0"/>
                    </w:numPr>
                    <w:ind w:left="0" w:leftChars="0" w:firstLine="0" w:firstLineChars="0"/>
                    <w:jc w:val="center"/>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sz w:val="21"/>
                      <w:szCs w:val="21"/>
                      <w:highlight w:val="none"/>
                      <w:lang w:eastAsia="zh-CN"/>
                    </w:rPr>
                    <w:t>厂界</w:t>
                  </w:r>
                  <w:r>
                    <w:rPr>
                      <w:rFonts w:hint="default" w:ascii="Times New Roman" w:hAnsi="Times New Roman" w:eastAsia="宋体" w:cs="Times New Roman"/>
                      <w:sz w:val="21"/>
                      <w:szCs w:val="21"/>
                      <w:highlight w:val="none"/>
                      <w:lang w:val="en-US" w:eastAsia="zh-CN"/>
                    </w:rPr>
                    <w:t>下风向</w:t>
                  </w:r>
                  <w:r>
                    <w:rPr>
                      <w:rFonts w:hint="default" w:ascii="Times New Roman" w:hAnsi="Times New Roman" w:eastAsia="宋体" w:cs="Times New Roman"/>
                      <w:sz w:val="21"/>
                      <w:szCs w:val="21"/>
                      <w:highlight w:val="none"/>
                      <w:shd w:val="clear" w:color="auto" w:fill="auto"/>
                      <w:lang w:val="en-US" w:eastAsia="zh-CN"/>
                    </w:rPr>
                    <w:t>G3</w:t>
                  </w:r>
                </w:p>
              </w:tc>
              <w:tc>
                <w:tcPr>
                  <w:tcW w:w="784" w:type="dxa"/>
                  <w:noWrap w:val="0"/>
                  <w:vAlign w:val="center"/>
                </w:tcPr>
                <w:p w14:paraId="41182C43">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0.254</w:t>
                  </w:r>
                </w:p>
              </w:tc>
              <w:tc>
                <w:tcPr>
                  <w:tcW w:w="895" w:type="dxa"/>
                  <w:noWrap w:val="0"/>
                  <w:vAlign w:val="center"/>
                </w:tcPr>
                <w:p w14:paraId="144217CA">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0.278</w:t>
                  </w:r>
                </w:p>
              </w:tc>
              <w:tc>
                <w:tcPr>
                  <w:tcW w:w="954" w:type="dxa"/>
                  <w:noWrap w:val="0"/>
                  <w:vAlign w:val="center"/>
                </w:tcPr>
                <w:p w14:paraId="3F5A46FE">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0.251</w:t>
                  </w:r>
                </w:p>
              </w:tc>
              <w:tc>
                <w:tcPr>
                  <w:tcW w:w="802" w:type="dxa"/>
                  <w:vMerge w:val="continue"/>
                  <w:noWrap w:val="0"/>
                  <w:vAlign w:val="center"/>
                </w:tcPr>
                <w:p w14:paraId="2D0BE291">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837" w:type="dxa"/>
                  <w:vMerge w:val="continue"/>
                  <w:tcBorders>
                    <w:right w:val="nil"/>
                  </w:tcBorders>
                  <w:noWrap w:val="0"/>
                  <w:vAlign w:val="center"/>
                </w:tcPr>
                <w:p w14:paraId="6091A20B">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r>
            <w:tr w14:paraId="7C4AA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929" w:type="dxa"/>
                  <w:vMerge w:val="continue"/>
                  <w:tcBorders>
                    <w:left w:val="nil"/>
                  </w:tcBorders>
                  <w:noWrap w:val="0"/>
                  <w:vAlign w:val="center"/>
                </w:tcPr>
                <w:p w14:paraId="352F70A1">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3231" w:type="dxa"/>
                  <w:noWrap w:val="0"/>
                  <w:vAlign w:val="center"/>
                </w:tcPr>
                <w:p w14:paraId="7EB38566">
                  <w:pPr>
                    <w:numPr>
                      <w:ilvl w:val="0"/>
                      <w:numId w:val="0"/>
                    </w:numPr>
                    <w:ind w:left="0" w:leftChars="0" w:firstLine="0" w:firstLineChars="0"/>
                    <w:jc w:val="center"/>
                    <w:rPr>
                      <w:rFonts w:hint="default" w:ascii="Times New Roman" w:hAnsi="Times New Roman" w:eastAsia="宋体" w:cs="Times New Roman"/>
                      <w:color w:val="000000"/>
                      <w:spacing w:val="0"/>
                      <w:sz w:val="21"/>
                      <w:szCs w:val="21"/>
                      <w:lang w:val="en-US" w:eastAsia="zh-CN"/>
                    </w:rPr>
                  </w:pPr>
                  <w:r>
                    <w:rPr>
                      <w:rFonts w:hint="default" w:ascii="Times New Roman" w:hAnsi="Times New Roman" w:eastAsia="宋体" w:cs="Times New Roman"/>
                      <w:sz w:val="21"/>
                      <w:szCs w:val="21"/>
                      <w:highlight w:val="none"/>
                      <w:lang w:eastAsia="zh-CN"/>
                    </w:rPr>
                    <w:t>厂界</w:t>
                  </w:r>
                  <w:r>
                    <w:rPr>
                      <w:rFonts w:hint="default" w:ascii="Times New Roman" w:hAnsi="Times New Roman" w:eastAsia="宋体" w:cs="Times New Roman"/>
                      <w:sz w:val="21"/>
                      <w:szCs w:val="21"/>
                      <w:highlight w:val="none"/>
                      <w:lang w:val="en-US" w:eastAsia="zh-CN"/>
                    </w:rPr>
                    <w:t>下风向</w:t>
                  </w:r>
                  <w:r>
                    <w:rPr>
                      <w:rFonts w:hint="default" w:ascii="Times New Roman" w:hAnsi="Times New Roman" w:eastAsia="宋体" w:cs="Times New Roman"/>
                      <w:sz w:val="21"/>
                      <w:szCs w:val="21"/>
                      <w:highlight w:val="none"/>
                      <w:shd w:val="clear" w:color="auto" w:fill="auto"/>
                      <w:lang w:val="en-US" w:eastAsia="zh-CN"/>
                    </w:rPr>
                    <w:t>G4</w:t>
                  </w:r>
                </w:p>
              </w:tc>
              <w:tc>
                <w:tcPr>
                  <w:tcW w:w="784" w:type="dxa"/>
                  <w:noWrap w:val="0"/>
                  <w:vAlign w:val="center"/>
                </w:tcPr>
                <w:p w14:paraId="489C2F29">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0.271</w:t>
                  </w:r>
                </w:p>
              </w:tc>
              <w:tc>
                <w:tcPr>
                  <w:tcW w:w="895" w:type="dxa"/>
                  <w:noWrap w:val="0"/>
                  <w:vAlign w:val="center"/>
                </w:tcPr>
                <w:p w14:paraId="283528D4">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0.258</w:t>
                  </w:r>
                </w:p>
              </w:tc>
              <w:tc>
                <w:tcPr>
                  <w:tcW w:w="954" w:type="dxa"/>
                  <w:noWrap w:val="0"/>
                  <w:vAlign w:val="center"/>
                </w:tcPr>
                <w:p w14:paraId="3856B53D">
                  <w:pPr>
                    <w:spacing w:line="240" w:lineRule="atLeast"/>
                    <w:jc w:val="center"/>
                    <w:rPr>
                      <w:rFonts w:hint="default" w:ascii="Times New Roman" w:hAnsi="Times New Roman" w:eastAsia="宋体" w:cs="Times New Roman"/>
                      <w:color w:val="000000"/>
                      <w:spacing w:val="0"/>
                      <w:sz w:val="21"/>
                      <w:szCs w:val="21"/>
                      <w:lang w:val="en-US" w:eastAsia="zh-CN"/>
                    </w:rPr>
                  </w:pPr>
                  <w:r>
                    <w:rPr>
                      <w:rFonts w:hint="eastAsia" w:cs="Times New Roman"/>
                      <w:bCs/>
                      <w:spacing w:val="-11"/>
                      <w:kern w:val="2"/>
                      <w:sz w:val="21"/>
                      <w:szCs w:val="21"/>
                      <w:highlight w:val="none"/>
                      <w:lang w:val="en-US" w:eastAsia="zh-CN" w:bidi="ar-SA"/>
                    </w:rPr>
                    <w:t>0.268</w:t>
                  </w:r>
                </w:p>
              </w:tc>
              <w:tc>
                <w:tcPr>
                  <w:tcW w:w="802" w:type="dxa"/>
                  <w:vMerge w:val="continue"/>
                  <w:noWrap w:val="0"/>
                  <w:vAlign w:val="center"/>
                </w:tcPr>
                <w:p w14:paraId="59189B6E">
                  <w:pPr>
                    <w:pStyle w:val="103"/>
                    <w:keepNext w:val="0"/>
                    <w:keepLines w:val="0"/>
                    <w:pageBreakBefore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color w:val="000000"/>
                      <w:spacing w:val="0"/>
                      <w:sz w:val="21"/>
                      <w:szCs w:val="21"/>
                      <w:lang w:val="en-US" w:eastAsia="zh-CN"/>
                    </w:rPr>
                  </w:pPr>
                </w:p>
              </w:tc>
              <w:tc>
                <w:tcPr>
                  <w:tcW w:w="837" w:type="dxa"/>
                  <w:vMerge w:val="continue"/>
                  <w:tcBorders>
                    <w:right w:val="nil"/>
                  </w:tcBorders>
                  <w:noWrap w:val="0"/>
                  <w:vAlign w:val="center"/>
                </w:tcPr>
                <w:p w14:paraId="6A9A5811">
                  <w:pPr>
                    <w:rPr>
                      <w:rFonts w:ascii="Arial"/>
                      <w:sz w:val="21"/>
                    </w:rPr>
                  </w:pPr>
                </w:p>
              </w:tc>
            </w:tr>
          </w:tbl>
          <w:p w14:paraId="7CD552A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color w:val="000000"/>
                <w:sz w:val="24"/>
                <w:szCs w:val="24"/>
                <w:lang w:val="en-US" w:eastAsia="zh-CN"/>
              </w:rPr>
            </w:pPr>
            <w:r>
              <w:rPr>
                <w:rFonts w:hint="default"/>
                <w:color w:val="000000"/>
                <w:sz w:val="24"/>
                <w:szCs w:val="24"/>
                <w:lang w:val="en-US" w:eastAsia="zh-CN"/>
              </w:rPr>
              <w:t>有组织废气：按照</w:t>
            </w:r>
            <w:r>
              <w:rPr>
                <w:rFonts w:hint="default" w:ascii="Times New Roman" w:hAnsi="Times New Roman" w:eastAsia="宋体" w:cs="Times New Roman"/>
                <w:color w:val="000000"/>
                <w:spacing w:val="-5"/>
                <w:sz w:val="24"/>
                <w:szCs w:val="24"/>
                <w:lang w:val="en-US" w:eastAsia="zh-CN"/>
              </w:rPr>
              <w:t>关于印发&lt;四川省工业炉窑大气污染物综合治理实施清单&gt;的通知》（川环函〔2019〕1002号）中大气污染物特别排放限值</w:t>
            </w:r>
            <w:r>
              <w:rPr>
                <w:rFonts w:hint="default"/>
                <w:color w:val="000000"/>
                <w:sz w:val="24"/>
                <w:szCs w:val="24"/>
                <w:lang w:val="en-US" w:eastAsia="zh-CN"/>
              </w:rPr>
              <w:t>标准进行评价，该项目在现场检测与采样期间，1#</w:t>
            </w:r>
            <w:r>
              <w:rPr>
                <w:rFonts w:hint="eastAsia"/>
                <w:color w:val="000000"/>
                <w:sz w:val="24"/>
                <w:szCs w:val="24"/>
                <w:lang w:val="en-US" w:eastAsia="zh-CN"/>
              </w:rPr>
              <w:t>成品碳化废气</w:t>
            </w:r>
            <w:r>
              <w:rPr>
                <w:rFonts w:hint="default"/>
                <w:color w:val="000000"/>
                <w:sz w:val="24"/>
                <w:szCs w:val="24"/>
                <w:lang w:val="en-US" w:eastAsia="zh-CN"/>
              </w:rPr>
              <w:t>排气筒中二氧化硫、氮氧化物、颗粒物的检测结果均达标。</w:t>
            </w:r>
          </w:p>
          <w:p w14:paraId="3DBC1323">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color w:val="000000"/>
                <w:sz w:val="24"/>
                <w:szCs w:val="24"/>
                <w:lang w:val="en-US" w:eastAsia="zh-CN"/>
              </w:rPr>
            </w:pPr>
            <w:r>
              <w:rPr>
                <w:rFonts w:hint="default"/>
                <w:color w:val="000000"/>
                <w:sz w:val="24"/>
                <w:szCs w:val="24"/>
                <w:lang w:val="en-US" w:eastAsia="zh-CN"/>
              </w:rPr>
              <w:t>无组织废气：按照《大气污染物综合排放标准》 (GB16297-1996)表2标准进行评价，该项目在现场检测与采样期间，</w:t>
            </w:r>
            <w:r>
              <w:rPr>
                <w:rFonts w:hint="eastAsia"/>
                <w:color w:val="000000"/>
                <w:sz w:val="24"/>
                <w:szCs w:val="24"/>
                <w:lang w:val="en-US" w:eastAsia="zh-CN"/>
              </w:rPr>
              <w:t>厂界无组织</w:t>
            </w:r>
            <w:r>
              <w:rPr>
                <w:rFonts w:hint="default"/>
                <w:color w:val="000000"/>
                <w:sz w:val="24"/>
                <w:szCs w:val="24"/>
                <w:lang w:val="en-US" w:eastAsia="zh-CN"/>
              </w:rPr>
              <w:t>颗粒物的</w:t>
            </w:r>
            <w:r>
              <w:rPr>
                <w:rFonts w:hint="eastAsia"/>
                <w:color w:val="000000"/>
                <w:sz w:val="24"/>
                <w:szCs w:val="24"/>
                <w:lang w:val="en-US" w:eastAsia="zh-CN"/>
              </w:rPr>
              <w:t>检测</w:t>
            </w:r>
            <w:r>
              <w:rPr>
                <w:rFonts w:hint="default"/>
                <w:color w:val="000000"/>
                <w:sz w:val="24"/>
                <w:szCs w:val="24"/>
                <w:lang w:val="en-US" w:eastAsia="zh-CN"/>
              </w:rPr>
              <w:t>结果均达标。</w:t>
            </w:r>
          </w:p>
          <w:p w14:paraId="07E6AE54">
            <w:pPr>
              <w:pStyle w:val="10"/>
              <w:rPr>
                <w:rFonts w:hint="default"/>
                <w:lang w:val="en-US" w:eastAsia="zh-CN"/>
              </w:rPr>
            </w:pPr>
            <w:r>
              <w:rPr>
                <w:rFonts w:hint="eastAsia"/>
                <w:color w:val="000000"/>
                <w:sz w:val="24"/>
                <w:szCs w:val="24"/>
                <w:lang w:val="en-US" w:eastAsia="zh-CN"/>
              </w:rPr>
              <w:t xml:space="preserve">    存在问题及整改措施：无。</w:t>
            </w:r>
          </w:p>
          <w:p w14:paraId="09951800">
            <w:pPr>
              <w:pStyle w:val="10"/>
              <w:keepNext w:val="0"/>
              <w:keepLines w:val="0"/>
              <w:pageBreakBefore w:val="0"/>
              <w:widowControl/>
              <w:kinsoku/>
              <w:wordWrap/>
              <w:overflowPunct/>
              <w:topLinePunct w:val="0"/>
              <w:autoSpaceDE/>
              <w:autoSpaceDN/>
              <w:bidi w:val="0"/>
              <w:adjustRightInd w:val="0"/>
              <w:snapToGrid w:val="0"/>
              <w:spacing w:after="0" w:line="360" w:lineRule="auto"/>
              <w:ind w:right="113" w:firstLine="482" w:firstLineChars="200"/>
              <w:jc w:val="left"/>
              <w:textAlignment w:val="auto"/>
              <w:rPr>
                <w:rFonts w:hint="default" w:ascii="Times New Roman" w:hAnsi="Times New Roman" w:cs="Times New Roman"/>
                <w:b/>
                <w:bCs/>
                <w:color w:val="000000"/>
                <w:sz w:val="24"/>
                <w:szCs w:val="24"/>
                <w:lang w:val="en-US" w:eastAsia="zh-CN"/>
              </w:rPr>
            </w:pPr>
            <w:r>
              <w:rPr>
                <w:rFonts w:hint="default" w:ascii="Times New Roman" w:hAnsi="Times New Roman" w:cs="Times New Roman"/>
                <w:b/>
                <w:bCs/>
                <w:color w:val="000000"/>
                <w:sz w:val="24"/>
                <w:szCs w:val="24"/>
                <w:lang w:val="en-US" w:eastAsia="zh-CN"/>
              </w:rPr>
              <w:t>（二）废水的产生及治理</w:t>
            </w:r>
          </w:p>
          <w:p w14:paraId="3875F349">
            <w:pPr>
              <w:keepNext w:val="0"/>
              <w:keepLines w:val="0"/>
              <w:pageBreakBefore w:val="0"/>
              <w:widowControl/>
              <w:shd w:val="clear" w:color="auto" w:fill="auto"/>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cs="Times New Roman"/>
                <w:b/>
                <w:bCs/>
                <w:color w:val="000000"/>
                <w:sz w:val="24"/>
                <w:szCs w:val="24"/>
                <w:lang w:val="en-US" w:eastAsia="zh-CN"/>
              </w:rPr>
            </w:pPr>
            <w:r>
              <w:rPr>
                <w:rFonts w:hint="eastAsia"/>
                <w:color w:val="000000"/>
                <w:sz w:val="24"/>
                <w:lang w:eastAsia="zh-CN"/>
              </w:rPr>
              <w:t>本</w:t>
            </w:r>
            <w:r>
              <w:rPr>
                <w:color w:val="000000"/>
                <w:sz w:val="24"/>
              </w:rPr>
              <w:t>项目营运期</w:t>
            </w:r>
            <w:r>
              <w:rPr>
                <w:rFonts w:hint="eastAsia"/>
                <w:color w:val="000000"/>
                <w:sz w:val="24"/>
                <w:lang w:eastAsia="zh-CN"/>
              </w:rPr>
              <w:t>产生的</w:t>
            </w:r>
            <w:r>
              <w:rPr>
                <w:color w:val="000000"/>
                <w:sz w:val="24"/>
              </w:rPr>
              <w:t>污水主要为</w:t>
            </w:r>
            <w:r>
              <w:rPr>
                <w:rFonts w:hint="eastAsia"/>
                <w:color w:val="000000"/>
                <w:sz w:val="24"/>
                <w:lang w:eastAsia="zh-CN"/>
              </w:rPr>
              <w:t>食堂废水</w:t>
            </w:r>
            <w:r>
              <w:rPr>
                <w:rFonts w:hint="eastAsia"/>
                <w:color w:val="000000"/>
                <w:sz w:val="24"/>
              </w:rPr>
              <w:t>、生活污水</w:t>
            </w:r>
            <w:r>
              <w:rPr>
                <w:rFonts w:hint="eastAsia"/>
                <w:color w:val="000000"/>
                <w:sz w:val="24"/>
                <w:lang w:eastAsia="zh-CN"/>
              </w:rPr>
              <w:t>以及脱硫塔定期的更换循环水池废水</w:t>
            </w:r>
            <w:r>
              <w:rPr>
                <w:rFonts w:hint="eastAsia"/>
                <w:bCs/>
                <w:color w:val="000000"/>
                <w:sz w:val="24"/>
              </w:rPr>
              <w:t>。</w:t>
            </w:r>
          </w:p>
          <w:p w14:paraId="185231E2">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cs="Times New Roman"/>
                <w:b/>
                <w:bCs/>
                <w:color w:val="000000"/>
                <w:sz w:val="24"/>
                <w:szCs w:val="24"/>
                <w:lang w:val="en-US" w:eastAsia="zh-CN"/>
              </w:rPr>
            </w:pPr>
            <w:r>
              <w:rPr>
                <w:rFonts w:hint="eastAsia" w:ascii="Times New Roman" w:hAnsi="Times New Roman" w:cs="Times New Roman"/>
                <w:b/>
                <w:bCs/>
                <w:color w:val="000000"/>
                <w:sz w:val="24"/>
                <w:szCs w:val="24"/>
                <w:lang w:val="en-US" w:eastAsia="zh-CN"/>
              </w:rPr>
              <w:t>（1）废水产生情况</w:t>
            </w:r>
          </w:p>
          <w:p w14:paraId="0B4E297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color w:val="000000"/>
                <w:sz w:val="24"/>
                <w:szCs w:val="24"/>
              </w:rPr>
            </w:pPr>
            <w:r>
              <w:rPr>
                <w:rFonts w:hint="eastAsia"/>
                <w:color w:val="000000"/>
                <w:sz w:val="24"/>
              </w:rPr>
              <w:t>本项目废水主要包括食堂废水、生活污水以及脱硫塔定期的更换循环水池废水。</w:t>
            </w:r>
            <w:r>
              <w:rPr>
                <w:rFonts w:hint="eastAsia"/>
                <w:color w:val="000000"/>
                <w:sz w:val="24"/>
                <w:lang w:eastAsia="zh-CN"/>
              </w:rPr>
              <w:t>主要</w:t>
            </w:r>
            <w:r>
              <w:rPr>
                <w:rFonts w:hint="eastAsia"/>
                <w:color w:val="000000"/>
                <w:sz w:val="24"/>
              </w:rPr>
              <w:t>污染物为</w:t>
            </w:r>
            <w:r>
              <w:rPr>
                <w:rFonts w:hint="eastAsia"/>
                <w:color w:val="000000"/>
                <w:sz w:val="24"/>
                <w:lang w:val="en-US" w:eastAsia="zh-CN"/>
              </w:rPr>
              <w:t>pH、</w:t>
            </w:r>
            <w:r>
              <w:rPr>
                <w:rFonts w:hint="eastAsia"/>
                <w:color w:val="000000"/>
                <w:sz w:val="24"/>
              </w:rPr>
              <w:t>COD</w:t>
            </w:r>
            <w:r>
              <w:rPr>
                <w:rFonts w:hint="eastAsia"/>
                <w:color w:val="000000"/>
                <w:sz w:val="24"/>
                <w:lang w:val="en-US" w:eastAsia="zh-CN"/>
              </w:rPr>
              <w:t>cr</w:t>
            </w:r>
            <w:r>
              <w:rPr>
                <w:rFonts w:hint="eastAsia"/>
                <w:color w:val="000000"/>
                <w:sz w:val="24"/>
              </w:rPr>
              <w:t>、BOD</w:t>
            </w:r>
            <w:r>
              <w:rPr>
                <w:rFonts w:hint="eastAsia"/>
                <w:color w:val="000000"/>
                <w:sz w:val="24"/>
                <w:vertAlign w:val="subscript"/>
              </w:rPr>
              <w:t>5</w:t>
            </w:r>
            <w:r>
              <w:rPr>
                <w:rFonts w:hint="eastAsia"/>
                <w:color w:val="000000"/>
                <w:sz w:val="24"/>
              </w:rPr>
              <w:t>、</w:t>
            </w:r>
            <w:r>
              <w:rPr>
                <w:rFonts w:hint="eastAsia"/>
                <w:color w:val="000000"/>
                <w:sz w:val="24"/>
                <w:lang w:eastAsia="zh-CN"/>
              </w:rPr>
              <w:t>氨氮、总磷、</w:t>
            </w:r>
            <w:r>
              <w:rPr>
                <w:rFonts w:hint="eastAsia"/>
                <w:color w:val="000000"/>
                <w:sz w:val="24"/>
              </w:rPr>
              <w:t>SS等</w:t>
            </w:r>
          </w:p>
          <w:p w14:paraId="63FF46BA">
            <w:pPr>
              <w:pStyle w:val="10"/>
              <w:numPr>
                <w:ilvl w:val="0"/>
                <w:numId w:val="21"/>
              </w:numPr>
              <w:ind w:left="480" w:leftChars="0" w:firstLine="0" w:firstLineChars="0"/>
              <w:rPr>
                <w:rFonts w:hint="eastAsia" w:ascii="Times New Roman" w:hAnsi="Times New Roman" w:cs="Times New Roman"/>
                <w:b/>
                <w:bCs/>
                <w:color w:val="000000"/>
                <w:sz w:val="24"/>
                <w:szCs w:val="24"/>
                <w:lang w:val="en-US" w:eastAsia="zh-CN"/>
              </w:rPr>
            </w:pPr>
            <w:r>
              <w:rPr>
                <w:rFonts w:hint="eastAsia" w:ascii="Times New Roman" w:hAnsi="Times New Roman" w:cs="Times New Roman"/>
                <w:b/>
                <w:bCs/>
                <w:color w:val="000000"/>
                <w:sz w:val="24"/>
                <w:szCs w:val="24"/>
                <w:lang w:val="en-US" w:eastAsia="zh-CN"/>
              </w:rPr>
              <w:t>建设单位采取的治理措施</w:t>
            </w:r>
          </w:p>
          <w:p w14:paraId="323E830F">
            <w:pPr>
              <w:pStyle w:val="30"/>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Tahoma" w:hAnsi="Tahoma" w:eastAsia="宋体"/>
                <w:color w:val="000000"/>
                <w:kern w:val="0"/>
                <w:sz w:val="24"/>
                <w:szCs w:val="24"/>
                <w:lang w:val="en-US" w:eastAsia="zh-CN" w:bidi="ar-SA"/>
              </w:rPr>
            </w:pPr>
            <w:r>
              <w:rPr>
                <w:rFonts w:hint="eastAsia"/>
                <w:color w:val="000000"/>
                <w:sz w:val="24"/>
                <w:szCs w:val="24"/>
                <w:lang w:val="en-US" w:eastAsia="zh-CN"/>
              </w:rPr>
              <w:t>根据调查，本项目食堂废水经隔油池处理后与生活污水、</w:t>
            </w:r>
            <w:r>
              <w:rPr>
                <w:rFonts w:hint="eastAsia"/>
                <w:color w:val="000000"/>
                <w:sz w:val="24"/>
              </w:rPr>
              <w:t>脱硫塔定期的更换循环水池废水</w:t>
            </w:r>
            <w:r>
              <w:rPr>
                <w:rFonts w:hint="eastAsia"/>
                <w:color w:val="000000"/>
                <w:sz w:val="24"/>
                <w:szCs w:val="24"/>
                <w:lang w:val="en-US" w:eastAsia="zh-CN"/>
              </w:rPr>
              <w:t>经</w:t>
            </w:r>
            <w:r>
              <w:rPr>
                <w:rFonts w:hint="default" w:ascii="Times New Roman" w:hAnsi="Times New Roman" w:eastAsia="宋体" w:cs="Times New Roman"/>
                <w:color w:val="000000"/>
                <w:sz w:val="24"/>
                <w:szCs w:val="24"/>
              </w:rPr>
              <w:t>预处理池（容积为100m</w:t>
            </w:r>
            <w:r>
              <w:rPr>
                <w:rFonts w:hint="default" w:ascii="Times New Roman" w:hAnsi="Times New Roman" w:eastAsia="宋体" w:cs="Times New Roman"/>
                <w:color w:val="000000"/>
                <w:sz w:val="24"/>
                <w:szCs w:val="24"/>
                <w:vertAlign w:val="superscript"/>
              </w:rPr>
              <w:t>3</w:t>
            </w:r>
            <w:r>
              <w:rPr>
                <w:rFonts w:hint="default" w:ascii="Times New Roman" w:hAnsi="Times New Roman" w:eastAsia="宋体" w:cs="Times New Roman"/>
                <w:color w:val="000000"/>
                <w:sz w:val="24"/>
                <w:szCs w:val="24"/>
              </w:rPr>
              <w:t>）处理后达到《污水综合排放标准》（GB8978-1996）三级标准通过污水排口，接入园区污水管网，由星光工业园区污水处理厂处理后排入巴河</w:t>
            </w:r>
            <w:r>
              <w:rPr>
                <w:rFonts w:hint="eastAsia" w:cs="Times New Roman"/>
                <w:color w:val="000000"/>
                <w:sz w:val="24"/>
                <w:szCs w:val="24"/>
                <w:lang w:eastAsia="zh-CN"/>
              </w:rPr>
              <w:t>。</w:t>
            </w:r>
          </w:p>
          <w:p w14:paraId="71C35BFA">
            <w:pPr>
              <w:pStyle w:val="30"/>
              <w:keepNext w:val="0"/>
              <w:keepLines w:val="0"/>
              <w:pageBreakBefore w:val="0"/>
              <w:widowControl/>
              <w:kinsoku/>
              <w:wordWrap/>
              <w:overflowPunct/>
              <w:topLinePunct w:val="0"/>
              <w:autoSpaceDE/>
              <w:autoSpaceDN/>
              <w:bidi w:val="0"/>
              <w:adjustRightInd/>
              <w:snapToGrid w:val="0"/>
              <w:spacing w:after="0" w:line="360" w:lineRule="auto"/>
              <w:ind w:left="0" w:leftChars="0" w:firstLine="484" w:firstLineChars="200"/>
              <w:jc w:val="left"/>
              <w:textAlignment w:val="auto"/>
              <w:rPr>
                <w:rFonts w:hint="default"/>
                <w:color w:val="000000"/>
                <w:sz w:val="24"/>
                <w:szCs w:val="24"/>
                <w:lang w:val="en-US" w:eastAsia="zh-CN"/>
              </w:rPr>
            </w:pPr>
            <w:r>
              <w:rPr>
                <w:rFonts w:hint="default" w:ascii="Times New Roman" w:hAnsi="Times New Roman" w:cs="Times New Roman"/>
                <w:spacing w:val="1"/>
                <w:sz w:val="24"/>
                <w:szCs w:val="24"/>
              </w:rPr>
              <w:t>受巴中碳原子新材料科技有限公司委托，按照《巴中碳原子新材</w:t>
            </w:r>
            <w:r>
              <w:rPr>
                <w:rFonts w:hint="default" w:ascii="Times New Roman" w:hAnsi="Times New Roman" w:cs="Times New Roman"/>
                <w:sz w:val="24"/>
                <w:szCs w:val="24"/>
              </w:rPr>
              <w:t>料科技有限公司自行检测</w:t>
            </w:r>
            <w:r>
              <w:rPr>
                <w:rFonts w:hint="default" w:ascii="Times New Roman" w:hAnsi="Times New Roman" w:cs="Times New Roman"/>
                <w:spacing w:val="11"/>
                <w:sz w:val="24"/>
                <w:szCs w:val="24"/>
              </w:rPr>
              <w:t>计划》</w:t>
            </w:r>
            <w:r>
              <w:rPr>
                <w:rFonts w:hint="default" w:ascii="Times New Roman" w:hAnsi="Times New Roman" w:cs="Times New Roman"/>
                <w:spacing w:val="11"/>
                <w:sz w:val="24"/>
                <w:szCs w:val="24"/>
                <w:lang w:eastAsia="zh-CN"/>
              </w:rPr>
              <w:t>，</w:t>
            </w:r>
            <w:r>
              <w:rPr>
                <w:rFonts w:hint="eastAsia" w:ascii="Times New Roman" w:hAnsi="Times New Roman" w:cs="Times New Roman"/>
                <w:spacing w:val="11"/>
                <w:sz w:val="24"/>
                <w:szCs w:val="24"/>
                <w:lang w:val="en-US" w:eastAsia="zh-CN"/>
              </w:rPr>
              <w:t>四川华皓检测技术有限公司</w:t>
            </w:r>
            <w:r>
              <w:rPr>
                <w:rFonts w:hint="default" w:ascii="Times New Roman" w:hAnsi="Times New Roman" w:cs="Times New Roman"/>
                <w:spacing w:val="11"/>
                <w:sz w:val="24"/>
                <w:szCs w:val="24"/>
              </w:rPr>
              <w:t>于</w:t>
            </w:r>
            <w:r>
              <w:rPr>
                <w:rFonts w:hint="eastAsia" w:ascii="Times New Roman" w:hAnsi="Times New Roman" w:cs="Times New Roman"/>
                <w:spacing w:val="11"/>
                <w:sz w:val="24"/>
                <w:szCs w:val="24"/>
                <w:lang w:val="en-US" w:eastAsia="zh-CN"/>
              </w:rPr>
              <w:t>2026</w:t>
            </w:r>
            <w:r>
              <w:rPr>
                <w:rFonts w:hint="default" w:ascii="Times New Roman" w:hAnsi="Times New Roman" w:cs="Times New Roman"/>
                <w:spacing w:val="11"/>
                <w:sz w:val="24"/>
                <w:szCs w:val="24"/>
              </w:rPr>
              <w:t>年</w:t>
            </w:r>
            <w:r>
              <w:rPr>
                <w:rFonts w:hint="eastAsia" w:ascii="Times New Roman" w:hAnsi="Times New Roman" w:cs="Times New Roman"/>
                <w:spacing w:val="11"/>
                <w:sz w:val="24"/>
                <w:szCs w:val="24"/>
                <w:lang w:val="en-US" w:eastAsia="zh-CN"/>
              </w:rPr>
              <w:t>4</w:t>
            </w:r>
            <w:r>
              <w:rPr>
                <w:rFonts w:hint="default" w:ascii="Times New Roman" w:hAnsi="Times New Roman" w:cs="Times New Roman"/>
                <w:spacing w:val="11"/>
                <w:sz w:val="24"/>
                <w:szCs w:val="24"/>
              </w:rPr>
              <w:t>月</w:t>
            </w:r>
            <w:r>
              <w:rPr>
                <w:rFonts w:hint="eastAsia" w:ascii="Times New Roman" w:hAnsi="Times New Roman" w:cs="Times New Roman"/>
                <w:spacing w:val="11"/>
                <w:sz w:val="24"/>
                <w:szCs w:val="24"/>
                <w:lang w:val="en-US" w:eastAsia="zh-CN"/>
              </w:rPr>
              <w:t>30</w:t>
            </w:r>
            <w:r>
              <w:rPr>
                <w:rFonts w:hint="default" w:ascii="Times New Roman" w:hAnsi="Times New Roman" w:cs="Times New Roman"/>
                <w:spacing w:val="11"/>
                <w:sz w:val="24"/>
                <w:szCs w:val="24"/>
              </w:rPr>
              <w:t>日对该项目进行了现场检测与采样</w:t>
            </w:r>
            <w:r>
              <w:rPr>
                <w:rFonts w:hint="default" w:ascii="Times New Roman" w:hAnsi="Times New Roman" w:cs="Times New Roman"/>
                <w:color w:val="000000"/>
                <w:kern w:val="0"/>
                <w:sz w:val="24"/>
                <w:lang w:val="en-US" w:eastAsia="zh-CN" w:bidi="ar"/>
              </w:rPr>
              <w:t>，</w:t>
            </w:r>
            <w:r>
              <w:rPr>
                <w:rFonts w:hint="eastAsia"/>
                <w:color w:val="000000"/>
                <w:sz w:val="24"/>
                <w:szCs w:val="24"/>
                <w:lang w:val="en-US" w:eastAsia="zh-CN"/>
              </w:rPr>
              <w:t>废水</w:t>
            </w:r>
            <w:r>
              <w:rPr>
                <w:rFonts w:hint="default"/>
                <w:color w:val="000000"/>
                <w:sz w:val="24"/>
                <w:szCs w:val="24"/>
                <w:lang w:val="en-US" w:eastAsia="zh-CN"/>
              </w:rPr>
              <w:t>监测结果见表</w:t>
            </w:r>
            <w:r>
              <w:rPr>
                <w:rFonts w:hint="eastAsia"/>
                <w:color w:val="000000"/>
                <w:sz w:val="24"/>
                <w:szCs w:val="24"/>
                <w:lang w:val="en-US" w:eastAsia="zh-CN"/>
              </w:rPr>
              <w:t>2-15</w:t>
            </w:r>
            <w:r>
              <w:rPr>
                <w:rFonts w:hint="default"/>
                <w:color w:val="000000"/>
                <w:sz w:val="24"/>
                <w:szCs w:val="24"/>
                <w:lang w:val="en-US" w:eastAsia="zh-CN"/>
              </w:rPr>
              <w:t>。</w:t>
            </w:r>
          </w:p>
          <w:p w14:paraId="3E5BC8C2">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废水</w:t>
            </w:r>
            <w:r>
              <w:rPr>
                <w:rFonts w:hint="default" w:ascii="Times New Roman" w:hAnsi="Times New Roman" w:eastAsia="宋体" w:cs="Times New Roman"/>
                <w:b/>
                <w:bCs/>
                <w:color w:val="000000"/>
                <w:sz w:val="24"/>
                <w:lang w:val="en-US" w:eastAsia="zh-CN"/>
              </w:rPr>
              <w:t>监测结果表</w:t>
            </w:r>
          </w:p>
          <w:tbl>
            <w:tblPr>
              <w:tblStyle w:val="100"/>
              <w:tblW w:w="84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0"/>
              <w:gridCol w:w="1702"/>
              <w:gridCol w:w="1080"/>
              <w:gridCol w:w="1087"/>
              <w:gridCol w:w="1096"/>
              <w:gridCol w:w="1040"/>
              <w:gridCol w:w="1043"/>
            </w:tblGrid>
            <w:tr w14:paraId="3E8CA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370" w:type="dxa"/>
                  <w:vMerge w:val="restart"/>
                  <w:tcBorders>
                    <w:left w:val="nil"/>
                    <w:bottom w:val="nil"/>
                  </w:tcBorders>
                  <w:noWrap w:val="0"/>
                  <w:vAlign w:val="center"/>
                </w:tcPr>
                <w:p w14:paraId="712FE62D">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检测点位</w:t>
                  </w:r>
                </w:p>
              </w:tc>
              <w:tc>
                <w:tcPr>
                  <w:tcW w:w="1702" w:type="dxa"/>
                  <w:vMerge w:val="restart"/>
                  <w:tcBorders>
                    <w:bottom w:val="nil"/>
                  </w:tcBorders>
                  <w:noWrap w:val="0"/>
                  <w:vAlign w:val="center"/>
                </w:tcPr>
                <w:p w14:paraId="06F051F8">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检测项目</w:t>
                  </w:r>
                </w:p>
              </w:tc>
              <w:tc>
                <w:tcPr>
                  <w:tcW w:w="4303" w:type="dxa"/>
                  <w:gridSpan w:val="4"/>
                  <w:noWrap w:val="0"/>
                  <w:vAlign w:val="center"/>
                </w:tcPr>
                <w:p w14:paraId="33FA3153">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检测结果</w:t>
                  </w:r>
                </w:p>
              </w:tc>
              <w:tc>
                <w:tcPr>
                  <w:tcW w:w="1043" w:type="dxa"/>
                  <w:vMerge w:val="restart"/>
                  <w:tcBorders>
                    <w:bottom w:val="nil"/>
                    <w:right w:val="nil"/>
                  </w:tcBorders>
                  <w:noWrap w:val="0"/>
                  <w:vAlign w:val="center"/>
                </w:tcPr>
                <w:p w14:paraId="7BB78D08">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单位</w:t>
                  </w:r>
                </w:p>
              </w:tc>
            </w:tr>
            <w:tr w14:paraId="25652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1370" w:type="dxa"/>
                  <w:vMerge w:val="continue"/>
                  <w:tcBorders>
                    <w:top w:val="nil"/>
                    <w:left w:val="nil"/>
                  </w:tcBorders>
                  <w:noWrap w:val="0"/>
                  <w:vAlign w:val="center"/>
                </w:tcPr>
                <w:p w14:paraId="4E955E1A">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vMerge w:val="continue"/>
                  <w:tcBorders>
                    <w:top w:val="nil"/>
                  </w:tcBorders>
                  <w:noWrap w:val="0"/>
                  <w:vAlign w:val="center"/>
                </w:tcPr>
                <w:p w14:paraId="5446410D">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080" w:type="dxa"/>
                  <w:noWrap w:val="0"/>
                  <w:vAlign w:val="center"/>
                </w:tcPr>
                <w:p w14:paraId="2868C4DE">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第一次</w:t>
                  </w:r>
                </w:p>
              </w:tc>
              <w:tc>
                <w:tcPr>
                  <w:tcW w:w="1087" w:type="dxa"/>
                  <w:noWrap w:val="0"/>
                  <w:vAlign w:val="center"/>
                </w:tcPr>
                <w:p w14:paraId="4ACAD937">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第二次</w:t>
                  </w:r>
                </w:p>
              </w:tc>
              <w:tc>
                <w:tcPr>
                  <w:tcW w:w="1096" w:type="dxa"/>
                  <w:noWrap w:val="0"/>
                  <w:vAlign w:val="center"/>
                </w:tcPr>
                <w:p w14:paraId="470DA62A">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第三次</w:t>
                  </w:r>
                </w:p>
              </w:tc>
              <w:tc>
                <w:tcPr>
                  <w:tcW w:w="1040" w:type="dxa"/>
                  <w:noWrap w:val="0"/>
                  <w:vAlign w:val="center"/>
                </w:tcPr>
                <w:p w14:paraId="3611F4E3">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平均值</w:t>
                  </w:r>
                </w:p>
              </w:tc>
              <w:tc>
                <w:tcPr>
                  <w:tcW w:w="1043" w:type="dxa"/>
                  <w:vMerge w:val="continue"/>
                  <w:tcBorders>
                    <w:top w:val="nil"/>
                    <w:right w:val="nil"/>
                  </w:tcBorders>
                  <w:noWrap w:val="0"/>
                  <w:vAlign w:val="center"/>
                </w:tcPr>
                <w:p w14:paraId="3DF1AFB7">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r>
            <w:tr w14:paraId="35037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1370" w:type="dxa"/>
                  <w:vMerge w:val="restart"/>
                  <w:tcBorders>
                    <w:left w:val="nil"/>
                    <w:bottom w:val="nil"/>
                  </w:tcBorders>
                  <w:noWrap w:val="0"/>
                  <w:vAlign w:val="center"/>
                </w:tcPr>
                <w:p w14:paraId="5B50AA63">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1#:废水排放 口</w:t>
                  </w:r>
                </w:p>
              </w:tc>
              <w:tc>
                <w:tcPr>
                  <w:tcW w:w="1702" w:type="dxa"/>
                  <w:noWrap w:val="0"/>
                  <w:vAlign w:val="center"/>
                </w:tcPr>
                <w:p w14:paraId="29F9307C">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pH</w:t>
                  </w:r>
                </w:p>
              </w:tc>
              <w:tc>
                <w:tcPr>
                  <w:tcW w:w="1080" w:type="dxa"/>
                  <w:noWrap w:val="0"/>
                  <w:vAlign w:val="center"/>
                </w:tcPr>
                <w:p w14:paraId="28830D41">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7.4</w:t>
                  </w:r>
                </w:p>
              </w:tc>
              <w:tc>
                <w:tcPr>
                  <w:tcW w:w="1087" w:type="dxa"/>
                  <w:noWrap w:val="0"/>
                  <w:vAlign w:val="center"/>
                </w:tcPr>
                <w:p w14:paraId="41FBB4CB">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7.3</w:t>
                  </w:r>
                </w:p>
              </w:tc>
              <w:tc>
                <w:tcPr>
                  <w:tcW w:w="1096" w:type="dxa"/>
                  <w:noWrap w:val="0"/>
                  <w:vAlign w:val="center"/>
                </w:tcPr>
                <w:p w14:paraId="03E53CD7">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7.3</w:t>
                  </w:r>
                </w:p>
              </w:tc>
              <w:tc>
                <w:tcPr>
                  <w:tcW w:w="1040" w:type="dxa"/>
                  <w:noWrap w:val="0"/>
                  <w:vAlign w:val="center"/>
                </w:tcPr>
                <w:p w14:paraId="38A0FC29">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7.4</w:t>
                  </w:r>
                </w:p>
              </w:tc>
              <w:tc>
                <w:tcPr>
                  <w:tcW w:w="1043" w:type="dxa"/>
                  <w:tcBorders>
                    <w:right w:val="nil"/>
                  </w:tcBorders>
                  <w:noWrap w:val="0"/>
                  <w:vAlign w:val="center"/>
                </w:tcPr>
                <w:p w14:paraId="57810631">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无量纲</w:t>
                  </w:r>
                </w:p>
              </w:tc>
            </w:tr>
            <w:tr w14:paraId="5C584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1370" w:type="dxa"/>
                  <w:vMerge w:val="continue"/>
                  <w:tcBorders>
                    <w:top w:val="nil"/>
                    <w:left w:val="nil"/>
                    <w:bottom w:val="nil"/>
                  </w:tcBorders>
                  <w:noWrap w:val="0"/>
                  <w:vAlign w:val="center"/>
                </w:tcPr>
                <w:p w14:paraId="66C81B33">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4D241C5B">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悬浮物</w:t>
                  </w:r>
                </w:p>
              </w:tc>
              <w:tc>
                <w:tcPr>
                  <w:tcW w:w="1080" w:type="dxa"/>
                  <w:noWrap w:val="0"/>
                  <w:vAlign w:val="center"/>
                </w:tcPr>
                <w:p w14:paraId="76172D08">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10</w:t>
                  </w:r>
                </w:p>
              </w:tc>
              <w:tc>
                <w:tcPr>
                  <w:tcW w:w="1087" w:type="dxa"/>
                  <w:noWrap w:val="0"/>
                  <w:vAlign w:val="center"/>
                </w:tcPr>
                <w:p w14:paraId="2DAA7FC1">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11</w:t>
                  </w:r>
                </w:p>
              </w:tc>
              <w:tc>
                <w:tcPr>
                  <w:tcW w:w="1096" w:type="dxa"/>
                  <w:noWrap w:val="0"/>
                  <w:vAlign w:val="center"/>
                </w:tcPr>
                <w:p w14:paraId="4DF7546B">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10</w:t>
                  </w:r>
                </w:p>
              </w:tc>
              <w:tc>
                <w:tcPr>
                  <w:tcW w:w="1040" w:type="dxa"/>
                  <w:noWrap w:val="0"/>
                  <w:vAlign w:val="center"/>
                </w:tcPr>
                <w:p w14:paraId="5E6AAC14">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10</w:t>
                  </w:r>
                </w:p>
              </w:tc>
              <w:tc>
                <w:tcPr>
                  <w:tcW w:w="1043" w:type="dxa"/>
                  <w:tcBorders>
                    <w:right w:val="nil"/>
                  </w:tcBorders>
                  <w:noWrap w:val="0"/>
                  <w:vAlign w:val="center"/>
                </w:tcPr>
                <w:p w14:paraId="04BF493A">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65D73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1370" w:type="dxa"/>
                  <w:vMerge w:val="continue"/>
                  <w:tcBorders>
                    <w:top w:val="nil"/>
                    <w:left w:val="nil"/>
                    <w:bottom w:val="nil"/>
                  </w:tcBorders>
                  <w:noWrap w:val="0"/>
                  <w:vAlign w:val="center"/>
                </w:tcPr>
                <w:p w14:paraId="317AAF79">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789E3340">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化学需氧量</w:t>
                  </w:r>
                </w:p>
              </w:tc>
              <w:tc>
                <w:tcPr>
                  <w:tcW w:w="1080" w:type="dxa"/>
                  <w:noWrap w:val="0"/>
                  <w:vAlign w:val="center"/>
                </w:tcPr>
                <w:p w14:paraId="4955A716">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20</w:t>
                  </w:r>
                </w:p>
              </w:tc>
              <w:tc>
                <w:tcPr>
                  <w:tcW w:w="1087" w:type="dxa"/>
                  <w:noWrap w:val="0"/>
                  <w:vAlign w:val="center"/>
                </w:tcPr>
                <w:p w14:paraId="26D8D0B7">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22</w:t>
                  </w:r>
                </w:p>
              </w:tc>
              <w:tc>
                <w:tcPr>
                  <w:tcW w:w="1096" w:type="dxa"/>
                  <w:noWrap w:val="0"/>
                  <w:vAlign w:val="center"/>
                </w:tcPr>
                <w:p w14:paraId="068F2A58">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24</w:t>
                  </w:r>
                </w:p>
              </w:tc>
              <w:tc>
                <w:tcPr>
                  <w:tcW w:w="1040" w:type="dxa"/>
                  <w:noWrap w:val="0"/>
                  <w:vAlign w:val="center"/>
                </w:tcPr>
                <w:p w14:paraId="50F77F7B">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20</w:t>
                  </w:r>
                </w:p>
              </w:tc>
              <w:tc>
                <w:tcPr>
                  <w:tcW w:w="1043" w:type="dxa"/>
                  <w:tcBorders>
                    <w:right w:val="nil"/>
                  </w:tcBorders>
                  <w:noWrap w:val="0"/>
                  <w:vAlign w:val="center"/>
                </w:tcPr>
                <w:p w14:paraId="1F9E989F">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54C01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370" w:type="dxa"/>
                  <w:vMerge w:val="continue"/>
                  <w:tcBorders>
                    <w:top w:val="nil"/>
                    <w:left w:val="nil"/>
                    <w:bottom w:val="nil"/>
                  </w:tcBorders>
                  <w:noWrap w:val="0"/>
                  <w:vAlign w:val="center"/>
                </w:tcPr>
                <w:p w14:paraId="23F4DAE9">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7303270C">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五日生化需氧量</w:t>
                  </w:r>
                </w:p>
              </w:tc>
              <w:tc>
                <w:tcPr>
                  <w:tcW w:w="1080" w:type="dxa"/>
                  <w:noWrap w:val="0"/>
                  <w:vAlign w:val="center"/>
                </w:tcPr>
                <w:p w14:paraId="2C9C822B">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6.6</w:t>
                  </w:r>
                </w:p>
              </w:tc>
              <w:tc>
                <w:tcPr>
                  <w:tcW w:w="1087" w:type="dxa"/>
                  <w:noWrap w:val="0"/>
                  <w:vAlign w:val="center"/>
                </w:tcPr>
                <w:p w14:paraId="095D693B">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5.7</w:t>
                  </w:r>
                </w:p>
              </w:tc>
              <w:tc>
                <w:tcPr>
                  <w:tcW w:w="1096" w:type="dxa"/>
                  <w:noWrap w:val="0"/>
                  <w:vAlign w:val="center"/>
                </w:tcPr>
                <w:p w14:paraId="233CEB3E">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6.9</w:t>
                  </w:r>
                </w:p>
              </w:tc>
              <w:tc>
                <w:tcPr>
                  <w:tcW w:w="1040" w:type="dxa"/>
                  <w:noWrap w:val="0"/>
                  <w:vAlign w:val="center"/>
                </w:tcPr>
                <w:p w14:paraId="3FD19D16">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6.6</w:t>
                  </w:r>
                </w:p>
              </w:tc>
              <w:tc>
                <w:tcPr>
                  <w:tcW w:w="1043" w:type="dxa"/>
                  <w:tcBorders>
                    <w:right w:val="nil"/>
                  </w:tcBorders>
                  <w:noWrap w:val="0"/>
                  <w:vAlign w:val="center"/>
                </w:tcPr>
                <w:p w14:paraId="702D4204">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1A607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1370" w:type="dxa"/>
                  <w:vMerge w:val="continue"/>
                  <w:tcBorders>
                    <w:top w:val="nil"/>
                    <w:left w:val="nil"/>
                    <w:bottom w:val="nil"/>
                  </w:tcBorders>
                  <w:noWrap w:val="0"/>
                  <w:vAlign w:val="center"/>
                </w:tcPr>
                <w:p w14:paraId="081EF758">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1398E164">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氨  氮</w:t>
                  </w:r>
                </w:p>
              </w:tc>
              <w:tc>
                <w:tcPr>
                  <w:tcW w:w="1080" w:type="dxa"/>
                  <w:noWrap w:val="0"/>
                  <w:vAlign w:val="center"/>
                </w:tcPr>
                <w:p w14:paraId="3AA18B1C">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1.72</w:t>
                  </w:r>
                </w:p>
              </w:tc>
              <w:tc>
                <w:tcPr>
                  <w:tcW w:w="1087" w:type="dxa"/>
                  <w:noWrap w:val="0"/>
                  <w:vAlign w:val="center"/>
                </w:tcPr>
                <w:p w14:paraId="265398F9">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1.75</w:t>
                  </w:r>
                </w:p>
              </w:tc>
              <w:tc>
                <w:tcPr>
                  <w:tcW w:w="1096" w:type="dxa"/>
                  <w:noWrap w:val="0"/>
                  <w:vAlign w:val="center"/>
                </w:tcPr>
                <w:p w14:paraId="1BA56A5A">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1.74</w:t>
                  </w:r>
                </w:p>
              </w:tc>
              <w:tc>
                <w:tcPr>
                  <w:tcW w:w="1040" w:type="dxa"/>
                  <w:noWrap w:val="0"/>
                  <w:vAlign w:val="center"/>
                </w:tcPr>
                <w:p w14:paraId="0CC52C27">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bCs/>
                      <w:kern w:val="0"/>
                      <w:sz w:val="21"/>
                      <w:szCs w:val="21"/>
                      <w:highlight w:val="none"/>
                      <w:lang w:val="en-US" w:eastAsia="zh-CN" w:bidi="ar-SA"/>
                    </w:rPr>
                    <w:t>1.72</w:t>
                  </w:r>
                </w:p>
              </w:tc>
              <w:tc>
                <w:tcPr>
                  <w:tcW w:w="1043" w:type="dxa"/>
                  <w:tcBorders>
                    <w:right w:val="nil"/>
                  </w:tcBorders>
                  <w:noWrap w:val="0"/>
                  <w:vAlign w:val="center"/>
                </w:tcPr>
                <w:p w14:paraId="155B8397">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12445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1370" w:type="dxa"/>
                  <w:vMerge w:val="continue"/>
                  <w:tcBorders>
                    <w:top w:val="nil"/>
                    <w:left w:val="nil"/>
                    <w:bottom w:val="nil"/>
                  </w:tcBorders>
                  <w:noWrap w:val="0"/>
                  <w:vAlign w:val="center"/>
                </w:tcPr>
                <w:p w14:paraId="3020F817">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61937B45">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总  氮</w:t>
                  </w:r>
                </w:p>
              </w:tc>
              <w:tc>
                <w:tcPr>
                  <w:tcW w:w="1080" w:type="dxa"/>
                  <w:noWrap w:val="0"/>
                  <w:vAlign w:val="center"/>
                </w:tcPr>
                <w:p w14:paraId="0A9699EB">
                  <w:pPr>
                    <w:adjustRightInd w:val="0"/>
                    <w:spacing w:before="0" w:beforeAutospacing="0" w:after="0" w:afterAutospacing="0" w:line="240" w:lineRule="auto"/>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3.76</w:t>
                  </w:r>
                </w:p>
              </w:tc>
              <w:tc>
                <w:tcPr>
                  <w:tcW w:w="1087" w:type="dxa"/>
                  <w:noWrap w:val="0"/>
                  <w:vAlign w:val="center"/>
                </w:tcPr>
                <w:p w14:paraId="3F0D5039">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3.54</w:t>
                  </w:r>
                </w:p>
              </w:tc>
              <w:tc>
                <w:tcPr>
                  <w:tcW w:w="1096" w:type="dxa"/>
                  <w:noWrap w:val="0"/>
                  <w:vAlign w:val="center"/>
                </w:tcPr>
                <w:p w14:paraId="685ED840">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3.98</w:t>
                  </w:r>
                </w:p>
              </w:tc>
              <w:tc>
                <w:tcPr>
                  <w:tcW w:w="1040" w:type="dxa"/>
                  <w:noWrap w:val="0"/>
                  <w:vAlign w:val="center"/>
                </w:tcPr>
                <w:p w14:paraId="6E6B1E37">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3.76</w:t>
                  </w:r>
                </w:p>
              </w:tc>
              <w:tc>
                <w:tcPr>
                  <w:tcW w:w="1043" w:type="dxa"/>
                  <w:tcBorders>
                    <w:right w:val="nil"/>
                  </w:tcBorders>
                  <w:noWrap w:val="0"/>
                  <w:vAlign w:val="center"/>
                </w:tcPr>
                <w:p w14:paraId="2C7BB3A5">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2A0C2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1370" w:type="dxa"/>
                  <w:vMerge w:val="continue"/>
                  <w:tcBorders>
                    <w:top w:val="nil"/>
                    <w:left w:val="nil"/>
                    <w:bottom w:val="nil"/>
                  </w:tcBorders>
                  <w:noWrap w:val="0"/>
                  <w:vAlign w:val="center"/>
                </w:tcPr>
                <w:p w14:paraId="7665BDC5">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42DE5617">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总  磷</w:t>
                  </w:r>
                </w:p>
              </w:tc>
              <w:tc>
                <w:tcPr>
                  <w:tcW w:w="1080" w:type="dxa"/>
                  <w:noWrap w:val="0"/>
                  <w:vAlign w:val="center"/>
                </w:tcPr>
                <w:p w14:paraId="59A3A94A">
                  <w:pPr>
                    <w:adjustRightInd w:val="0"/>
                    <w:spacing w:before="0" w:beforeAutospacing="0" w:after="0" w:afterAutospacing="0" w:line="240" w:lineRule="auto"/>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0.11</w:t>
                  </w:r>
                </w:p>
              </w:tc>
              <w:tc>
                <w:tcPr>
                  <w:tcW w:w="1087" w:type="dxa"/>
                  <w:noWrap w:val="0"/>
                  <w:vAlign w:val="center"/>
                </w:tcPr>
                <w:p w14:paraId="01964F26">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0.14</w:t>
                  </w:r>
                </w:p>
              </w:tc>
              <w:tc>
                <w:tcPr>
                  <w:tcW w:w="1096" w:type="dxa"/>
                  <w:noWrap w:val="0"/>
                  <w:vAlign w:val="center"/>
                </w:tcPr>
                <w:p w14:paraId="73EAEAC3">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0.13</w:t>
                  </w:r>
                </w:p>
              </w:tc>
              <w:tc>
                <w:tcPr>
                  <w:tcW w:w="1040" w:type="dxa"/>
                  <w:noWrap w:val="0"/>
                  <w:vAlign w:val="center"/>
                </w:tcPr>
                <w:p w14:paraId="22094252">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0.11</w:t>
                  </w:r>
                </w:p>
              </w:tc>
              <w:tc>
                <w:tcPr>
                  <w:tcW w:w="1043" w:type="dxa"/>
                  <w:tcBorders>
                    <w:right w:val="nil"/>
                  </w:tcBorders>
                  <w:noWrap w:val="0"/>
                  <w:vAlign w:val="center"/>
                </w:tcPr>
                <w:p w14:paraId="4B0EFBF5">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68338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370" w:type="dxa"/>
                  <w:vMerge w:val="continue"/>
                  <w:tcBorders>
                    <w:top w:val="nil"/>
                    <w:left w:val="nil"/>
                    <w:bottom w:val="nil"/>
                  </w:tcBorders>
                  <w:noWrap w:val="0"/>
                  <w:vAlign w:val="center"/>
                </w:tcPr>
                <w:p w14:paraId="5812FC84">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752E757C">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动植物油</w:t>
                  </w:r>
                </w:p>
              </w:tc>
              <w:tc>
                <w:tcPr>
                  <w:tcW w:w="1080" w:type="dxa"/>
                  <w:noWrap w:val="0"/>
                  <w:vAlign w:val="center"/>
                </w:tcPr>
                <w:p w14:paraId="66E4BB12">
                  <w:pPr>
                    <w:adjustRightInd w:val="0"/>
                    <w:spacing w:before="0" w:beforeAutospacing="0" w:after="0" w:afterAutospacing="0" w:line="240" w:lineRule="auto"/>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0.21</w:t>
                  </w:r>
                </w:p>
              </w:tc>
              <w:tc>
                <w:tcPr>
                  <w:tcW w:w="1087" w:type="dxa"/>
                  <w:noWrap w:val="0"/>
                  <w:vAlign w:val="center"/>
                </w:tcPr>
                <w:p w14:paraId="04882148">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0.17</w:t>
                  </w:r>
                </w:p>
              </w:tc>
              <w:tc>
                <w:tcPr>
                  <w:tcW w:w="1096" w:type="dxa"/>
                  <w:noWrap w:val="0"/>
                  <w:vAlign w:val="center"/>
                </w:tcPr>
                <w:p w14:paraId="0A4A102D">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0.18</w:t>
                  </w:r>
                </w:p>
              </w:tc>
              <w:tc>
                <w:tcPr>
                  <w:tcW w:w="1040" w:type="dxa"/>
                  <w:noWrap w:val="0"/>
                  <w:vAlign w:val="center"/>
                </w:tcPr>
                <w:p w14:paraId="4B5F30BC">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0.21</w:t>
                  </w:r>
                </w:p>
              </w:tc>
              <w:tc>
                <w:tcPr>
                  <w:tcW w:w="1043" w:type="dxa"/>
                  <w:tcBorders>
                    <w:right w:val="nil"/>
                  </w:tcBorders>
                  <w:noWrap w:val="0"/>
                  <w:vAlign w:val="center"/>
                </w:tcPr>
                <w:p w14:paraId="1C58EEA1">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r w14:paraId="52BB5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370" w:type="dxa"/>
                  <w:vMerge w:val="continue"/>
                  <w:tcBorders>
                    <w:top w:val="nil"/>
                    <w:left w:val="nil"/>
                  </w:tcBorders>
                  <w:noWrap w:val="0"/>
                  <w:vAlign w:val="center"/>
                </w:tcPr>
                <w:p w14:paraId="00389774">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p>
              </w:tc>
              <w:tc>
                <w:tcPr>
                  <w:tcW w:w="1702" w:type="dxa"/>
                  <w:noWrap w:val="0"/>
                  <w:vAlign w:val="center"/>
                </w:tcPr>
                <w:p w14:paraId="2B01FD1C">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石油类</w:t>
                  </w:r>
                </w:p>
              </w:tc>
              <w:tc>
                <w:tcPr>
                  <w:tcW w:w="1080" w:type="dxa"/>
                  <w:noWrap w:val="0"/>
                  <w:vAlign w:val="center"/>
                </w:tcPr>
                <w:p w14:paraId="1C0DE8AE">
                  <w:pPr>
                    <w:adjustRightInd w:val="0"/>
                    <w:spacing w:before="0" w:beforeAutospacing="0" w:after="0" w:afterAutospacing="0" w:line="240" w:lineRule="auto"/>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0.15</w:t>
                  </w:r>
                </w:p>
              </w:tc>
              <w:tc>
                <w:tcPr>
                  <w:tcW w:w="1087" w:type="dxa"/>
                  <w:noWrap w:val="0"/>
                  <w:vAlign w:val="center"/>
                </w:tcPr>
                <w:p w14:paraId="179E9253">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0.17</w:t>
                  </w:r>
                </w:p>
              </w:tc>
              <w:tc>
                <w:tcPr>
                  <w:tcW w:w="1096" w:type="dxa"/>
                  <w:noWrap w:val="0"/>
                  <w:vAlign w:val="center"/>
                </w:tcPr>
                <w:p w14:paraId="0A28E687">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0.17</w:t>
                  </w:r>
                </w:p>
              </w:tc>
              <w:tc>
                <w:tcPr>
                  <w:tcW w:w="1040" w:type="dxa"/>
                  <w:noWrap w:val="0"/>
                  <w:vAlign w:val="center"/>
                </w:tcPr>
                <w:p w14:paraId="7347BBC8">
                  <w:pPr>
                    <w:adjustRightIn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kern w:val="2"/>
                      <w:sz w:val="21"/>
                      <w:szCs w:val="21"/>
                      <w:highlight w:val="none"/>
                      <w:lang w:val="en-US" w:eastAsia="zh-CN" w:bidi="ar-SA"/>
                    </w:rPr>
                    <w:t>0.15</w:t>
                  </w:r>
                </w:p>
              </w:tc>
              <w:tc>
                <w:tcPr>
                  <w:tcW w:w="1043" w:type="dxa"/>
                  <w:tcBorders>
                    <w:right w:val="nil"/>
                  </w:tcBorders>
                  <w:noWrap w:val="0"/>
                  <w:vAlign w:val="center"/>
                </w:tcPr>
                <w:p w14:paraId="5DCB2A07">
                  <w:pPr>
                    <w:pStyle w:val="27"/>
                    <w:snapToGrid w:val="0"/>
                    <w:spacing w:before="0" w:beforeAutospacing="0" w:after="0" w:afterAutospacing="0" w:line="240" w:lineRule="auto"/>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mg/L</w:t>
                  </w:r>
                </w:p>
              </w:tc>
            </w:tr>
          </w:tbl>
          <w:p w14:paraId="2CF8F08E">
            <w:pPr>
              <w:pStyle w:val="101"/>
              <w:keepNext w:val="0"/>
              <w:keepLines w:val="0"/>
              <w:pageBreakBefore w:val="0"/>
              <w:widowControl/>
              <w:shd w:val="clear" w:color="auto" w:fill="auto"/>
              <w:kinsoku/>
              <w:wordWrap/>
              <w:overflowPunct/>
              <w:topLinePunct w:val="0"/>
              <w:autoSpaceDE/>
              <w:autoSpaceDN/>
              <w:bidi w:val="0"/>
              <w:adjustRightInd w:val="0"/>
              <w:snapToGrid w:val="0"/>
              <w:spacing w:before="0" w:beforeLines="0" w:after="0" w:afterLines="0" w:line="240" w:lineRule="auto"/>
              <w:textAlignment w:val="auto"/>
              <w:rPr>
                <w:rFonts w:hint="default"/>
                <w:color w:val="000000"/>
                <w:sz w:val="21"/>
                <w:szCs w:val="21"/>
                <w:lang w:val="en-US" w:eastAsia="zh-CN"/>
              </w:rPr>
            </w:pPr>
          </w:p>
          <w:p w14:paraId="53F209AC">
            <w:pPr>
              <w:pStyle w:val="104"/>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cs="Times New Roman"/>
                <w:color w:val="000000"/>
                <w:sz w:val="24"/>
                <w:szCs w:val="24"/>
                <w:lang w:eastAsia="zh-CN"/>
              </w:rPr>
            </w:pPr>
            <w:r>
              <w:rPr>
                <w:rFonts w:hint="eastAsia" w:ascii="Times New Roman" w:hAnsi="Times New Roman" w:cs="Times New Roman"/>
                <w:color w:val="000000"/>
                <w:sz w:val="24"/>
                <w:szCs w:val="24"/>
              </w:rPr>
              <w:t>由上表结果可知：</w:t>
            </w:r>
            <w:r>
              <w:rPr>
                <w:rFonts w:hint="default" w:ascii="Times New Roman" w:hAnsi="Times New Roman" w:cs="Times New Roman"/>
                <w:color w:val="000000"/>
                <w:sz w:val="24"/>
                <w:szCs w:val="24"/>
              </w:rPr>
              <w:t>该项目在现场检测与采样期间，1#废水排放口中pH、悬浮物、化学需氧量、五日生化需氧量、石油类、动植物油的检测结果均达标；按照《污水排入城镇下水道水质标准》 (GB/T31962-2015) 表1B级标准进行评价，该项目在现场检测与采样期间，1#废水排放口中总氮、氨氮、总磷的检测结果均达标</w:t>
            </w:r>
            <w:r>
              <w:rPr>
                <w:rFonts w:hint="eastAsia" w:cs="Times New Roman"/>
                <w:color w:val="000000"/>
                <w:sz w:val="24"/>
                <w:szCs w:val="24"/>
                <w:lang w:eastAsia="zh-CN"/>
              </w:rPr>
              <w:t>。</w:t>
            </w:r>
          </w:p>
          <w:p w14:paraId="05DE8EAF">
            <w:pPr>
              <w:pStyle w:val="104"/>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现场问题及整改措施：根据现场踏勘，本项目未建设初期雨水池，本次环评要求建设单位新建初期</w:t>
            </w:r>
            <w:r>
              <w:rPr>
                <w:rFonts w:hint="default" w:ascii="Times New Roman" w:hAnsi="Times New Roman" w:cs="Times New Roman"/>
                <w:color w:val="auto"/>
                <w:sz w:val="24"/>
                <w:szCs w:val="24"/>
                <w:lang w:val="en-US" w:eastAsia="zh-CN"/>
              </w:rPr>
              <w:t>雨水池1个（240m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w:t>
            </w:r>
          </w:p>
          <w:p w14:paraId="5FCC6B6A">
            <w:pPr>
              <w:pStyle w:val="10"/>
              <w:keepNext w:val="0"/>
              <w:keepLines w:val="0"/>
              <w:pageBreakBefore w:val="0"/>
              <w:widowControl/>
              <w:kinsoku/>
              <w:wordWrap/>
              <w:overflowPunct/>
              <w:topLinePunct w:val="0"/>
              <w:autoSpaceDE/>
              <w:autoSpaceDN/>
              <w:bidi w:val="0"/>
              <w:adjustRightInd w:val="0"/>
              <w:snapToGrid w:val="0"/>
              <w:spacing w:after="0" w:line="360" w:lineRule="auto"/>
              <w:ind w:right="113" w:firstLine="482" w:firstLineChars="200"/>
              <w:jc w:val="left"/>
              <w:textAlignment w:val="auto"/>
              <w:rPr>
                <w:rFonts w:hint="default" w:ascii="Times New Roman" w:hAnsi="Times New Roman" w:eastAsia="宋体" w:cs="Times New Roman"/>
                <w:b/>
                <w:bCs/>
                <w:color w:val="000000"/>
                <w:sz w:val="24"/>
                <w:szCs w:val="24"/>
                <w:lang w:val="en-US" w:eastAsia="zh-CN"/>
              </w:rPr>
            </w:pPr>
            <w:r>
              <w:rPr>
                <w:rFonts w:hint="default" w:ascii="Times New Roman" w:hAnsi="Times New Roman" w:eastAsia="宋体" w:cs="Times New Roman"/>
                <w:b/>
                <w:bCs/>
                <w:color w:val="000000"/>
                <w:sz w:val="24"/>
                <w:szCs w:val="24"/>
                <w:lang w:val="en-US" w:eastAsia="zh-CN"/>
              </w:rPr>
              <w:t>（三）噪声的产生及治理措施</w:t>
            </w:r>
          </w:p>
          <w:p w14:paraId="5E13FFDE">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000000"/>
                <w:sz w:val="24"/>
                <w:szCs w:val="24"/>
                <w:highlight w:val="none"/>
                <w:lang w:val="en-US" w:eastAsia="zh-CN" w:bidi="ar-SA"/>
              </w:rPr>
            </w:pPr>
            <w:r>
              <w:rPr>
                <w:rFonts w:hint="default" w:ascii="Times New Roman" w:hAnsi="Times New Roman" w:cs="Times New Roman"/>
                <w:b/>
                <w:bCs/>
                <w:color w:val="000000"/>
                <w:sz w:val="24"/>
                <w:szCs w:val="24"/>
                <w:highlight w:val="none"/>
                <w:lang w:val="en-US" w:eastAsia="zh-CN" w:bidi="ar-SA"/>
              </w:rPr>
              <w:t>（1）</w:t>
            </w:r>
            <w:r>
              <w:rPr>
                <w:rFonts w:hint="default" w:ascii="Times New Roman" w:hAnsi="Times New Roman" w:eastAsia="宋体" w:cs="Times New Roman"/>
                <w:b/>
                <w:bCs/>
                <w:color w:val="000000"/>
                <w:sz w:val="24"/>
                <w:szCs w:val="24"/>
                <w:highlight w:val="none"/>
                <w:lang w:val="en-US" w:eastAsia="zh-CN" w:bidi="ar-SA"/>
              </w:rPr>
              <w:t>产生情况</w:t>
            </w:r>
          </w:p>
          <w:p w14:paraId="1240F8C5">
            <w:pPr>
              <w:pStyle w:val="104"/>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000000"/>
                <w:sz w:val="24"/>
                <w:szCs w:val="24"/>
              </w:rPr>
            </w:pPr>
            <w:r>
              <w:rPr>
                <w:rFonts w:hint="default" w:ascii="Times New Roman" w:hAnsi="Times New Roman" w:cs="Times New Roman"/>
                <w:color w:val="000000"/>
                <w:sz w:val="24"/>
                <w:szCs w:val="24"/>
              </w:rPr>
              <w:t>项目高噪声设备主要来自车间内为烘干机、破碎机、吸料机、变压器、冷却塔、风机、水泵等设备运行噪声等，其噪声值在</w:t>
            </w:r>
            <w:r>
              <w:rPr>
                <w:rFonts w:hint="eastAsia" w:ascii="Times New Roman" w:hAnsi="Times New Roman" w:cs="Times New Roman"/>
                <w:color w:val="000000"/>
                <w:sz w:val="24"/>
                <w:szCs w:val="24"/>
                <w:lang w:val="en-US" w:eastAsia="zh-CN"/>
              </w:rPr>
              <w:t>65</w:t>
            </w:r>
            <w:r>
              <w:rPr>
                <w:rFonts w:hint="default" w:ascii="Times New Roman" w:hAnsi="Times New Roman" w:cs="Times New Roman"/>
                <w:color w:val="000000"/>
                <w:sz w:val="24"/>
                <w:szCs w:val="24"/>
              </w:rPr>
              <w:t>~1</w:t>
            </w:r>
            <w:r>
              <w:rPr>
                <w:rFonts w:hint="eastAsia" w:ascii="Times New Roman" w:hAnsi="Times New Roman" w:cs="Times New Roman"/>
                <w:color w:val="000000"/>
                <w:sz w:val="24"/>
                <w:szCs w:val="24"/>
                <w:lang w:val="en-US" w:eastAsia="zh-CN"/>
              </w:rPr>
              <w:t>85</w:t>
            </w:r>
            <w:r>
              <w:rPr>
                <w:rFonts w:hint="default" w:ascii="Times New Roman" w:hAnsi="Times New Roman" w:cs="Times New Roman"/>
                <w:color w:val="000000"/>
                <w:sz w:val="24"/>
                <w:szCs w:val="24"/>
              </w:rPr>
              <w:t>dB(A)。</w:t>
            </w:r>
          </w:p>
          <w:p w14:paraId="21AF6B12">
            <w:pPr>
              <w:pStyle w:val="104"/>
              <w:keepNext w:val="0"/>
              <w:keepLines w:val="0"/>
              <w:pageBreakBefore w:val="0"/>
              <w:widowControl/>
              <w:numPr>
                <w:ilvl w:val="0"/>
                <w:numId w:val="22"/>
              </w:numPr>
              <w:kinsoku/>
              <w:wordWrap/>
              <w:overflowPunct/>
              <w:topLinePunct w:val="0"/>
              <w:autoSpaceDE/>
              <w:autoSpaceDN/>
              <w:bidi w:val="0"/>
              <w:adjustRightInd w:val="0"/>
              <w:snapToGrid w:val="0"/>
              <w:spacing w:after="0" w:line="360" w:lineRule="auto"/>
              <w:ind w:left="80" w:leftChars="0" w:firstLineChars="0"/>
              <w:textAlignment w:val="auto"/>
              <w:rPr>
                <w:rFonts w:hint="default" w:ascii="Times New Roman" w:hAnsi="Times New Roman" w:cs="Times New Roman"/>
                <w:b/>
                <w:bCs/>
                <w:color w:val="000000"/>
                <w:sz w:val="24"/>
                <w:szCs w:val="24"/>
                <w:highlight w:val="none"/>
                <w:lang w:val="en-US" w:eastAsia="zh-CN" w:bidi="ar-SA"/>
              </w:rPr>
            </w:pPr>
            <w:r>
              <w:rPr>
                <w:rFonts w:hint="default" w:ascii="Times New Roman" w:hAnsi="Times New Roman" w:cs="Times New Roman"/>
                <w:b/>
                <w:bCs/>
                <w:color w:val="000000"/>
                <w:sz w:val="24"/>
                <w:szCs w:val="24"/>
                <w:highlight w:val="none"/>
                <w:lang w:val="en-US" w:eastAsia="zh-CN" w:bidi="ar-SA"/>
              </w:rPr>
              <w:t>治理情况</w:t>
            </w:r>
          </w:p>
          <w:p w14:paraId="7392522F">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Chars="0" w:firstLine="480" w:firstLineChars="200"/>
              <w:textAlignment w:val="auto"/>
              <w:outlineLvl w:val="9"/>
              <w:rPr>
                <w:rFonts w:hint="eastAsia" w:ascii="Times New Roman" w:hAnsi="Times New Roman" w:cs="Times New Roman"/>
                <w:color w:val="000000"/>
                <w:sz w:val="24"/>
                <w:szCs w:val="24"/>
                <w:lang w:eastAsia="zh-CN"/>
              </w:rPr>
            </w:pPr>
            <w:r>
              <w:rPr>
                <w:rFonts w:hint="eastAsia" w:ascii="Times New Roman" w:hAnsi="Times New Roman" w:cs="Times New Roman"/>
                <w:color w:val="000000"/>
                <w:sz w:val="24"/>
                <w:szCs w:val="24"/>
                <w:lang w:eastAsia="zh-CN"/>
              </w:rPr>
              <w:t>根据现场调查，建设单位已采取安装减震垫、基础固定等、优化平面布局等措施减少对周围声环境干扰。主要噪声源治理情况见表</w:t>
            </w:r>
            <w:r>
              <w:rPr>
                <w:rFonts w:hint="eastAsia" w:ascii="Times New Roman" w:hAnsi="Times New Roman" w:cs="Times New Roman"/>
                <w:color w:val="000000"/>
                <w:sz w:val="24"/>
                <w:szCs w:val="24"/>
                <w:lang w:val="en-US" w:eastAsia="zh-CN"/>
              </w:rPr>
              <w:t>2-1</w:t>
            </w:r>
            <w:r>
              <w:rPr>
                <w:rFonts w:hint="eastAsia" w:cs="Times New Roman"/>
                <w:color w:val="000000"/>
                <w:sz w:val="24"/>
                <w:szCs w:val="24"/>
                <w:lang w:val="en-US" w:eastAsia="zh-CN"/>
              </w:rPr>
              <w:t>6</w:t>
            </w:r>
            <w:r>
              <w:rPr>
                <w:rFonts w:hint="eastAsia" w:ascii="Times New Roman" w:hAnsi="Times New Roman" w:cs="Times New Roman"/>
                <w:color w:val="000000"/>
                <w:sz w:val="24"/>
                <w:szCs w:val="24"/>
                <w:lang w:eastAsia="zh-CN"/>
              </w:rPr>
              <w:t>。</w:t>
            </w:r>
          </w:p>
          <w:p w14:paraId="418042AD">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项目噪声污染源强、治理及排放情况</w:t>
            </w:r>
          </w:p>
          <w:tbl>
            <w:tblPr>
              <w:tblStyle w:val="31"/>
              <w:tblW w:w="484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68" w:type="dxa"/>
                <w:bottom w:w="0" w:type="dxa"/>
                <w:right w:w="68" w:type="dxa"/>
              </w:tblCellMar>
            </w:tblPr>
            <w:tblGrid>
              <w:gridCol w:w="1960"/>
              <w:gridCol w:w="1882"/>
              <w:gridCol w:w="1431"/>
              <w:gridCol w:w="1124"/>
              <w:gridCol w:w="1722"/>
            </w:tblGrid>
            <w:tr w14:paraId="4134AF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11" w:hRule="atLeast"/>
                <w:jc w:val="center"/>
              </w:trPr>
              <w:tc>
                <w:tcPr>
                  <w:tcW w:w="1207" w:type="pct"/>
                  <w:noWrap w:val="0"/>
                  <w:vAlign w:val="center"/>
                </w:tcPr>
                <w:p w14:paraId="71AFE7E1">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r>
                    <w:rPr>
                      <w:rFonts w:hint="eastAsia" w:ascii="宋体" w:hAnsi="宋体" w:eastAsia="宋体" w:cs="宋体"/>
                      <w:color w:val="000000"/>
                      <w:sz w:val="21"/>
                      <w:szCs w:val="21"/>
                    </w:rPr>
                    <w:t>工序/生产线</w:t>
                  </w:r>
                </w:p>
              </w:tc>
              <w:tc>
                <w:tcPr>
                  <w:tcW w:w="1159" w:type="pct"/>
                  <w:noWrap w:val="0"/>
                  <w:vAlign w:val="center"/>
                </w:tcPr>
                <w:p w14:paraId="33D830A8">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r>
                    <w:rPr>
                      <w:rFonts w:hint="eastAsia" w:ascii="宋体" w:hAnsi="宋体" w:eastAsia="宋体" w:cs="宋体"/>
                      <w:color w:val="000000"/>
                      <w:sz w:val="21"/>
                      <w:szCs w:val="21"/>
                    </w:rPr>
                    <w:t>噪声源</w:t>
                  </w:r>
                </w:p>
              </w:tc>
              <w:tc>
                <w:tcPr>
                  <w:tcW w:w="881" w:type="pct"/>
                  <w:noWrap w:val="0"/>
                  <w:vAlign w:val="center"/>
                </w:tcPr>
                <w:p w14:paraId="339EEB76">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r>
                    <w:rPr>
                      <w:rFonts w:hint="eastAsia" w:ascii="宋体" w:hAnsi="宋体" w:eastAsia="宋体" w:cs="宋体"/>
                      <w:color w:val="000000"/>
                      <w:sz w:val="21"/>
                      <w:szCs w:val="21"/>
                    </w:rPr>
                    <w:t>数量</w:t>
                  </w:r>
                </w:p>
              </w:tc>
              <w:tc>
                <w:tcPr>
                  <w:tcW w:w="691" w:type="pct"/>
                  <w:tcBorders>
                    <w:left w:val="single" w:color="auto" w:sz="4" w:space="0"/>
                  </w:tcBorders>
                  <w:noWrap w:val="0"/>
                  <w:vAlign w:val="center"/>
                </w:tcPr>
                <w:p w14:paraId="73BF8F6D">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r>
                    <w:rPr>
                      <w:rFonts w:hint="eastAsia" w:ascii="宋体" w:hAnsi="宋体" w:eastAsia="宋体" w:cs="宋体"/>
                      <w:color w:val="000000"/>
                      <w:sz w:val="21"/>
                      <w:szCs w:val="21"/>
                    </w:rPr>
                    <w:t>噪声源强</w:t>
                  </w:r>
                </w:p>
              </w:tc>
              <w:tc>
                <w:tcPr>
                  <w:tcW w:w="1060" w:type="pct"/>
                  <w:tcBorders>
                    <w:right w:val="single" w:color="auto" w:sz="4" w:space="0"/>
                  </w:tcBorders>
                  <w:noWrap w:val="0"/>
                  <w:vAlign w:val="center"/>
                </w:tcPr>
                <w:p w14:paraId="67DFAACC">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r>
                    <w:rPr>
                      <w:rFonts w:hint="eastAsia" w:ascii="宋体" w:hAnsi="宋体" w:eastAsia="宋体" w:cs="宋体"/>
                      <w:color w:val="000000"/>
                      <w:sz w:val="21"/>
                      <w:szCs w:val="21"/>
                    </w:rPr>
                    <w:t>降噪措施</w:t>
                  </w:r>
                </w:p>
              </w:tc>
            </w:tr>
            <w:tr w14:paraId="7E02F2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286" w:hRule="atLeast"/>
                <w:jc w:val="center"/>
              </w:trPr>
              <w:tc>
                <w:tcPr>
                  <w:tcW w:w="1207" w:type="pct"/>
                  <w:tcBorders>
                    <w:top w:val="single" w:color="auto" w:sz="4" w:space="0"/>
                    <w:bottom w:val="single" w:color="auto" w:sz="4" w:space="0"/>
                  </w:tcBorders>
                  <w:noWrap w:val="0"/>
                  <w:vAlign w:val="center"/>
                </w:tcPr>
                <w:p w14:paraId="70177BA8">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烘干</w:t>
                  </w:r>
                </w:p>
              </w:tc>
              <w:tc>
                <w:tcPr>
                  <w:tcW w:w="1159" w:type="pct"/>
                  <w:noWrap w:val="0"/>
                  <w:vAlign w:val="center"/>
                </w:tcPr>
                <w:p w14:paraId="2BE14BFE">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烘干机</w:t>
                  </w:r>
                </w:p>
              </w:tc>
              <w:tc>
                <w:tcPr>
                  <w:tcW w:w="881" w:type="pct"/>
                  <w:noWrap w:val="0"/>
                  <w:vAlign w:val="center"/>
                </w:tcPr>
                <w:p w14:paraId="30267D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1套</w:t>
                  </w:r>
                </w:p>
              </w:tc>
              <w:tc>
                <w:tcPr>
                  <w:tcW w:w="691" w:type="pct"/>
                  <w:noWrap w:val="0"/>
                  <w:vAlign w:val="center"/>
                </w:tcPr>
                <w:p w14:paraId="03D543E5">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75</w:t>
                  </w:r>
                </w:p>
              </w:tc>
              <w:tc>
                <w:tcPr>
                  <w:tcW w:w="1060" w:type="pct"/>
                  <w:vMerge w:val="restart"/>
                  <w:noWrap w:val="0"/>
                  <w:vAlign w:val="center"/>
                </w:tcPr>
                <w:p w14:paraId="5A3A15D5">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r>
                    <w:rPr>
                      <w:rFonts w:hint="eastAsia" w:ascii="宋体" w:hAnsi="宋体" w:eastAsia="宋体" w:cs="宋体"/>
                      <w:color w:val="000000"/>
                      <w:sz w:val="21"/>
                      <w:szCs w:val="21"/>
                    </w:rPr>
                    <w:t>厂房隔声、减振、距离衰减、规范操作</w:t>
                  </w:r>
                </w:p>
              </w:tc>
            </w:tr>
            <w:tr w14:paraId="6F7D78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restart"/>
                  <w:tcBorders>
                    <w:top w:val="single" w:color="auto" w:sz="4" w:space="0"/>
                  </w:tcBorders>
                  <w:noWrap w:val="0"/>
                  <w:vAlign w:val="center"/>
                </w:tcPr>
                <w:p w14:paraId="62444A47">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破碎、筛分、整形</w:t>
                  </w:r>
                </w:p>
              </w:tc>
              <w:tc>
                <w:tcPr>
                  <w:tcW w:w="1159" w:type="pct"/>
                  <w:noWrap w:val="0"/>
                  <w:vAlign w:val="center"/>
                </w:tcPr>
                <w:p w14:paraId="54E8E445">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机动叉车</w:t>
                  </w:r>
                </w:p>
              </w:tc>
              <w:tc>
                <w:tcPr>
                  <w:tcW w:w="881" w:type="pct"/>
                  <w:noWrap w:val="0"/>
                  <w:vAlign w:val="center"/>
                </w:tcPr>
                <w:p w14:paraId="7B099DF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3台</w:t>
                  </w:r>
                </w:p>
              </w:tc>
              <w:tc>
                <w:tcPr>
                  <w:tcW w:w="691" w:type="pct"/>
                  <w:noWrap w:val="0"/>
                  <w:vAlign w:val="center"/>
                </w:tcPr>
                <w:p w14:paraId="1575D38A">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79</w:t>
                  </w:r>
                </w:p>
              </w:tc>
              <w:tc>
                <w:tcPr>
                  <w:tcW w:w="1060" w:type="pct"/>
                  <w:vMerge w:val="continue"/>
                  <w:noWrap w:val="0"/>
                  <w:vAlign w:val="center"/>
                </w:tcPr>
                <w:p w14:paraId="0DBC81C1">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0D2068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311B9F7F">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378F42B0">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对轴破碎机</w:t>
                  </w:r>
                </w:p>
              </w:tc>
              <w:tc>
                <w:tcPr>
                  <w:tcW w:w="881" w:type="pct"/>
                  <w:noWrap w:val="0"/>
                  <w:vAlign w:val="center"/>
                </w:tcPr>
                <w:p w14:paraId="2336CFD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1套</w:t>
                  </w:r>
                </w:p>
              </w:tc>
              <w:tc>
                <w:tcPr>
                  <w:tcW w:w="691" w:type="pct"/>
                  <w:noWrap w:val="0"/>
                  <w:vAlign w:val="center"/>
                </w:tcPr>
                <w:p w14:paraId="482D0CBB">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70</w:t>
                  </w:r>
                </w:p>
              </w:tc>
              <w:tc>
                <w:tcPr>
                  <w:tcW w:w="1060" w:type="pct"/>
                  <w:vMerge w:val="continue"/>
                  <w:noWrap w:val="0"/>
                  <w:vAlign w:val="center"/>
                </w:tcPr>
                <w:p w14:paraId="1F0925D5">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684879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186" w:hRule="atLeast"/>
                <w:jc w:val="center"/>
              </w:trPr>
              <w:tc>
                <w:tcPr>
                  <w:tcW w:w="1207" w:type="pct"/>
                  <w:vMerge w:val="continue"/>
                  <w:noWrap w:val="0"/>
                  <w:vAlign w:val="center"/>
                </w:tcPr>
                <w:p w14:paraId="3FAE936A">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051C5CED">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整形机</w:t>
                  </w:r>
                </w:p>
              </w:tc>
              <w:tc>
                <w:tcPr>
                  <w:tcW w:w="881" w:type="pct"/>
                  <w:noWrap w:val="0"/>
                  <w:vAlign w:val="center"/>
                </w:tcPr>
                <w:p w14:paraId="7410D97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1套</w:t>
                  </w:r>
                </w:p>
              </w:tc>
              <w:tc>
                <w:tcPr>
                  <w:tcW w:w="691" w:type="pct"/>
                  <w:noWrap w:val="0"/>
                  <w:vAlign w:val="center"/>
                </w:tcPr>
                <w:p w14:paraId="15AB7CA1">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70</w:t>
                  </w:r>
                </w:p>
              </w:tc>
              <w:tc>
                <w:tcPr>
                  <w:tcW w:w="1060" w:type="pct"/>
                  <w:vMerge w:val="continue"/>
                  <w:noWrap w:val="0"/>
                  <w:vAlign w:val="center"/>
                </w:tcPr>
                <w:p w14:paraId="1BA6363A">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666271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tcBorders>
                    <w:bottom w:val="single" w:color="auto" w:sz="4" w:space="0"/>
                  </w:tcBorders>
                  <w:noWrap w:val="0"/>
                  <w:vAlign w:val="center"/>
                </w:tcPr>
                <w:p w14:paraId="3B4F139F">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5DF3A0C6">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冲击磨</w:t>
                  </w:r>
                </w:p>
              </w:tc>
              <w:tc>
                <w:tcPr>
                  <w:tcW w:w="881" w:type="pct"/>
                  <w:noWrap w:val="0"/>
                  <w:vAlign w:val="center"/>
                </w:tcPr>
                <w:p w14:paraId="4563A4F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4套</w:t>
                  </w:r>
                </w:p>
              </w:tc>
              <w:tc>
                <w:tcPr>
                  <w:tcW w:w="691" w:type="pct"/>
                  <w:noWrap w:val="0"/>
                  <w:vAlign w:val="center"/>
                </w:tcPr>
                <w:p w14:paraId="7A307CA4">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83</w:t>
                  </w:r>
                </w:p>
              </w:tc>
              <w:tc>
                <w:tcPr>
                  <w:tcW w:w="1060" w:type="pct"/>
                  <w:vMerge w:val="continue"/>
                  <w:noWrap w:val="0"/>
                  <w:vAlign w:val="center"/>
                </w:tcPr>
                <w:p w14:paraId="4EEC50E6">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24358B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219" w:hRule="atLeast"/>
                <w:jc w:val="center"/>
              </w:trPr>
              <w:tc>
                <w:tcPr>
                  <w:tcW w:w="1207" w:type="pct"/>
                  <w:vMerge w:val="restart"/>
                  <w:tcBorders>
                    <w:top w:val="single" w:color="auto" w:sz="4" w:space="0"/>
                  </w:tcBorders>
                  <w:noWrap w:val="0"/>
                  <w:vAlign w:val="center"/>
                </w:tcPr>
                <w:p w14:paraId="4CF92209">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成品碳化</w:t>
                  </w:r>
                </w:p>
              </w:tc>
              <w:tc>
                <w:tcPr>
                  <w:tcW w:w="1159" w:type="pct"/>
                  <w:noWrap w:val="0"/>
                  <w:vAlign w:val="center"/>
                </w:tcPr>
                <w:p w14:paraId="71362B8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氮气辊道炉</w:t>
                  </w:r>
                </w:p>
              </w:tc>
              <w:tc>
                <w:tcPr>
                  <w:tcW w:w="881" w:type="pct"/>
                  <w:noWrap w:val="0"/>
                  <w:vAlign w:val="center"/>
                </w:tcPr>
                <w:p w14:paraId="5EA53D3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cs="Times New Roman"/>
                      <w:color w:val="000000"/>
                      <w:kern w:val="0"/>
                      <w:sz w:val="21"/>
                      <w:szCs w:val="21"/>
                      <w:lang w:val="en-US" w:eastAsia="zh-CN" w:bidi="ar"/>
                    </w:rPr>
                    <w:t>2</w:t>
                  </w:r>
                  <w:r>
                    <w:rPr>
                      <w:rFonts w:hint="default" w:ascii="Times New Roman" w:hAnsi="Times New Roman" w:eastAsia="宋体" w:cs="Times New Roman"/>
                      <w:color w:val="000000"/>
                      <w:kern w:val="0"/>
                      <w:sz w:val="21"/>
                      <w:szCs w:val="21"/>
                      <w:lang w:bidi="ar"/>
                    </w:rPr>
                    <w:t>套</w:t>
                  </w:r>
                </w:p>
              </w:tc>
              <w:tc>
                <w:tcPr>
                  <w:tcW w:w="691" w:type="pct"/>
                  <w:noWrap w:val="0"/>
                  <w:vAlign w:val="center"/>
                </w:tcPr>
                <w:p w14:paraId="211C967F">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65</w:t>
                  </w:r>
                </w:p>
              </w:tc>
              <w:tc>
                <w:tcPr>
                  <w:tcW w:w="1060" w:type="pct"/>
                  <w:vMerge w:val="continue"/>
                  <w:noWrap w:val="0"/>
                  <w:vAlign w:val="center"/>
                </w:tcPr>
                <w:p w14:paraId="7FDF3E67">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3C7941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tcBorders>
                    <w:bottom w:val="single" w:color="auto" w:sz="4" w:space="0"/>
                  </w:tcBorders>
                  <w:noWrap w:val="0"/>
                  <w:vAlign w:val="center"/>
                </w:tcPr>
                <w:p w14:paraId="60A0262F">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68B4900C">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自动装炉输送线</w:t>
                  </w:r>
                </w:p>
              </w:tc>
              <w:tc>
                <w:tcPr>
                  <w:tcW w:w="881" w:type="pct"/>
                  <w:noWrap w:val="0"/>
                  <w:vAlign w:val="center"/>
                </w:tcPr>
                <w:p w14:paraId="310C4D4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2条</w:t>
                  </w:r>
                </w:p>
              </w:tc>
              <w:tc>
                <w:tcPr>
                  <w:tcW w:w="691" w:type="pct"/>
                  <w:noWrap w:val="0"/>
                  <w:vAlign w:val="center"/>
                </w:tcPr>
                <w:p w14:paraId="518D2B3E">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70</w:t>
                  </w:r>
                </w:p>
              </w:tc>
              <w:tc>
                <w:tcPr>
                  <w:tcW w:w="1060" w:type="pct"/>
                  <w:vMerge w:val="continue"/>
                  <w:noWrap w:val="0"/>
                  <w:vAlign w:val="center"/>
                </w:tcPr>
                <w:p w14:paraId="762F04B3">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328F9D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297" w:hRule="atLeast"/>
                <w:jc w:val="center"/>
              </w:trPr>
              <w:tc>
                <w:tcPr>
                  <w:tcW w:w="1207" w:type="pct"/>
                  <w:vMerge w:val="restart"/>
                  <w:tcBorders>
                    <w:top w:val="single" w:color="auto" w:sz="4" w:space="0"/>
                  </w:tcBorders>
                  <w:noWrap w:val="0"/>
                  <w:vAlign w:val="center"/>
                </w:tcPr>
                <w:p w14:paraId="0EA29D47">
                  <w:pPr>
                    <w:keepNext w:val="0"/>
                    <w:keepLines w:val="0"/>
                    <w:pageBreakBefore w:val="0"/>
                    <w:widowControl/>
                    <w:kinsoku/>
                    <w:wordWrap/>
                    <w:overflowPunct/>
                    <w:topLinePunct w:val="0"/>
                    <w:autoSpaceDE/>
                    <w:autoSpaceDN/>
                    <w:bidi w:val="0"/>
                    <w:adjustRightInd w:val="0"/>
                    <w:snapToGrid w:val="0"/>
                    <w:spacing w:after="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全厂</w:t>
                  </w:r>
                </w:p>
              </w:tc>
              <w:tc>
                <w:tcPr>
                  <w:tcW w:w="1159" w:type="pct"/>
                  <w:noWrap w:val="0"/>
                  <w:vAlign w:val="center"/>
                </w:tcPr>
                <w:p w14:paraId="6B49272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叉车</w:t>
                  </w:r>
                </w:p>
              </w:tc>
              <w:tc>
                <w:tcPr>
                  <w:tcW w:w="881" w:type="pct"/>
                  <w:noWrap w:val="0"/>
                  <w:vAlign w:val="center"/>
                </w:tcPr>
                <w:p w14:paraId="519CEC92">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2台</w:t>
                  </w:r>
                </w:p>
              </w:tc>
              <w:tc>
                <w:tcPr>
                  <w:tcW w:w="691" w:type="pct"/>
                  <w:noWrap w:val="0"/>
                  <w:vAlign w:val="center"/>
                </w:tcPr>
                <w:p w14:paraId="38CC639D">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75</w:t>
                  </w:r>
                </w:p>
              </w:tc>
              <w:tc>
                <w:tcPr>
                  <w:tcW w:w="1060" w:type="pct"/>
                  <w:vMerge w:val="continue"/>
                  <w:noWrap w:val="0"/>
                  <w:vAlign w:val="center"/>
                </w:tcPr>
                <w:p w14:paraId="00CD8997">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2C0529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6DEEDA3E">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074A1EC5">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备用柴油发电机</w:t>
                  </w:r>
                </w:p>
              </w:tc>
              <w:tc>
                <w:tcPr>
                  <w:tcW w:w="881" w:type="pct"/>
                  <w:noWrap w:val="0"/>
                  <w:vAlign w:val="center"/>
                </w:tcPr>
                <w:p w14:paraId="1A055189">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1台</w:t>
                  </w:r>
                </w:p>
              </w:tc>
              <w:tc>
                <w:tcPr>
                  <w:tcW w:w="691" w:type="pct"/>
                  <w:noWrap w:val="0"/>
                  <w:vAlign w:val="center"/>
                </w:tcPr>
                <w:p w14:paraId="74A20709">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75</w:t>
                  </w:r>
                </w:p>
              </w:tc>
              <w:tc>
                <w:tcPr>
                  <w:tcW w:w="1060" w:type="pct"/>
                  <w:vMerge w:val="continue"/>
                  <w:noWrap w:val="0"/>
                  <w:vAlign w:val="center"/>
                </w:tcPr>
                <w:p w14:paraId="52D102C0">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31A651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03247E78">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6CEE9BF8">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高低压电力系统</w:t>
                  </w:r>
                </w:p>
              </w:tc>
              <w:tc>
                <w:tcPr>
                  <w:tcW w:w="881" w:type="pct"/>
                  <w:noWrap w:val="0"/>
                  <w:vAlign w:val="center"/>
                </w:tcPr>
                <w:p w14:paraId="0685DF5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1套</w:t>
                  </w:r>
                </w:p>
              </w:tc>
              <w:tc>
                <w:tcPr>
                  <w:tcW w:w="691" w:type="pct"/>
                  <w:noWrap w:val="0"/>
                  <w:vAlign w:val="center"/>
                </w:tcPr>
                <w:p w14:paraId="168A4DD0">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65</w:t>
                  </w:r>
                </w:p>
              </w:tc>
              <w:tc>
                <w:tcPr>
                  <w:tcW w:w="1060" w:type="pct"/>
                  <w:vMerge w:val="continue"/>
                  <w:noWrap w:val="0"/>
                  <w:vAlign w:val="center"/>
                </w:tcPr>
                <w:p w14:paraId="5A074FF9">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7D09C0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6F5C770C">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63E646B3">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检验系统</w:t>
                  </w:r>
                </w:p>
              </w:tc>
              <w:tc>
                <w:tcPr>
                  <w:tcW w:w="881" w:type="pct"/>
                  <w:noWrap w:val="0"/>
                  <w:vAlign w:val="center"/>
                </w:tcPr>
                <w:p w14:paraId="1045468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1套</w:t>
                  </w:r>
                </w:p>
              </w:tc>
              <w:tc>
                <w:tcPr>
                  <w:tcW w:w="691" w:type="pct"/>
                  <w:noWrap w:val="0"/>
                  <w:vAlign w:val="center"/>
                </w:tcPr>
                <w:p w14:paraId="44353FB3">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65</w:t>
                  </w:r>
                </w:p>
              </w:tc>
              <w:tc>
                <w:tcPr>
                  <w:tcW w:w="1060" w:type="pct"/>
                  <w:vMerge w:val="continue"/>
                  <w:noWrap w:val="0"/>
                  <w:vAlign w:val="center"/>
                </w:tcPr>
                <w:p w14:paraId="5E78C5EC">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565165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4A57FEB6">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317D9C2A">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烟气处理系统</w:t>
                  </w:r>
                </w:p>
              </w:tc>
              <w:tc>
                <w:tcPr>
                  <w:tcW w:w="881" w:type="pct"/>
                  <w:noWrap w:val="0"/>
                  <w:vAlign w:val="center"/>
                </w:tcPr>
                <w:p w14:paraId="20CC0664">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1套</w:t>
                  </w:r>
                </w:p>
              </w:tc>
              <w:tc>
                <w:tcPr>
                  <w:tcW w:w="691" w:type="pct"/>
                  <w:noWrap w:val="0"/>
                  <w:vAlign w:val="center"/>
                </w:tcPr>
                <w:p w14:paraId="532BB8A3">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65</w:t>
                  </w:r>
                </w:p>
              </w:tc>
              <w:tc>
                <w:tcPr>
                  <w:tcW w:w="1060" w:type="pct"/>
                  <w:vMerge w:val="continue"/>
                  <w:noWrap w:val="0"/>
                  <w:vAlign w:val="center"/>
                </w:tcPr>
                <w:p w14:paraId="06D9352B">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75D554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075A9DBD">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254CE0ED">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袋式除尘器</w:t>
                  </w:r>
                </w:p>
              </w:tc>
              <w:tc>
                <w:tcPr>
                  <w:tcW w:w="881" w:type="pct"/>
                  <w:noWrap w:val="0"/>
                  <w:vAlign w:val="center"/>
                </w:tcPr>
                <w:p w14:paraId="4E958721">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1台</w:t>
                  </w:r>
                </w:p>
              </w:tc>
              <w:tc>
                <w:tcPr>
                  <w:tcW w:w="691" w:type="pct"/>
                  <w:noWrap w:val="0"/>
                  <w:vAlign w:val="center"/>
                </w:tcPr>
                <w:p w14:paraId="6284A007">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75</w:t>
                  </w:r>
                </w:p>
              </w:tc>
              <w:tc>
                <w:tcPr>
                  <w:tcW w:w="1060" w:type="pct"/>
                  <w:vMerge w:val="continue"/>
                  <w:noWrap w:val="0"/>
                  <w:vAlign w:val="center"/>
                </w:tcPr>
                <w:p w14:paraId="1E8DE4C7">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r w14:paraId="23CD1C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68" w:type="dxa"/>
                  <w:bottom w:w="0" w:type="dxa"/>
                  <w:right w:w="68" w:type="dxa"/>
                </w:tblCellMar>
              </w:tblPrEx>
              <w:trPr>
                <w:trHeight w:val="340" w:hRule="atLeast"/>
                <w:jc w:val="center"/>
              </w:trPr>
              <w:tc>
                <w:tcPr>
                  <w:tcW w:w="1207" w:type="pct"/>
                  <w:vMerge w:val="continue"/>
                  <w:noWrap w:val="0"/>
                  <w:vAlign w:val="center"/>
                </w:tcPr>
                <w:p w14:paraId="14BDD373">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c>
                <w:tcPr>
                  <w:tcW w:w="1159" w:type="pct"/>
                  <w:noWrap w:val="0"/>
                  <w:vAlign w:val="center"/>
                </w:tcPr>
                <w:p w14:paraId="27975C3F">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皮带输送机</w:t>
                  </w:r>
                </w:p>
              </w:tc>
              <w:tc>
                <w:tcPr>
                  <w:tcW w:w="881" w:type="pct"/>
                  <w:noWrap w:val="0"/>
                  <w:vAlign w:val="center"/>
                </w:tcPr>
                <w:p w14:paraId="3B80A54E">
                  <w:pPr>
                    <w:keepNext w:val="0"/>
                    <w:keepLines w:val="0"/>
                    <w:pageBreakBefore w:val="0"/>
                    <w:widowControl/>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lang w:bidi="ar"/>
                    </w:rPr>
                    <w:t>1套</w:t>
                  </w:r>
                </w:p>
              </w:tc>
              <w:tc>
                <w:tcPr>
                  <w:tcW w:w="691" w:type="pct"/>
                  <w:noWrap w:val="0"/>
                  <w:vAlign w:val="center"/>
                </w:tcPr>
                <w:p w14:paraId="3AB7BC37">
                  <w:pPr>
                    <w:pStyle w:val="94"/>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75</w:t>
                  </w:r>
                </w:p>
              </w:tc>
              <w:tc>
                <w:tcPr>
                  <w:tcW w:w="1060" w:type="pct"/>
                  <w:vMerge w:val="continue"/>
                  <w:noWrap w:val="0"/>
                  <w:vAlign w:val="center"/>
                </w:tcPr>
                <w:p w14:paraId="155E734F">
                  <w:pPr>
                    <w:pStyle w:val="94"/>
                    <w:keepNext w:val="0"/>
                    <w:keepLines w:val="0"/>
                    <w:pageBreakBefore w:val="0"/>
                    <w:widowControl/>
                    <w:kinsoku/>
                    <w:wordWrap/>
                    <w:overflowPunct/>
                    <w:topLinePunct w:val="0"/>
                    <w:autoSpaceDE/>
                    <w:autoSpaceDN/>
                    <w:bidi w:val="0"/>
                    <w:adjustRightInd w:val="0"/>
                    <w:snapToGrid w:val="0"/>
                    <w:spacing w:after="0"/>
                    <w:rPr>
                      <w:rFonts w:hint="eastAsia" w:ascii="宋体" w:hAnsi="宋体" w:eastAsia="宋体" w:cs="宋体"/>
                      <w:color w:val="000000"/>
                      <w:sz w:val="21"/>
                      <w:szCs w:val="21"/>
                    </w:rPr>
                  </w:pPr>
                </w:p>
              </w:tc>
            </w:tr>
          </w:tbl>
          <w:p w14:paraId="14E10483">
            <w:pPr>
              <w:pStyle w:val="30"/>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Times New Roman" w:hAnsi="Times New Roman" w:cs="Times New Roman"/>
                <w:color w:val="000000"/>
                <w:sz w:val="24"/>
                <w:szCs w:val="24"/>
                <w:lang w:eastAsia="zh-CN"/>
              </w:rPr>
            </w:pPr>
            <w:r>
              <w:rPr>
                <w:rFonts w:hint="eastAsia" w:ascii="Times New Roman" w:hAnsi="Times New Roman" w:cs="Times New Roman"/>
                <w:color w:val="000000"/>
                <w:sz w:val="24"/>
                <w:szCs w:val="24"/>
                <w:lang w:eastAsia="zh-CN"/>
              </w:rPr>
              <w:t>设备噪声在采取上述措施治理后，厂界噪声值能够达到《工业企业厂界环境噪声排放标准》（GB12348-2008）3类标准限值。</w:t>
            </w:r>
          </w:p>
          <w:p w14:paraId="05F8297F">
            <w:pPr>
              <w:pStyle w:val="101"/>
              <w:pageBreakBefore w:val="0"/>
              <w:shd w:val="clear" w:color="auto" w:fill="auto"/>
              <w:kinsoku/>
              <w:wordWrap/>
              <w:overflowPunct/>
              <w:topLinePunct w:val="0"/>
              <w:autoSpaceDE/>
              <w:autoSpaceDN/>
              <w:bidi w:val="0"/>
              <w:adjustRightInd w:val="0"/>
              <w:spacing w:before="0" w:beforeLines="0" w:after="0" w:afterLines="0" w:line="360" w:lineRule="auto"/>
              <w:ind w:firstLine="480" w:firstLineChars="200"/>
              <w:jc w:val="both"/>
              <w:rPr>
                <w:rFonts w:hint="default"/>
                <w:b w:val="0"/>
                <w:bCs/>
                <w:color w:val="000000"/>
                <w:sz w:val="24"/>
                <w:szCs w:val="24"/>
                <w:lang w:val="en-US" w:eastAsia="zh-CN"/>
              </w:rPr>
            </w:pPr>
            <w:r>
              <w:rPr>
                <w:rFonts w:hint="default"/>
                <w:b w:val="0"/>
                <w:bCs/>
                <w:color w:val="000000"/>
                <w:sz w:val="24"/>
                <w:szCs w:val="24"/>
                <w:lang w:eastAsia="zh-CN"/>
              </w:rPr>
              <w:t>噪声监测结果</w:t>
            </w:r>
            <w:r>
              <w:rPr>
                <w:rFonts w:hint="default"/>
                <w:b w:val="0"/>
                <w:bCs/>
                <w:color w:val="000000"/>
                <w:sz w:val="24"/>
                <w:szCs w:val="24"/>
              </w:rPr>
              <w:t>见表</w:t>
            </w:r>
            <w:r>
              <w:rPr>
                <w:rFonts w:hint="eastAsia"/>
                <w:b w:val="0"/>
                <w:bCs/>
                <w:color w:val="000000"/>
                <w:sz w:val="24"/>
                <w:szCs w:val="24"/>
                <w:lang w:val="en-US" w:eastAsia="zh-CN"/>
              </w:rPr>
              <w:t>2-17</w:t>
            </w:r>
            <w:r>
              <w:rPr>
                <w:rFonts w:hint="default"/>
                <w:b w:val="0"/>
                <w:bCs/>
                <w:color w:val="000000"/>
                <w:sz w:val="24"/>
                <w:szCs w:val="24"/>
              </w:rPr>
              <w:t>。</w:t>
            </w:r>
          </w:p>
          <w:p w14:paraId="3B498AAB">
            <w:pPr>
              <w:numPr>
                <w:ilvl w:val="0"/>
                <w:numId w:val="15"/>
              </w:numPr>
              <w:tabs>
                <w:tab w:val="center" w:pos="4200"/>
                <w:tab w:val="left" w:pos="6035"/>
              </w:tabs>
              <w:ind w:left="0" w:leftChars="0" w:firstLine="420" w:firstLineChars="0"/>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 xml:space="preserve"> 昼间</w:t>
            </w:r>
            <w:r>
              <w:rPr>
                <w:rFonts w:hint="default" w:ascii="Times New Roman" w:hAnsi="Times New Roman" w:eastAsia="宋体" w:cs="Times New Roman"/>
                <w:b/>
                <w:bCs/>
                <w:color w:val="auto"/>
                <w:sz w:val="24"/>
                <w:lang w:val="en-US" w:eastAsia="zh-CN"/>
              </w:rPr>
              <w:t>噪声监测结果表</w:t>
            </w:r>
          </w:p>
          <w:tbl>
            <w:tblPr>
              <w:tblStyle w:val="32"/>
              <w:tblW w:w="8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127"/>
              <w:gridCol w:w="1306"/>
              <w:gridCol w:w="1139"/>
              <w:gridCol w:w="1242"/>
              <w:gridCol w:w="1400"/>
            </w:tblGrid>
            <w:tr w14:paraId="09E7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4" w:type="dxa"/>
                  <w:vMerge w:val="restart"/>
                  <w:noWrap w:val="0"/>
                  <w:vAlign w:val="center"/>
                </w:tcPr>
                <w:p w14:paraId="78F074F2">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点位</w:t>
                  </w:r>
                </w:p>
              </w:tc>
              <w:tc>
                <w:tcPr>
                  <w:tcW w:w="2127" w:type="dxa"/>
                  <w:vMerge w:val="restart"/>
                  <w:noWrap w:val="0"/>
                  <w:vAlign w:val="center"/>
                </w:tcPr>
                <w:p w14:paraId="6D935A6C">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测量位置</w:t>
                  </w:r>
                </w:p>
              </w:tc>
              <w:tc>
                <w:tcPr>
                  <w:tcW w:w="2445" w:type="dxa"/>
                  <w:gridSpan w:val="2"/>
                  <w:noWrap w:val="0"/>
                  <w:vAlign w:val="center"/>
                </w:tcPr>
                <w:p w14:paraId="25827BCF">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检测结果LeqdB(A)</w:t>
                  </w:r>
                </w:p>
              </w:tc>
              <w:tc>
                <w:tcPr>
                  <w:tcW w:w="1242" w:type="dxa"/>
                  <w:vMerge w:val="restart"/>
                  <w:noWrap w:val="0"/>
                  <w:vAlign w:val="center"/>
                </w:tcPr>
                <w:p w14:paraId="2B604701">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标准限值</w:t>
                  </w:r>
                  <w:r>
                    <w:rPr>
                      <w:rFonts w:hint="default" w:ascii="Times New Roman" w:hAnsi="Times New Roman" w:eastAsia="宋体" w:cs="Times New Roman"/>
                      <w:b/>
                      <w:bCs/>
                      <w:color w:val="auto"/>
                      <w:sz w:val="21"/>
                      <w:szCs w:val="21"/>
                      <w:lang w:val="en-US" w:eastAsia="zh-CN"/>
                    </w:rPr>
                    <w:t>dB(A</w:t>
                  </w:r>
                </w:p>
              </w:tc>
              <w:tc>
                <w:tcPr>
                  <w:tcW w:w="1400" w:type="dxa"/>
                  <w:vMerge w:val="restart"/>
                  <w:noWrap w:val="0"/>
                  <w:vAlign w:val="center"/>
                </w:tcPr>
                <w:p w14:paraId="3CEB132B">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评价结果</w:t>
                  </w:r>
                </w:p>
              </w:tc>
            </w:tr>
            <w:tr w14:paraId="73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Merge w:val="continue"/>
                  <w:noWrap w:val="0"/>
                  <w:vAlign w:val="center"/>
                </w:tcPr>
                <w:p w14:paraId="0713E197">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rPr>
                  </w:pPr>
                </w:p>
              </w:tc>
              <w:tc>
                <w:tcPr>
                  <w:tcW w:w="2127" w:type="dxa"/>
                  <w:vMerge w:val="continue"/>
                  <w:noWrap w:val="0"/>
                  <w:vAlign w:val="center"/>
                </w:tcPr>
                <w:p w14:paraId="07B52013">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color w:val="auto"/>
                      <w:sz w:val="21"/>
                      <w:szCs w:val="21"/>
                    </w:rPr>
                  </w:pPr>
                </w:p>
              </w:tc>
              <w:tc>
                <w:tcPr>
                  <w:tcW w:w="1306" w:type="dxa"/>
                  <w:noWrap w:val="0"/>
                  <w:vAlign w:val="center"/>
                </w:tcPr>
                <w:p w14:paraId="71653C93">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昼间</w:t>
                  </w:r>
                </w:p>
              </w:tc>
              <w:tc>
                <w:tcPr>
                  <w:tcW w:w="1139" w:type="dxa"/>
                  <w:noWrap w:val="0"/>
                  <w:vAlign w:val="center"/>
                </w:tcPr>
                <w:p w14:paraId="595E0601">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eastAsia" w:ascii="Times New Roman" w:hAnsi="Times New Roman" w:cs="Times New Roman"/>
                      <w:b/>
                      <w:bCs/>
                      <w:color w:val="auto"/>
                      <w:sz w:val="21"/>
                      <w:szCs w:val="21"/>
                      <w:lang w:eastAsia="zh-CN"/>
                    </w:rPr>
                    <w:t>夜间</w:t>
                  </w:r>
                </w:p>
              </w:tc>
              <w:tc>
                <w:tcPr>
                  <w:tcW w:w="1242" w:type="dxa"/>
                  <w:vMerge w:val="continue"/>
                  <w:noWrap w:val="0"/>
                  <w:vAlign w:val="center"/>
                </w:tcPr>
                <w:p w14:paraId="21786CB1">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rPr>
                  </w:pPr>
                </w:p>
              </w:tc>
              <w:tc>
                <w:tcPr>
                  <w:tcW w:w="1400" w:type="dxa"/>
                  <w:vMerge w:val="continue"/>
                  <w:noWrap w:val="0"/>
                  <w:vAlign w:val="center"/>
                </w:tcPr>
                <w:p w14:paraId="60D8A4E1">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rPr>
                  </w:pPr>
                </w:p>
              </w:tc>
            </w:tr>
            <w:tr w14:paraId="005F8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804" w:type="dxa"/>
                  <w:noWrap w:val="0"/>
                  <w:vAlign w:val="center"/>
                </w:tcPr>
                <w:p w14:paraId="035B09AB">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127" w:type="dxa"/>
                  <w:noWrap w:val="0"/>
                  <w:vAlign w:val="center"/>
                </w:tcPr>
                <w:p w14:paraId="6C4844AB">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vertAlign w:val="baseline"/>
                      <w:lang w:val="en-US" w:eastAsia="zh-CN"/>
                    </w:rPr>
                    <w:t>厂界东</w:t>
                  </w:r>
                  <w:r>
                    <w:rPr>
                      <w:rFonts w:hint="eastAsia" w:cs="Times New Roman"/>
                      <w:color w:val="auto"/>
                      <w:sz w:val="21"/>
                      <w:szCs w:val="21"/>
                      <w:highlight w:val="none"/>
                      <w:vertAlign w:val="baseline"/>
                      <w:lang w:val="en-US" w:eastAsia="zh-CN"/>
                    </w:rPr>
                    <w:t>北</w:t>
                  </w:r>
                  <w:r>
                    <w:rPr>
                      <w:rFonts w:hint="eastAsia" w:ascii="Times New Roman" w:hAnsi="Times New Roman" w:eastAsia="宋体" w:cs="Times New Roman"/>
                      <w:color w:val="auto"/>
                      <w:sz w:val="21"/>
                      <w:szCs w:val="21"/>
                      <w:highlight w:val="none"/>
                      <w:vertAlign w:val="baseline"/>
                      <w:lang w:val="en-US" w:eastAsia="zh-CN"/>
                    </w:rPr>
                    <w:t>侧外1</w:t>
                  </w:r>
                  <w:r>
                    <w:rPr>
                      <w:rFonts w:hint="eastAsia" w:ascii="Times New Roman" w:hAnsi="Times New Roman" w:eastAsia="宋体" w:cs="Times New Roman"/>
                      <w:b w:val="0"/>
                      <w:bCs w:val="0"/>
                      <w:color w:val="auto"/>
                      <w:kern w:val="2"/>
                      <w:sz w:val="21"/>
                      <w:szCs w:val="21"/>
                      <w:highlight w:val="none"/>
                      <w:vertAlign w:val="baseline"/>
                      <w:lang w:val="en-US" w:eastAsia="zh-CN" w:bidi="ar-SA"/>
                    </w:rPr>
                    <w:t>m</w:t>
                  </w:r>
                </w:p>
              </w:tc>
              <w:tc>
                <w:tcPr>
                  <w:tcW w:w="1306" w:type="dxa"/>
                  <w:noWrap w:val="0"/>
                  <w:vAlign w:val="center"/>
                </w:tcPr>
                <w:p w14:paraId="2FE5AE18">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57.2</w:t>
                  </w:r>
                </w:p>
              </w:tc>
              <w:tc>
                <w:tcPr>
                  <w:tcW w:w="1139" w:type="dxa"/>
                  <w:noWrap w:val="0"/>
                  <w:vAlign w:val="center"/>
                </w:tcPr>
                <w:p w14:paraId="6E1D0E75">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47.1</w:t>
                  </w:r>
                </w:p>
              </w:tc>
              <w:tc>
                <w:tcPr>
                  <w:tcW w:w="1242" w:type="dxa"/>
                  <w:vMerge w:val="restart"/>
                  <w:noWrap w:val="0"/>
                  <w:vAlign w:val="center"/>
                </w:tcPr>
                <w:p w14:paraId="3763E69B">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both"/>
                    <w:textAlignment w:val="auto"/>
                    <w:outlineLvl w:val="9"/>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昼间：6</w:t>
                  </w:r>
                  <w:r>
                    <w:rPr>
                      <w:rFonts w:hint="eastAsia" w:ascii="Times New Roman" w:hAnsi="Times New Roman" w:eastAsia="宋体" w:cs="Times New Roman"/>
                      <w:color w:val="auto"/>
                      <w:sz w:val="21"/>
                      <w:szCs w:val="21"/>
                      <w:lang w:val="en-US" w:eastAsia="zh-CN" w:bidi="ar-SA"/>
                    </w:rPr>
                    <w:t>5</w:t>
                  </w:r>
                </w:p>
                <w:p w14:paraId="4CF6A059">
                  <w:pPr>
                    <w:rPr>
                      <w:rFonts w:hint="default"/>
                      <w:color w:val="auto"/>
                      <w:lang w:val="en-US" w:eastAsia="zh-CN"/>
                    </w:rPr>
                  </w:pPr>
                  <w:r>
                    <w:rPr>
                      <w:rFonts w:hint="eastAsia" w:ascii="Times New Roman" w:hAnsi="Times New Roman" w:cs="Times New Roman"/>
                      <w:color w:val="auto"/>
                      <w:sz w:val="21"/>
                      <w:szCs w:val="21"/>
                      <w:lang w:val="en-US" w:eastAsia="zh-CN"/>
                    </w:rPr>
                    <w:t>夜间：55</w:t>
                  </w:r>
                </w:p>
              </w:tc>
              <w:tc>
                <w:tcPr>
                  <w:tcW w:w="1400" w:type="dxa"/>
                  <w:noWrap w:val="0"/>
                  <w:vAlign w:val="center"/>
                </w:tcPr>
                <w:p w14:paraId="0C54D6CC">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达标</w:t>
                  </w:r>
                </w:p>
              </w:tc>
            </w:tr>
            <w:tr w14:paraId="6100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804" w:type="dxa"/>
                  <w:noWrap w:val="0"/>
                  <w:vAlign w:val="center"/>
                </w:tcPr>
                <w:p w14:paraId="16077BA8">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2127" w:type="dxa"/>
                  <w:noWrap w:val="0"/>
                  <w:vAlign w:val="center"/>
                </w:tcPr>
                <w:p w14:paraId="231E62B3">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vertAlign w:val="baseline"/>
                      <w:lang w:val="en-US" w:eastAsia="zh-CN"/>
                    </w:rPr>
                    <w:t>厂界</w:t>
                  </w:r>
                  <w:r>
                    <w:rPr>
                      <w:rFonts w:hint="eastAsia" w:cs="Times New Roman"/>
                      <w:color w:val="auto"/>
                      <w:sz w:val="21"/>
                      <w:szCs w:val="21"/>
                      <w:highlight w:val="none"/>
                      <w:vertAlign w:val="baseline"/>
                      <w:lang w:val="en-US" w:eastAsia="zh-CN"/>
                    </w:rPr>
                    <w:t>西北</w:t>
                  </w:r>
                  <w:r>
                    <w:rPr>
                      <w:rFonts w:hint="eastAsia" w:ascii="Times New Roman" w:hAnsi="Times New Roman" w:eastAsia="宋体" w:cs="Times New Roman"/>
                      <w:color w:val="auto"/>
                      <w:sz w:val="21"/>
                      <w:szCs w:val="21"/>
                      <w:highlight w:val="none"/>
                      <w:lang w:eastAsia="zh-CN"/>
                    </w:rPr>
                    <w:t>侧</w:t>
                  </w:r>
                  <w:r>
                    <w:rPr>
                      <w:rFonts w:hint="eastAsia" w:ascii="Times New Roman" w:hAnsi="Times New Roman" w:eastAsia="宋体" w:cs="Times New Roman"/>
                      <w:color w:val="auto"/>
                      <w:sz w:val="21"/>
                      <w:szCs w:val="21"/>
                      <w:highlight w:val="none"/>
                      <w:vertAlign w:val="baseline"/>
                      <w:lang w:val="en-US" w:eastAsia="zh-CN"/>
                    </w:rPr>
                    <w:t>外1</w:t>
                  </w:r>
                  <w:r>
                    <w:rPr>
                      <w:rFonts w:hint="eastAsia" w:ascii="Times New Roman" w:hAnsi="Times New Roman" w:eastAsia="宋体" w:cs="Times New Roman"/>
                      <w:b w:val="0"/>
                      <w:bCs w:val="0"/>
                      <w:color w:val="auto"/>
                      <w:kern w:val="2"/>
                      <w:sz w:val="21"/>
                      <w:szCs w:val="21"/>
                      <w:highlight w:val="none"/>
                      <w:vertAlign w:val="baseline"/>
                      <w:lang w:val="en-US" w:eastAsia="zh-CN" w:bidi="ar-SA"/>
                    </w:rPr>
                    <w:t>m</w:t>
                  </w:r>
                </w:p>
              </w:tc>
              <w:tc>
                <w:tcPr>
                  <w:tcW w:w="1306" w:type="dxa"/>
                  <w:noWrap w:val="0"/>
                  <w:vAlign w:val="center"/>
                </w:tcPr>
                <w:p w14:paraId="180819FF">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55.2</w:t>
                  </w:r>
                </w:p>
              </w:tc>
              <w:tc>
                <w:tcPr>
                  <w:tcW w:w="1139" w:type="dxa"/>
                  <w:noWrap w:val="0"/>
                  <w:vAlign w:val="center"/>
                </w:tcPr>
                <w:p w14:paraId="3BC32285">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45.7</w:t>
                  </w:r>
                </w:p>
              </w:tc>
              <w:tc>
                <w:tcPr>
                  <w:tcW w:w="1242" w:type="dxa"/>
                  <w:vMerge w:val="continue"/>
                  <w:noWrap w:val="0"/>
                  <w:vAlign w:val="center"/>
                </w:tcPr>
                <w:p w14:paraId="612B3D56">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color w:val="auto"/>
                      <w:sz w:val="21"/>
                      <w:szCs w:val="21"/>
                    </w:rPr>
                  </w:pPr>
                </w:p>
              </w:tc>
              <w:tc>
                <w:tcPr>
                  <w:tcW w:w="1400" w:type="dxa"/>
                  <w:noWrap w:val="0"/>
                  <w:vAlign w:val="center"/>
                </w:tcPr>
                <w:p w14:paraId="765B25F3">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达标</w:t>
                  </w:r>
                </w:p>
              </w:tc>
            </w:tr>
            <w:tr w14:paraId="1804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center"/>
                </w:tcPr>
                <w:p w14:paraId="0D661334">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2127" w:type="dxa"/>
                  <w:noWrap w:val="0"/>
                  <w:vAlign w:val="center"/>
                </w:tcPr>
                <w:p w14:paraId="2FAE4350">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vertAlign w:val="baseline"/>
                      <w:lang w:val="en-US" w:eastAsia="zh-CN"/>
                    </w:rPr>
                    <w:t>厂界</w:t>
                  </w:r>
                  <w:r>
                    <w:rPr>
                      <w:rFonts w:hint="default" w:ascii="Times New Roman" w:hAnsi="Times New Roman" w:eastAsia="宋体" w:cs="Times New Roman"/>
                      <w:color w:val="auto"/>
                      <w:sz w:val="21"/>
                      <w:szCs w:val="21"/>
                      <w:highlight w:val="none"/>
                      <w:vertAlign w:val="baseline"/>
                      <w:lang w:eastAsia="zh-CN"/>
                    </w:rPr>
                    <w:t>西</w:t>
                  </w:r>
                  <w:r>
                    <w:rPr>
                      <w:rFonts w:hint="eastAsia" w:cs="Times New Roman"/>
                      <w:color w:val="auto"/>
                      <w:sz w:val="21"/>
                      <w:szCs w:val="21"/>
                      <w:highlight w:val="none"/>
                      <w:vertAlign w:val="baseline"/>
                      <w:lang w:eastAsia="zh-CN"/>
                    </w:rPr>
                    <w:t>南</w:t>
                  </w:r>
                  <w:r>
                    <w:rPr>
                      <w:rFonts w:hint="eastAsia" w:ascii="Times New Roman" w:hAnsi="Times New Roman" w:eastAsia="宋体" w:cs="Times New Roman"/>
                      <w:color w:val="auto"/>
                      <w:sz w:val="21"/>
                      <w:szCs w:val="21"/>
                      <w:highlight w:val="none"/>
                      <w:vertAlign w:val="baseline"/>
                      <w:lang w:val="en-US" w:eastAsia="zh-CN"/>
                    </w:rPr>
                    <w:t>侧外1</w:t>
                  </w:r>
                  <w:r>
                    <w:rPr>
                      <w:rFonts w:hint="eastAsia" w:ascii="Times New Roman" w:hAnsi="Times New Roman" w:eastAsia="宋体" w:cs="Times New Roman"/>
                      <w:b w:val="0"/>
                      <w:bCs w:val="0"/>
                      <w:color w:val="auto"/>
                      <w:kern w:val="2"/>
                      <w:sz w:val="21"/>
                      <w:szCs w:val="21"/>
                      <w:highlight w:val="none"/>
                      <w:vertAlign w:val="baseline"/>
                      <w:lang w:val="en-US" w:eastAsia="zh-CN" w:bidi="ar-SA"/>
                    </w:rPr>
                    <w:t>m</w:t>
                  </w:r>
                </w:p>
              </w:tc>
              <w:tc>
                <w:tcPr>
                  <w:tcW w:w="1306" w:type="dxa"/>
                  <w:noWrap w:val="0"/>
                  <w:vAlign w:val="center"/>
                </w:tcPr>
                <w:p w14:paraId="19CDEB2B">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57.1</w:t>
                  </w:r>
                </w:p>
              </w:tc>
              <w:tc>
                <w:tcPr>
                  <w:tcW w:w="1139" w:type="dxa"/>
                  <w:noWrap w:val="0"/>
                  <w:vAlign w:val="center"/>
                </w:tcPr>
                <w:p w14:paraId="32FCED99">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44.7</w:t>
                  </w:r>
                </w:p>
              </w:tc>
              <w:tc>
                <w:tcPr>
                  <w:tcW w:w="1242" w:type="dxa"/>
                  <w:vMerge w:val="continue"/>
                  <w:noWrap w:val="0"/>
                  <w:vAlign w:val="center"/>
                </w:tcPr>
                <w:p w14:paraId="459545D8">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color w:val="auto"/>
                      <w:sz w:val="21"/>
                      <w:szCs w:val="21"/>
                    </w:rPr>
                  </w:pPr>
                </w:p>
              </w:tc>
              <w:tc>
                <w:tcPr>
                  <w:tcW w:w="1400" w:type="dxa"/>
                  <w:noWrap w:val="0"/>
                  <w:vAlign w:val="center"/>
                </w:tcPr>
                <w:p w14:paraId="695F5982">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达标</w:t>
                  </w:r>
                </w:p>
              </w:tc>
            </w:tr>
            <w:tr w14:paraId="13C0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center"/>
                </w:tcPr>
                <w:p w14:paraId="6F8D4E80">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2127" w:type="dxa"/>
                  <w:noWrap w:val="0"/>
                  <w:vAlign w:val="center"/>
                </w:tcPr>
                <w:p w14:paraId="4D4A884D">
                  <w:pPr>
                    <w:numPr>
                      <w:ilvl w:val="0"/>
                      <w:numId w:val="0"/>
                    </w:num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eastAsia" w:ascii="Times New Roman" w:hAnsi="Times New Roman" w:eastAsia="宋体" w:cs="Times New Roman"/>
                      <w:color w:val="auto"/>
                      <w:sz w:val="21"/>
                      <w:szCs w:val="21"/>
                      <w:highlight w:val="none"/>
                      <w:vertAlign w:val="baseline"/>
                      <w:lang w:val="en-US" w:eastAsia="zh-CN"/>
                    </w:rPr>
                    <w:t>厂界</w:t>
                  </w:r>
                  <w:r>
                    <w:rPr>
                      <w:rFonts w:hint="eastAsia" w:cs="Times New Roman"/>
                      <w:color w:val="auto"/>
                      <w:sz w:val="21"/>
                      <w:szCs w:val="21"/>
                      <w:highlight w:val="none"/>
                      <w:vertAlign w:val="baseline"/>
                      <w:lang w:val="en-US" w:eastAsia="zh-CN"/>
                    </w:rPr>
                    <w:t>东南</w:t>
                  </w:r>
                  <w:r>
                    <w:rPr>
                      <w:rFonts w:hint="eastAsia" w:ascii="Times New Roman" w:hAnsi="Times New Roman" w:eastAsia="宋体" w:cs="Times New Roman"/>
                      <w:color w:val="auto"/>
                      <w:sz w:val="21"/>
                      <w:szCs w:val="21"/>
                      <w:highlight w:val="none"/>
                      <w:lang w:eastAsia="zh-CN"/>
                    </w:rPr>
                    <w:t>侧</w:t>
                  </w:r>
                  <w:r>
                    <w:rPr>
                      <w:rFonts w:hint="eastAsia" w:ascii="Times New Roman" w:hAnsi="Times New Roman" w:eastAsia="宋体" w:cs="Times New Roman"/>
                      <w:color w:val="auto"/>
                      <w:sz w:val="21"/>
                      <w:szCs w:val="21"/>
                      <w:highlight w:val="none"/>
                      <w:vertAlign w:val="baseline"/>
                      <w:lang w:val="en-US" w:eastAsia="zh-CN"/>
                    </w:rPr>
                    <w:t>外1</w:t>
                  </w:r>
                  <w:r>
                    <w:rPr>
                      <w:rFonts w:hint="eastAsia" w:ascii="Times New Roman" w:hAnsi="Times New Roman" w:eastAsia="宋体" w:cs="Times New Roman"/>
                      <w:b w:val="0"/>
                      <w:bCs w:val="0"/>
                      <w:color w:val="auto"/>
                      <w:kern w:val="2"/>
                      <w:sz w:val="21"/>
                      <w:szCs w:val="21"/>
                      <w:highlight w:val="none"/>
                      <w:vertAlign w:val="baseline"/>
                      <w:lang w:val="en-US" w:eastAsia="zh-CN" w:bidi="ar-SA"/>
                    </w:rPr>
                    <w:t>m</w:t>
                  </w:r>
                </w:p>
              </w:tc>
              <w:tc>
                <w:tcPr>
                  <w:tcW w:w="1306" w:type="dxa"/>
                  <w:noWrap w:val="0"/>
                  <w:vAlign w:val="center"/>
                </w:tcPr>
                <w:p w14:paraId="170EE8F6">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56.1</w:t>
                  </w:r>
                </w:p>
              </w:tc>
              <w:tc>
                <w:tcPr>
                  <w:tcW w:w="1139" w:type="dxa"/>
                  <w:noWrap w:val="0"/>
                  <w:vAlign w:val="center"/>
                </w:tcPr>
                <w:p w14:paraId="7A26E6A2">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46.2</w:t>
                  </w:r>
                </w:p>
              </w:tc>
              <w:tc>
                <w:tcPr>
                  <w:tcW w:w="1242" w:type="dxa"/>
                  <w:vMerge w:val="continue"/>
                  <w:noWrap w:val="0"/>
                  <w:vAlign w:val="center"/>
                </w:tcPr>
                <w:p w14:paraId="79E71223">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color w:val="auto"/>
                      <w:sz w:val="21"/>
                      <w:szCs w:val="21"/>
                    </w:rPr>
                  </w:pPr>
                </w:p>
              </w:tc>
              <w:tc>
                <w:tcPr>
                  <w:tcW w:w="1400" w:type="dxa"/>
                  <w:noWrap w:val="0"/>
                  <w:vAlign w:val="center"/>
                </w:tcPr>
                <w:p w14:paraId="5B12A0A1">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达标</w:t>
                  </w:r>
                </w:p>
              </w:tc>
            </w:tr>
          </w:tbl>
          <w:p w14:paraId="0671DF14">
            <w:pPr>
              <w:pStyle w:val="10"/>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after="0" w:line="360" w:lineRule="auto"/>
              <w:ind w:firstLine="482" w:firstLineChars="200"/>
              <w:jc w:val="both"/>
              <w:textAlignment w:val="auto"/>
              <w:outlineLvl w:val="9"/>
              <w:rPr>
                <w:rFonts w:hint="eastAsia"/>
                <w:b/>
                <w:bCs/>
                <w:color w:val="000000"/>
                <w:sz w:val="24"/>
                <w:szCs w:val="24"/>
                <w:lang w:eastAsia="zh-CN"/>
              </w:rPr>
            </w:pPr>
            <w:r>
              <w:rPr>
                <w:rFonts w:hint="eastAsia"/>
                <w:b/>
                <w:bCs/>
                <w:color w:val="000000"/>
                <w:sz w:val="24"/>
                <w:szCs w:val="24"/>
              </w:rPr>
              <w:t>由上表结果可知：</w:t>
            </w:r>
            <w:r>
              <w:rPr>
                <w:rFonts w:hint="default"/>
                <w:b/>
                <w:bCs/>
                <w:color w:val="000000"/>
                <w:sz w:val="24"/>
                <w:szCs w:val="24"/>
                <w:lang w:eastAsia="zh-CN"/>
              </w:rPr>
              <w:t>该项目监测点位昼间</w:t>
            </w:r>
            <w:r>
              <w:rPr>
                <w:rFonts w:hint="eastAsia"/>
                <w:b/>
                <w:bCs/>
                <w:color w:val="000000"/>
                <w:sz w:val="24"/>
                <w:szCs w:val="24"/>
                <w:lang w:eastAsia="zh-CN"/>
              </w:rPr>
              <w:t>、夜间</w:t>
            </w:r>
            <w:r>
              <w:rPr>
                <w:rFonts w:hint="default"/>
                <w:b/>
                <w:bCs/>
                <w:color w:val="000000"/>
                <w:sz w:val="24"/>
                <w:szCs w:val="24"/>
                <w:lang w:eastAsia="zh-CN"/>
              </w:rPr>
              <w:t>厂界噪声满足《工业企业厂界环境噪声排放标准》（GB12348-2008）</w:t>
            </w:r>
            <w:r>
              <w:rPr>
                <w:rFonts w:hint="eastAsia"/>
                <w:b/>
                <w:bCs/>
                <w:color w:val="000000"/>
                <w:sz w:val="24"/>
                <w:szCs w:val="24"/>
                <w:lang w:val="en-US" w:eastAsia="zh-CN"/>
              </w:rPr>
              <w:t>3</w:t>
            </w:r>
            <w:r>
              <w:rPr>
                <w:rFonts w:hint="default"/>
                <w:b/>
                <w:bCs/>
                <w:color w:val="000000"/>
                <w:sz w:val="24"/>
                <w:szCs w:val="24"/>
                <w:lang w:eastAsia="zh-CN"/>
              </w:rPr>
              <w:t>类标准</w:t>
            </w:r>
            <w:r>
              <w:rPr>
                <w:rFonts w:hint="eastAsia"/>
                <w:b/>
                <w:bCs/>
                <w:color w:val="000000"/>
                <w:sz w:val="24"/>
                <w:szCs w:val="24"/>
                <w:lang w:eastAsia="zh-CN"/>
              </w:rPr>
              <w:t>要求。</w:t>
            </w:r>
          </w:p>
          <w:p w14:paraId="4B4DFA87">
            <w:pPr>
              <w:spacing w:line="360" w:lineRule="auto"/>
              <w:ind w:firstLine="480" w:firstLineChars="200"/>
              <w:rPr>
                <w:rFonts w:hint="default"/>
                <w:color w:val="000000"/>
                <w:lang w:val="en-US" w:eastAsia="zh-CN"/>
              </w:rPr>
            </w:pPr>
            <w:r>
              <w:rPr>
                <w:rFonts w:hint="eastAsia" w:cs="Times New Roman"/>
                <w:color w:val="000000"/>
                <w:sz w:val="24"/>
                <w:szCs w:val="24"/>
                <w:lang w:val="en-US" w:eastAsia="zh-CN"/>
              </w:rPr>
              <w:t>存在问题及整改措施：无</w:t>
            </w:r>
          </w:p>
          <w:p w14:paraId="75E9E661">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Chars="200"/>
              <w:textAlignment w:val="auto"/>
              <w:outlineLvl w:val="9"/>
              <w:rPr>
                <w:rFonts w:hint="default" w:ascii="Times New Roman" w:hAnsi="Times New Roman" w:eastAsia="宋体" w:cs="Times New Roman"/>
                <w:b/>
                <w:bCs/>
                <w:color w:val="000000"/>
                <w:sz w:val="24"/>
                <w:szCs w:val="24"/>
              </w:rPr>
            </w:pPr>
            <w:r>
              <w:rPr>
                <w:rFonts w:hint="default" w:ascii="Times New Roman" w:hAnsi="Times New Roman" w:cs="Times New Roman"/>
                <w:b/>
                <w:bCs/>
                <w:color w:val="000000"/>
                <w:sz w:val="24"/>
                <w:szCs w:val="24"/>
                <w:lang w:eastAsia="zh-CN"/>
              </w:rPr>
              <w:t>（四）</w:t>
            </w:r>
            <w:r>
              <w:rPr>
                <w:rFonts w:hint="default" w:ascii="Times New Roman" w:hAnsi="Times New Roman" w:eastAsia="宋体" w:cs="Times New Roman"/>
                <w:b/>
                <w:bCs/>
                <w:color w:val="000000"/>
                <w:sz w:val="24"/>
                <w:szCs w:val="24"/>
                <w:lang w:eastAsia="zh-CN"/>
              </w:rPr>
              <w:t>固体废弃物</w:t>
            </w:r>
            <w:r>
              <w:rPr>
                <w:rFonts w:hint="default" w:ascii="Times New Roman" w:hAnsi="Times New Roman" w:eastAsia="宋体" w:cs="Times New Roman"/>
                <w:b/>
                <w:bCs/>
                <w:color w:val="000000"/>
                <w:sz w:val="24"/>
                <w:szCs w:val="24"/>
              </w:rPr>
              <w:t>的产生及治理</w:t>
            </w:r>
          </w:p>
          <w:p w14:paraId="3CCAB48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宋体" w:cs="Times New Roman"/>
                <w:color w:val="000000"/>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bidi="ar-SA"/>
              </w:rPr>
              <w:t>本项目营运期产生的固废主要为废包装材料、石膏</w:t>
            </w:r>
            <w:r>
              <w:rPr>
                <w:rFonts w:hint="eastAsia" w:ascii="Times New Roman" w:hAnsi="Times New Roman" w:cs="Times New Roman"/>
                <w:color w:val="000000"/>
                <w:sz w:val="24"/>
                <w:szCs w:val="24"/>
                <w:highlight w:val="none"/>
                <w:lang w:val="en-US" w:eastAsia="zh-CN" w:bidi="ar-SA"/>
              </w:rPr>
              <w:t>、沉淀池污泥、生活垃圾、餐厨垃圾及隔油池废油脂、废机油/润滑油、</w:t>
            </w:r>
            <w:r>
              <w:rPr>
                <w:rFonts w:hint="default" w:ascii="Times New Roman" w:hAnsi="Times New Roman" w:eastAsia="宋体" w:cs="Times New Roman"/>
                <w:color w:val="000000"/>
                <w:sz w:val="24"/>
                <w:szCs w:val="24"/>
                <w:highlight w:val="none"/>
                <w:lang w:val="en-US" w:eastAsia="zh-CN" w:bidi="ar-SA"/>
              </w:rPr>
              <w:t>废手套、抹布等。</w:t>
            </w:r>
          </w:p>
          <w:p w14:paraId="30C9EE9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宋体" w:cs="Times New Roman"/>
                <w:color w:val="000000"/>
                <w:sz w:val="24"/>
                <w:szCs w:val="24"/>
                <w:highlight w:val="none"/>
                <w:lang w:val="en-US" w:eastAsia="zh-CN" w:bidi="ar-SA"/>
              </w:rPr>
            </w:pPr>
            <w:r>
              <w:rPr>
                <w:rFonts w:hint="default" w:ascii="Times New Roman" w:hAnsi="Times New Roman" w:cs="Times New Roman"/>
                <w:color w:val="000000"/>
                <w:sz w:val="24"/>
                <w:szCs w:val="24"/>
                <w:highlight w:val="none"/>
                <w:lang w:val="en-US" w:eastAsia="zh-CN" w:bidi="ar-SA"/>
              </w:rPr>
              <w:t>本项目固废产生情况和处置情况见表</w:t>
            </w:r>
            <w:r>
              <w:rPr>
                <w:rFonts w:hint="eastAsia" w:ascii="Times New Roman" w:hAnsi="Times New Roman" w:cs="Times New Roman"/>
                <w:color w:val="000000"/>
                <w:sz w:val="24"/>
                <w:szCs w:val="24"/>
                <w:highlight w:val="none"/>
                <w:lang w:val="en-US" w:eastAsia="zh-CN" w:bidi="ar-SA"/>
              </w:rPr>
              <w:t>2-</w:t>
            </w:r>
            <w:r>
              <w:rPr>
                <w:rFonts w:hint="eastAsia" w:cs="Times New Roman"/>
                <w:color w:val="000000"/>
                <w:sz w:val="24"/>
                <w:szCs w:val="24"/>
                <w:highlight w:val="none"/>
                <w:lang w:val="en-US" w:eastAsia="zh-CN" w:bidi="ar-SA"/>
              </w:rPr>
              <w:t>18</w:t>
            </w:r>
            <w:r>
              <w:rPr>
                <w:rFonts w:hint="default" w:ascii="Times New Roman" w:hAnsi="Times New Roman" w:cs="Times New Roman"/>
                <w:color w:val="000000"/>
                <w:sz w:val="24"/>
                <w:szCs w:val="24"/>
                <w:highlight w:val="none"/>
                <w:lang w:val="en-US" w:eastAsia="zh-CN" w:bidi="ar-SA"/>
              </w:rPr>
              <w:t>。</w:t>
            </w:r>
          </w:p>
          <w:p w14:paraId="59D26632">
            <w:pPr>
              <w:numPr>
                <w:ilvl w:val="0"/>
                <w:numId w:val="15"/>
              </w:numPr>
              <w:tabs>
                <w:tab w:val="center" w:pos="4200"/>
                <w:tab w:val="left" w:pos="6035"/>
              </w:tabs>
              <w:ind w:left="0" w:leftChars="0" w:firstLine="420" w:firstLine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b/>
                <w:bCs/>
                <w:color w:val="000000"/>
                <w:sz w:val="24"/>
                <w:lang w:val="en-US" w:eastAsia="zh-CN"/>
              </w:rPr>
              <w:t xml:space="preserve">  </w:t>
            </w:r>
            <w:r>
              <w:rPr>
                <w:rFonts w:hint="eastAsia" w:ascii="Times New Roman" w:hAnsi="Times New Roman" w:eastAsia="宋体" w:cs="Times New Roman"/>
                <w:b/>
                <w:bCs/>
                <w:color w:val="000000"/>
                <w:sz w:val="24"/>
                <w:lang w:val="en-US" w:eastAsia="zh-CN"/>
              </w:rPr>
              <w:t>一般</w:t>
            </w:r>
            <w:r>
              <w:rPr>
                <w:rFonts w:hint="default" w:ascii="Times New Roman" w:hAnsi="Times New Roman" w:eastAsia="宋体" w:cs="Times New Roman"/>
                <w:b/>
                <w:bCs/>
                <w:color w:val="000000"/>
                <w:sz w:val="24"/>
                <w:lang w:val="en-US" w:eastAsia="zh-CN"/>
              </w:rPr>
              <w:t>固体废物产生、处置情况</w:t>
            </w:r>
          </w:p>
          <w:tbl>
            <w:tblPr>
              <w:tblStyle w:val="31"/>
              <w:tblW w:w="820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52"/>
              <w:gridCol w:w="1487"/>
              <w:gridCol w:w="1000"/>
              <w:gridCol w:w="1185"/>
              <w:gridCol w:w="3684"/>
            </w:tblGrid>
            <w:tr w14:paraId="79E24F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center"/>
              </w:trPr>
              <w:tc>
                <w:tcPr>
                  <w:tcW w:w="852" w:type="dxa"/>
                  <w:noWrap w:val="0"/>
                  <w:vAlign w:val="center"/>
                </w:tcPr>
                <w:p w14:paraId="7D4D65EF">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color w:val="000000"/>
                      <w:sz w:val="21"/>
                      <w:szCs w:val="21"/>
                      <w:lang w:eastAsia="zh-CN"/>
                    </w:rPr>
                  </w:pPr>
                  <w:r>
                    <w:rPr>
                      <w:rFonts w:hint="eastAsia" w:ascii="Times New Roman" w:hAnsi="Times New Roman" w:cs="Times New Roman"/>
                      <w:b/>
                      <w:bCs/>
                      <w:color w:val="000000"/>
                      <w:sz w:val="21"/>
                      <w:szCs w:val="21"/>
                      <w:lang w:eastAsia="zh-CN"/>
                    </w:rPr>
                    <w:t>序号</w:t>
                  </w:r>
                </w:p>
              </w:tc>
              <w:tc>
                <w:tcPr>
                  <w:tcW w:w="1487" w:type="dxa"/>
                  <w:tcBorders>
                    <w:bottom w:val="single" w:color="auto" w:sz="4" w:space="0"/>
                  </w:tcBorders>
                  <w:noWrap w:val="0"/>
                  <w:vAlign w:val="center"/>
                </w:tcPr>
                <w:p w14:paraId="6CC6386C">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固废名称</w:t>
                  </w:r>
                </w:p>
              </w:tc>
              <w:tc>
                <w:tcPr>
                  <w:tcW w:w="1000" w:type="dxa"/>
                  <w:tcBorders>
                    <w:bottom w:val="single" w:color="auto" w:sz="4" w:space="0"/>
                  </w:tcBorders>
                  <w:noWrap w:val="0"/>
                  <w:vAlign w:val="center"/>
                </w:tcPr>
                <w:p w14:paraId="2A456E89">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固废属性</w:t>
                  </w:r>
                </w:p>
              </w:tc>
              <w:tc>
                <w:tcPr>
                  <w:tcW w:w="1185" w:type="dxa"/>
                  <w:noWrap w:val="0"/>
                  <w:vAlign w:val="center"/>
                </w:tcPr>
                <w:p w14:paraId="7A4649F1">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color w:val="000000"/>
                      <w:sz w:val="21"/>
                      <w:szCs w:val="21"/>
                      <w:lang w:eastAsia="zh-CN"/>
                    </w:rPr>
                  </w:pPr>
                  <w:r>
                    <w:rPr>
                      <w:rFonts w:hint="eastAsia" w:cs="Times New Roman"/>
                      <w:b/>
                      <w:bCs/>
                      <w:color w:val="000000"/>
                      <w:sz w:val="21"/>
                      <w:szCs w:val="21"/>
                      <w:lang w:val="en-US" w:eastAsia="zh-CN"/>
                    </w:rPr>
                    <w:t>产生量（t/a）</w:t>
                  </w:r>
                </w:p>
              </w:tc>
              <w:tc>
                <w:tcPr>
                  <w:tcW w:w="3684" w:type="dxa"/>
                  <w:noWrap w:val="0"/>
                  <w:vAlign w:val="center"/>
                </w:tcPr>
                <w:p w14:paraId="03AC5AB7">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处置方式</w:t>
                  </w:r>
                </w:p>
              </w:tc>
            </w:tr>
            <w:tr w14:paraId="2E0432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52" w:type="dxa"/>
                  <w:noWrap w:val="0"/>
                  <w:vAlign w:val="center"/>
                </w:tcPr>
                <w:p w14:paraId="3AE31823">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w:t>
                  </w:r>
                </w:p>
              </w:tc>
              <w:tc>
                <w:tcPr>
                  <w:tcW w:w="1487" w:type="dxa"/>
                  <w:tcBorders>
                    <w:top w:val="single" w:color="auto" w:sz="4" w:space="0"/>
                  </w:tcBorders>
                  <w:noWrap w:val="0"/>
                  <w:vAlign w:val="center"/>
                </w:tcPr>
                <w:p w14:paraId="32B5603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废包装材料</w:t>
                  </w:r>
                </w:p>
              </w:tc>
              <w:tc>
                <w:tcPr>
                  <w:tcW w:w="1000" w:type="dxa"/>
                  <w:vMerge w:val="restart"/>
                  <w:tcBorders>
                    <w:top w:val="single" w:color="auto" w:sz="4" w:space="0"/>
                  </w:tcBorders>
                  <w:noWrap w:val="0"/>
                  <w:vAlign w:val="center"/>
                </w:tcPr>
                <w:p w14:paraId="10EE50B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cs="Times New Roman"/>
                      <w:color w:val="000000"/>
                      <w:sz w:val="21"/>
                      <w:szCs w:val="21"/>
                      <w:lang w:eastAsia="zh-CN"/>
                    </w:rPr>
                    <w:t>一般固废</w:t>
                  </w:r>
                </w:p>
                <w:p w14:paraId="0FFF6735">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000000"/>
                      <w:sz w:val="21"/>
                      <w:szCs w:val="21"/>
                      <w:lang w:eastAsia="zh-CN"/>
                    </w:rPr>
                  </w:pPr>
                </w:p>
              </w:tc>
              <w:tc>
                <w:tcPr>
                  <w:tcW w:w="1185" w:type="dxa"/>
                  <w:noWrap w:val="0"/>
                  <w:vAlign w:val="center"/>
                </w:tcPr>
                <w:p w14:paraId="3F2E2B45">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w:t>
                  </w:r>
                </w:p>
              </w:tc>
              <w:tc>
                <w:tcPr>
                  <w:tcW w:w="3684" w:type="dxa"/>
                  <w:noWrap w:val="0"/>
                  <w:vAlign w:val="center"/>
                </w:tcPr>
                <w:p w14:paraId="034BD8D5">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外售废品回收单位利用</w:t>
                  </w:r>
                </w:p>
              </w:tc>
            </w:tr>
            <w:tr w14:paraId="5C4C41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7" w:hRule="atLeast"/>
                <w:jc w:val="center"/>
              </w:trPr>
              <w:tc>
                <w:tcPr>
                  <w:tcW w:w="852" w:type="dxa"/>
                  <w:noWrap w:val="0"/>
                  <w:vAlign w:val="center"/>
                </w:tcPr>
                <w:p w14:paraId="21B9B244">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w:t>
                  </w:r>
                </w:p>
              </w:tc>
              <w:tc>
                <w:tcPr>
                  <w:tcW w:w="1487" w:type="dxa"/>
                  <w:tcBorders>
                    <w:top w:val="single" w:color="auto" w:sz="4" w:space="0"/>
                  </w:tcBorders>
                  <w:noWrap w:val="0"/>
                  <w:vAlign w:val="center"/>
                </w:tcPr>
                <w:p w14:paraId="7D4F5B25">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石膏</w:t>
                  </w:r>
                </w:p>
              </w:tc>
              <w:tc>
                <w:tcPr>
                  <w:tcW w:w="1000" w:type="dxa"/>
                  <w:vMerge w:val="continue"/>
                  <w:noWrap w:val="0"/>
                  <w:vAlign w:val="center"/>
                </w:tcPr>
                <w:p w14:paraId="60E05E1D">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cs="Times New Roman"/>
                      <w:color w:val="000000"/>
                      <w:sz w:val="21"/>
                      <w:szCs w:val="21"/>
                      <w:lang w:eastAsia="zh-CN"/>
                    </w:rPr>
                  </w:pPr>
                </w:p>
              </w:tc>
              <w:tc>
                <w:tcPr>
                  <w:tcW w:w="1185" w:type="dxa"/>
                  <w:noWrap w:val="0"/>
                  <w:vAlign w:val="center"/>
                </w:tcPr>
                <w:p w14:paraId="569EB105">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sz w:val="21"/>
                      <w:szCs w:val="21"/>
                      <w:lang w:val="en-US" w:eastAsia="zh-CN"/>
                    </w:rPr>
                    <w:t>123</w:t>
                  </w:r>
                </w:p>
              </w:tc>
              <w:tc>
                <w:tcPr>
                  <w:tcW w:w="3684" w:type="dxa"/>
                  <w:noWrap w:val="0"/>
                  <w:vAlign w:val="center"/>
                </w:tcPr>
                <w:p w14:paraId="540BB58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cs="Times New Roman"/>
                      <w:color w:val="000000"/>
                      <w:sz w:val="21"/>
                      <w:szCs w:val="21"/>
                      <w:lang w:val="en-US" w:eastAsia="zh-CN"/>
                    </w:rPr>
                    <w:t>外售砖厂</w:t>
                  </w:r>
                </w:p>
              </w:tc>
            </w:tr>
            <w:tr w14:paraId="562443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0" w:hRule="atLeast"/>
                <w:jc w:val="center"/>
              </w:trPr>
              <w:tc>
                <w:tcPr>
                  <w:tcW w:w="852" w:type="dxa"/>
                  <w:tcBorders>
                    <w:top w:val="single" w:color="auto" w:sz="4" w:space="0"/>
                  </w:tcBorders>
                  <w:noWrap w:val="0"/>
                  <w:vAlign w:val="center"/>
                </w:tcPr>
                <w:p w14:paraId="2F09AB6E">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3</w:t>
                  </w:r>
                </w:p>
              </w:tc>
              <w:tc>
                <w:tcPr>
                  <w:tcW w:w="1487" w:type="dxa"/>
                  <w:tcBorders>
                    <w:top w:val="single" w:color="auto" w:sz="4" w:space="0"/>
                  </w:tcBorders>
                  <w:noWrap w:val="0"/>
                  <w:vAlign w:val="center"/>
                </w:tcPr>
                <w:p w14:paraId="44B6CB63">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污泥</w:t>
                  </w:r>
                </w:p>
              </w:tc>
              <w:tc>
                <w:tcPr>
                  <w:tcW w:w="1000" w:type="dxa"/>
                  <w:vMerge w:val="continue"/>
                  <w:noWrap w:val="0"/>
                  <w:vAlign w:val="center"/>
                </w:tcPr>
                <w:p w14:paraId="0D659B0A">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p>
              </w:tc>
              <w:tc>
                <w:tcPr>
                  <w:tcW w:w="1185" w:type="dxa"/>
                  <w:noWrap w:val="0"/>
                  <w:vAlign w:val="center"/>
                </w:tcPr>
                <w:p w14:paraId="15C2593B">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sz w:val="21"/>
                      <w:szCs w:val="21"/>
                      <w:lang w:val="en-US" w:eastAsia="zh-CN"/>
                    </w:rPr>
                    <w:t>1</w:t>
                  </w:r>
                </w:p>
              </w:tc>
              <w:tc>
                <w:tcPr>
                  <w:tcW w:w="3684" w:type="dxa"/>
                  <w:noWrap w:val="0"/>
                  <w:vAlign w:val="center"/>
                </w:tcPr>
                <w:p w14:paraId="70E1EA8F">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交由园区市政环卫部门清运</w:t>
                  </w:r>
                </w:p>
              </w:tc>
            </w:tr>
            <w:tr w14:paraId="181D81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4" w:hRule="atLeast"/>
                <w:jc w:val="center"/>
              </w:trPr>
              <w:tc>
                <w:tcPr>
                  <w:tcW w:w="852" w:type="dxa"/>
                  <w:noWrap w:val="0"/>
                  <w:vAlign w:val="center"/>
                </w:tcPr>
                <w:p w14:paraId="627F156E">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4</w:t>
                  </w:r>
                </w:p>
              </w:tc>
              <w:tc>
                <w:tcPr>
                  <w:tcW w:w="1487" w:type="dxa"/>
                  <w:noWrap w:val="0"/>
                  <w:vAlign w:val="center"/>
                </w:tcPr>
                <w:p w14:paraId="0E9CD1D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生活垃圾</w:t>
                  </w:r>
                </w:p>
              </w:tc>
              <w:tc>
                <w:tcPr>
                  <w:tcW w:w="1000" w:type="dxa"/>
                  <w:vMerge w:val="continue"/>
                  <w:noWrap w:val="0"/>
                  <w:vAlign w:val="center"/>
                </w:tcPr>
                <w:p w14:paraId="054487C4">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p>
              </w:tc>
              <w:tc>
                <w:tcPr>
                  <w:tcW w:w="1185" w:type="dxa"/>
                  <w:noWrap w:val="0"/>
                  <w:vAlign w:val="center"/>
                </w:tcPr>
                <w:p w14:paraId="0451D77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sz w:val="21"/>
                      <w:szCs w:val="21"/>
                      <w:lang w:val="en-US" w:eastAsia="zh-CN"/>
                    </w:rPr>
                    <w:t>10.04</w:t>
                  </w:r>
                </w:p>
              </w:tc>
              <w:tc>
                <w:tcPr>
                  <w:tcW w:w="3684" w:type="dxa"/>
                  <w:noWrap w:val="0"/>
                  <w:vAlign w:val="center"/>
                </w:tcPr>
                <w:p w14:paraId="7DD7EA7D">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环卫定期清运</w:t>
                  </w:r>
                </w:p>
              </w:tc>
            </w:tr>
            <w:tr w14:paraId="037928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4" w:hRule="atLeast"/>
                <w:jc w:val="center"/>
              </w:trPr>
              <w:tc>
                <w:tcPr>
                  <w:tcW w:w="852" w:type="dxa"/>
                  <w:noWrap w:val="0"/>
                  <w:vAlign w:val="center"/>
                </w:tcPr>
                <w:p w14:paraId="13DDC9FD">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5</w:t>
                  </w:r>
                </w:p>
              </w:tc>
              <w:tc>
                <w:tcPr>
                  <w:tcW w:w="1487" w:type="dxa"/>
                  <w:noWrap w:val="0"/>
                  <w:vAlign w:val="center"/>
                </w:tcPr>
                <w:p w14:paraId="4FEE4F77">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餐厨垃圾及隔油池废油脂</w:t>
                  </w:r>
                </w:p>
              </w:tc>
              <w:tc>
                <w:tcPr>
                  <w:tcW w:w="1000" w:type="dxa"/>
                  <w:vMerge w:val="continue"/>
                  <w:noWrap w:val="0"/>
                  <w:vAlign w:val="center"/>
                </w:tcPr>
                <w:p w14:paraId="0F4C8F42">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p>
              </w:tc>
              <w:tc>
                <w:tcPr>
                  <w:tcW w:w="1185" w:type="dxa"/>
                  <w:noWrap w:val="0"/>
                  <w:vAlign w:val="center"/>
                </w:tcPr>
                <w:p w14:paraId="40CDE29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sz w:val="21"/>
                      <w:szCs w:val="21"/>
                      <w:lang w:val="en-US" w:eastAsia="zh-CN"/>
                    </w:rPr>
                    <w:t>0.2</w:t>
                  </w:r>
                </w:p>
              </w:tc>
              <w:tc>
                <w:tcPr>
                  <w:tcW w:w="3684" w:type="dxa"/>
                  <w:noWrap w:val="0"/>
                  <w:vAlign w:val="center"/>
                </w:tcPr>
                <w:p w14:paraId="50B0EEDC">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sz w:val="21"/>
                      <w:szCs w:val="21"/>
                    </w:rPr>
                    <w:t>由专业机构回收处理</w:t>
                  </w:r>
                </w:p>
              </w:tc>
            </w:tr>
          </w:tbl>
          <w:p w14:paraId="76E4C09D">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spacing w:before="157" w:beforeLines="50"/>
              <w:ind w:left="0" w:leftChars="0" w:firstLine="420" w:firstLineChars="0"/>
              <w:jc w:val="center"/>
              <w:textAlignment w:val="auto"/>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危险</w:t>
            </w:r>
            <w:r>
              <w:rPr>
                <w:rFonts w:hint="default" w:ascii="Times New Roman" w:hAnsi="Times New Roman" w:eastAsia="宋体" w:cs="Times New Roman"/>
                <w:b/>
                <w:bCs/>
                <w:color w:val="000000"/>
                <w:sz w:val="24"/>
                <w:lang w:val="en-US" w:eastAsia="zh-CN"/>
              </w:rPr>
              <w:t>废物产生、处置情况</w:t>
            </w:r>
          </w:p>
          <w:tbl>
            <w:tblPr>
              <w:tblStyle w:val="31"/>
              <w:tblW w:w="8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968"/>
              <w:gridCol w:w="914"/>
              <w:gridCol w:w="899"/>
              <w:gridCol w:w="1091"/>
              <w:gridCol w:w="781"/>
              <w:gridCol w:w="665"/>
              <w:gridCol w:w="818"/>
              <w:gridCol w:w="1694"/>
            </w:tblGrid>
            <w:tr w14:paraId="076E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482" w:type="dxa"/>
                  <w:noWrap w:val="0"/>
                  <w:vAlign w:val="center"/>
                </w:tcPr>
                <w:p w14:paraId="1B19D79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序号</w:t>
                  </w:r>
                </w:p>
              </w:tc>
              <w:tc>
                <w:tcPr>
                  <w:tcW w:w="968" w:type="dxa"/>
                  <w:noWrap w:val="0"/>
                  <w:vAlign w:val="center"/>
                </w:tcPr>
                <w:p w14:paraId="090B8FF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危险废物名称</w:t>
                  </w:r>
                </w:p>
              </w:tc>
              <w:tc>
                <w:tcPr>
                  <w:tcW w:w="914" w:type="dxa"/>
                  <w:noWrap w:val="0"/>
                  <w:vAlign w:val="center"/>
                </w:tcPr>
                <w:p w14:paraId="354C6AC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危险废物类别</w:t>
                  </w:r>
                </w:p>
              </w:tc>
              <w:tc>
                <w:tcPr>
                  <w:tcW w:w="899" w:type="dxa"/>
                  <w:noWrap w:val="0"/>
                  <w:vAlign w:val="center"/>
                </w:tcPr>
                <w:p w14:paraId="62F05F1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危险废物代码</w:t>
                  </w:r>
                </w:p>
              </w:tc>
              <w:tc>
                <w:tcPr>
                  <w:tcW w:w="1091" w:type="dxa"/>
                  <w:noWrap w:val="0"/>
                  <w:vAlign w:val="center"/>
                </w:tcPr>
                <w:p w14:paraId="0ED3D82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产生工序及装置</w:t>
                  </w:r>
                </w:p>
              </w:tc>
              <w:tc>
                <w:tcPr>
                  <w:tcW w:w="781" w:type="dxa"/>
                  <w:noWrap w:val="0"/>
                  <w:vAlign w:val="center"/>
                </w:tcPr>
                <w:p w14:paraId="0FE093C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形态</w:t>
                  </w:r>
                </w:p>
              </w:tc>
              <w:tc>
                <w:tcPr>
                  <w:tcW w:w="665" w:type="dxa"/>
                  <w:noWrap w:val="0"/>
                  <w:vAlign w:val="center"/>
                </w:tcPr>
                <w:p w14:paraId="437041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有害成分</w:t>
                  </w:r>
                </w:p>
              </w:tc>
              <w:tc>
                <w:tcPr>
                  <w:tcW w:w="818" w:type="dxa"/>
                  <w:noWrap w:val="0"/>
                  <w:vAlign w:val="center"/>
                </w:tcPr>
                <w:p w14:paraId="78327D8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危险特性</w:t>
                  </w:r>
                </w:p>
              </w:tc>
              <w:tc>
                <w:tcPr>
                  <w:tcW w:w="1694" w:type="dxa"/>
                  <w:noWrap w:val="0"/>
                  <w:vAlign w:val="center"/>
                </w:tcPr>
                <w:p w14:paraId="3BAB9E5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防治措施</w:t>
                  </w:r>
                </w:p>
              </w:tc>
            </w:tr>
            <w:tr w14:paraId="5D88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2" w:type="dxa"/>
                  <w:noWrap w:val="0"/>
                  <w:vAlign w:val="center"/>
                </w:tcPr>
                <w:p w14:paraId="4CFA191A">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968" w:type="dxa"/>
                  <w:noWrap w:val="0"/>
                  <w:vAlign w:val="center"/>
                </w:tcPr>
                <w:p w14:paraId="351F5319">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废机油</w:t>
                  </w:r>
                  <w:r>
                    <w:rPr>
                      <w:rFonts w:hint="eastAsia" w:ascii="Times New Roman" w:hAnsi="Times New Roman" w:eastAsia="宋体" w:cs="Times New Roman"/>
                      <w:color w:val="000000"/>
                      <w:sz w:val="21"/>
                      <w:szCs w:val="21"/>
                      <w:lang w:val="en-US" w:eastAsia="zh-CN"/>
                    </w:rPr>
                    <w:t>/润滑油</w:t>
                  </w:r>
                </w:p>
              </w:tc>
              <w:tc>
                <w:tcPr>
                  <w:tcW w:w="914" w:type="dxa"/>
                  <w:noWrap w:val="0"/>
                  <w:vAlign w:val="center"/>
                </w:tcPr>
                <w:p w14:paraId="4778F8E1">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HW08</w:t>
                  </w:r>
                </w:p>
              </w:tc>
              <w:tc>
                <w:tcPr>
                  <w:tcW w:w="899" w:type="dxa"/>
                  <w:noWrap w:val="0"/>
                  <w:vAlign w:val="center"/>
                </w:tcPr>
                <w:p w14:paraId="378E6A07">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900-2</w:t>
                  </w:r>
                  <w:r>
                    <w:rPr>
                      <w:rFonts w:hint="eastAsia" w:cs="Times New Roman"/>
                      <w:color w:val="000000"/>
                      <w:sz w:val="21"/>
                      <w:szCs w:val="21"/>
                      <w:lang w:val="en-US" w:eastAsia="zh-CN"/>
                    </w:rPr>
                    <w:t>17</w:t>
                  </w:r>
                  <w:r>
                    <w:rPr>
                      <w:rFonts w:hint="default" w:ascii="Times New Roman" w:hAnsi="Times New Roman" w:eastAsia="宋体" w:cs="Times New Roman"/>
                      <w:color w:val="000000"/>
                      <w:sz w:val="21"/>
                      <w:szCs w:val="21"/>
                    </w:rPr>
                    <w:t>-08</w:t>
                  </w:r>
                </w:p>
              </w:tc>
              <w:tc>
                <w:tcPr>
                  <w:tcW w:w="1091" w:type="dxa"/>
                  <w:noWrap w:val="0"/>
                  <w:vAlign w:val="center"/>
                </w:tcPr>
                <w:p w14:paraId="39DD9FBB">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设备维护</w:t>
                  </w:r>
                </w:p>
              </w:tc>
              <w:tc>
                <w:tcPr>
                  <w:tcW w:w="781" w:type="dxa"/>
                  <w:noWrap w:val="0"/>
                  <w:vAlign w:val="center"/>
                </w:tcPr>
                <w:p w14:paraId="1FAA7593">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液</w:t>
                  </w:r>
                </w:p>
              </w:tc>
              <w:tc>
                <w:tcPr>
                  <w:tcW w:w="665" w:type="dxa"/>
                  <w:noWrap w:val="0"/>
                  <w:vAlign w:val="center"/>
                </w:tcPr>
                <w:p w14:paraId="5F43346E">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矿物油</w:t>
                  </w:r>
                </w:p>
              </w:tc>
              <w:tc>
                <w:tcPr>
                  <w:tcW w:w="818" w:type="dxa"/>
                  <w:noWrap w:val="0"/>
                  <w:vAlign w:val="center"/>
                </w:tcPr>
                <w:p w14:paraId="5091C19C">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T，I</w:t>
                  </w:r>
                </w:p>
              </w:tc>
              <w:tc>
                <w:tcPr>
                  <w:tcW w:w="1694" w:type="dxa"/>
                  <w:vMerge w:val="restart"/>
                  <w:noWrap w:val="0"/>
                  <w:vAlign w:val="center"/>
                </w:tcPr>
                <w:p w14:paraId="47FF70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sz w:val="21"/>
                      <w:szCs w:val="21"/>
                    </w:rPr>
                  </w:pPr>
                  <w:r>
                    <w:rPr>
                      <w:rFonts w:hint="default" w:ascii="Times New Roman" w:hAnsi="Times New Roman" w:cs="Times New Roman"/>
                      <w:color w:val="000000"/>
                      <w:sz w:val="21"/>
                      <w:szCs w:val="21"/>
                      <w:lang w:eastAsia="zh-CN"/>
                    </w:rPr>
                    <w:t>暂存危废暂存间，</w:t>
                  </w:r>
                  <w:r>
                    <w:rPr>
                      <w:rFonts w:hint="default" w:ascii="Times New Roman" w:hAnsi="Times New Roman" w:eastAsia="宋体" w:cs="Times New Roman"/>
                      <w:color w:val="000000"/>
                      <w:sz w:val="21"/>
                      <w:szCs w:val="21"/>
                    </w:rPr>
                    <w:t>委托有资质单位处置</w:t>
                  </w:r>
                </w:p>
              </w:tc>
            </w:tr>
            <w:tr w14:paraId="2099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2" w:type="dxa"/>
                  <w:noWrap w:val="0"/>
                  <w:vAlign w:val="center"/>
                </w:tcPr>
                <w:p w14:paraId="5F64908C">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w:t>
                  </w:r>
                </w:p>
              </w:tc>
              <w:tc>
                <w:tcPr>
                  <w:tcW w:w="968" w:type="dxa"/>
                  <w:noWrap w:val="0"/>
                  <w:vAlign w:val="center"/>
                </w:tcPr>
                <w:p w14:paraId="29C41F6D">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废手套、抹布等</w:t>
                  </w:r>
                </w:p>
              </w:tc>
              <w:tc>
                <w:tcPr>
                  <w:tcW w:w="914" w:type="dxa"/>
                  <w:noWrap w:val="0"/>
                  <w:vAlign w:val="center"/>
                </w:tcPr>
                <w:p w14:paraId="08A8A89A">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HW49</w:t>
                  </w:r>
                </w:p>
              </w:tc>
              <w:tc>
                <w:tcPr>
                  <w:tcW w:w="899" w:type="dxa"/>
                  <w:noWrap w:val="0"/>
                  <w:vAlign w:val="center"/>
                </w:tcPr>
                <w:p w14:paraId="0316C347">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900-041-49</w:t>
                  </w:r>
                </w:p>
              </w:tc>
              <w:tc>
                <w:tcPr>
                  <w:tcW w:w="1091" w:type="dxa"/>
                  <w:noWrap w:val="0"/>
                  <w:vAlign w:val="center"/>
                </w:tcPr>
                <w:p w14:paraId="4B9298BD">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设备清洁</w:t>
                  </w:r>
                </w:p>
              </w:tc>
              <w:tc>
                <w:tcPr>
                  <w:tcW w:w="781" w:type="dxa"/>
                  <w:noWrap w:val="0"/>
                  <w:vAlign w:val="center"/>
                </w:tcPr>
                <w:p w14:paraId="2DB06D1D">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固</w:t>
                  </w:r>
                </w:p>
              </w:tc>
              <w:tc>
                <w:tcPr>
                  <w:tcW w:w="665" w:type="dxa"/>
                  <w:noWrap w:val="0"/>
                  <w:vAlign w:val="center"/>
                </w:tcPr>
                <w:p w14:paraId="7D1D65AC">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lang w:eastAsia="zh-CN"/>
                    </w:rPr>
                  </w:pPr>
                  <w:r>
                    <w:rPr>
                      <w:rFonts w:hint="default" w:ascii="Times New Roman" w:hAnsi="Times New Roman" w:cs="Times New Roman"/>
                      <w:color w:val="000000"/>
                      <w:sz w:val="21"/>
                      <w:szCs w:val="21"/>
                      <w:lang w:eastAsia="zh-CN"/>
                    </w:rPr>
                    <w:t>矿物油</w:t>
                  </w:r>
                </w:p>
              </w:tc>
              <w:tc>
                <w:tcPr>
                  <w:tcW w:w="818" w:type="dxa"/>
                  <w:noWrap w:val="0"/>
                  <w:vAlign w:val="center"/>
                </w:tcPr>
                <w:p w14:paraId="53033483">
                  <w:pPr>
                    <w:pStyle w:val="94"/>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T/In</w:t>
                  </w:r>
                </w:p>
              </w:tc>
              <w:tc>
                <w:tcPr>
                  <w:tcW w:w="1694" w:type="dxa"/>
                  <w:vMerge w:val="continue"/>
                  <w:noWrap w:val="0"/>
                  <w:vAlign w:val="center"/>
                </w:tcPr>
                <w:p w14:paraId="7F791EDB">
                  <w:pPr>
                    <w:adjustRightInd w:val="0"/>
                    <w:snapToGrid w:val="0"/>
                    <w:jc w:val="center"/>
                    <w:rPr>
                      <w:rFonts w:hint="default" w:ascii="Times New Roman" w:hAnsi="Times New Roman" w:eastAsia="宋体" w:cs="Times New Roman"/>
                      <w:color w:val="000000"/>
                      <w:sz w:val="21"/>
                      <w:szCs w:val="21"/>
                    </w:rPr>
                  </w:pPr>
                </w:p>
              </w:tc>
            </w:tr>
          </w:tbl>
          <w:p w14:paraId="45F481E1">
            <w:pPr>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cs="Times New Roman"/>
                <w:b w:val="0"/>
                <w:bCs w:val="0"/>
                <w:color w:val="000000"/>
                <w:sz w:val="24"/>
                <w:szCs w:val="24"/>
                <w:highlight w:val="none"/>
                <w:lang w:val="en-US" w:eastAsia="zh-CN"/>
              </w:rPr>
            </w:pPr>
          </w:p>
          <w:p w14:paraId="47F01D1D">
            <w:pPr>
              <w:pStyle w:val="81"/>
              <w:widowControl/>
              <w:spacing w:line="360" w:lineRule="auto"/>
              <w:ind w:right="91" w:firstLine="462" w:firstLineChars="200"/>
              <w:jc w:val="left"/>
              <w:rPr>
                <w:rFonts w:hint="eastAsia" w:ascii="Times New Roman" w:hAnsi="Times New Roman" w:cs="Times New Roman"/>
                <w:color w:val="000000"/>
                <w:spacing w:val="-5"/>
                <w:sz w:val="24"/>
                <w:szCs w:val="24"/>
                <w:lang w:val="en-US" w:eastAsia="zh-CN"/>
              </w:rPr>
            </w:pPr>
            <w:r>
              <w:rPr>
                <w:rFonts w:hint="eastAsia"/>
                <w:b/>
                <w:bCs/>
                <w:color w:val="000000"/>
                <w:spacing w:val="-5"/>
                <w:sz w:val="24"/>
                <w:szCs w:val="24"/>
                <w:lang w:val="en-US" w:eastAsia="zh-CN"/>
              </w:rPr>
              <w:t>存在问题：</w:t>
            </w:r>
            <w:r>
              <w:rPr>
                <w:rFonts w:hint="eastAsia" w:ascii="Times New Roman" w:hAnsi="Times New Roman" w:cs="Times New Roman"/>
                <w:color w:val="000000"/>
                <w:spacing w:val="-5"/>
                <w:sz w:val="24"/>
                <w:szCs w:val="24"/>
                <w:lang w:val="en-US" w:eastAsia="zh-CN"/>
              </w:rPr>
              <w:t>无。</w:t>
            </w:r>
          </w:p>
          <w:p w14:paraId="69C6EFC3">
            <w:pPr>
              <w:pStyle w:val="81"/>
              <w:widowControl/>
              <w:spacing w:line="360" w:lineRule="auto"/>
              <w:ind w:right="91" w:firstLine="480" w:firstLineChars="200"/>
              <w:jc w:val="left"/>
              <w:rPr>
                <w:rFonts w:hint="eastAsia" w:ascii="黑体" w:hAnsi="黑体" w:eastAsia="黑体"/>
                <w:snapToGrid w:val="0"/>
                <w:color w:val="000000"/>
                <w:sz w:val="24"/>
                <w:szCs w:val="24"/>
                <w:vertAlign w:val="baseline"/>
              </w:rPr>
            </w:pPr>
          </w:p>
        </w:tc>
      </w:tr>
    </w:tbl>
    <w:p w14:paraId="4010A9A9">
      <w:pPr>
        <w:pStyle w:val="27"/>
        <w:jc w:val="both"/>
        <w:outlineLvl w:val="0"/>
        <w:rPr>
          <w:rFonts w:hint="eastAsia" w:ascii="黑体" w:hAnsi="黑体" w:eastAsia="黑体"/>
          <w:b w:val="0"/>
          <w:bCs w:val="0"/>
          <w:snapToGrid w:val="0"/>
          <w:sz w:val="30"/>
          <w:szCs w:val="30"/>
        </w:rPr>
      </w:pPr>
    </w:p>
    <w:p w14:paraId="64759E47">
      <w:pPr>
        <w:pStyle w:val="27"/>
        <w:jc w:val="both"/>
        <w:outlineLvl w:val="0"/>
        <w:rPr>
          <w:rFonts w:hint="eastAsia" w:ascii="黑体" w:hAnsi="黑体" w:eastAsia="黑体"/>
          <w:b w:val="0"/>
          <w:bCs w:val="0"/>
          <w:snapToGrid w:val="0"/>
          <w:sz w:val="30"/>
          <w:szCs w:val="30"/>
        </w:rPr>
      </w:pPr>
    </w:p>
    <w:p w14:paraId="59C463C3">
      <w:pPr>
        <w:pStyle w:val="27"/>
        <w:jc w:val="center"/>
        <w:outlineLvl w:val="0"/>
        <w:rPr>
          <w:rFonts w:hint="eastAsia" w:ascii="黑体" w:hAnsi="黑体" w:eastAsia="黑体"/>
          <w:b w:val="0"/>
          <w:bCs w:val="0"/>
          <w:snapToGrid w:val="0"/>
          <w:sz w:val="30"/>
          <w:szCs w:val="30"/>
        </w:rPr>
        <w:sectPr>
          <w:pgSz w:w="11905" w:h="16838"/>
          <w:pgMar w:top="1644" w:right="1531" w:bottom="1644" w:left="1531" w:header="851" w:footer="1077" w:gutter="0"/>
          <w:pgNumType w:fmt="decimal"/>
          <w:cols w:space="720" w:num="1"/>
          <w:rtlGutter w:val="0"/>
          <w:docGrid w:linePitch="312" w:charSpace="0"/>
        </w:sectPr>
      </w:pPr>
    </w:p>
    <w:p w14:paraId="2BAE8213">
      <w:pPr>
        <w:pStyle w:val="27"/>
        <w:jc w:val="center"/>
        <w:outlineLvl w:val="0"/>
        <w:rPr>
          <w:rFonts w:ascii="黑体" w:hAnsi="黑体" w:eastAsia="黑体"/>
          <w:b w:val="0"/>
          <w:bCs w:val="0"/>
          <w:snapToGrid w:val="0"/>
          <w:sz w:val="30"/>
          <w:szCs w:val="30"/>
        </w:rPr>
      </w:pPr>
      <w:bookmarkStart w:id="7" w:name="_Toc20850"/>
      <w:r>
        <w:rPr>
          <w:rFonts w:hint="eastAsia" w:ascii="黑体" w:hAnsi="黑体" w:eastAsia="黑体"/>
          <w:b w:val="0"/>
          <w:bCs w:val="0"/>
          <w:snapToGrid w:val="0"/>
          <w:sz w:val="30"/>
          <w:szCs w:val="30"/>
        </w:rPr>
        <w:t>三、区域环境质量现状、环境保护目标及评价标准</w:t>
      </w:r>
      <w:bookmarkEnd w:id="7"/>
    </w:p>
    <w:tbl>
      <w:tblPr>
        <w:tblStyle w:val="31"/>
        <w:tblW w:w="95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06"/>
        <w:gridCol w:w="9095"/>
      </w:tblGrid>
      <w:tr w14:paraId="2323B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729" w:hRule="atLeast"/>
          <w:jc w:val="center"/>
        </w:trPr>
        <w:tc>
          <w:tcPr>
            <w:tcW w:w="406" w:type="dxa"/>
            <w:noWrap w:val="0"/>
            <w:vAlign w:val="center"/>
          </w:tcPr>
          <w:p w14:paraId="193937DB">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区域</w:t>
            </w:r>
          </w:p>
          <w:p w14:paraId="4379E50C">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环境</w:t>
            </w:r>
          </w:p>
          <w:p w14:paraId="2FF04FA7">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质量</w:t>
            </w:r>
          </w:p>
          <w:p w14:paraId="2283BCA7">
            <w:pPr>
              <w:adjustRightInd w:val="0"/>
              <w:snapToGrid w:val="0"/>
              <w:spacing w:line="360"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 w:val="24"/>
              </w:rPr>
              <w:t>现状</w:t>
            </w:r>
          </w:p>
        </w:tc>
        <w:tc>
          <w:tcPr>
            <w:tcW w:w="9095" w:type="dxa"/>
            <w:noWrap w:val="0"/>
            <w:vAlign w:val="center"/>
          </w:tcPr>
          <w:p w14:paraId="52AAE83F">
            <w:pPr>
              <w:spacing w:line="360" w:lineRule="auto"/>
              <w:rPr>
                <w:rFonts w:hint="default" w:ascii="Times New Roman" w:hAnsi="Times New Roman" w:cs="Times New Roman"/>
                <w:b/>
                <w:bCs/>
                <w:color w:val="000000"/>
                <w:sz w:val="24"/>
              </w:rPr>
            </w:pPr>
            <w:r>
              <w:rPr>
                <w:rFonts w:hint="default" w:ascii="Times New Roman" w:hAnsi="Times New Roman" w:cs="Times New Roman"/>
                <w:b/>
                <w:bCs/>
                <w:color w:val="000000"/>
                <w:sz w:val="24"/>
              </w:rPr>
              <w:t>一、环境空气质量</w:t>
            </w:r>
          </w:p>
          <w:p w14:paraId="6FE2D977">
            <w:pPr>
              <w:spacing w:line="360" w:lineRule="auto"/>
              <w:ind w:firstLine="482" w:firstLineChars="200"/>
              <w:rPr>
                <w:rFonts w:hint="default" w:ascii="Times New Roman" w:hAnsi="Times New Roman" w:cs="Times New Roman"/>
                <w:color w:val="000000"/>
                <w:sz w:val="24"/>
              </w:rPr>
            </w:pPr>
            <w:r>
              <w:rPr>
                <w:rFonts w:hint="eastAsia" w:ascii="Times New Roman" w:hAnsi="Times New Roman" w:cs="Times New Roman"/>
                <w:b/>
                <w:color w:val="000000"/>
                <w:sz w:val="24"/>
                <w:lang w:eastAsia="zh-CN"/>
              </w:rPr>
              <w:t>1.</w:t>
            </w:r>
            <w:r>
              <w:rPr>
                <w:rFonts w:hint="default" w:ascii="Times New Roman" w:hAnsi="Times New Roman" w:cs="Times New Roman"/>
                <w:b/>
                <w:color w:val="000000"/>
                <w:sz w:val="24"/>
              </w:rPr>
              <w:t>项目所在区域环境质量达标情况</w:t>
            </w:r>
          </w:p>
          <w:p w14:paraId="68E15A01">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根据《建设项目环境影响报告表编制技术指南污染影响类（试行）》：大气环境。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千米范围内近3年的现有监测数据，无相关数据的选择当季主导风向下风向1个点位补充不少于3天的监测数据。</w:t>
            </w:r>
          </w:p>
          <w:p w14:paraId="03BEE12E">
            <w:pPr>
              <w:spacing w:line="360" w:lineRule="auto"/>
              <w:ind w:firstLine="480" w:firstLineChars="200"/>
              <w:jc w:val="both"/>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cs="Times New Roman"/>
                <w:color w:val="000000"/>
                <w:sz w:val="24"/>
              </w:rPr>
              <w:t>项目位于</w:t>
            </w:r>
            <w:r>
              <w:rPr>
                <w:rFonts w:hint="eastAsia" w:ascii="Times New Roman" w:hAnsi="Times New Roman" w:cs="Times New Roman"/>
                <w:color w:val="000000"/>
                <w:sz w:val="24"/>
                <w:lang w:eastAsia="zh-CN"/>
              </w:rPr>
              <w:t>巴中市平昌经济开发区星光工业园，</w:t>
            </w:r>
            <w:r>
              <w:rPr>
                <w:rFonts w:hint="default" w:ascii="Times New Roman" w:hAnsi="Times New Roman" w:eastAsia="宋体" w:cs="Times New Roman"/>
                <w:color w:val="000000"/>
                <w:sz w:val="24"/>
                <w:szCs w:val="24"/>
                <w:highlight w:val="none"/>
                <w:lang w:val="en-US" w:eastAsia="zh-CN"/>
              </w:rPr>
              <w:t>本次评价采用</w:t>
            </w:r>
            <w:r>
              <w:rPr>
                <w:rFonts w:hint="eastAsia" w:ascii="Times New Roman" w:hAnsi="Times New Roman" w:eastAsia="宋体" w:cs="Times New Roman"/>
                <w:color w:val="000000"/>
                <w:sz w:val="24"/>
                <w:szCs w:val="24"/>
                <w:highlight w:val="none"/>
                <w:lang w:val="en-US" w:eastAsia="zh-CN"/>
              </w:rPr>
              <w:t>巴中市平昌县生态环境局于2026年1月21日</w:t>
            </w:r>
            <w:r>
              <w:rPr>
                <w:rFonts w:hint="default" w:ascii="Times New Roman" w:hAnsi="Times New Roman" w:eastAsia="宋体" w:cs="Times New Roman"/>
                <w:color w:val="000000"/>
                <w:sz w:val="24"/>
                <w:szCs w:val="24"/>
                <w:highlight w:val="none"/>
                <w:lang w:val="en-US" w:eastAsia="zh-CN"/>
              </w:rPr>
              <w:t>发布的《</w:t>
            </w:r>
            <w:r>
              <w:rPr>
                <w:rFonts w:hint="eastAsia" w:ascii="Times New Roman" w:hAnsi="Times New Roman" w:eastAsia="宋体" w:cs="Times New Roman"/>
                <w:color w:val="000000"/>
                <w:sz w:val="24"/>
                <w:szCs w:val="24"/>
                <w:highlight w:val="none"/>
                <w:lang w:val="en-US" w:eastAsia="zh-CN"/>
              </w:rPr>
              <w:t>平昌县2025年生态环境质量状况公告</w:t>
            </w:r>
            <w:r>
              <w:rPr>
                <w:rFonts w:hint="default" w:ascii="Times New Roman" w:hAnsi="Times New Roman" w:eastAsia="宋体" w:cs="Times New Roman"/>
                <w:color w:val="000000"/>
                <w:sz w:val="24"/>
                <w:szCs w:val="24"/>
                <w:highlight w:val="none"/>
                <w:lang w:val="en-US" w:eastAsia="zh-CN"/>
              </w:rPr>
              <w:t>》中的</w:t>
            </w:r>
            <w:r>
              <w:rPr>
                <w:rFonts w:hint="eastAsia" w:ascii="Times New Roman" w:hAnsi="Times New Roman" w:eastAsia="宋体" w:cs="Times New Roman"/>
                <w:color w:val="000000"/>
                <w:sz w:val="24"/>
                <w:szCs w:val="24"/>
                <w:highlight w:val="none"/>
                <w:lang w:val="en-US" w:eastAsia="zh-CN"/>
              </w:rPr>
              <w:t>环境空气质量</w:t>
            </w:r>
            <w:r>
              <w:rPr>
                <w:rFonts w:hint="default" w:ascii="Times New Roman" w:hAnsi="Times New Roman" w:eastAsia="宋体" w:cs="Times New Roman"/>
                <w:color w:val="000000"/>
                <w:sz w:val="24"/>
                <w:szCs w:val="24"/>
                <w:highlight w:val="none"/>
                <w:lang w:val="en-US" w:eastAsia="zh-CN"/>
              </w:rPr>
              <w:t>数据</w:t>
            </w:r>
            <w:r>
              <w:rPr>
                <w:rFonts w:hint="eastAsia" w:ascii="Times New Roman" w:hAnsi="Times New Roman" w:eastAsia="宋体" w:cs="Times New Roman"/>
                <w:color w:val="000000"/>
                <w:sz w:val="24"/>
                <w:szCs w:val="24"/>
                <w:highlight w:val="none"/>
                <w:lang w:val="en-US" w:eastAsia="zh-CN"/>
              </w:rPr>
              <w:t>。2025年，平昌县环境空气质量有效监测天数364天，优良天数341天、轻度污染17天、中度污染5天、严</w:t>
            </w:r>
            <w:r>
              <w:rPr>
                <w:rFonts w:hint="default" w:ascii="Times New Roman" w:hAnsi="Times New Roman" w:eastAsia="宋体" w:cs="Times New Roman"/>
                <w:color w:val="000000"/>
                <w:sz w:val="24"/>
                <w:szCs w:val="24"/>
                <w:highlight w:val="none"/>
                <w:lang w:val="en-US" w:eastAsia="zh-CN"/>
              </w:rPr>
              <w:t>重污染1天，优良率93.7%，同比下降1.9%。二氧化硫、二氧化氮、一氧化碳、臭氧、PM2.5（细颗粒物）、PM10（可吸入颗粒物）平均浓度分别为4.2μg/m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、9.7μg/m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、1.3mg/m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、134μg/m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、25.4μg/m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、40.3μg/m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，二氧化硫、PM</w:t>
            </w:r>
            <w:r>
              <w:rPr>
                <w:rFonts w:hint="default" w:ascii="Times New Roman" w:hAnsi="Times New Roman" w:eastAsia="宋体" w:cs="Times New Roman"/>
                <w:color w:val="000000"/>
                <w:sz w:val="24"/>
                <w:szCs w:val="24"/>
                <w:highlight w:val="none"/>
                <w:vertAlign w:val="subscript"/>
                <w:lang w:val="en-US" w:eastAsia="zh-CN"/>
              </w:rPr>
              <w:t>2.5</w:t>
            </w:r>
            <w:r>
              <w:rPr>
                <w:rFonts w:hint="default" w:ascii="Times New Roman" w:hAnsi="Times New Roman" w:eastAsia="宋体" w:cs="Times New Roman"/>
                <w:color w:val="000000"/>
                <w:sz w:val="24"/>
                <w:szCs w:val="24"/>
                <w:highlight w:val="none"/>
                <w:lang w:val="en-US" w:eastAsia="zh-CN"/>
              </w:rPr>
              <w:t>（细颗粒物）、PM</w:t>
            </w:r>
            <w:r>
              <w:rPr>
                <w:rFonts w:hint="default" w:ascii="Times New Roman" w:hAnsi="Times New Roman" w:eastAsia="宋体" w:cs="Times New Roman"/>
                <w:color w:val="000000"/>
                <w:sz w:val="24"/>
                <w:szCs w:val="24"/>
                <w:highlight w:val="none"/>
                <w:vertAlign w:val="subscript"/>
                <w:lang w:val="en-US" w:eastAsia="zh-CN"/>
              </w:rPr>
              <w:t>10</w:t>
            </w:r>
            <w:r>
              <w:rPr>
                <w:rFonts w:hint="default" w:ascii="Times New Roman" w:hAnsi="Times New Roman" w:eastAsia="宋体" w:cs="Times New Roman"/>
                <w:color w:val="000000"/>
                <w:sz w:val="24"/>
                <w:szCs w:val="24"/>
                <w:highlight w:val="none"/>
                <w:lang w:val="en-US" w:eastAsia="zh-CN"/>
              </w:rPr>
              <w:t>（可吸入颗粒物）平均浓度分别同比下降6.7%、10.6%、13.7%，二氧化氮、臭氧平均浓度分别同比上升3.2%、8</w:t>
            </w:r>
            <w:r>
              <w:rPr>
                <w:rFonts w:hint="eastAsia" w:ascii="Times New Roman" w:hAnsi="Times New Roman" w:eastAsia="宋体" w:cs="Times New Roman"/>
                <w:color w:val="000000"/>
                <w:sz w:val="24"/>
                <w:szCs w:val="24"/>
                <w:highlight w:val="none"/>
                <w:lang w:val="en-US" w:eastAsia="zh-CN"/>
              </w:rPr>
              <w:t>.1%，一氧化碳平均浓度同比持平。环境空气质量达标判定见表3-1所示。</w:t>
            </w:r>
          </w:p>
          <w:p w14:paraId="1D59B380">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 xml:space="preserve"> </w:t>
            </w:r>
            <w:r>
              <w:rPr>
                <w:rFonts w:hint="default" w:ascii="Times New Roman" w:hAnsi="Times New Roman" w:cs="Times New Roman"/>
                <w:b/>
                <w:bCs/>
                <w:color w:val="000000"/>
                <w:sz w:val="24"/>
                <w:szCs w:val="24"/>
                <w:highlight w:val="none"/>
                <w:lang w:val="en-US" w:eastAsia="zh-CN"/>
              </w:rPr>
              <w:t>区域空气</w:t>
            </w:r>
            <w:r>
              <w:rPr>
                <w:rFonts w:hint="eastAsia" w:cs="Times New Roman"/>
                <w:b/>
                <w:bCs/>
                <w:color w:val="000000"/>
                <w:sz w:val="24"/>
                <w:szCs w:val="24"/>
                <w:highlight w:val="none"/>
                <w:lang w:val="en-US" w:eastAsia="zh-CN"/>
              </w:rPr>
              <w:t>质量现状评价表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2633"/>
              <w:gridCol w:w="1350"/>
              <w:gridCol w:w="1170"/>
              <w:gridCol w:w="1125"/>
              <w:gridCol w:w="870"/>
            </w:tblGrid>
            <w:tr w14:paraId="07C2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noWrap w:val="0"/>
                  <w:vAlign w:val="center"/>
                </w:tcPr>
                <w:p w14:paraId="52B720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污染物</w:t>
                  </w:r>
                </w:p>
              </w:tc>
              <w:tc>
                <w:tcPr>
                  <w:tcW w:w="2633" w:type="dxa"/>
                  <w:noWrap w:val="0"/>
                  <w:vAlign w:val="center"/>
                </w:tcPr>
                <w:p w14:paraId="269AD3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年评价指标</w:t>
                  </w:r>
                </w:p>
              </w:tc>
              <w:tc>
                <w:tcPr>
                  <w:tcW w:w="1350" w:type="dxa"/>
                  <w:noWrap w:val="0"/>
                  <w:vAlign w:val="center"/>
                </w:tcPr>
                <w:p w14:paraId="70BAE9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现状浓度</w:t>
                  </w:r>
                </w:p>
              </w:tc>
              <w:tc>
                <w:tcPr>
                  <w:tcW w:w="1170" w:type="dxa"/>
                  <w:noWrap w:val="0"/>
                  <w:vAlign w:val="center"/>
                </w:tcPr>
                <w:p w14:paraId="7BCFF4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标准值</w:t>
                  </w:r>
                </w:p>
              </w:tc>
              <w:tc>
                <w:tcPr>
                  <w:tcW w:w="1125" w:type="dxa"/>
                  <w:noWrap w:val="0"/>
                  <w:vAlign w:val="center"/>
                </w:tcPr>
                <w:p w14:paraId="4645FC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占标率</w:t>
                  </w:r>
                </w:p>
                <w:p w14:paraId="4848D0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w:t>
                  </w:r>
                </w:p>
              </w:tc>
              <w:tc>
                <w:tcPr>
                  <w:tcW w:w="870" w:type="dxa"/>
                  <w:noWrap w:val="0"/>
                  <w:vAlign w:val="center"/>
                </w:tcPr>
                <w:p w14:paraId="3DD9D5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1"/>
                      <w:szCs w:val="21"/>
                      <w:highlight w:val="none"/>
                      <w:lang w:val="en-US" w:eastAsia="zh-CN"/>
                    </w:rPr>
                  </w:pPr>
                  <w:r>
                    <w:rPr>
                      <w:rFonts w:hint="default" w:ascii="Times New Roman" w:hAnsi="Times New Roman" w:eastAsia="宋体" w:cs="Times New Roman"/>
                      <w:b/>
                      <w:bCs w:val="0"/>
                      <w:color w:val="000000"/>
                      <w:sz w:val="21"/>
                      <w:szCs w:val="21"/>
                      <w:highlight w:val="none"/>
                      <w:lang w:val="en-US" w:eastAsia="zh-CN"/>
                    </w:rPr>
                    <w:t>达标情况</w:t>
                  </w:r>
                </w:p>
              </w:tc>
            </w:tr>
            <w:tr w14:paraId="327A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076" w:type="dxa"/>
                  <w:noWrap w:val="0"/>
                  <w:vAlign w:val="center"/>
                </w:tcPr>
                <w:p w14:paraId="645DDBEB">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PM</w:t>
                  </w:r>
                  <w:r>
                    <w:rPr>
                      <w:rFonts w:ascii="Times New Roman" w:hAnsi="Times New Roman" w:eastAsia="宋体" w:cs="Times New Roman"/>
                      <w:bCs/>
                      <w:color w:val="000000"/>
                      <w:sz w:val="21"/>
                      <w:szCs w:val="21"/>
                      <w:vertAlign w:val="subscript"/>
                    </w:rPr>
                    <w:t>10</w:t>
                  </w:r>
                </w:p>
              </w:tc>
              <w:tc>
                <w:tcPr>
                  <w:tcW w:w="2633" w:type="dxa"/>
                  <w:noWrap w:val="0"/>
                  <w:vAlign w:val="center"/>
                </w:tcPr>
                <w:p w14:paraId="5F822B9C">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年平均浓度</w:t>
                  </w:r>
                </w:p>
              </w:tc>
              <w:tc>
                <w:tcPr>
                  <w:tcW w:w="1350" w:type="dxa"/>
                  <w:noWrap w:val="0"/>
                  <w:vAlign w:val="center"/>
                </w:tcPr>
                <w:p w14:paraId="59F38A9E">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Cs/>
                      <w:color w:val="000000"/>
                      <w:sz w:val="21"/>
                      <w:szCs w:val="21"/>
                      <w:lang w:val="en-US" w:eastAsia="zh-CN"/>
                    </w:rPr>
                    <w:t>40.3</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70" w:type="dxa"/>
                  <w:noWrap w:val="0"/>
                  <w:vAlign w:val="center"/>
                </w:tcPr>
                <w:p w14:paraId="09BF9000">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Cs/>
                      <w:color w:val="000000"/>
                      <w:sz w:val="21"/>
                      <w:szCs w:val="21"/>
                      <w:lang w:val="en-US" w:eastAsia="zh-CN"/>
                    </w:rPr>
                    <w:t>60</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25" w:type="dxa"/>
                  <w:noWrap w:val="0"/>
                  <w:vAlign w:val="center"/>
                </w:tcPr>
                <w:p w14:paraId="0E7A513C">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67.2</w:t>
                  </w:r>
                </w:p>
              </w:tc>
              <w:tc>
                <w:tcPr>
                  <w:tcW w:w="870" w:type="dxa"/>
                  <w:noWrap w:val="0"/>
                  <w:vAlign w:val="center"/>
                </w:tcPr>
                <w:p w14:paraId="78FBB2BA">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达标</w:t>
                  </w:r>
                </w:p>
              </w:tc>
            </w:tr>
            <w:tr w14:paraId="4063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noWrap w:val="0"/>
                  <w:vAlign w:val="center"/>
                </w:tcPr>
                <w:p w14:paraId="445251D6">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PM</w:t>
                  </w:r>
                  <w:r>
                    <w:rPr>
                      <w:rFonts w:ascii="Times New Roman" w:hAnsi="Times New Roman" w:eastAsia="宋体" w:cs="Times New Roman"/>
                      <w:bCs/>
                      <w:color w:val="000000"/>
                      <w:sz w:val="21"/>
                      <w:szCs w:val="21"/>
                      <w:vertAlign w:val="subscript"/>
                    </w:rPr>
                    <w:t>2.5</w:t>
                  </w:r>
                </w:p>
              </w:tc>
              <w:tc>
                <w:tcPr>
                  <w:tcW w:w="2633" w:type="dxa"/>
                  <w:noWrap w:val="0"/>
                  <w:vAlign w:val="center"/>
                </w:tcPr>
                <w:p w14:paraId="1D9B8636">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年平均浓度</w:t>
                  </w:r>
                </w:p>
              </w:tc>
              <w:tc>
                <w:tcPr>
                  <w:tcW w:w="1350" w:type="dxa"/>
                  <w:noWrap w:val="0"/>
                  <w:vAlign w:val="center"/>
                </w:tcPr>
                <w:p w14:paraId="26644DA1">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Cs/>
                      <w:color w:val="000000"/>
                      <w:sz w:val="21"/>
                      <w:szCs w:val="21"/>
                      <w:shd w:val="clear" w:color="auto" w:fill="FFFFFF"/>
                      <w:lang w:val="en-US" w:eastAsia="zh-CN"/>
                    </w:rPr>
                    <w:t>25.4</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70" w:type="dxa"/>
                  <w:noWrap w:val="0"/>
                  <w:vAlign w:val="center"/>
                </w:tcPr>
                <w:p w14:paraId="052C5222">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Cs/>
                      <w:color w:val="000000"/>
                      <w:sz w:val="21"/>
                      <w:szCs w:val="21"/>
                      <w:lang w:val="en-US" w:eastAsia="zh-CN"/>
                    </w:rPr>
                    <w:t>30</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25" w:type="dxa"/>
                  <w:noWrap w:val="0"/>
                  <w:vAlign w:val="center"/>
                </w:tcPr>
                <w:p w14:paraId="37D2B67A">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84.7</w:t>
                  </w:r>
                </w:p>
              </w:tc>
              <w:tc>
                <w:tcPr>
                  <w:tcW w:w="870" w:type="dxa"/>
                  <w:noWrap w:val="0"/>
                  <w:vAlign w:val="center"/>
                </w:tcPr>
                <w:p w14:paraId="2483BFBB">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达标</w:t>
                  </w:r>
                </w:p>
              </w:tc>
            </w:tr>
            <w:tr w14:paraId="5638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noWrap w:val="0"/>
                  <w:vAlign w:val="center"/>
                </w:tcPr>
                <w:p w14:paraId="4B258781">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SO</w:t>
                  </w:r>
                  <w:r>
                    <w:rPr>
                      <w:rFonts w:ascii="Times New Roman" w:hAnsi="Times New Roman" w:eastAsia="宋体" w:cs="Times New Roman"/>
                      <w:bCs/>
                      <w:color w:val="000000"/>
                      <w:sz w:val="21"/>
                      <w:szCs w:val="21"/>
                      <w:vertAlign w:val="subscript"/>
                    </w:rPr>
                    <w:t>2</w:t>
                  </w:r>
                </w:p>
              </w:tc>
              <w:tc>
                <w:tcPr>
                  <w:tcW w:w="2633" w:type="dxa"/>
                  <w:noWrap w:val="0"/>
                  <w:vAlign w:val="center"/>
                </w:tcPr>
                <w:p w14:paraId="002E10AE">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年平均浓度</w:t>
                  </w:r>
                </w:p>
              </w:tc>
              <w:tc>
                <w:tcPr>
                  <w:tcW w:w="1350" w:type="dxa"/>
                  <w:noWrap w:val="0"/>
                  <w:vAlign w:val="center"/>
                </w:tcPr>
                <w:p w14:paraId="211480E8">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Cs/>
                      <w:color w:val="000000"/>
                      <w:sz w:val="21"/>
                      <w:szCs w:val="21"/>
                      <w:shd w:val="clear" w:color="auto" w:fill="FFFFFF"/>
                      <w:lang w:val="en-US" w:eastAsia="zh-CN"/>
                    </w:rPr>
                    <w:t>4.2</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70" w:type="dxa"/>
                  <w:noWrap w:val="0"/>
                  <w:vAlign w:val="center"/>
                </w:tcPr>
                <w:p w14:paraId="419AEB2D">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60</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25" w:type="dxa"/>
                  <w:noWrap w:val="0"/>
                  <w:vAlign w:val="center"/>
                </w:tcPr>
                <w:p w14:paraId="65FBD33F">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7.0</w:t>
                  </w:r>
                </w:p>
              </w:tc>
              <w:tc>
                <w:tcPr>
                  <w:tcW w:w="870" w:type="dxa"/>
                  <w:noWrap w:val="0"/>
                  <w:vAlign w:val="center"/>
                </w:tcPr>
                <w:p w14:paraId="57D621B6">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达标</w:t>
                  </w:r>
                </w:p>
              </w:tc>
            </w:tr>
            <w:tr w14:paraId="6198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noWrap w:val="0"/>
                  <w:vAlign w:val="center"/>
                </w:tcPr>
                <w:p w14:paraId="34BF4D83">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NO</w:t>
                  </w:r>
                  <w:r>
                    <w:rPr>
                      <w:rFonts w:ascii="Times New Roman" w:hAnsi="Times New Roman" w:eastAsia="宋体" w:cs="Times New Roman"/>
                      <w:bCs/>
                      <w:color w:val="000000"/>
                      <w:sz w:val="21"/>
                      <w:szCs w:val="21"/>
                      <w:vertAlign w:val="subscript"/>
                    </w:rPr>
                    <w:t>2</w:t>
                  </w:r>
                </w:p>
              </w:tc>
              <w:tc>
                <w:tcPr>
                  <w:tcW w:w="2633" w:type="dxa"/>
                  <w:noWrap w:val="0"/>
                  <w:vAlign w:val="center"/>
                </w:tcPr>
                <w:p w14:paraId="209330B8">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年平均浓度</w:t>
                  </w:r>
                </w:p>
              </w:tc>
              <w:tc>
                <w:tcPr>
                  <w:tcW w:w="1350" w:type="dxa"/>
                  <w:noWrap w:val="0"/>
                  <w:vAlign w:val="center"/>
                </w:tcPr>
                <w:p w14:paraId="0E0B7588">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Cs/>
                      <w:color w:val="000000"/>
                      <w:sz w:val="21"/>
                      <w:szCs w:val="21"/>
                      <w:shd w:val="clear" w:color="auto" w:fill="FFFFFF"/>
                      <w:lang w:val="en-US" w:eastAsia="zh-CN"/>
                    </w:rPr>
                    <w:t>9.7</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70" w:type="dxa"/>
                  <w:noWrap w:val="0"/>
                  <w:vAlign w:val="center"/>
                </w:tcPr>
                <w:p w14:paraId="75782288">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40</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25" w:type="dxa"/>
                  <w:noWrap w:val="0"/>
                  <w:vAlign w:val="center"/>
                </w:tcPr>
                <w:p w14:paraId="7F51C062">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24.3</w:t>
                  </w:r>
                </w:p>
              </w:tc>
              <w:tc>
                <w:tcPr>
                  <w:tcW w:w="870" w:type="dxa"/>
                  <w:noWrap w:val="0"/>
                  <w:vAlign w:val="center"/>
                </w:tcPr>
                <w:p w14:paraId="413D600B">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达标</w:t>
                  </w:r>
                </w:p>
              </w:tc>
            </w:tr>
            <w:tr w14:paraId="5A95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076" w:type="dxa"/>
                  <w:noWrap w:val="0"/>
                  <w:vAlign w:val="center"/>
                </w:tcPr>
                <w:p w14:paraId="4BC1FE63">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O</w:t>
                  </w:r>
                  <w:r>
                    <w:rPr>
                      <w:rFonts w:ascii="Times New Roman" w:hAnsi="Times New Roman" w:eastAsia="宋体" w:cs="Times New Roman"/>
                      <w:bCs/>
                      <w:color w:val="000000"/>
                      <w:sz w:val="21"/>
                      <w:szCs w:val="21"/>
                      <w:vertAlign w:val="subscript"/>
                    </w:rPr>
                    <w:t>3</w:t>
                  </w:r>
                </w:p>
              </w:tc>
              <w:tc>
                <w:tcPr>
                  <w:tcW w:w="2633" w:type="dxa"/>
                  <w:noWrap w:val="0"/>
                  <w:vAlign w:val="center"/>
                </w:tcPr>
                <w:p w14:paraId="2B00ED96">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第90百分位数8h平均浓度</w:t>
                  </w:r>
                </w:p>
              </w:tc>
              <w:tc>
                <w:tcPr>
                  <w:tcW w:w="1350" w:type="dxa"/>
                  <w:noWrap w:val="0"/>
                  <w:vAlign w:val="center"/>
                </w:tcPr>
                <w:p w14:paraId="4AD5D557">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Cs/>
                      <w:color w:val="000000"/>
                      <w:sz w:val="21"/>
                      <w:szCs w:val="21"/>
                      <w:lang w:val="en-US" w:eastAsia="zh-CN"/>
                    </w:rPr>
                    <w:t>134</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70" w:type="dxa"/>
                  <w:noWrap w:val="0"/>
                  <w:vAlign w:val="center"/>
                </w:tcPr>
                <w:p w14:paraId="0641ECDC">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160</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p>
              </w:tc>
              <w:tc>
                <w:tcPr>
                  <w:tcW w:w="1125" w:type="dxa"/>
                  <w:noWrap w:val="0"/>
                  <w:vAlign w:val="center"/>
                </w:tcPr>
                <w:p w14:paraId="3DA13C88">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83.75</w:t>
                  </w:r>
                </w:p>
              </w:tc>
              <w:tc>
                <w:tcPr>
                  <w:tcW w:w="870" w:type="dxa"/>
                  <w:noWrap w:val="0"/>
                  <w:vAlign w:val="center"/>
                </w:tcPr>
                <w:p w14:paraId="66B7E9D6">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达标</w:t>
                  </w:r>
                </w:p>
              </w:tc>
            </w:tr>
            <w:tr w14:paraId="7840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noWrap w:val="0"/>
                  <w:vAlign w:val="center"/>
                </w:tcPr>
                <w:p w14:paraId="386BD0EC">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CO</w:t>
                  </w:r>
                </w:p>
              </w:tc>
              <w:tc>
                <w:tcPr>
                  <w:tcW w:w="2633" w:type="dxa"/>
                  <w:noWrap w:val="0"/>
                  <w:vAlign w:val="center"/>
                </w:tcPr>
                <w:p w14:paraId="1F6DA2B1">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第95百分位数日平均浓度</w:t>
                  </w:r>
                </w:p>
              </w:tc>
              <w:tc>
                <w:tcPr>
                  <w:tcW w:w="1350" w:type="dxa"/>
                  <w:noWrap w:val="0"/>
                  <w:vAlign w:val="center"/>
                </w:tcPr>
                <w:p w14:paraId="586A1ACD">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Cs/>
                      <w:color w:val="000000"/>
                      <w:sz w:val="21"/>
                      <w:szCs w:val="21"/>
                      <w:lang w:val="en-US" w:eastAsia="zh-CN"/>
                    </w:rPr>
                    <w:t>1.3</w:t>
                  </w:r>
                  <w:r>
                    <w:rPr>
                      <w:rFonts w:ascii="Times New Roman" w:hAnsi="Times New Roman" w:eastAsia="宋体" w:cs="Times New Roman"/>
                      <w:bCs/>
                      <w:color w:val="000000"/>
                      <w:sz w:val="21"/>
                      <w:szCs w:val="21"/>
                    </w:rPr>
                    <w:t>mg/m</w:t>
                  </w:r>
                  <w:r>
                    <w:rPr>
                      <w:rFonts w:ascii="Times New Roman" w:hAnsi="Times New Roman" w:eastAsia="宋体" w:cs="Times New Roman"/>
                      <w:bCs/>
                      <w:color w:val="000000"/>
                      <w:sz w:val="21"/>
                      <w:szCs w:val="21"/>
                      <w:vertAlign w:val="superscript"/>
                    </w:rPr>
                    <w:t>3</w:t>
                  </w:r>
                </w:p>
              </w:tc>
              <w:tc>
                <w:tcPr>
                  <w:tcW w:w="1170" w:type="dxa"/>
                  <w:noWrap w:val="0"/>
                  <w:vAlign w:val="center"/>
                </w:tcPr>
                <w:p w14:paraId="0032CBBF">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4mg/m</w:t>
                  </w:r>
                  <w:r>
                    <w:rPr>
                      <w:rFonts w:ascii="Times New Roman" w:hAnsi="Times New Roman" w:eastAsia="宋体" w:cs="Times New Roman"/>
                      <w:bCs/>
                      <w:color w:val="000000"/>
                      <w:sz w:val="21"/>
                      <w:szCs w:val="21"/>
                      <w:vertAlign w:val="superscript"/>
                    </w:rPr>
                    <w:t>3</w:t>
                  </w:r>
                </w:p>
              </w:tc>
              <w:tc>
                <w:tcPr>
                  <w:tcW w:w="1125" w:type="dxa"/>
                  <w:noWrap w:val="0"/>
                  <w:vAlign w:val="center"/>
                </w:tcPr>
                <w:p w14:paraId="73CB660C">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32.5</w:t>
                  </w:r>
                </w:p>
              </w:tc>
              <w:tc>
                <w:tcPr>
                  <w:tcW w:w="870" w:type="dxa"/>
                  <w:noWrap w:val="0"/>
                  <w:vAlign w:val="center"/>
                </w:tcPr>
                <w:p w14:paraId="2F4B1440">
                  <w:pPr>
                    <w:pStyle w:val="10"/>
                    <w:pageBreakBefore w:val="0"/>
                    <w:kinsoku/>
                    <w:wordWrap/>
                    <w:overflowPunct w:val="0"/>
                    <w:topLinePunct w:val="0"/>
                    <w:autoSpaceDE w:val="0"/>
                    <w:autoSpaceDN w:val="0"/>
                    <w:bidi w:val="0"/>
                    <w:snapToGrid/>
                    <w:spacing w:before="0" w:after="0" w:line="240" w:lineRule="auto"/>
                    <w:ind w:right="0" w:rightChars="0"/>
                    <w:jc w:val="center"/>
                    <w:rPr>
                      <w:rFonts w:hint="default" w:ascii="Times New Roman" w:hAnsi="Times New Roman" w:eastAsia="宋体" w:cs="Times New Roman"/>
                      <w:b w:val="0"/>
                      <w:bCs/>
                      <w:color w:val="000000"/>
                      <w:sz w:val="21"/>
                      <w:szCs w:val="21"/>
                      <w:highlight w:val="none"/>
                      <w:lang w:val="en-US" w:eastAsia="zh-CN"/>
                    </w:rPr>
                  </w:pPr>
                  <w:r>
                    <w:rPr>
                      <w:rFonts w:ascii="Times New Roman" w:hAnsi="Times New Roman" w:eastAsia="宋体" w:cs="Times New Roman"/>
                      <w:bCs/>
                      <w:color w:val="000000"/>
                      <w:sz w:val="21"/>
                      <w:szCs w:val="21"/>
                    </w:rPr>
                    <w:t>达标</w:t>
                  </w:r>
                </w:p>
              </w:tc>
            </w:tr>
          </w:tbl>
          <w:p w14:paraId="3942F6DA">
            <w:pPr>
              <w:spacing w:line="360" w:lineRule="auto"/>
              <w:ind w:firstLine="480" w:firstLineChars="200"/>
              <w:jc w:val="both"/>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由表3-1可以看出</w:t>
            </w:r>
            <w:r>
              <w:rPr>
                <w:rFonts w:hint="eastAsia" w:ascii="Times New Roman" w:hAnsi="Times New Roman" w:eastAsia="宋体" w:cs="Times New Roman"/>
                <w:color w:val="000000"/>
                <w:sz w:val="24"/>
                <w:szCs w:val="24"/>
                <w:highlight w:val="none"/>
                <w:lang w:val="en-US" w:eastAsia="zh-CN"/>
              </w:rPr>
              <w:t>，平昌</w:t>
            </w:r>
            <w:r>
              <w:rPr>
                <w:rFonts w:hint="eastAsia" w:cs="Times New Roman"/>
                <w:color w:val="000000"/>
                <w:sz w:val="24"/>
                <w:szCs w:val="24"/>
                <w:highlight w:val="none"/>
                <w:lang w:val="en-US" w:eastAsia="zh-CN"/>
              </w:rPr>
              <w:t>县</w:t>
            </w:r>
            <w:r>
              <w:rPr>
                <w:rFonts w:hint="default" w:ascii="Times New Roman" w:hAnsi="Times New Roman" w:eastAsia="宋体" w:cs="Times New Roman"/>
                <w:color w:val="000000"/>
                <w:sz w:val="24"/>
                <w:szCs w:val="24"/>
                <w:highlight w:val="none"/>
                <w:lang w:val="en-US" w:eastAsia="zh-CN"/>
              </w:rPr>
              <w:t>SO</w:t>
            </w:r>
            <w:r>
              <w:rPr>
                <w:rFonts w:hint="default" w:ascii="Times New Roman" w:hAnsi="Times New Roman" w:eastAsia="宋体" w:cs="Times New Roman"/>
                <w:color w:val="000000"/>
                <w:sz w:val="24"/>
                <w:szCs w:val="24"/>
                <w:highlight w:val="none"/>
                <w:vertAlign w:val="subscript"/>
                <w:lang w:val="en-US" w:eastAsia="zh-CN"/>
              </w:rPr>
              <w:t>2</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NO</w:t>
            </w:r>
            <w:r>
              <w:rPr>
                <w:rFonts w:hint="default" w:ascii="Times New Roman" w:hAnsi="Times New Roman" w:eastAsia="宋体" w:cs="Times New Roman"/>
                <w:color w:val="000000"/>
                <w:sz w:val="24"/>
                <w:szCs w:val="24"/>
                <w:highlight w:val="none"/>
                <w:vertAlign w:val="subscript"/>
                <w:lang w:val="en-US" w:eastAsia="zh-CN"/>
              </w:rPr>
              <w:t>2</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PM</w:t>
            </w:r>
            <w:r>
              <w:rPr>
                <w:rFonts w:hint="default" w:ascii="Times New Roman" w:hAnsi="Times New Roman" w:eastAsia="宋体" w:cs="Times New Roman"/>
                <w:color w:val="000000"/>
                <w:sz w:val="24"/>
                <w:szCs w:val="24"/>
                <w:highlight w:val="none"/>
                <w:vertAlign w:val="subscript"/>
                <w:lang w:val="en-US" w:eastAsia="zh-CN"/>
              </w:rPr>
              <w:t>2.5</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PM</w:t>
            </w:r>
            <w:r>
              <w:rPr>
                <w:rFonts w:hint="default" w:ascii="Times New Roman" w:hAnsi="Times New Roman" w:eastAsia="宋体" w:cs="Times New Roman"/>
                <w:color w:val="000000"/>
                <w:sz w:val="24"/>
                <w:szCs w:val="24"/>
                <w:highlight w:val="none"/>
                <w:vertAlign w:val="subscript"/>
                <w:lang w:val="en-US" w:eastAsia="zh-CN"/>
              </w:rPr>
              <w:t>10</w:t>
            </w:r>
            <w:r>
              <w:rPr>
                <w:rFonts w:hint="eastAsia" w:ascii="Times New Roman" w:hAnsi="Times New Roman" w:eastAsia="宋体" w:cs="Times New Roman"/>
                <w:color w:val="000000"/>
                <w:sz w:val="24"/>
                <w:szCs w:val="24"/>
                <w:highlight w:val="none"/>
                <w:lang w:val="en-US" w:eastAsia="zh-CN"/>
              </w:rPr>
              <w:t>年均浓度，</w:t>
            </w:r>
            <w:r>
              <w:rPr>
                <w:rFonts w:hint="default" w:ascii="Times New Roman" w:hAnsi="Times New Roman" w:eastAsia="宋体" w:cs="Times New Roman"/>
                <w:color w:val="000000"/>
                <w:sz w:val="24"/>
                <w:szCs w:val="24"/>
                <w:highlight w:val="none"/>
                <w:lang w:val="en-US" w:eastAsia="zh-CN"/>
              </w:rPr>
              <w:t>O</w:t>
            </w:r>
            <w:r>
              <w:rPr>
                <w:rFonts w:hint="default" w:ascii="Times New Roman" w:hAnsi="Times New Roman" w:eastAsia="宋体" w:cs="Times New Roman"/>
                <w:color w:val="000000"/>
                <w:sz w:val="24"/>
                <w:szCs w:val="24"/>
                <w:highlight w:val="none"/>
                <w:vertAlign w:val="subscript"/>
                <w:lang w:val="en-US" w:eastAsia="zh-CN"/>
              </w:rPr>
              <w:t>3</w:t>
            </w:r>
            <w:r>
              <w:rPr>
                <w:rFonts w:hint="eastAsia" w:ascii="Times New Roman" w:hAnsi="Times New Roman" w:eastAsia="宋体" w:cs="Times New Roman"/>
                <w:color w:val="000000"/>
                <w:sz w:val="24"/>
                <w:szCs w:val="24"/>
                <w:highlight w:val="none"/>
                <w:lang w:val="en-US" w:eastAsia="zh-CN"/>
              </w:rPr>
              <w:t>日最大8小时均值的第</w:t>
            </w:r>
            <w:r>
              <w:rPr>
                <w:rFonts w:hint="default" w:ascii="Times New Roman" w:hAnsi="Times New Roman" w:eastAsia="宋体" w:cs="Times New Roman"/>
                <w:color w:val="000000"/>
                <w:sz w:val="24"/>
                <w:szCs w:val="24"/>
                <w:highlight w:val="none"/>
                <w:lang w:val="en-US" w:eastAsia="zh-CN"/>
              </w:rPr>
              <w:t>90</w:t>
            </w:r>
            <w:r>
              <w:rPr>
                <w:rFonts w:hint="eastAsia" w:ascii="Times New Roman" w:hAnsi="Times New Roman" w:eastAsia="宋体" w:cs="Times New Roman"/>
                <w:color w:val="000000"/>
                <w:sz w:val="24"/>
                <w:szCs w:val="24"/>
                <w:highlight w:val="none"/>
                <w:lang w:val="en-US" w:eastAsia="zh-CN"/>
              </w:rPr>
              <w:t>百分位数、</w:t>
            </w:r>
            <w:r>
              <w:rPr>
                <w:rFonts w:hint="default" w:ascii="Times New Roman" w:hAnsi="Times New Roman" w:eastAsia="宋体" w:cs="Times New Roman"/>
                <w:color w:val="000000"/>
                <w:sz w:val="24"/>
                <w:szCs w:val="24"/>
                <w:highlight w:val="none"/>
                <w:lang w:val="en-US" w:eastAsia="zh-CN"/>
              </w:rPr>
              <w:t>CO</w:t>
            </w:r>
            <w:r>
              <w:rPr>
                <w:rFonts w:hint="eastAsia" w:ascii="Times New Roman" w:hAnsi="Times New Roman" w:eastAsia="宋体" w:cs="Times New Roman"/>
                <w:color w:val="000000"/>
                <w:sz w:val="24"/>
                <w:szCs w:val="24"/>
                <w:highlight w:val="none"/>
                <w:lang w:val="en-US" w:eastAsia="zh-CN"/>
              </w:rPr>
              <w:t>日均值第</w:t>
            </w:r>
            <w:r>
              <w:rPr>
                <w:rFonts w:hint="default" w:ascii="Times New Roman" w:hAnsi="Times New Roman" w:eastAsia="宋体" w:cs="Times New Roman"/>
                <w:color w:val="000000"/>
                <w:sz w:val="24"/>
                <w:szCs w:val="24"/>
                <w:highlight w:val="none"/>
                <w:lang w:val="en-US" w:eastAsia="zh-CN"/>
              </w:rPr>
              <w:t>95</w:t>
            </w:r>
            <w:r>
              <w:rPr>
                <w:rFonts w:hint="eastAsia" w:ascii="Times New Roman" w:hAnsi="Times New Roman" w:eastAsia="宋体" w:cs="Times New Roman"/>
                <w:color w:val="000000"/>
                <w:sz w:val="24"/>
                <w:szCs w:val="24"/>
                <w:highlight w:val="none"/>
                <w:lang w:val="en-US" w:eastAsia="zh-CN"/>
              </w:rPr>
              <w:t>百分位数均达到《环境空气质量标准》（GB 3095—2026）二级标准中过渡阶段浓度限值要求。</w:t>
            </w:r>
          </w:p>
          <w:p w14:paraId="294D007F">
            <w:pPr>
              <w:spacing w:line="360" w:lineRule="auto"/>
              <w:ind w:firstLine="480" w:firstLineChars="200"/>
              <w:jc w:val="both"/>
              <w:rPr>
                <w:rFonts w:hint="default"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根据平昌县环境质量统计数据，平昌县</w:t>
            </w:r>
            <w:r>
              <w:rPr>
                <w:rFonts w:hint="default" w:ascii="Times New Roman" w:hAnsi="Times New Roman" w:eastAsia="宋体" w:cs="Times New Roman"/>
                <w:color w:val="000000"/>
                <w:sz w:val="24"/>
                <w:szCs w:val="24"/>
                <w:highlight w:val="none"/>
                <w:lang w:val="en-US" w:eastAsia="zh-CN"/>
              </w:rPr>
              <w:t>PM</w:t>
            </w:r>
            <w:r>
              <w:rPr>
                <w:rFonts w:hint="default" w:ascii="Times New Roman" w:hAnsi="Times New Roman" w:eastAsia="宋体" w:cs="Times New Roman"/>
                <w:color w:val="000000"/>
                <w:sz w:val="24"/>
                <w:szCs w:val="24"/>
                <w:highlight w:val="none"/>
                <w:vertAlign w:val="subscript"/>
                <w:lang w:val="en-US" w:eastAsia="zh-CN"/>
              </w:rPr>
              <w:t>2.5</w:t>
            </w:r>
            <w:r>
              <w:rPr>
                <w:rFonts w:hint="eastAsia" w:ascii="Times New Roman" w:hAnsi="Times New Roman" w:eastAsia="宋体" w:cs="Times New Roman"/>
                <w:color w:val="000000"/>
                <w:sz w:val="24"/>
                <w:szCs w:val="24"/>
                <w:highlight w:val="none"/>
                <w:lang w:val="en-US" w:eastAsia="zh-CN"/>
              </w:rPr>
              <w:t>日均值第</w:t>
            </w:r>
            <w:r>
              <w:rPr>
                <w:rFonts w:hint="default" w:ascii="Times New Roman" w:hAnsi="Times New Roman" w:eastAsia="宋体" w:cs="Times New Roman"/>
                <w:color w:val="000000"/>
                <w:sz w:val="24"/>
                <w:szCs w:val="24"/>
                <w:highlight w:val="none"/>
                <w:lang w:val="en-US" w:eastAsia="zh-CN"/>
              </w:rPr>
              <w:t>95</w:t>
            </w:r>
            <w:r>
              <w:rPr>
                <w:rFonts w:hint="eastAsia" w:ascii="Times New Roman" w:hAnsi="Times New Roman" w:eastAsia="宋体" w:cs="Times New Roman"/>
                <w:color w:val="000000"/>
                <w:sz w:val="24"/>
                <w:szCs w:val="24"/>
                <w:highlight w:val="none"/>
                <w:lang w:val="en-US" w:eastAsia="zh-CN"/>
              </w:rPr>
              <w:t>百分位数为68</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r>
              <w:rPr>
                <w:rFonts w:hint="eastAsia" w:ascii="Times New Roman" w:hAnsi="Times New Roman" w:eastAsia="宋体" w:cs="Times New Roman"/>
                <w:color w:val="000000"/>
                <w:sz w:val="24"/>
                <w:szCs w:val="24"/>
                <w:highlight w:val="none"/>
                <w:lang w:val="en-US" w:eastAsia="zh-CN"/>
              </w:rPr>
              <w:t>，不能满足《环境空气质量标准》（GB 3095—2026）二级标准中过渡阶段浓度限值（60</w:t>
            </w:r>
            <w:r>
              <w:rPr>
                <w:rFonts w:ascii="Times New Roman" w:hAnsi="Times New Roman" w:eastAsia="宋体" w:cs="Times New Roman"/>
                <w:bCs/>
                <w:color w:val="000000"/>
                <w:sz w:val="21"/>
                <w:szCs w:val="21"/>
                <w:shd w:val="clear" w:color="auto" w:fill="FFFFFF"/>
              </w:rPr>
              <w:t>μg</w:t>
            </w:r>
            <w:r>
              <w:rPr>
                <w:rFonts w:ascii="Times New Roman" w:hAnsi="Times New Roman" w:eastAsia="宋体" w:cs="Times New Roman"/>
                <w:bCs/>
                <w:color w:val="000000"/>
                <w:sz w:val="21"/>
                <w:szCs w:val="21"/>
              </w:rPr>
              <w:t>/m</w:t>
            </w:r>
            <w:r>
              <w:rPr>
                <w:rFonts w:ascii="Times New Roman" w:hAnsi="Times New Roman" w:eastAsia="宋体" w:cs="Times New Roman"/>
                <w:bCs/>
                <w:color w:val="000000"/>
                <w:sz w:val="21"/>
                <w:szCs w:val="21"/>
                <w:vertAlign w:val="superscript"/>
              </w:rPr>
              <w:t>3</w:t>
            </w:r>
            <w:r>
              <w:rPr>
                <w:rFonts w:hint="eastAsia" w:ascii="Times New Roman" w:hAnsi="Times New Roman" w:eastAsia="宋体" w:cs="Times New Roman"/>
                <w:color w:val="000000"/>
                <w:sz w:val="24"/>
                <w:szCs w:val="24"/>
                <w:highlight w:val="none"/>
                <w:lang w:val="en-US" w:eastAsia="zh-CN"/>
              </w:rPr>
              <w:t>）要求。</w:t>
            </w:r>
            <w:r>
              <w:rPr>
                <w:rFonts w:hint="eastAsia" w:ascii="Times New Roman" w:hAnsi="Times New Roman" w:eastAsia="宋体" w:cs="Times New Roman"/>
                <w:b/>
                <w:bCs/>
                <w:color w:val="000000"/>
                <w:sz w:val="24"/>
                <w:szCs w:val="24"/>
                <w:highlight w:val="none"/>
                <w:lang w:val="en-US" w:eastAsia="zh-CN"/>
              </w:rPr>
              <w:t>故项目所在区域为不达标区</w:t>
            </w:r>
            <w:r>
              <w:rPr>
                <w:rFonts w:hint="eastAsia" w:ascii="Times New Roman" w:hAnsi="Times New Roman" w:eastAsia="宋体" w:cs="Times New Roman"/>
                <w:color w:val="000000"/>
                <w:sz w:val="24"/>
                <w:szCs w:val="24"/>
                <w:highlight w:val="none"/>
                <w:lang w:val="en-US" w:eastAsia="zh-CN"/>
              </w:rPr>
              <w:t>。目前该区域暂无相关达标规划。</w:t>
            </w:r>
          </w:p>
          <w:p w14:paraId="3471FD9B">
            <w:pPr>
              <w:spacing w:line="360" w:lineRule="auto"/>
              <w:ind w:firstLine="480" w:firstLineChars="200"/>
              <w:rPr>
                <w:rFonts w:ascii="Times New Roman" w:hAnsi="Times New Roman" w:cs="Times New Roman"/>
                <w:b/>
                <w:color w:val="000000"/>
                <w:sz w:val="24"/>
              </w:rPr>
            </w:pPr>
            <w:r>
              <w:rPr>
                <w:rFonts w:hint="eastAsia" w:ascii="Times New Roman" w:hAnsi="Times New Roman" w:cs="Times New Roman"/>
                <w:color w:val="000000"/>
                <w:sz w:val="24"/>
                <w:lang w:val="en-US" w:eastAsia="zh-CN"/>
              </w:rPr>
              <w:t xml:space="preserve"> 2.</w:t>
            </w:r>
            <w:r>
              <w:rPr>
                <w:rFonts w:hint="default" w:ascii="Times New Roman" w:hAnsi="Times New Roman" w:cs="Times New Roman"/>
                <w:b/>
                <w:bCs/>
                <w:color w:val="000000"/>
                <w:sz w:val="24"/>
              </w:rPr>
              <w:t>特征污染物</w:t>
            </w:r>
            <w:r>
              <w:rPr>
                <w:rFonts w:hint="default" w:ascii="Times New Roman" w:hAnsi="Times New Roman" w:cs="Times New Roman"/>
                <w:b/>
                <w:color w:val="000000"/>
                <w:sz w:val="24"/>
              </w:rPr>
              <w:t>监测情况</w:t>
            </w:r>
          </w:p>
          <w:p w14:paraId="403B32B4">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eastAsia="宋体"/>
                <w:b/>
                <w:bCs w:val="0"/>
                <w:color w:val="000000"/>
                <w:sz w:val="24"/>
                <w:lang w:eastAsia="zh-CN"/>
              </w:rPr>
            </w:pPr>
            <w:r>
              <w:rPr>
                <w:rFonts w:hint="eastAsia"/>
                <w:b/>
                <w:bCs w:val="0"/>
                <w:color w:val="000000"/>
                <w:sz w:val="24"/>
                <w:lang w:eastAsia="zh-CN"/>
              </w:rPr>
              <w:t>（</w:t>
            </w:r>
            <w:r>
              <w:rPr>
                <w:rFonts w:hint="eastAsia"/>
                <w:b/>
                <w:bCs w:val="0"/>
                <w:color w:val="000000"/>
                <w:sz w:val="24"/>
                <w:lang w:val="en-US" w:eastAsia="zh-CN"/>
              </w:rPr>
              <w:t>1</w:t>
            </w:r>
            <w:r>
              <w:rPr>
                <w:rFonts w:hint="eastAsia"/>
                <w:b/>
                <w:bCs w:val="0"/>
                <w:color w:val="000000"/>
                <w:sz w:val="24"/>
                <w:lang w:eastAsia="zh-CN"/>
              </w:rPr>
              <w:t>）监测结果</w:t>
            </w:r>
          </w:p>
          <w:p w14:paraId="22384F4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b w:val="0"/>
                <w:bCs/>
                <w:color w:val="000000"/>
                <w:sz w:val="24"/>
              </w:rPr>
            </w:pPr>
            <w:r>
              <w:rPr>
                <w:rFonts w:hint="eastAsia"/>
                <w:b w:val="0"/>
                <w:bCs/>
                <w:color w:val="000000"/>
                <w:sz w:val="24"/>
              </w:rPr>
              <w:t>为了解本项目特征污染物的环境质量本底情况，特委托</w:t>
            </w:r>
            <w:r>
              <w:rPr>
                <w:rFonts w:hint="eastAsia"/>
                <w:b w:val="0"/>
                <w:bCs/>
                <w:color w:val="000000"/>
                <w:sz w:val="24"/>
                <w:lang w:eastAsia="zh-CN"/>
              </w:rPr>
              <w:t>四川华皓检测技术有限公司</w:t>
            </w:r>
            <w:r>
              <w:rPr>
                <w:rFonts w:hint="eastAsia"/>
                <w:b w:val="0"/>
                <w:bCs/>
                <w:color w:val="000000"/>
                <w:sz w:val="24"/>
              </w:rPr>
              <w:t>对本项目</w:t>
            </w:r>
            <w:r>
              <w:rPr>
                <w:rFonts w:hint="eastAsia"/>
                <w:b w:val="0"/>
                <w:bCs/>
                <w:color w:val="000000"/>
                <w:sz w:val="24"/>
                <w:lang w:eastAsia="zh-CN"/>
              </w:rPr>
              <w:t>所在地</w:t>
            </w:r>
            <w:r>
              <w:rPr>
                <w:rFonts w:hint="eastAsia"/>
                <w:b w:val="0"/>
                <w:bCs/>
                <w:color w:val="000000"/>
                <w:sz w:val="24"/>
              </w:rPr>
              <w:t>的TSP</w:t>
            </w:r>
            <w:r>
              <w:rPr>
                <w:rFonts w:hint="eastAsia"/>
                <w:b w:val="0"/>
                <w:bCs/>
                <w:color w:val="000000"/>
                <w:sz w:val="24"/>
                <w:lang w:eastAsia="zh-CN"/>
              </w:rPr>
              <w:t>、苯并（a）芘、非甲烷总烃</w:t>
            </w:r>
            <w:r>
              <w:rPr>
                <w:rFonts w:hint="eastAsia"/>
                <w:b w:val="0"/>
                <w:bCs/>
                <w:color w:val="000000"/>
                <w:sz w:val="24"/>
              </w:rPr>
              <w:t>进行了现场监测，监测时间为</w:t>
            </w:r>
            <w:r>
              <w:rPr>
                <w:rFonts w:hint="eastAsia"/>
                <w:b w:val="0"/>
                <w:bCs/>
                <w:color w:val="000000"/>
                <w:sz w:val="24"/>
                <w:lang w:val="en-US" w:eastAsia="zh-CN"/>
              </w:rPr>
              <w:t>2026</w:t>
            </w:r>
            <w:r>
              <w:rPr>
                <w:rFonts w:hint="eastAsia"/>
                <w:b w:val="0"/>
                <w:bCs/>
                <w:color w:val="000000"/>
                <w:sz w:val="24"/>
              </w:rPr>
              <w:t>年</w:t>
            </w:r>
            <w:r>
              <w:rPr>
                <w:rFonts w:hint="eastAsia"/>
                <w:b w:val="0"/>
                <w:bCs/>
                <w:color w:val="000000"/>
                <w:sz w:val="24"/>
                <w:lang w:val="en-US" w:eastAsia="zh-CN"/>
              </w:rPr>
              <w:t>3</w:t>
            </w:r>
            <w:r>
              <w:rPr>
                <w:rFonts w:hint="eastAsia"/>
                <w:b w:val="0"/>
                <w:bCs/>
                <w:color w:val="000000"/>
                <w:sz w:val="24"/>
              </w:rPr>
              <w:t>月</w:t>
            </w:r>
            <w:r>
              <w:rPr>
                <w:rFonts w:hint="eastAsia"/>
                <w:b w:val="0"/>
                <w:bCs/>
                <w:color w:val="000000"/>
                <w:sz w:val="24"/>
                <w:lang w:val="en-US" w:eastAsia="zh-CN"/>
              </w:rPr>
              <w:t>26</w:t>
            </w:r>
            <w:r>
              <w:rPr>
                <w:rFonts w:hint="eastAsia"/>
                <w:b w:val="0"/>
                <w:bCs/>
                <w:color w:val="000000"/>
                <w:sz w:val="24"/>
              </w:rPr>
              <w:t>日~</w:t>
            </w:r>
            <w:r>
              <w:rPr>
                <w:rFonts w:hint="eastAsia"/>
                <w:b w:val="0"/>
                <w:bCs/>
                <w:color w:val="000000"/>
                <w:sz w:val="24"/>
                <w:lang w:val="en-US" w:eastAsia="zh-CN"/>
              </w:rPr>
              <w:t>2026</w:t>
            </w:r>
            <w:r>
              <w:rPr>
                <w:rFonts w:hint="eastAsia"/>
                <w:b w:val="0"/>
                <w:bCs/>
                <w:color w:val="000000"/>
                <w:sz w:val="24"/>
              </w:rPr>
              <w:t>年</w:t>
            </w:r>
            <w:r>
              <w:rPr>
                <w:rFonts w:hint="eastAsia"/>
                <w:b w:val="0"/>
                <w:bCs/>
                <w:color w:val="000000"/>
                <w:sz w:val="24"/>
                <w:lang w:val="en-US" w:eastAsia="zh-CN"/>
              </w:rPr>
              <w:t>4</w:t>
            </w:r>
            <w:r>
              <w:rPr>
                <w:rFonts w:hint="eastAsia"/>
                <w:b w:val="0"/>
                <w:bCs/>
                <w:color w:val="000000"/>
                <w:sz w:val="24"/>
              </w:rPr>
              <w:t>月</w:t>
            </w:r>
            <w:r>
              <w:rPr>
                <w:rFonts w:hint="eastAsia"/>
                <w:b w:val="0"/>
                <w:bCs/>
                <w:color w:val="000000"/>
                <w:sz w:val="24"/>
                <w:lang w:val="en-US" w:eastAsia="zh-CN"/>
              </w:rPr>
              <w:t>2</w:t>
            </w:r>
            <w:r>
              <w:rPr>
                <w:rFonts w:hint="eastAsia"/>
                <w:b w:val="0"/>
                <w:bCs/>
                <w:color w:val="000000"/>
                <w:sz w:val="24"/>
              </w:rPr>
              <w:t>日。</w:t>
            </w:r>
          </w:p>
          <w:p w14:paraId="488352F6">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cs="Times New Roman"/>
                <w:b/>
                <w:bCs/>
                <w:color w:val="000000"/>
                <w:sz w:val="24"/>
                <w:szCs w:val="24"/>
                <w:vertAlign w:val="superscript"/>
                <w:lang w:val="en-US" w:eastAsia="zh-CN"/>
              </w:rPr>
            </w:pPr>
            <w:r>
              <w:rPr>
                <w:rFonts w:hint="eastAsia" w:ascii="Times New Roman" w:hAnsi="Times New Roman" w:eastAsia="宋体" w:cs="Times New Roman"/>
                <w:b/>
                <w:bCs/>
                <w:color w:val="000000"/>
                <w:sz w:val="24"/>
                <w:szCs w:val="24"/>
                <w:highlight w:val="none"/>
                <w:lang w:val="en-US" w:eastAsia="zh-CN"/>
              </w:rPr>
              <w:t xml:space="preserve">  监测数据统计表 </w:t>
            </w:r>
            <w:r>
              <w:rPr>
                <w:rFonts w:hint="eastAsia"/>
                <w:b/>
                <w:bCs/>
                <w:color w:val="000000"/>
                <w:sz w:val="24"/>
                <w:lang w:val="en-US" w:eastAsia="zh-CN"/>
              </w:rPr>
              <w:t xml:space="preserve"> m</w:t>
            </w:r>
            <w:r>
              <w:rPr>
                <w:rFonts w:hint="default" w:ascii="Times New Roman" w:hAnsi="Times New Roman" w:cs="Times New Roman"/>
                <w:b/>
                <w:bCs/>
                <w:color w:val="000000"/>
                <w:sz w:val="24"/>
                <w:szCs w:val="24"/>
                <w:lang w:val="en-US" w:eastAsia="zh-CN"/>
              </w:rPr>
              <w:t>g/m</w:t>
            </w:r>
            <w:r>
              <w:rPr>
                <w:rFonts w:hint="default" w:ascii="Times New Roman" w:hAnsi="Times New Roman" w:cs="Times New Roman"/>
                <w:b/>
                <w:bCs/>
                <w:color w:val="000000"/>
                <w:sz w:val="24"/>
                <w:szCs w:val="24"/>
                <w:vertAlign w:val="superscript"/>
                <w:lang w:val="en-US" w:eastAsia="zh-CN"/>
              </w:rPr>
              <w:t>3</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4"/>
              <w:gridCol w:w="647"/>
              <w:gridCol w:w="806"/>
              <w:gridCol w:w="815"/>
              <w:gridCol w:w="1005"/>
              <w:gridCol w:w="916"/>
              <w:gridCol w:w="873"/>
              <w:gridCol w:w="738"/>
              <w:gridCol w:w="865"/>
            </w:tblGrid>
            <w:tr w14:paraId="1FE2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774" w:type="dxa"/>
                  <w:vMerge w:val="restart"/>
                  <w:tcBorders>
                    <w:tl2br w:val="nil"/>
                    <w:tr2bl w:val="nil"/>
                  </w:tcBorders>
                  <w:noWrap w:val="0"/>
                  <w:vAlign w:val="center"/>
                </w:tcPr>
                <w:p w14:paraId="3F5732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rFonts w:hint="eastAsia"/>
                      <w:b/>
                      <w:bCs/>
                      <w:color w:val="000000"/>
                      <w:sz w:val="21"/>
                      <w:szCs w:val="21"/>
                    </w:rPr>
                    <w:t>采样时间</w:t>
                  </w:r>
                </w:p>
              </w:tc>
              <w:tc>
                <w:tcPr>
                  <w:tcW w:w="647" w:type="dxa"/>
                  <w:vMerge w:val="restart"/>
                  <w:tcBorders>
                    <w:tl2br w:val="nil"/>
                    <w:tr2bl w:val="nil"/>
                  </w:tcBorders>
                  <w:noWrap w:val="0"/>
                  <w:vAlign w:val="center"/>
                </w:tcPr>
                <w:p w14:paraId="031878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rFonts w:hint="eastAsia"/>
                      <w:b/>
                      <w:bCs/>
                      <w:color w:val="000000"/>
                      <w:sz w:val="21"/>
                      <w:szCs w:val="21"/>
                    </w:rPr>
                    <w:t>监测点位</w:t>
                  </w:r>
                </w:p>
              </w:tc>
              <w:tc>
                <w:tcPr>
                  <w:tcW w:w="806" w:type="dxa"/>
                  <w:vMerge w:val="restart"/>
                  <w:tcBorders>
                    <w:tl2br w:val="nil"/>
                    <w:tr2bl w:val="nil"/>
                  </w:tcBorders>
                  <w:noWrap w:val="0"/>
                  <w:vAlign w:val="center"/>
                </w:tcPr>
                <w:p w14:paraId="1DD20B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b/>
                      <w:bCs/>
                      <w:color w:val="000000"/>
                      <w:sz w:val="21"/>
                      <w:szCs w:val="21"/>
                    </w:rPr>
                    <w:t>监测项目</w:t>
                  </w:r>
                </w:p>
              </w:tc>
              <w:tc>
                <w:tcPr>
                  <w:tcW w:w="3609" w:type="dxa"/>
                  <w:gridSpan w:val="4"/>
                  <w:tcBorders>
                    <w:tl2br w:val="nil"/>
                    <w:tr2bl w:val="nil"/>
                  </w:tcBorders>
                  <w:noWrap w:val="0"/>
                  <w:vAlign w:val="center"/>
                </w:tcPr>
                <w:p w14:paraId="4FC53D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b/>
                      <w:bCs/>
                      <w:color w:val="000000"/>
                      <w:sz w:val="21"/>
                      <w:szCs w:val="21"/>
                    </w:rPr>
                    <w:t>监测结果</w:t>
                  </w:r>
                </w:p>
              </w:tc>
              <w:tc>
                <w:tcPr>
                  <w:tcW w:w="738" w:type="dxa"/>
                  <w:vMerge w:val="restart"/>
                  <w:tcBorders>
                    <w:tl2br w:val="nil"/>
                    <w:tr2bl w:val="nil"/>
                  </w:tcBorders>
                  <w:noWrap w:val="0"/>
                  <w:vAlign w:val="center"/>
                </w:tcPr>
                <w:p w14:paraId="437339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b/>
                      <w:bCs/>
                      <w:color w:val="000000"/>
                      <w:sz w:val="21"/>
                      <w:szCs w:val="21"/>
                    </w:rPr>
                    <w:t>标准</w:t>
                  </w:r>
                </w:p>
                <w:p w14:paraId="737D8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b/>
                      <w:bCs/>
                      <w:color w:val="000000"/>
                      <w:sz w:val="21"/>
                      <w:szCs w:val="21"/>
                    </w:rPr>
                    <w:t>限值</w:t>
                  </w:r>
                </w:p>
              </w:tc>
              <w:tc>
                <w:tcPr>
                  <w:tcW w:w="865" w:type="dxa"/>
                  <w:vMerge w:val="restart"/>
                  <w:tcBorders>
                    <w:tl2br w:val="nil"/>
                    <w:tr2bl w:val="nil"/>
                  </w:tcBorders>
                  <w:noWrap w:val="0"/>
                  <w:vAlign w:val="center"/>
                </w:tcPr>
                <w:p w14:paraId="62643C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sz w:val="21"/>
                      <w:szCs w:val="21"/>
                    </w:rPr>
                  </w:pPr>
                  <w:r>
                    <w:rPr>
                      <w:rFonts w:hint="eastAsia"/>
                      <w:b/>
                      <w:bCs/>
                      <w:color w:val="000000"/>
                      <w:sz w:val="21"/>
                      <w:szCs w:val="21"/>
                    </w:rPr>
                    <w:t>评价</w:t>
                  </w:r>
                </w:p>
              </w:tc>
            </w:tr>
            <w:tr w14:paraId="7578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774" w:type="dxa"/>
                  <w:vMerge w:val="continue"/>
                  <w:tcBorders>
                    <w:tl2br w:val="nil"/>
                    <w:tr2bl w:val="nil"/>
                  </w:tcBorders>
                  <w:noWrap w:val="0"/>
                  <w:vAlign w:val="center"/>
                </w:tcPr>
                <w:p w14:paraId="04C0FA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647" w:type="dxa"/>
                  <w:vMerge w:val="continue"/>
                  <w:tcBorders>
                    <w:tl2br w:val="nil"/>
                    <w:tr2bl w:val="nil"/>
                  </w:tcBorders>
                  <w:noWrap w:val="0"/>
                  <w:vAlign w:val="center"/>
                </w:tcPr>
                <w:p w14:paraId="3D455B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66697D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531A37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第</w:t>
                  </w:r>
                  <w:r>
                    <w:rPr>
                      <w:rFonts w:hint="eastAsia"/>
                      <w:color w:val="000000"/>
                      <w:sz w:val="21"/>
                      <w:szCs w:val="21"/>
                      <w:lang w:val="en-US" w:eastAsia="zh-CN"/>
                    </w:rPr>
                    <w:t>1</w:t>
                  </w:r>
                  <w:r>
                    <w:rPr>
                      <w:rFonts w:hint="eastAsia"/>
                      <w:color w:val="000000"/>
                      <w:sz w:val="21"/>
                      <w:szCs w:val="21"/>
                    </w:rPr>
                    <w:t>次</w:t>
                  </w:r>
                </w:p>
              </w:tc>
              <w:tc>
                <w:tcPr>
                  <w:tcW w:w="1005" w:type="dxa"/>
                  <w:tcBorders>
                    <w:tl2br w:val="nil"/>
                    <w:tr2bl w:val="nil"/>
                  </w:tcBorders>
                  <w:noWrap w:val="0"/>
                  <w:vAlign w:val="center"/>
                </w:tcPr>
                <w:p w14:paraId="70CCED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第</w:t>
                  </w:r>
                  <w:r>
                    <w:rPr>
                      <w:rFonts w:hint="eastAsia"/>
                      <w:color w:val="000000"/>
                      <w:sz w:val="21"/>
                      <w:szCs w:val="21"/>
                      <w:lang w:val="en-US" w:eastAsia="zh-CN"/>
                    </w:rPr>
                    <w:t>2</w:t>
                  </w:r>
                  <w:r>
                    <w:rPr>
                      <w:rFonts w:hint="eastAsia"/>
                      <w:color w:val="000000"/>
                      <w:sz w:val="21"/>
                      <w:szCs w:val="21"/>
                    </w:rPr>
                    <w:t>次</w:t>
                  </w:r>
                </w:p>
              </w:tc>
              <w:tc>
                <w:tcPr>
                  <w:tcW w:w="916" w:type="dxa"/>
                  <w:tcBorders>
                    <w:tl2br w:val="nil"/>
                    <w:tr2bl w:val="nil"/>
                  </w:tcBorders>
                  <w:noWrap w:val="0"/>
                  <w:vAlign w:val="center"/>
                </w:tcPr>
                <w:p w14:paraId="211BDF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第</w:t>
                  </w:r>
                  <w:r>
                    <w:rPr>
                      <w:rFonts w:hint="eastAsia"/>
                      <w:color w:val="000000"/>
                      <w:sz w:val="21"/>
                      <w:szCs w:val="21"/>
                      <w:lang w:val="en-US" w:eastAsia="zh-CN"/>
                    </w:rPr>
                    <w:t>3</w:t>
                  </w:r>
                  <w:r>
                    <w:rPr>
                      <w:rFonts w:hint="eastAsia"/>
                      <w:color w:val="000000"/>
                      <w:sz w:val="21"/>
                      <w:szCs w:val="21"/>
                    </w:rPr>
                    <w:t>次</w:t>
                  </w:r>
                </w:p>
              </w:tc>
              <w:tc>
                <w:tcPr>
                  <w:tcW w:w="873" w:type="dxa"/>
                  <w:tcBorders>
                    <w:tl2br w:val="nil"/>
                    <w:tr2bl w:val="nil"/>
                  </w:tcBorders>
                  <w:noWrap w:val="0"/>
                  <w:vAlign w:val="center"/>
                </w:tcPr>
                <w:p w14:paraId="73E446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第</w:t>
                  </w:r>
                  <w:r>
                    <w:rPr>
                      <w:rFonts w:hint="eastAsia"/>
                      <w:color w:val="000000"/>
                      <w:sz w:val="21"/>
                      <w:szCs w:val="21"/>
                      <w:lang w:val="en-US" w:eastAsia="zh-CN"/>
                    </w:rPr>
                    <w:t>4</w:t>
                  </w:r>
                  <w:r>
                    <w:rPr>
                      <w:rFonts w:hint="eastAsia"/>
                      <w:color w:val="000000"/>
                      <w:sz w:val="21"/>
                      <w:szCs w:val="21"/>
                    </w:rPr>
                    <w:t>次</w:t>
                  </w:r>
                </w:p>
              </w:tc>
              <w:tc>
                <w:tcPr>
                  <w:tcW w:w="738" w:type="dxa"/>
                  <w:vMerge w:val="continue"/>
                  <w:tcBorders>
                    <w:tl2br w:val="nil"/>
                    <w:tr2bl w:val="nil"/>
                  </w:tcBorders>
                  <w:noWrap w:val="0"/>
                  <w:vAlign w:val="center"/>
                </w:tcPr>
                <w:p w14:paraId="0458D6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vMerge w:val="continue"/>
                  <w:tcBorders>
                    <w:tl2br w:val="nil"/>
                    <w:tr2bl w:val="nil"/>
                  </w:tcBorders>
                  <w:noWrap w:val="0"/>
                  <w:vAlign w:val="center"/>
                </w:tcPr>
                <w:p w14:paraId="5AC620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r>
            <w:tr w14:paraId="7F06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43AA7F8F">
                  <w:pPr>
                    <w:pStyle w:val="27"/>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03月26日</w:t>
                  </w:r>
                </w:p>
              </w:tc>
              <w:tc>
                <w:tcPr>
                  <w:tcW w:w="647" w:type="dxa"/>
                  <w:vMerge w:val="restart"/>
                  <w:tcBorders>
                    <w:tl2br w:val="nil"/>
                    <w:tr2bl w:val="nil"/>
                  </w:tcBorders>
                  <w:noWrap w:val="0"/>
                  <w:vAlign w:val="center"/>
                </w:tcPr>
                <w:p w14:paraId="2E7530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highlight w:val="green"/>
                    </w:rPr>
                  </w:pPr>
                  <w:r>
                    <w:rPr>
                      <w:rFonts w:hint="eastAsia"/>
                      <w:color w:val="000000"/>
                      <w:sz w:val="21"/>
                      <w:szCs w:val="21"/>
                    </w:rPr>
                    <w:t>项目所在地</w:t>
                  </w:r>
                </w:p>
              </w:tc>
              <w:tc>
                <w:tcPr>
                  <w:tcW w:w="806" w:type="dxa"/>
                  <w:vMerge w:val="restart"/>
                  <w:tcBorders>
                    <w:tl2br w:val="nil"/>
                    <w:tr2bl w:val="nil"/>
                  </w:tcBorders>
                  <w:noWrap w:val="0"/>
                  <w:vAlign w:val="center"/>
                </w:tcPr>
                <w:p w14:paraId="4AADB1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eastAsia="zh-CN"/>
                    </w:rPr>
                  </w:pPr>
                  <w:r>
                    <w:rPr>
                      <w:rFonts w:hint="eastAsia"/>
                      <w:color w:val="000000"/>
                      <w:sz w:val="21"/>
                      <w:szCs w:val="21"/>
                      <w:lang w:eastAsia="zh-CN"/>
                    </w:rPr>
                    <w:t>非甲烷总烃</w:t>
                  </w:r>
                </w:p>
              </w:tc>
              <w:tc>
                <w:tcPr>
                  <w:tcW w:w="815" w:type="dxa"/>
                  <w:tcBorders>
                    <w:tl2br w:val="nil"/>
                    <w:tr2bl w:val="nil"/>
                  </w:tcBorders>
                  <w:noWrap w:val="0"/>
                  <w:vAlign w:val="center"/>
                </w:tcPr>
                <w:p w14:paraId="1FC7A3D4">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0.70</w:t>
                  </w:r>
                </w:p>
              </w:tc>
              <w:tc>
                <w:tcPr>
                  <w:tcW w:w="1005" w:type="dxa"/>
                  <w:tcBorders>
                    <w:tl2br w:val="nil"/>
                    <w:tr2bl w:val="nil"/>
                  </w:tcBorders>
                  <w:noWrap w:val="0"/>
                  <w:vAlign w:val="center"/>
                </w:tcPr>
                <w:p w14:paraId="7F588680">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0.75</w:t>
                  </w:r>
                </w:p>
              </w:tc>
              <w:tc>
                <w:tcPr>
                  <w:tcW w:w="916" w:type="dxa"/>
                  <w:tcBorders>
                    <w:tl2br w:val="nil"/>
                    <w:tr2bl w:val="nil"/>
                  </w:tcBorders>
                  <w:noWrap w:val="0"/>
                  <w:vAlign w:val="center"/>
                </w:tcPr>
                <w:p w14:paraId="67BD3E44">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0.72</w:t>
                  </w:r>
                </w:p>
              </w:tc>
              <w:tc>
                <w:tcPr>
                  <w:tcW w:w="873" w:type="dxa"/>
                  <w:tcBorders>
                    <w:tl2br w:val="nil"/>
                    <w:tr2bl w:val="nil"/>
                  </w:tcBorders>
                  <w:noWrap w:val="0"/>
                  <w:vAlign w:val="center"/>
                </w:tcPr>
                <w:p w14:paraId="30FF6EE4">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cs="Times New Roman"/>
                      <w:color w:val="000000"/>
                      <w:sz w:val="21"/>
                      <w:szCs w:val="21"/>
                      <w:highlight w:val="none"/>
                      <w:lang w:val="en-US" w:eastAsia="zh-CN"/>
                    </w:rPr>
                    <w:t>0.77</w:t>
                  </w:r>
                </w:p>
              </w:tc>
              <w:tc>
                <w:tcPr>
                  <w:tcW w:w="738" w:type="dxa"/>
                  <w:vMerge w:val="restart"/>
                  <w:tcBorders>
                    <w:tl2br w:val="nil"/>
                    <w:tr2bl w:val="nil"/>
                  </w:tcBorders>
                  <w:noWrap w:val="0"/>
                  <w:vAlign w:val="center"/>
                </w:tcPr>
                <w:p w14:paraId="6BBB57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sz w:val="21"/>
                      <w:szCs w:val="21"/>
                      <w:lang w:val="en-US" w:eastAsia="zh-CN"/>
                    </w:rPr>
                  </w:pPr>
                  <w:r>
                    <w:rPr>
                      <w:rFonts w:hint="eastAsia"/>
                      <w:color w:val="000000"/>
                      <w:sz w:val="21"/>
                      <w:szCs w:val="21"/>
                      <w:lang w:val="en-US" w:eastAsia="zh-CN"/>
                    </w:rPr>
                    <w:t>2.0</w:t>
                  </w:r>
                </w:p>
              </w:tc>
              <w:tc>
                <w:tcPr>
                  <w:tcW w:w="865" w:type="dxa"/>
                  <w:tcBorders>
                    <w:tl2br w:val="nil"/>
                    <w:tr2bl w:val="nil"/>
                  </w:tcBorders>
                  <w:noWrap w:val="0"/>
                  <w:vAlign w:val="center"/>
                </w:tcPr>
                <w:p w14:paraId="5F8A9E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val="en-US" w:eastAsia="zh-CN"/>
                    </w:rPr>
                  </w:pPr>
                  <w:r>
                    <w:rPr>
                      <w:rFonts w:hint="eastAsia"/>
                      <w:color w:val="000000"/>
                      <w:sz w:val="21"/>
                      <w:szCs w:val="21"/>
                      <w:lang w:val="en-US" w:eastAsia="zh-CN"/>
                    </w:rPr>
                    <w:t>/</w:t>
                  </w:r>
                </w:p>
              </w:tc>
            </w:tr>
            <w:tr w14:paraId="3C7E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5506F1D6">
                  <w:pPr>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03月27日</w:t>
                  </w:r>
                </w:p>
              </w:tc>
              <w:tc>
                <w:tcPr>
                  <w:tcW w:w="647" w:type="dxa"/>
                  <w:vMerge w:val="continue"/>
                  <w:tcBorders>
                    <w:tl2br w:val="nil"/>
                    <w:tr2bl w:val="nil"/>
                  </w:tcBorders>
                  <w:noWrap w:val="0"/>
                  <w:vAlign w:val="center"/>
                </w:tcPr>
                <w:p w14:paraId="233676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21B7E2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78F9F7A5">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0.78</w:t>
                  </w:r>
                </w:p>
              </w:tc>
              <w:tc>
                <w:tcPr>
                  <w:tcW w:w="1005" w:type="dxa"/>
                  <w:tcBorders>
                    <w:tl2br w:val="nil"/>
                    <w:tr2bl w:val="nil"/>
                  </w:tcBorders>
                  <w:noWrap w:val="0"/>
                  <w:vAlign w:val="center"/>
                </w:tcPr>
                <w:p w14:paraId="305B537A">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0.80</w:t>
                  </w:r>
                </w:p>
              </w:tc>
              <w:tc>
                <w:tcPr>
                  <w:tcW w:w="916" w:type="dxa"/>
                  <w:tcBorders>
                    <w:tl2br w:val="nil"/>
                    <w:tr2bl w:val="nil"/>
                  </w:tcBorders>
                  <w:noWrap w:val="0"/>
                  <w:vAlign w:val="center"/>
                </w:tcPr>
                <w:p w14:paraId="47F71B57">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0.80</w:t>
                  </w:r>
                </w:p>
              </w:tc>
              <w:tc>
                <w:tcPr>
                  <w:tcW w:w="873" w:type="dxa"/>
                  <w:tcBorders>
                    <w:tl2br w:val="nil"/>
                    <w:tr2bl w:val="nil"/>
                  </w:tcBorders>
                  <w:noWrap w:val="0"/>
                  <w:vAlign w:val="center"/>
                </w:tcPr>
                <w:p w14:paraId="08C15EF9">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0.74</w:t>
                  </w:r>
                </w:p>
              </w:tc>
              <w:tc>
                <w:tcPr>
                  <w:tcW w:w="738" w:type="dxa"/>
                  <w:vMerge w:val="continue"/>
                  <w:tcBorders>
                    <w:tl2br w:val="nil"/>
                    <w:tr2bl w:val="nil"/>
                  </w:tcBorders>
                  <w:noWrap w:val="0"/>
                  <w:vAlign w:val="center"/>
                </w:tcPr>
                <w:p w14:paraId="6F3699D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0D4632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eastAsia="zh-CN"/>
                    </w:rPr>
                  </w:pPr>
                  <w:r>
                    <w:rPr>
                      <w:rFonts w:hint="eastAsia"/>
                      <w:color w:val="000000"/>
                      <w:sz w:val="21"/>
                      <w:szCs w:val="21"/>
                      <w:lang w:val="en-US" w:eastAsia="zh-CN"/>
                    </w:rPr>
                    <w:t>/</w:t>
                  </w:r>
                </w:p>
              </w:tc>
            </w:tr>
            <w:tr w14:paraId="77F0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69C75EDC">
                  <w:pPr>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03月28日</w:t>
                  </w:r>
                </w:p>
              </w:tc>
              <w:tc>
                <w:tcPr>
                  <w:tcW w:w="647" w:type="dxa"/>
                  <w:vMerge w:val="continue"/>
                  <w:tcBorders>
                    <w:tl2br w:val="nil"/>
                    <w:tr2bl w:val="nil"/>
                  </w:tcBorders>
                  <w:noWrap w:val="0"/>
                  <w:vAlign w:val="center"/>
                </w:tcPr>
                <w:p w14:paraId="32D9E95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35A7EC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31AD7DC5">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0.75</w:t>
                  </w:r>
                </w:p>
              </w:tc>
              <w:tc>
                <w:tcPr>
                  <w:tcW w:w="1005" w:type="dxa"/>
                  <w:tcBorders>
                    <w:tl2br w:val="nil"/>
                    <w:tr2bl w:val="nil"/>
                  </w:tcBorders>
                  <w:noWrap w:val="0"/>
                  <w:vAlign w:val="center"/>
                </w:tcPr>
                <w:p w14:paraId="2E793651">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0.70</w:t>
                  </w:r>
                </w:p>
              </w:tc>
              <w:tc>
                <w:tcPr>
                  <w:tcW w:w="916" w:type="dxa"/>
                  <w:tcBorders>
                    <w:tl2br w:val="nil"/>
                    <w:tr2bl w:val="nil"/>
                  </w:tcBorders>
                  <w:noWrap w:val="0"/>
                  <w:vAlign w:val="center"/>
                </w:tcPr>
                <w:p w14:paraId="5994B11E">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0.65</w:t>
                  </w:r>
                </w:p>
              </w:tc>
              <w:tc>
                <w:tcPr>
                  <w:tcW w:w="873" w:type="dxa"/>
                  <w:tcBorders>
                    <w:tl2br w:val="nil"/>
                    <w:tr2bl w:val="nil"/>
                  </w:tcBorders>
                  <w:noWrap w:val="0"/>
                  <w:vAlign w:val="center"/>
                </w:tcPr>
                <w:p w14:paraId="5328A536">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0.62</w:t>
                  </w:r>
                </w:p>
              </w:tc>
              <w:tc>
                <w:tcPr>
                  <w:tcW w:w="738" w:type="dxa"/>
                  <w:vMerge w:val="continue"/>
                  <w:tcBorders>
                    <w:tl2br w:val="nil"/>
                    <w:tr2bl w:val="nil"/>
                  </w:tcBorders>
                  <w:noWrap w:val="0"/>
                  <w:vAlign w:val="center"/>
                </w:tcPr>
                <w:p w14:paraId="68B8A8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6F39CB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val="en-US" w:eastAsia="zh-CN"/>
                    </w:rPr>
                  </w:pPr>
                  <w:r>
                    <w:rPr>
                      <w:rFonts w:hint="eastAsia"/>
                      <w:color w:val="000000"/>
                      <w:sz w:val="21"/>
                      <w:szCs w:val="21"/>
                      <w:lang w:val="en-US" w:eastAsia="zh-CN"/>
                    </w:rPr>
                    <w:t>/</w:t>
                  </w:r>
                </w:p>
              </w:tc>
            </w:tr>
            <w:tr w14:paraId="17FA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096C2A04">
                  <w:pPr>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03月29日</w:t>
                  </w:r>
                </w:p>
              </w:tc>
              <w:tc>
                <w:tcPr>
                  <w:tcW w:w="647" w:type="dxa"/>
                  <w:vMerge w:val="continue"/>
                  <w:tcBorders>
                    <w:tl2br w:val="nil"/>
                    <w:tr2bl w:val="nil"/>
                  </w:tcBorders>
                  <w:noWrap w:val="0"/>
                  <w:vAlign w:val="center"/>
                </w:tcPr>
                <w:p w14:paraId="47826B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3CB782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1FCC5A7F">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0.67</w:t>
                  </w:r>
                </w:p>
              </w:tc>
              <w:tc>
                <w:tcPr>
                  <w:tcW w:w="1005" w:type="dxa"/>
                  <w:tcBorders>
                    <w:tl2br w:val="nil"/>
                    <w:tr2bl w:val="nil"/>
                  </w:tcBorders>
                  <w:noWrap w:val="0"/>
                  <w:vAlign w:val="center"/>
                </w:tcPr>
                <w:p w14:paraId="6A7D2ECA">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0.61</w:t>
                  </w:r>
                </w:p>
              </w:tc>
              <w:tc>
                <w:tcPr>
                  <w:tcW w:w="916" w:type="dxa"/>
                  <w:tcBorders>
                    <w:tl2br w:val="nil"/>
                    <w:tr2bl w:val="nil"/>
                  </w:tcBorders>
                  <w:noWrap w:val="0"/>
                  <w:vAlign w:val="center"/>
                </w:tcPr>
                <w:p w14:paraId="493138CE">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0.67</w:t>
                  </w:r>
                </w:p>
              </w:tc>
              <w:tc>
                <w:tcPr>
                  <w:tcW w:w="873" w:type="dxa"/>
                  <w:tcBorders>
                    <w:tl2br w:val="nil"/>
                    <w:tr2bl w:val="nil"/>
                  </w:tcBorders>
                  <w:noWrap w:val="0"/>
                  <w:vAlign w:val="center"/>
                </w:tcPr>
                <w:p w14:paraId="5534B60A">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0.66</w:t>
                  </w:r>
                </w:p>
              </w:tc>
              <w:tc>
                <w:tcPr>
                  <w:tcW w:w="738" w:type="dxa"/>
                  <w:vMerge w:val="continue"/>
                  <w:tcBorders>
                    <w:tl2br w:val="nil"/>
                    <w:tr2bl w:val="nil"/>
                  </w:tcBorders>
                  <w:noWrap w:val="0"/>
                  <w:vAlign w:val="center"/>
                </w:tcPr>
                <w:p w14:paraId="65D755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247E0A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eastAsia="zh-CN"/>
                    </w:rPr>
                  </w:pPr>
                  <w:r>
                    <w:rPr>
                      <w:rFonts w:hint="eastAsia"/>
                      <w:color w:val="000000"/>
                      <w:sz w:val="21"/>
                      <w:szCs w:val="21"/>
                      <w:lang w:val="en-US" w:eastAsia="zh-CN"/>
                    </w:rPr>
                    <w:t>/</w:t>
                  </w:r>
                </w:p>
              </w:tc>
            </w:tr>
            <w:tr w14:paraId="4DB0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50478678">
                  <w:pPr>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03月30日</w:t>
                  </w:r>
                </w:p>
              </w:tc>
              <w:tc>
                <w:tcPr>
                  <w:tcW w:w="647" w:type="dxa"/>
                  <w:vMerge w:val="continue"/>
                  <w:tcBorders>
                    <w:tl2br w:val="nil"/>
                    <w:tr2bl w:val="nil"/>
                  </w:tcBorders>
                  <w:noWrap w:val="0"/>
                  <w:vAlign w:val="center"/>
                </w:tcPr>
                <w:p w14:paraId="1EB3D1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1C68CD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05BC9BCA">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0.62</w:t>
                  </w:r>
                </w:p>
              </w:tc>
              <w:tc>
                <w:tcPr>
                  <w:tcW w:w="1005" w:type="dxa"/>
                  <w:tcBorders>
                    <w:tl2br w:val="nil"/>
                    <w:tr2bl w:val="nil"/>
                  </w:tcBorders>
                  <w:noWrap w:val="0"/>
                  <w:vAlign w:val="center"/>
                </w:tcPr>
                <w:p w14:paraId="20592B1A">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0.56</w:t>
                  </w:r>
                </w:p>
              </w:tc>
              <w:tc>
                <w:tcPr>
                  <w:tcW w:w="916" w:type="dxa"/>
                  <w:tcBorders>
                    <w:tl2br w:val="nil"/>
                    <w:tr2bl w:val="nil"/>
                  </w:tcBorders>
                  <w:noWrap w:val="0"/>
                  <w:vAlign w:val="center"/>
                </w:tcPr>
                <w:p w14:paraId="500858E8">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0.56</w:t>
                  </w:r>
                </w:p>
              </w:tc>
              <w:tc>
                <w:tcPr>
                  <w:tcW w:w="873" w:type="dxa"/>
                  <w:tcBorders>
                    <w:tl2br w:val="nil"/>
                    <w:tr2bl w:val="nil"/>
                  </w:tcBorders>
                  <w:noWrap w:val="0"/>
                  <w:vAlign w:val="center"/>
                </w:tcPr>
                <w:p w14:paraId="684178B8">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0.52</w:t>
                  </w:r>
                </w:p>
              </w:tc>
              <w:tc>
                <w:tcPr>
                  <w:tcW w:w="738" w:type="dxa"/>
                  <w:vMerge w:val="continue"/>
                  <w:tcBorders>
                    <w:tl2br w:val="nil"/>
                    <w:tr2bl w:val="nil"/>
                  </w:tcBorders>
                  <w:noWrap w:val="0"/>
                  <w:vAlign w:val="center"/>
                </w:tcPr>
                <w:p w14:paraId="07594F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313743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val="en-US" w:eastAsia="zh-CN"/>
                    </w:rPr>
                  </w:pPr>
                  <w:r>
                    <w:rPr>
                      <w:rFonts w:hint="eastAsia"/>
                      <w:color w:val="000000"/>
                      <w:sz w:val="21"/>
                      <w:szCs w:val="21"/>
                      <w:lang w:val="en-US" w:eastAsia="zh-CN"/>
                    </w:rPr>
                    <w:t>/</w:t>
                  </w:r>
                </w:p>
              </w:tc>
            </w:tr>
            <w:tr w14:paraId="6EDB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18AEB410">
                  <w:pPr>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03月31日</w:t>
                  </w:r>
                </w:p>
              </w:tc>
              <w:tc>
                <w:tcPr>
                  <w:tcW w:w="647" w:type="dxa"/>
                  <w:vMerge w:val="continue"/>
                  <w:tcBorders>
                    <w:tl2br w:val="nil"/>
                    <w:tr2bl w:val="nil"/>
                  </w:tcBorders>
                  <w:noWrap w:val="0"/>
                  <w:vAlign w:val="center"/>
                </w:tcPr>
                <w:p w14:paraId="0A6E7F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5B8CCB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2484319E">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0.81</w:t>
                  </w:r>
                </w:p>
              </w:tc>
              <w:tc>
                <w:tcPr>
                  <w:tcW w:w="1005" w:type="dxa"/>
                  <w:tcBorders>
                    <w:tl2br w:val="nil"/>
                    <w:tr2bl w:val="nil"/>
                  </w:tcBorders>
                  <w:noWrap w:val="0"/>
                  <w:vAlign w:val="center"/>
                </w:tcPr>
                <w:p w14:paraId="100FC539">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0.84</w:t>
                  </w:r>
                </w:p>
              </w:tc>
              <w:tc>
                <w:tcPr>
                  <w:tcW w:w="916" w:type="dxa"/>
                  <w:tcBorders>
                    <w:tl2br w:val="nil"/>
                    <w:tr2bl w:val="nil"/>
                  </w:tcBorders>
                  <w:noWrap w:val="0"/>
                  <w:vAlign w:val="center"/>
                </w:tcPr>
                <w:p w14:paraId="316E85B5">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0.81</w:t>
                  </w:r>
                </w:p>
              </w:tc>
              <w:tc>
                <w:tcPr>
                  <w:tcW w:w="873" w:type="dxa"/>
                  <w:tcBorders>
                    <w:tl2br w:val="nil"/>
                    <w:tr2bl w:val="nil"/>
                  </w:tcBorders>
                  <w:noWrap w:val="0"/>
                  <w:vAlign w:val="center"/>
                </w:tcPr>
                <w:p w14:paraId="19D7C712">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0.76</w:t>
                  </w:r>
                </w:p>
              </w:tc>
              <w:tc>
                <w:tcPr>
                  <w:tcW w:w="738" w:type="dxa"/>
                  <w:vMerge w:val="continue"/>
                  <w:tcBorders>
                    <w:tl2br w:val="nil"/>
                    <w:tr2bl w:val="nil"/>
                  </w:tcBorders>
                  <w:noWrap w:val="0"/>
                  <w:vAlign w:val="center"/>
                </w:tcPr>
                <w:p w14:paraId="09EE47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15D038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val="en-US" w:eastAsia="zh-CN"/>
                    </w:rPr>
                  </w:pPr>
                  <w:r>
                    <w:rPr>
                      <w:rFonts w:hint="eastAsia"/>
                      <w:color w:val="000000"/>
                      <w:sz w:val="21"/>
                      <w:szCs w:val="21"/>
                      <w:lang w:val="en-US" w:eastAsia="zh-CN"/>
                    </w:rPr>
                    <w:t>/</w:t>
                  </w:r>
                </w:p>
              </w:tc>
            </w:tr>
            <w:tr w14:paraId="2E27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1A323AF7">
                  <w:pPr>
                    <w:keepNext w:val="0"/>
                    <w:keepLines w:val="0"/>
                    <w:pageBreakBefore w:val="0"/>
                    <w:kinsoku/>
                    <w:wordWrap/>
                    <w:overflowPunct/>
                    <w:topLinePunct w:val="0"/>
                    <w:bidi w:val="0"/>
                    <w:adjustRightInd w:val="0"/>
                    <w:snapToGrid/>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pacing w:val="-11"/>
                      <w:sz w:val="21"/>
                      <w:szCs w:val="21"/>
                      <w:highlight w:val="none"/>
                      <w:lang w:val="en-US" w:eastAsia="zh-CN"/>
                    </w:rPr>
                    <w:t>04月01日</w:t>
                  </w:r>
                </w:p>
              </w:tc>
              <w:tc>
                <w:tcPr>
                  <w:tcW w:w="647" w:type="dxa"/>
                  <w:vMerge w:val="continue"/>
                  <w:tcBorders>
                    <w:tl2br w:val="nil"/>
                    <w:tr2bl w:val="nil"/>
                  </w:tcBorders>
                  <w:noWrap w:val="0"/>
                  <w:vAlign w:val="center"/>
                </w:tcPr>
                <w:p w14:paraId="7B5CF8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6D8FBC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15" w:type="dxa"/>
                  <w:tcBorders>
                    <w:tl2br w:val="nil"/>
                    <w:tr2bl w:val="nil"/>
                  </w:tcBorders>
                  <w:noWrap w:val="0"/>
                  <w:vAlign w:val="center"/>
                </w:tcPr>
                <w:p w14:paraId="6567F83F">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0.55</w:t>
                  </w:r>
                </w:p>
              </w:tc>
              <w:tc>
                <w:tcPr>
                  <w:tcW w:w="1005" w:type="dxa"/>
                  <w:tcBorders>
                    <w:tl2br w:val="nil"/>
                    <w:tr2bl w:val="nil"/>
                  </w:tcBorders>
                  <w:noWrap w:val="0"/>
                  <w:vAlign w:val="center"/>
                </w:tcPr>
                <w:p w14:paraId="48456556">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0.52</w:t>
                  </w:r>
                </w:p>
              </w:tc>
              <w:tc>
                <w:tcPr>
                  <w:tcW w:w="916" w:type="dxa"/>
                  <w:tcBorders>
                    <w:tl2br w:val="nil"/>
                    <w:tr2bl w:val="nil"/>
                  </w:tcBorders>
                  <w:noWrap w:val="0"/>
                  <w:vAlign w:val="center"/>
                </w:tcPr>
                <w:p w14:paraId="5F4E56BC">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0.53</w:t>
                  </w:r>
                </w:p>
              </w:tc>
              <w:tc>
                <w:tcPr>
                  <w:tcW w:w="873" w:type="dxa"/>
                  <w:tcBorders>
                    <w:tl2br w:val="nil"/>
                    <w:tr2bl w:val="nil"/>
                  </w:tcBorders>
                  <w:noWrap w:val="0"/>
                  <w:vAlign w:val="center"/>
                </w:tcPr>
                <w:p w14:paraId="4C0C3D2C">
                  <w:pPr>
                    <w:keepNext w:val="0"/>
                    <w:keepLines w:val="0"/>
                    <w:pageBreakBefore w:val="0"/>
                    <w:kinsoku/>
                    <w:wordWrap/>
                    <w:overflowPunct/>
                    <w:topLinePunct w:val="0"/>
                    <w:bidi w:val="0"/>
                    <w:snapToGrid/>
                    <w:spacing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0.56</w:t>
                  </w:r>
                </w:p>
              </w:tc>
              <w:tc>
                <w:tcPr>
                  <w:tcW w:w="738" w:type="dxa"/>
                  <w:vMerge w:val="continue"/>
                  <w:tcBorders>
                    <w:tl2br w:val="nil"/>
                    <w:tr2bl w:val="nil"/>
                  </w:tcBorders>
                  <w:noWrap w:val="0"/>
                  <w:vAlign w:val="center"/>
                </w:tcPr>
                <w:p w14:paraId="5ACD9E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5C6BA8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sz w:val="21"/>
                      <w:szCs w:val="21"/>
                      <w:lang w:eastAsia="zh-CN"/>
                    </w:rPr>
                  </w:pPr>
                  <w:r>
                    <w:rPr>
                      <w:rFonts w:hint="eastAsia"/>
                      <w:color w:val="000000"/>
                      <w:sz w:val="21"/>
                      <w:szCs w:val="21"/>
                      <w:lang w:val="en-US" w:eastAsia="zh-CN"/>
                    </w:rPr>
                    <w:t>/</w:t>
                  </w:r>
                </w:p>
              </w:tc>
            </w:tr>
            <w:tr w14:paraId="49E7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41B29D5B">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26</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27</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4AE422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restart"/>
                  <w:tcBorders>
                    <w:tl2br w:val="nil"/>
                    <w:tr2bl w:val="nil"/>
                  </w:tcBorders>
                  <w:noWrap w:val="0"/>
                  <w:vAlign w:val="center"/>
                </w:tcPr>
                <w:p w14:paraId="1B20A1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总悬浮颗粒物</w:t>
                  </w:r>
                </w:p>
              </w:tc>
              <w:tc>
                <w:tcPr>
                  <w:tcW w:w="3609" w:type="dxa"/>
                  <w:gridSpan w:val="4"/>
                  <w:tcBorders>
                    <w:tl2br w:val="nil"/>
                    <w:tr2bl w:val="nil"/>
                  </w:tcBorders>
                  <w:noWrap w:val="0"/>
                  <w:vAlign w:val="center"/>
                </w:tcPr>
                <w:p w14:paraId="4CAB8179">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0.092</w:t>
                  </w:r>
                </w:p>
              </w:tc>
              <w:tc>
                <w:tcPr>
                  <w:tcW w:w="738" w:type="dxa"/>
                  <w:vMerge w:val="restart"/>
                  <w:tcBorders>
                    <w:tl2br w:val="nil"/>
                    <w:tr2bl w:val="nil"/>
                  </w:tcBorders>
                  <w:noWrap w:val="0"/>
                  <w:vAlign w:val="center"/>
                </w:tcPr>
                <w:p w14:paraId="502173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0.3</w:t>
                  </w:r>
                </w:p>
              </w:tc>
              <w:tc>
                <w:tcPr>
                  <w:tcW w:w="865" w:type="dxa"/>
                  <w:tcBorders>
                    <w:tl2br w:val="nil"/>
                    <w:tr2bl w:val="nil"/>
                  </w:tcBorders>
                  <w:noWrap w:val="0"/>
                  <w:vAlign w:val="center"/>
                </w:tcPr>
                <w:p w14:paraId="64C404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1E23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455464BD">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27</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28</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47E24F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5304A4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5E276B11">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0.086</w:t>
                  </w:r>
                </w:p>
              </w:tc>
              <w:tc>
                <w:tcPr>
                  <w:tcW w:w="738" w:type="dxa"/>
                  <w:vMerge w:val="continue"/>
                  <w:tcBorders>
                    <w:tl2br w:val="nil"/>
                    <w:tr2bl w:val="nil"/>
                  </w:tcBorders>
                  <w:noWrap w:val="0"/>
                  <w:vAlign w:val="center"/>
                </w:tcPr>
                <w:p w14:paraId="19158D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1F0CD1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4CA5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5CB5C09F">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28</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29</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74549F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5D21E8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65BB0D4F">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0.096</w:t>
                  </w:r>
                </w:p>
              </w:tc>
              <w:tc>
                <w:tcPr>
                  <w:tcW w:w="738" w:type="dxa"/>
                  <w:vMerge w:val="continue"/>
                  <w:tcBorders>
                    <w:tl2br w:val="nil"/>
                    <w:tr2bl w:val="nil"/>
                  </w:tcBorders>
                  <w:noWrap w:val="0"/>
                  <w:vAlign w:val="center"/>
                </w:tcPr>
                <w:p w14:paraId="647EC9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7C4BC4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49B4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1AE796C7">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29</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30</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1EF85C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54F1C6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2A4C360C">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0.102</w:t>
                  </w:r>
                </w:p>
              </w:tc>
              <w:tc>
                <w:tcPr>
                  <w:tcW w:w="738" w:type="dxa"/>
                  <w:vMerge w:val="continue"/>
                  <w:tcBorders>
                    <w:tl2br w:val="nil"/>
                    <w:tr2bl w:val="nil"/>
                  </w:tcBorders>
                  <w:noWrap w:val="0"/>
                  <w:vAlign w:val="center"/>
                </w:tcPr>
                <w:p w14:paraId="48375B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00B1F6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24F3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0358C1CD">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30</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7E4463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0C3309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7E0D0A71">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0.112</w:t>
                  </w:r>
                </w:p>
              </w:tc>
              <w:tc>
                <w:tcPr>
                  <w:tcW w:w="738" w:type="dxa"/>
                  <w:vMerge w:val="continue"/>
                  <w:tcBorders>
                    <w:tl2br w:val="nil"/>
                    <w:tr2bl w:val="nil"/>
                  </w:tcBorders>
                  <w:noWrap w:val="0"/>
                  <w:vAlign w:val="center"/>
                </w:tcPr>
                <w:p w14:paraId="587402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3C0AE9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694D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0D2370B8">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8时至04</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01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6F1071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0F3E0F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6E8FCCD4">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0.091</w:t>
                  </w:r>
                </w:p>
              </w:tc>
              <w:tc>
                <w:tcPr>
                  <w:tcW w:w="738" w:type="dxa"/>
                  <w:vMerge w:val="continue"/>
                  <w:tcBorders>
                    <w:tl2br w:val="nil"/>
                    <w:tr2bl w:val="nil"/>
                  </w:tcBorders>
                  <w:noWrap w:val="0"/>
                  <w:vAlign w:val="center"/>
                </w:tcPr>
                <w:p w14:paraId="5A8BE1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046A8A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2840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690238ED">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04</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01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04</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02</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765729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763012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1F7D271A">
                  <w:pPr>
                    <w:widowControl/>
                    <w:spacing w:line="240" w:lineRule="exact"/>
                    <w:jc w:val="center"/>
                    <w:rPr>
                      <w:rFonts w:hint="default" w:eastAsia="宋体"/>
                      <w:color w:val="000000"/>
                      <w:sz w:val="21"/>
                      <w:szCs w:val="21"/>
                      <w:lang w:val="en-US" w:eastAsia="zh-CN"/>
                    </w:rPr>
                  </w:pPr>
                  <w:r>
                    <w:rPr>
                      <w:rFonts w:hint="eastAsia" w:ascii="Times New Roman" w:hAnsi="Times New Roman" w:eastAsia="宋体" w:cs="Times New Roman"/>
                      <w:color w:val="000000"/>
                      <w:spacing w:val="0"/>
                      <w:szCs w:val="21"/>
                      <w:highlight w:val="none"/>
                      <w:lang w:val="en-US" w:eastAsia="zh-CN"/>
                    </w:rPr>
                    <w:t>0.095</w:t>
                  </w:r>
                </w:p>
              </w:tc>
              <w:tc>
                <w:tcPr>
                  <w:tcW w:w="738" w:type="dxa"/>
                  <w:vMerge w:val="continue"/>
                  <w:tcBorders>
                    <w:tl2br w:val="nil"/>
                    <w:tr2bl w:val="nil"/>
                  </w:tcBorders>
                  <w:noWrap w:val="0"/>
                  <w:vAlign w:val="center"/>
                </w:tcPr>
                <w:p w14:paraId="64E7AC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561BF5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5590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4" w:type="dxa"/>
                  <w:tcBorders>
                    <w:tl2br w:val="nil"/>
                    <w:tr2bl w:val="nil"/>
                  </w:tcBorders>
                  <w:noWrap w:val="0"/>
                  <w:vAlign w:val="center"/>
                </w:tcPr>
                <w:p w14:paraId="02232859">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26</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27</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4E8445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restart"/>
                  <w:tcBorders>
                    <w:tl2br w:val="nil"/>
                    <w:tr2bl w:val="nil"/>
                  </w:tcBorders>
                  <w:noWrap w:val="0"/>
                  <w:vAlign w:val="center"/>
                </w:tcPr>
                <w:p w14:paraId="036B70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ascii="Times New Roman" w:hAnsi="Times New Roman" w:eastAsia="宋体" w:cs="Times New Roman"/>
                      <w:color w:val="000000"/>
                      <w:sz w:val="21"/>
                      <w:szCs w:val="21"/>
                    </w:rPr>
                    <w:t>苯并</w:t>
                  </w:r>
                  <w:r>
                    <w:rPr>
                      <w:rFonts w:hint="eastAsia" w:ascii="Times New Roman" w:hAnsi="Times New Roman" w:eastAsia="宋体" w:cs="Times New Roman"/>
                      <w:color w:val="000000"/>
                      <w:sz w:val="21"/>
                      <w:szCs w:val="21"/>
                      <w:lang w:eastAsia="zh-CN"/>
                    </w:rPr>
                    <w:t>（</w:t>
                  </w:r>
                  <w:r>
                    <w:rPr>
                      <w:rFonts w:ascii="Times New Roman" w:hAnsi="Times New Roman" w:eastAsia="宋体" w:cs="Times New Roman"/>
                      <w:color w:val="000000"/>
                      <w:sz w:val="21"/>
                      <w:szCs w:val="21"/>
                    </w:rPr>
                    <w:t>a</w:t>
                  </w:r>
                  <w:r>
                    <w:rPr>
                      <w:rFonts w:hint="eastAsia" w:ascii="Times New Roman" w:hAnsi="Times New Roman" w:eastAsia="宋体" w:cs="Times New Roman"/>
                      <w:color w:val="000000"/>
                      <w:sz w:val="21"/>
                      <w:szCs w:val="21"/>
                      <w:lang w:eastAsia="zh-CN"/>
                    </w:rPr>
                    <w:t>）</w:t>
                  </w:r>
                  <w:r>
                    <w:rPr>
                      <w:rFonts w:ascii="Times New Roman" w:hAnsi="Times New Roman" w:eastAsia="宋体" w:cs="Times New Roman"/>
                      <w:color w:val="000000"/>
                      <w:sz w:val="21"/>
                      <w:szCs w:val="21"/>
                    </w:rPr>
                    <w:t>芘</w:t>
                  </w:r>
                </w:p>
              </w:tc>
              <w:tc>
                <w:tcPr>
                  <w:tcW w:w="3609" w:type="dxa"/>
                  <w:gridSpan w:val="4"/>
                  <w:tcBorders>
                    <w:tl2br w:val="nil"/>
                    <w:tr2bl w:val="nil"/>
                  </w:tcBorders>
                  <w:noWrap w:val="0"/>
                  <w:vAlign w:val="center"/>
                </w:tcPr>
                <w:p w14:paraId="0F8C9F48">
                  <w:pPr>
                    <w:widowControl/>
                    <w:spacing w:line="240" w:lineRule="exact"/>
                    <w:jc w:val="center"/>
                    <w:rPr>
                      <w:rFonts w:hint="eastAsia" w:eastAsia="宋体"/>
                      <w:color w:val="000000"/>
                      <w:sz w:val="21"/>
                      <w:szCs w:val="21"/>
                      <w:lang w:val="en-US" w:eastAsia="zh-CN"/>
                    </w:rPr>
                  </w:pPr>
                  <w:r>
                    <w:rPr>
                      <w:rFonts w:hint="eastAsia" w:ascii="Times New Roman" w:hAnsi="Times New Roman"/>
                      <w:color w:val="000000"/>
                      <w:sz w:val="21"/>
                      <w:szCs w:val="21"/>
                      <w:highlight w:val="none"/>
                      <w:lang w:val="en-US" w:eastAsia="zh-CN"/>
                    </w:rPr>
                    <w:t>ND</w:t>
                  </w:r>
                </w:p>
              </w:tc>
              <w:tc>
                <w:tcPr>
                  <w:tcW w:w="738" w:type="dxa"/>
                  <w:vMerge w:val="restart"/>
                  <w:tcBorders>
                    <w:tl2br w:val="nil"/>
                    <w:tr2bl w:val="nil"/>
                  </w:tcBorders>
                  <w:noWrap w:val="0"/>
                  <w:vAlign w:val="center"/>
                </w:tcPr>
                <w:p w14:paraId="543A24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sz w:val="21"/>
                      <w:szCs w:val="21"/>
                      <w:lang w:val="en-US" w:eastAsia="zh-CN"/>
                    </w:rPr>
                  </w:pPr>
                  <w:r>
                    <w:rPr>
                      <w:rFonts w:hint="eastAsia"/>
                      <w:color w:val="000000"/>
                      <w:sz w:val="21"/>
                      <w:szCs w:val="21"/>
                      <w:lang w:val="en-US" w:eastAsia="zh-CN"/>
                    </w:rPr>
                    <w:t>0.0025</w:t>
                  </w:r>
                </w:p>
              </w:tc>
              <w:tc>
                <w:tcPr>
                  <w:tcW w:w="865" w:type="dxa"/>
                  <w:tcBorders>
                    <w:tl2br w:val="nil"/>
                    <w:tr2bl w:val="nil"/>
                  </w:tcBorders>
                  <w:noWrap w:val="0"/>
                  <w:vAlign w:val="center"/>
                </w:tcPr>
                <w:p w14:paraId="09751A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26E5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447182BE">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ascii="Times New Roman" w:hAnsi="Times New Roman"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27</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28</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225B95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79A757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03F51B18">
                  <w:pPr>
                    <w:widowControl/>
                    <w:spacing w:line="240" w:lineRule="exact"/>
                    <w:jc w:val="center"/>
                    <w:rPr>
                      <w:color w:val="000000"/>
                      <w:sz w:val="21"/>
                      <w:szCs w:val="21"/>
                    </w:rPr>
                  </w:pPr>
                  <w:r>
                    <w:rPr>
                      <w:rFonts w:hint="eastAsia" w:ascii="Times New Roman" w:hAnsi="Times New Roman"/>
                      <w:color w:val="000000"/>
                      <w:sz w:val="21"/>
                      <w:szCs w:val="21"/>
                      <w:highlight w:val="none"/>
                      <w:lang w:val="en-US" w:eastAsia="zh-CN"/>
                    </w:rPr>
                    <w:t>ND</w:t>
                  </w:r>
                </w:p>
              </w:tc>
              <w:tc>
                <w:tcPr>
                  <w:tcW w:w="738" w:type="dxa"/>
                  <w:vMerge w:val="continue"/>
                  <w:tcBorders>
                    <w:tl2br w:val="nil"/>
                    <w:tr2bl w:val="nil"/>
                  </w:tcBorders>
                  <w:noWrap w:val="0"/>
                  <w:vAlign w:val="center"/>
                </w:tcPr>
                <w:p w14:paraId="001038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7D9D57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5A2C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7E92CC21">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28</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29</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71D1FA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610690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7B9A21DB">
                  <w:pPr>
                    <w:widowControl/>
                    <w:spacing w:line="240" w:lineRule="exact"/>
                    <w:jc w:val="center"/>
                    <w:rPr>
                      <w:color w:val="000000"/>
                      <w:sz w:val="21"/>
                      <w:szCs w:val="21"/>
                    </w:rPr>
                  </w:pPr>
                  <w:r>
                    <w:rPr>
                      <w:rFonts w:hint="eastAsia" w:ascii="Times New Roman" w:hAnsi="Times New Roman"/>
                      <w:color w:val="000000"/>
                      <w:sz w:val="21"/>
                      <w:szCs w:val="21"/>
                      <w:highlight w:val="none"/>
                      <w:lang w:val="en-US" w:eastAsia="zh-CN"/>
                    </w:rPr>
                    <w:t>ND</w:t>
                  </w:r>
                </w:p>
              </w:tc>
              <w:tc>
                <w:tcPr>
                  <w:tcW w:w="738" w:type="dxa"/>
                  <w:vMerge w:val="continue"/>
                  <w:tcBorders>
                    <w:tl2br w:val="nil"/>
                    <w:tr2bl w:val="nil"/>
                  </w:tcBorders>
                  <w:noWrap w:val="0"/>
                  <w:vAlign w:val="center"/>
                </w:tcPr>
                <w:p w14:paraId="449516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396323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3E2F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1C2ACB88">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29</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30</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24FD23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7C12D1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5FC7AAF8">
                  <w:pPr>
                    <w:widowControl/>
                    <w:spacing w:line="240" w:lineRule="exact"/>
                    <w:jc w:val="center"/>
                    <w:rPr>
                      <w:color w:val="000000"/>
                      <w:sz w:val="21"/>
                      <w:szCs w:val="21"/>
                    </w:rPr>
                  </w:pPr>
                  <w:r>
                    <w:rPr>
                      <w:rFonts w:hint="eastAsia" w:ascii="Times New Roman" w:hAnsi="Times New Roman"/>
                      <w:color w:val="000000"/>
                      <w:sz w:val="21"/>
                      <w:szCs w:val="21"/>
                      <w:highlight w:val="none"/>
                      <w:lang w:val="en-US" w:eastAsia="zh-CN"/>
                    </w:rPr>
                    <w:t>ND</w:t>
                  </w:r>
                </w:p>
              </w:tc>
              <w:tc>
                <w:tcPr>
                  <w:tcW w:w="738" w:type="dxa"/>
                  <w:vMerge w:val="continue"/>
                  <w:tcBorders>
                    <w:tl2br w:val="nil"/>
                    <w:tr2bl w:val="nil"/>
                  </w:tcBorders>
                  <w:noWrap w:val="0"/>
                  <w:vAlign w:val="center"/>
                </w:tcPr>
                <w:p w14:paraId="110098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1E14C2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16C7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59ABF48C">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30</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091D05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5D396A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13674C55">
                  <w:pPr>
                    <w:widowControl/>
                    <w:spacing w:line="240" w:lineRule="exact"/>
                    <w:jc w:val="center"/>
                    <w:rPr>
                      <w:color w:val="000000"/>
                      <w:sz w:val="21"/>
                      <w:szCs w:val="21"/>
                    </w:rPr>
                  </w:pPr>
                  <w:r>
                    <w:rPr>
                      <w:rFonts w:hint="eastAsia" w:ascii="Times New Roman" w:hAnsi="Times New Roman"/>
                      <w:color w:val="000000"/>
                      <w:sz w:val="21"/>
                      <w:szCs w:val="21"/>
                      <w:highlight w:val="none"/>
                      <w:lang w:val="en-US" w:eastAsia="zh-CN"/>
                    </w:rPr>
                    <w:t>ND</w:t>
                  </w:r>
                </w:p>
              </w:tc>
              <w:tc>
                <w:tcPr>
                  <w:tcW w:w="738" w:type="dxa"/>
                  <w:vMerge w:val="continue"/>
                  <w:tcBorders>
                    <w:tl2br w:val="nil"/>
                    <w:tr2bl w:val="nil"/>
                  </w:tcBorders>
                  <w:noWrap w:val="0"/>
                  <w:vAlign w:val="center"/>
                </w:tcPr>
                <w:p w14:paraId="6EECC3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6DF498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7155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74" w:type="dxa"/>
                  <w:tcBorders>
                    <w:tl2br w:val="nil"/>
                    <w:tr2bl w:val="nil"/>
                  </w:tcBorders>
                  <w:noWrap w:val="0"/>
                  <w:vAlign w:val="center"/>
                </w:tcPr>
                <w:p w14:paraId="36C186F7">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31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8时至04</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01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23E2AE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49CEFB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692BD46F">
                  <w:pPr>
                    <w:widowControl/>
                    <w:spacing w:line="240" w:lineRule="exact"/>
                    <w:jc w:val="center"/>
                    <w:rPr>
                      <w:color w:val="000000"/>
                      <w:sz w:val="21"/>
                      <w:szCs w:val="21"/>
                    </w:rPr>
                  </w:pPr>
                  <w:r>
                    <w:rPr>
                      <w:rFonts w:hint="eastAsia" w:ascii="Times New Roman" w:hAnsi="Times New Roman"/>
                      <w:color w:val="000000"/>
                      <w:sz w:val="21"/>
                      <w:szCs w:val="21"/>
                      <w:highlight w:val="none"/>
                      <w:lang w:val="en-US" w:eastAsia="zh-CN"/>
                    </w:rPr>
                    <w:t>ND</w:t>
                  </w:r>
                </w:p>
              </w:tc>
              <w:tc>
                <w:tcPr>
                  <w:tcW w:w="738" w:type="dxa"/>
                  <w:vMerge w:val="continue"/>
                  <w:tcBorders>
                    <w:tl2br w:val="nil"/>
                    <w:tr2bl w:val="nil"/>
                  </w:tcBorders>
                  <w:noWrap w:val="0"/>
                  <w:vAlign w:val="center"/>
                </w:tcPr>
                <w:p w14:paraId="0EF5E4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p>
              </w:tc>
              <w:tc>
                <w:tcPr>
                  <w:tcW w:w="865" w:type="dxa"/>
                  <w:tcBorders>
                    <w:tl2br w:val="nil"/>
                    <w:tr2bl w:val="nil"/>
                  </w:tcBorders>
                  <w:noWrap w:val="0"/>
                  <w:vAlign w:val="center"/>
                </w:tcPr>
                <w:p w14:paraId="3B8A44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r w14:paraId="7DF0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4" w:type="dxa"/>
                  <w:tcBorders>
                    <w:tl2br w:val="nil"/>
                    <w:tr2bl w:val="nil"/>
                  </w:tcBorders>
                  <w:noWrap w:val="0"/>
                  <w:vAlign w:val="center"/>
                </w:tcPr>
                <w:p w14:paraId="6315B7E9">
                  <w:pPr>
                    <w:keepNext w:val="0"/>
                    <w:keepLines w:val="0"/>
                    <w:pageBreakBefore w:val="0"/>
                    <w:kinsoku/>
                    <w:wordWrap/>
                    <w:overflowPunct/>
                    <w:topLinePunct w:val="0"/>
                    <w:bidi w:val="0"/>
                    <w:adjustRightInd w:val="0"/>
                    <w:spacing w:before="0" w:beforeAutospacing="0" w:after="0" w:afterAutospacing="0" w:line="240" w:lineRule="auto"/>
                    <w:jc w:val="center"/>
                    <w:textAlignment w:val="auto"/>
                    <w:rPr>
                      <w:color w:val="000000"/>
                      <w:sz w:val="21"/>
                      <w:szCs w:val="21"/>
                    </w:rPr>
                  </w:pPr>
                  <w:r>
                    <w:rPr>
                      <w:rFonts w:hint="eastAsia" w:eastAsia="宋体" w:cs="Times New Roman"/>
                      <w:color w:val="000000"/>
                      <w:sz w:val="21"/>
                      <w:szCs w:val="21"/>
                      <w:highlight w:val="none"/>
                      <w:lang w:val="en-US" w:eastAsia="zh-CN"/>
                    </w:rPr>
                    <w:t>04</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01</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8时至</w:t>
                  </w:r>
                  <w:r>
                    <w:rPr>
                      <w:rFonts w:hint="eastAsia" w:eastAsia="宋体" w:cs="Times New Roman"/>
                      <w:color w:val="000000"/>
                      <w:sz w:val="21"/>
                      <w:szCs w:val="21"/>
                      <w:highlight w:val="none"/>
                      <w:lang w:val="en-US" w:eastAsia="zh-CN"/>
                    </w:rPr>
                    <w:t>04</w:t>
                  </w:r>
                  <w:r>
                    <w:rPr>
                      <w:rFonts w:hint="default" w:ascii="Times New Roman" w:hAnsi="Times New Roman" w:eastAsia="宋体" w:cs="Times New Roman"/>
                      <w:color w:val="000000"/>
                      <w:sz w:val="21"/>
                      <w:szCs w:val="21"/>
                      <w:highlight w:val="none"/>
                    </w:rPr>
                    <w:t>月</w:t>
                  </w:r>
                  <w:r>
                    <w:rPr>
                      <w:rFonts w:hint="eastAsia" w:ascii="Times New Roman" w:hAnsi="Times New Roman" w:eastAsia="宋体" w:cs="Times New Roman"/>
                      <w:color w:val="000000"/>
                      <w:sz w:val="21"/>
                      <w:szCs w:val="21"/>
                      <w:highlight w:val="none"/>
                      <w:lang w:val="en-US" w:eastAsia="zh-CN"/>
                    </w:rPr>
                    <w:t>02</w:t>
                  </w:r>
                  <w:r>
                    <w:rPr>
                      <w:rFonts w:hint="default" w:ascii="Times New Roman" w:hAnsi="Times New Roman" w:eastAsia="宋体" w:cs="Times New Roman"/>
                      <w:color w:val="000000"/>
                      <w:sz w:val="21"/>
                      <w:szCs w:val="21"/>
                      <w:highlight w:val="none"/>
                    </w:rPr>
                    <w:t>日</w:t>
                  </w:r>
                  <w:r>
                    <w:rPr>
                      <w:rFonts w:hint="eastAsia" w:ascii="Times New Roman" w:hAnsi="Times New Roman" w:eastAsia="宋体" w:cs="Times New Roman"/>
                      <w:color w:val="000000"/>
                      <w:sz w:val="21"/>
                      <w:szCs w:val="21"/>
                      <w:highlight w:val="none"/>
                      <w:lang w:val="en-US" w:eastAsia="zh-CN"/>
                    </w:rPr>
                    <w:t>8时</w:t>
                  </w:r>
                </w:p>
              </w:tc>
              <w:tc>
                <w:tcPr>
                  <w:tcW w:w="647" w:type="dxa"/>
                  <w:vMerge w:val="continue"/>
                  <w:tcBorders>
                    <w:tl2br w:val="nil"/>
                    <w:tr2bl w:val="nil"/>
                  </w:tcBorders>
                  <w:noWrap w:val="0"/>
                  <w:vAlign w:val="center"/>
                </w:tcPr>
                <w:p w14:paraId="4E553C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06" w:type="dxa"/>
                  <w:vMerge w:val="continue"/>
                  <w:tcBorders>
                    <w:tl2br w:val="nil"/>
                    <w:tr2bl w:val="nil"/>
                  </w:tcBorders>
                  <w:noWrap w:val="0"/>
                  <w:vAlign w:val="center"/>
                </w:tcPr>
                <w:p w14:paraId="056731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3609" w:type="dxa"/>
                  <w:gridSpan w:val="4"/>
                  <w:tcBorders>
                    <w:tl2br w:val="nil"/>
                    <w:tr2bl w:val="nil"/>
                  </w:tcBorders>
                  <w:noWrap w:val="0"/>
                  <w:vAlign w:val="center"/>
                </w:tcPr>
                <w:p w14:paraId="7BABB1A5">
                  <w:pPr>
                    <w:widowControl/>
                    <w:spacing w:line="240" w:lineRule="exact"/>
                    <w:jc w:val="center"/>
                    <w:rPr>
                      <w:color w:val="000000"/>
                      <w:sz w:val="21"/>
                      <w:szCs w:val="21"/>
                    </w:rPr>
                  </w:pPr>
                  <w:r>
                    <w:rPr>
                      <w:rFonts w:hint="eastAsia" w:ascii="Times New Roman" w:hAnsi="Times New Roman"/>
                      <w:color w:val="000000"/>
                      <w:sz w:val="21"/>
                      <w:szCs w:val="21"/>
                      <w:highlight w:val="none"/>
                      <w:lang w:val="en-US" w:eastAsia="zh-CN"/>
                    </w:rPr>
                    <w:t>ND</w:t>
                  </w:r>
                </w:p>
              </w:tc>
              <w:tc>
                <w:tcPr>
                  <w:tcW w:w="738" w:type="dxa"/>
                  <w:vMerge w:val="continue"/>
                  <w:tcBorders>
                    <w:tl2br w:val="nil"/>
                    <w:tr2bl w:val="nil"/>
                  </w:tcBorders>
                  <w:noWrap w:val="0"/>
                  <w:vAlign w:val="center"/>
                </w:tcPr>
                <w:p w14:paraId="76BC85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000000"/>
                      <w:sz w:val="21"/>
                      <w:szCs w:val="21"/>
                    </w:rPr>
                  </w:pPr>
                </w:p>
              </w:tc>
              <w:tc>
                <w:tcPr>
                  <w:tcW w:w="865" w:type="dxa"/>
                  <w:tcBorders>
                    <w:tl2br w:val="nil"/>
                    <w:tr2bl w:val="nil"/>
                  </w:tcBorders>
                  <w:noWrap w:val="0"/>
                  <w:vAlign w:val="center"/>
                </w:tcPr>
                <w:p w14:paraId="57A6B3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sz w:val="21"/>
                      <w:szCs w:val="21"/>
                    </w:rPr>
                  </w:pPr>
                  <w:r>
                    <w:rPr>
                      <w:rFonts w:hint="eastAsia"/>
                      <w:color w:val="000000"/>
                      <w:sz w:val="21"/>
                      <w:szCs w:val="21"/>
                    </w:rPr>
                    <w:t>达标</w:t>
                  </w:r>
                </w:p>
              </w:tc>
            </w:tr>
          </w:tbl>
          <w:p w14:paraId="1AC227DC">
            <w:pPr>
              <w:pStyle w:val="17"/>
              <w:ind w:left="0" w:leftChars="0" w:firstLine="0" w:firstLineChars="0"/>
              <w:rPr>
                <w:rFonts w:hint="default" w:ascii="Times New Roman" w:hAnsi="Times New Roman" w:cs="Times New Roman"/>
                <w:b/>
                <w:bCs/>
                <w:color w:val="000000"/>
                <w:sz w:val="24"/>
                <w:szCs w:val="24"/>
                <w:vertAlign w:val="superscript"/>
                <w:lang w:val="en-US" w:eastAsia="zh-CN"/>
              </w:rPr>
            </w:pPr>
          </w:p>
          <w:p w14:paraId="3BAFB6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eastAsia="宋体"/>
                <w:b/>
                <w:bCs w:val="0"/>
                <w:color w:val="000000"/>
                <w:sz w:val="24"/>
                <w:lang w:eastAsia="zh-CN"/>
              </w:rPr>
            </w:pPr>
            <w:r>
              <w:rPr>
                <w:rFonts w:hint="eastAsia"/>
                <w:b/>
                <w:bCs w:val="0"/>
                <w:color w:val="000000"/>
                <w:sz w:val="24"/>
                <w:lang w:eastAsia="zh-CN"/>
              </w:rPr>
              <w:t>（</w:t>
            </w:r>
            <w:r>
              <w:rPr>
                <w:rFonts w:hint="eastAsia"/>
                <w:b/>
                <w:bCs w:val="0"/>
                <w:color w:val="000000"/>
                <w:sz w:val="24"/>
                <w:lang w:val="en-US" w:eastAsia="zh-CN"/>
              </w:rPr>
              <w:t>2</w:t>
            </w:r>
            <w:r>
              <w:rPr>
                <w:rFonts w:hint="eastAsia"/>
                <w:b/>
                <w:bCs w:val="0"/>
                <w:color w:val="000000"/>
                <w:sz w:val="24"/>
                <w:lang w:eastAsia="zh-CN"/>
              </w:rPr>
              <w:t>）监测结果及现状评价</w:t>
            </w:r>
          </w:p>
          <w:p w14:paraId="0CBC0186">
            <w:pPr>
              <w:spacing w:line="360" w:lineRule="auto"/>
              <w:ind w:firstLine="480" w:firstLineChars="200"/>
              <w:jc w:val="left"/>
              <w:rPr>
                <w:color w:val="000000"/>
                <w:sz w:val="24"/>
              </w:rPr>
            </w:pPr>
            <w:r>
              <w:rPr>
                <w:color w:val="000000"/>
                <w:sz w:val="24"/>
              </w:rPr>
              <w:t>根据大气现状监测资料，采用各取值时间内最大质量浓度值占相应标准质量浓度值的百分比进行评价，评价结果详见表3-</w:t>
            </w:r>
            <w:r>
              <w:rPr>
                <w:rFonts w:hint="eastAsia"/>
                <w:color w:val="000000"/>
                <w:sz w:val="24"/>
                <w:lang w:val="en-US" w:eastAsia="zh-CN"/>
              </w:rPr>
              <w:t>3</w:t>
            </w:r>
            <w:r>
              <w:rPr>
                <w:color w:val="000000"/>
                <w:sz w:val="24"/>
              </w:rPr>
              <w:t>。</w:t>
            </w:r>
          </w:p>
          <w:p w14:paraId="1C62CCE6">
            <w:pPr>
              <w:spacing w:line="360" w:lineRule="auto"/>
              <w:ind w:firstLine="480" w:firstLineChars="200"/>
              <w:rPr>
                <w:color w:val="000000"/>
                <w:sz w:val="24"/>
              </w:rPr>
            </w:pPr>
            <w:r>
              <w:rPr>
                <w:color w:val="000000"/>
                <w:sz w:val="24"/>
              </w:rPr>
              <w:t>采用单项污染物指数法进行评价，公式为：</w:t>
            </w:r>
          </w:p>
          <w:p w14:paraId="11E61702">
            <w:pPr>
              <w:spacing w:line="360" w:lineRule="auto"/>
              <w:jc w:val="center"/>
              <w:rPr>
                <w:color w:val="000000"/>
                <w:sz w:val="24"/>
              </w:rPr>
            </w:pPr>
            <w:r>
              <w:rPr>
                <w:color w:val="000000"/>
                <w:sz w:val="24"/>
              </w:rPr>
              <w:t>P</w:t>
            </w:r>
            <w:r>
              <w:rPr>
                <w:color w:val="000000"/>
                <w:sz w:val="24"/>
                <w:vertAlign w:val="subscript"/>
              </w:rPr>
              <w:t>i</w:t>
            </w:r>
            <w:r>
              <w:rPr>
                <w:color w:val="000000"/>
                <w:sz w:val="24"/>
              </w:rPr>
              <w:t>=C</w:t>
            </w:r>
            <w:r>
              <w:rPr>
                <w:color w:val="000000"/>
                <w:sz w:val="24"/>
                <w:vertAlign w:val="subscript"/>
              </w:rPr>
              <w:t>i</w:t>
            </w:r>
            <w:r>
              <w:rPr>
                <w:color w:val="000000"/>
                <w:sz w:val="24"/>
              </w:rPr>
              <w:t>/S</w:t>
            </w:r>
            <w:r>
              <w:rPr>
                <w:color w:val="000000"/>
                <w:sz w:val="24"/>
                <w:vertAlign w:val="subscript"/>
              </w:rPr>
              <w:t>i</w:t>
            </w:r>
          </w:p>
          <w:p w14:paraId="195B940C">
            <w:pPr>
              <w:spacing w:line="360" w:lineRule="auto"/>
              <w:ind w:firstLine="960" w:firstLineChars="400"/>
              <w:rPr>
                <w:color w:val="000000"/>
                <w:sz w:val="24"/>
              </w:rPr>
            </w:pPr>
            <w:r>
              <w:rPr>
                <w:color w:val="000000"/>
                <w:sz w:val="24"/>
              </w:rPr>
              <w:t>式中，P</w:t>
            </w:r>
            <w:r>
              <w:rPr>
                <w:color w:val="000000"/>
                <w:sz w:val="24"/>
                <w:vertAlign w:val="subscript"/>
              </w:rPr>
              <w:t>i</w:t>
            </w:r>
            <w:r>
              <w:rPr>
                <w:color w:val="000000"/>
                <w:sz w:val="24"/>
              </w:rPr>
              <w:t>——为i污染物标准指数值；</w:t>
            </w:r>
          </w:p>
          <w:p w14:paraId="7A137BB2">
            <w:pPr>
              <w:spacing w:line="360" w:lineRule="auto"/>
              <w:ind w:firstLine="960" w:firstLineChars="400"/>
              <w:rPr>
                <w:color w:val="000000"/>
                <w:sz w:val="24"/>
              </w:rPr>
            </w:pPr>
            <w:r>
              <w:rPr>
                <w:color w:val="000000"/>
                <w:sz w:val="24"/>
              </w:rPr>
              <w:t>C</w:t>
            </w:r>
            <w:r>
              <w:rPr>
                <w:color w:val="000000"/>
                <w:sz w:val="24"/>
                <w:vertAlign w:val="subscript"/>
              </w:rPr>
              <w:t>i</w:t>
            </w:r>
            <w:r>
              <w:rPr>
                <w:color w:val="000000"/>
                <w:sz w:val="24"/>
              </w:rPr>
              <w:t>——为i污染物实测浓度值（mg/m</w:t>
            </w:r>
            <w:r>
              <w:rPr>
                <w:color w:val="000000"/>
                <w:sz w:val="24"/>
                <w:vertAlign w:val="superscript"/>
              </w:rPr>
              <w:t>3</w:t>
            </w:r>
            <w:r>
              <w:rPr>
                <w:color w:val="000000"/>
                <w:sz w:val="24"/>
              </w:rPr>
              <w:t>）；</w:t>
            </w:r>
          </w:p>
          <w:p w14:paraId="418E6A6F">
            <w:pPr>
              <w:spacing w:line="360" w:lineRule="auto"/>
              <w:ind w:firstLine="960" w:firstLineChars="400"/>
              <w:rPr>
                <w:color w:val="000000"/>
                <w:sz w:val="24"/>
              </w:rPr>
            </w:pPr>
            <w:r>
              <w:rPr>
                <w:color w:val="000000"/>
                <w:sz w:val="24"/>
              </w:rPr>
              <w:t>S</w:t>
            </w:r>
            <w:r>
              <w:rPr>
                <w:color w:val="000000"/>
                <w:sz w:val="24"/>
                <w:vertAlign w:val="subscript"/>
              </w:rPr>
              <w:t>i</w:t>
            </w:r>
            <w:r>
              <w:rPr>
                <w:color w:val="000000"/>
                <w:sz w:val="24"/>
              </w:rPr>
              <w:t>——为i污染物评价标准限值（mg/m</w:t>
            </w:r>
            <w:r>
              <w:rPr>
                <w:color w:val="000000"/>
                <w:sz w:val="24"/>
                <w:vertAlign w:val="superscript"/>
              </w:rPr>
              <w:t>3</w:t>
            </w:r>
            <w:r>
              <w:rPr>
                <w:color w:val="000000"/>
                <w:sz w:val="24"/>
              </w:rPr>
              <w:t>）。</w:t>
            </w:r>
          </w:p>
          <w:p w14:paraId="41CACF7A">
            <w:pPr>
              <w:spacing w:line="360" w:lineRule="auto"/>
              <w:ind w:firstLine="480"/>
              <w:rPr>
                <w:rFonts w:hint="eastAsia"/>
                <w:b/>
                <w:bCs/>
                <w:color w:val="000000"/>
                <w:sz w:val="24"/>
              </w:rPr>
            </w:pPr>
            <w:r>
              <w:rPr>
                <w:color w:val="000000"/>
                <w:sz w:val="24"/>
              </w:rPr>
              <w:t>当P</w:t>
            </w:r>
            <w:r>
              <w:rPr>
                <w:color w:val="000000"/>
                <w:sz w:val="24"/>
                <w:vertAlign w:val="subscript"/>
              </w:rPr>
              <w:t>i</w:t>
            </w:r>
            <w:r>
              <w:rPr>
                <w:color w:val="000000"/>
                <w:sz w:val="24"/>
              </w:rPr>
              <w:t>值大于1.0时，表明大气环境已受到该项评价因子所表征的污染物的污染。P</w:t>
            </w:r>
            <w:r>
              <w:rPr>
                <w:color w:val="000000"/>
                <w:sz w:val="24"/>
                <w:vertAlign w:val="subscript"/>
              </w:rPr>
              <w:t>i</w:t>
            </w:r>
            <w:r>
              <w:rPr>
                <w:color w:val="000000"/>
                <w:sz w:val="24"/>
              </w:rPr>
              <w:t>值越大，受污染程度越重；P</w:t>
            </w:r>
            <w:r>
              <w:rPr>
                <w:color w:val="000000"/>
                <w:sz w:val="24"/>
                <w:vertAlign w:val="subscript"/>
              </w:rPr>
              <w:t>i</w:t>
            </w:r>
            <w:r>
              <w:rPr>
                <w:color w:val="000000"/>
                <w:sz w:val="24"/>
              </w:rPr>
              <w:t>值越小，受污染程度越轻。</w:t>
            </w:r>
          </w:p>
          <w:p w14:paraId="1F87258E">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b/>
                <w:bCs/>
                <w:color w:val="000000"/>
                <w:sz w:val="24"/>
              </w:rPr>
            </w:pPr>
            <w:r>
              <w:rPr>
                <w:rFonts w:hint="eastAsia"/>
                <w:b/>
                <w:bCs/>
                <w:color w:val="000000"/>
                <w:sz w:val="24"/>
              </w:rPr>
              <w:t xml:space="preserve"> </w:t>
            </w:r>
            <w:r>
              <w:rPr>
                <w:b/>
                <w:bCs/>
                <w:color w:val="000000"/>
                <w:sz w:val="24"/>
              </w:rPr>
              <w:t>环境空气质量现状评价结果表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352"/>
              <w:gridCol w:w="1724"/>
              <w:gridCol w:w="1380"/>
              <w:gridCol w:w="1740"/>
              <w:gridCol w:w="1020"/>
            </w:tblGrid>
            <w:tr w14:paraId="13FC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4" w:type="dxa"/>
                  <w:noWrap w:val="0"/>
                  <w:vAlign w:val="center"/>
                </w:tcPr>
                <w:p w14:paraId="1D147FF6">
                  <w:pPr>
                    <w:jc w:val="center"/>
                    <w:rPr>
                      <w:b/>
                      <w:bCs w:val="0"/>
                      <w:color w:val="000000"/>
                      <w:szCs w:val="21"/>
                    </w:rPr>
                  </w:pPr>
                  <w:r>
                    <w:rPr>
                      <w:b/>
                      <w:bCs w:val="0"/>
                      <w:color w:val="000000"/>
                      <w:szCs w:val="21"/>
                    </w:rPr>
                    <w:t>项目</w:t>
                  </w:r>
                </w:p>
              </w:tc>
              <w:tc>
                <w:tcPr>
                  <w:tcW w:w="1352" w:type="dxa"/>
                  <w:noWrap w:val="0"/>
                  <w:vAlign w:val="center"/>
                </w:tcPr>
                <w:p w14:paraId="6F4E255C">
                  <w:pPr>
                    <w:jc w:val="center"/>
                    <w:rPr>
                      <w:b/>
                      <w:bCs w:val="0"/>
                      <w:color w:val="000000"/>
                      <w:szCs w:val="21"/>
                    </w:rPr>
                  </w:pPr>
                  <w:r>
                    <w:rPr>
                      <w:b/>
                      <w:bCs w:val="0"/>
                      <w:color w:val="000000"/>
                      <w:szCs w:val="21"/>
                    </w:rPr>
                    <w:t>浓度范围（</w:t>
                  </w:r>
                  <w:r>
                    <w:rPr>
                      <w:rFonts w:hint="eastAsia"/>
                      <w:b/>
                      <w:bCs w:val="0"/>
                      <w:color w:val="000000"/>
                      <w:szCs w:val="21"/>
                    </w:rPr>
                    <w:t xml:space="preserve"> </w:t>
                  </w:r>
                  <w:r>
                    <w:rPr>
                      <w:rFonts w:hint="eastAsia"/>
                      <w:b/>
                      <w:bCs w:val="0"/>
                      <w:color w:val="000000"/>
                      <w:szCs w:val="21"/>
                      <w:lang w:val="en-US" w:eastAsia="zh-CN"/>
                    </w:rPr>
                    <w:t>m</w:t>
                  </w:r>
                  <w:r>
                    <w:rPr>
                      <w:rFonts w:hint="eastAsia"/>
                      <w:b/>
                      <w:bCs w:val="0"/>
                      <w:color w:val="000000"/>
                      <w:szCs w:val="21"/>
                    </w:rPr>
                    <w:t>g/m</w:t>
                  </w:r>
                  <w:r>
                    <w:rPr>
                      <w:rFonts w:hint="eastAsia"/>
                      <w:b/>
                      <w:bCs w:val="0"/>
                      <w:color w:val="000000"/>
                      <w:szCs w:val="21"/>
                      <w:vertAlign w:val="superscript"/>
                    </w:rPr>
                    <w:t>3</w:t>
                  </w:r>
                  <w:r>
                    <w:rPr>
                      <w:b/>
                      <w:bCs w:val="0"/>
                      <w:color w:val="000000"/>
                      <w:szCs w:val="21"/>
                    </w:rPr>
                    <w:t>）</w:t>
                  </w:r>
                </w:p>
              </w:tc>
              <w:tc>
                <w:tcPr>
                  <w:tcW w:w="1724" w:type="dxa"/>
                  <w:noWrap w:val="0"/>
                  <w:vAlign w:val="center"/>
                </w:tcPr>
                <w:p w14:paraId="69903756">
                  <w:pPr>
                    <w:jc w:val="center"/>
                    <w:rPr>
                      <w:b/>
                      <w:bCs w:val="0"/>
                      <w:color w:val="000000"/>
                      <w:szCs w:val="21"/>
                    </w:rPr>
                  </w:pPr>
                  <w:r>
                    <w:rPr>
                      <w:rFonts w:hint="eastAsia"/>
                      <w:b/>
                      <w:bCs w:val="0"/>
                      <w:color w:val="000000"/>
                      <w:szCs w:val="21"/>
                      <w:lang w:eastAsia="zh-CN"/>
                    </w:rPr>
                    <w:t>最大浓度占标率</w:t>
                  </w:r>
                </w:p>
              </w:tc>
              <w:tc>
                <w:tcPr>
                  <w:tcW w:w="1380" w:type="dxa"/>
                  <w:noWrap w:val="0"/>
                  <w:vAlign w:val="center"/>
                </w:tcPr>
                <w:p w14:paraId="0AA53BCE">
                  <w:pPr>
                    <w:jc w:val="center"/>
                    <w:rPr>
                      <w:b/>
                      <w:bCs w:val="0"/>
                      <w:color w:val="000000"/>
                      <w:szCs w:val="21"/>
                    </w:rPr>
                  </w:pPr>
                  <w:r>
                    <w:rPr>
                      <w:b/>
                      <w:bCs w:val="0"/>
                      <w:color w:val="000000"/>
                      <w:szCs w:val="21"/>
                    </w:rPr>
                    <w:t>超标率（%）</w:t>
                  </w:r>
                </w:p>
              </w:tc>
              <w:tc>
                <w:tcPr>
                  <w:tcW w:w="1740" w:type="dxa"/>
                  <w:noWrap w:val="0"/>
                  <w:vAlign w:val="center"/>
                </w:tcPr>
                <w:p w14:paraId="0805DFE9">
                  <w:pPr>
                    <w:jc w:val="center"/>
                    <w:rPr>
                      <w:b/>
                      <w:bCs w:val="0"/>
                      <w:color w:val="000000"/>
                      <w:szCs w:val="21"/>
                    </w:rPr>
                  </w:pPr>
                  <w:r>
                    <w:rPr>
                      <w:b/>
                      <w:bCs w:val="0"/>
                      <w:color w:val="000000"/>
                      <w:szCs w:val="21"/>
                    </w:rPr>
                    <w:t>标准（</w:t>
                  </w:r>
                  <w:r>
                    <w:rPr>
                      <w:rFonts w:hint="eastAsia"/>
                      <w:b/>
                      <w:bCs w:val="0"/>
                      <w:color w:val="000000"/>
                      <w:szCs w:val="21"/>
                      <w:lang w:val="en-US" w:eastAsia="zh-CN"/>
                    </w:rPr>
                    <w:t>m</w:t>
                  </w:r>
                  <w:r>
                    <w:rPr>
                      <w:rFonts w:hint="eastAsia"/>
                      <w:b/>
                      <w:bCs w:val="0"/>
                      <w:color w:val="000000"/>
                      <w:szCs w:val="21"/>
                    </w:rPr>
                    <w:t>g/m</w:t>
                  </w:r>
                  <w:r>
                    <w:rPr>
                      <w:rFonts w:hint="eastAsia"/>
                      <w:b/>
                      <w:bCs w:val="0"/>
                      <w:color w:val="000000"/>
                      <w:szCs w:val="21"/>
                      <w:vertAlign w:val="superscript"/>
                    </w:rPr>
                    <w:t>3</w:t>
                  </w:r>
                  <w:r>
                    <w:rPr>
                      <w:b/>
                      <w:bCs w:val="0"/>
                      <w:color w:val="000000"/>
                      <w:szCs w:val="21"/>
                    </w:rPr>
                    <w:t>）</w:t>
                  </w:r>
                </w:p>
              </w:tc>
              <w:tc>
                <w:tcPr>
                  <w:tcW w:w="1020" w:type="dxa"/>
                  <w:noWrap w:val="0"/>
                  <w:vAlign w:val="center"/>
                </w:tcPr>
                <w:p w14:paraId="49EFC7A7">
                  <w:pPr>
                    <w:jc w:val="center"/>
                    <w:rPr>
                      <w:rFonts w:hint="eastAsia" w:eastAsia="宋体"/>
                      <w:b/>
                      <w:bCs w:val="0"/>
                      <w:color w:val="000000"/>
                      <w:szCs w:val="21"/>
                      <w:lang w:eastAsia="zh-CN"/>
                    </w:rPr>
                  </w:pPr>
                  <w:r>
                    <w:rPr>
                      <w:rFonts w:hint="eastAsia"/>
                      <w:b/>
                      <w:bCs w:val="0"/>
                      <w:color w:val="000000"/>
                      <w:szCs w:val="21"/>
                      <w:lang w:eastAsia="zh-CN"/>
                    </w:rPr>
                    <w:t>达标情况</w:t>
                  </w:r>
                </w:p>
              </w:tc>
            </w:tr>
            <w:tr w14:paraId="5C13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4" w:type="dxa"/>
                  <w:noWrap w:val="0"/>
                  <w:vAlign w:val="center"/>
                </w:tcPr>
                <w:p w14:paraId="68D71A16">
                  <w:pPr>
                    <w:pStyle w:val="5"/>
                    <w:ind w:firstLine="0"/>
                    <w:jc w:val="center"/>
                    <w:rPr>
                      <w:rFonts w:hint="default" w:eastAsia="宋体"/>
                      <w:color w:val="000000"/>
                      <w:sz w:val="21"/>
                      <w:szCs w:val="21"/>
                      <w:lang w:val="en-US" w:eastAsia="zh-CN"/>
                    </w:rPr>
                  </w:pPr>
                  <w:r>
                    <w:rPr>
                      <w:rFonts w:hint="eastAsia"/>
                      <w:color w:val="000000"/>
                      <w:sz w:val="21"/>
                      <w:szCs w:val="21"/>
                      <w:lang w:val="en-US" w:eastAsia="zh-CN"/>
                    </w:rPr>
                    <w:t>TSP</w:t>
                  </w:r>
                </w:p>
              </w:tc>
              <w:tc>
                <w:tcPr>
                  <w:tcW w:w="1352" w:type="dxa"/>
                  <w:noWrap w:val="0"/>
                  <w:vAlign w:val="center"/>
                </w:tcPr>
                <w:p w14:paraId="53EC60D7">
                  <w:pPr>
                    <w:pStyle w:val="83"/>
                    <w:spacing w:line="240" w:lineRule="auto"/>
                    <w:ind w:firstLine="0" w:firstLineChars="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0.086~0.112</w:t>
                  </w:r>
                </w:p>
              </w:tc>
              <w:tc>
                <w:tcPr>
                  <w:tcW w:w="1724" w:type="dxa"/>
                  <w:noWrap w:val="0"/>
                  <w:vAlign w:val="center"/>
                </w:tcPr>
                <w:p w14:paraId="1AFB4226">
                  <w:pPr>
                    <w:pStyle w:val="83"/>
                    <w:spacing w:line="240" w:lineRule="auto"/>
                    <w:ind w:firstLine="0" w:firstLineChars="0"/>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lang w:val="en-US" w:eastAsia="zh-CN"/>
                    </w:rPr>
                    <w:t>37.3</w:t>
                  </w:r>
                  <w:r>
                    <w:rPr>
                      <w:rFonts w:ascii="Times New Roman" w:hAnsi="Times New Roman" w:cs="Times New Roman"/>
                      <w:color w:val="000000"/>
                      <w:sz w:val="21"/>
                      <w:szCs w:val="21"/>
                    </w:rPr>
                    <w:t>%</w:t>
                  </w:r>
                </w:p>
              </w:tc>
              <w:tc>
                <w:tcPr>
                  <w:tcW w:w="1380" w:type="dxa"/>
                  <w:noWrap w:val="0"/>
                  <w:vAlign w:val="center"/>
                </w:tcPr>
                <w:p w14:paraId="434B97F8">
                  <w:pPr>
                    <w:pStyle w:val="83"/>
                    <w:spacing w:line="240" w:lineRule="auto"/>
                    <w:ind w:firstLine="0" w:firstLineChars="0"/>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1740" w:type="dxa"/>
                  <w:noWrap w:val="0"/>
                  <w:vAlign w:val="center"/>
                </w:tcPr>
                <w:p w14:paraId="00884CF5">
                  <w:pPr>
                    <w:pStyle w:val="83"/>
                    <w:spacing w:line="240" w:lineRule="auto"/>
                    <w:ind w:firstLine="0" w:firstLineChars="0"/>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0.3</w:t>
                  </w:r>
                </w:p>
              </w:tc>
              <w:tc>
                <w:tcPr>
                  <w:tcW w:w="1020" w:type="dxa"/>
                  <w:noWrap w:val="0"/>
                  <w:vAlign w:val="center"/>
                </w:tcPr>
                <w:p w14:paraId="24B41556">
                  <w:pPr>
                    <w:pStyle w:val="83"/>
                    <w:spacing w:line="240" w:lineRule="auto"/>
                    <w:ind w:firstLine="0" w:firstLineChars="0"/>
                    <w:jc w:val="center"/>
                    <w:rPr>
                      <w:rFonts w:hint="eastAsia"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达标</w:t>
                  </w:r>
                </w:p>
              </w:tc>
            </w:tr>
            <w:tr w14:paraId="3164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4" w:type="dxa"/>
                  <w:noWrap w:val="0"/>
                  <w:vAlign w:val="center"/>
                </w:tcPr>
                <w:p w14:paraId="248522FC">
                  <w:pPr>
                    <w:pStyle w:val="5"/>
                    <w:ind w:firstLine="0"/>
                    <w:jc w:val="center"/>
                    <w:rPr>
                      <w:rFonts w:hint="eastAsia"/>
                      <w:color w:val="000000"/>
                      <w:sz w:val="21"/>
                      <w:szCs w:val="21"/>
                      <w:lang w:val="en-US" w:eastAsia="zh-CN"/>
                    </w:rPr>
                  </w:pPr>
                  <w:r>
                    <w:rPr>
                      <w:rFonts w:ascii="Times New Roman" w:hAnsi="Times New Roman" w:eastAsia="宋体" w:cs="Times New Roman"/>
                      <w:color w:val="000000"/>
                      <w:sz w:val="21"/>
                      <w:szCs w:val="21"/>
                    </w:rPr>
                    <w:t>苯并</w:t>
                  </w:r>
                  <w:r>
                    <w:rPr>
                      <w:rFonts w:hint="eastAsia" w:ascii="Times New Roman" w:hAnsi="Times New Roman" w:eastAsia="宋体" w:cs="Times New Roman"/>
                      <w:color w:val="000000"/>
                      <w:sz w:val="21"/>
                      <w:szCs w:val="21"/>
                      <w:lang w:eastAsia="zh-CN"/>
                    </w:rPr>
                    <w:t>（</w:t>
                  </w:r>
                  <w:r>
                    <w:rPr>
                      <w:rFonts w:ascii="Times New Roman" w:hAnsi="Times New Roman" w:eastAsia="宋体" w:cs="Times New Roman"/>
                      <w:color w:val="000000"/>
                      <w:sz w:val="21"/>
                      <w:szCs w:val="21"/>
                    </w:rPr>
                    <w:t>a</w:t>
                  </w:r>
                  <w:r>
                    <w:rPr>
                      <w:rFonts w:hint="eastAsia" w:ascii="Times New Roman" w:hAnsi="Times New Roman" w:eastAsia="宋体" w:cs="Times New Roman"/>
                      <w:color w:val="000000"/>
                      <w:sz w:val="21"/>
                      <w:szCs w:val="21"/>
                      <w:lang w:eastAsia="zh-CN"/>
                    </w:rPr>
                    <w:t>）</w:t>
                  </w:r>
                  <w:r>
                    <w:rPr>
                      <w:rFonts w:ascii="Times New Roman" w:hAnsi="Times New Roman" w:eastAsia="宋体" w:cs="Times New Roman"/>
                      <w:color w:val="000000"/>
                      <w:sz w:val="21"/>
                      <w:szCs w:val="21"/>
                    </w:rPr>
                    <w:t>芘</w:t>
                  </w:r>
                </w:p>
              </w:tc>
              <w:tc>
                <w:tcPr>
                  <w:tcW w:w="1352" w:type="dxa"/>
                  <w:noWrap w:val="0"/>
                  <w:vAlign w:val="center"/>
                </w:tcPr>
                <w:p w14:paraId="3B034B3F">
                  <w:pPr>
                    <w:pStyle w:val="83"/>
                    <w:spacing w:line="240" w:lineRule="auto"/>
                    <w:ind w:firstLine="0" w:firstLineChars="0"/>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未检出</w:t>
                  </w:r>
                </w:p>
              </w:tc>
              <w:tc>
                <w:tcPr>
                  <w:tcW w:w="1724" w:type="dxa"/>
                  <w:noWrap w:val="0"/>
                  <w:vAlign w:val="center"/>
                </w:tcPr>
                <w:p w14:paraId="4C790F49">
                  <w:pPr>
                    <w:pStyle w:val="83"/>
                    <w:spacing w:line="240" w:lineRule="auto"/>
                    <w:ind w:firstLine="0" w:firstLineChars="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0</w:t>
                  </w:r>
                </w:p>
              </w:tc>
              <w:tc>
                <w:tcPr>
                  <w:tcW w:w="1380" w:type="dxa"/>
                  <w:noWrap w:val="0"/>
                  <w:vAlign w:val="center"/>
                </w:tcPr>
                <w:p w14:paraId="73744D33">
                  <w:pPr>
                    <w:pStyle w:val="83"/>
                    <w:spacing w:line="240" w:lineRule="auto"/>
                    <w:ind w:firstLine="0" w:firstLineChars="0"/>
                    <w:jc w:val="center"/>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0</w:t>
                  </w:r>
                </w:p>
              </w:tc>
              <w:tc>
                <w:tcPr>
                  <w:tcW w:w="1740" w:type="dxa"/>
                  <w:noWrap w:val="0"/>
                  <w:vAlign w:val="center"/>
                </w:tcPr>
                <w:p w14:paraId="234C567A">
                  <w:pPr>
                    <w:pStyle w:val="83"/>
                    <w:spacing w:line="240" w:lineRule="auto"/>
                    <w:ind w:firstLine="0" w:firstLineChars="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0.0025</w:t>
                  </w:r>
                </w:p>
              </w:tc>
              <w:tc>
                <w:tcPr>
                  <w:tcW w:w="1020" w:type="dxa"/>
                  <w:noWrap w:val="0"/>
                  <w:vAlign w:val="center"/>
                </w:tcPr>
                <w:p w14:paraId="2182FA35">
                  <w:pPr>
                    <w:pStyle w:val="83"/>
                    <w:spacing w:line="240" w:lineRule="auto"/>
                    <w:ind w:firstLine="0" w:firstLineChars="0"/>
                    <w:jc w:val="center"/>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达标</w:t>
                  </w:r>
                </w:p>
              </w:tc>
            </w:tr>
            <w:tr w14:paraId="1838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4" w:type="dxa"/>
                  <w:noWrap w:val="0"/>
                  <w:vAlign w:val="center"/>
                </w:tcPr>
                <w:p w14:paraId="28DC5708">
                  <w:pPr>
                    <w:pStyle w:val="5"/>
                    <w:ind w:firstLine="0"/>
                    <w:jc w:val="center"/>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非甲烷总烃</w:t>
                  </w:r>
                </w:p>
              </w:tc>
              <w:tc>
                <w:tcPr>
                  <w:tcW w:w="1352" w:type="dxa"/>
                  <w:noWrap w:val="0"/>
                  <w:vAlign w:val="center"/>
                </w:tcPr>
                <w:p w14:paraId="2F4E2C03">
                  <w:pPr>
                    <w:pStyle w:val="83"/>
                    <w:spacing w:line="240" w:lineRule="auto"/>
                    <w:ind w:firstLine="0" w:firstLineChars="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highlight w:val="none"/>
                      <w:lang w:val="en-US" w:eastAsia="zh-CN"/>
                    </w:rPr>
                    <w:t>0.52~0.81</w:t>
                  </w:r>
                </w:p>
              </w:tc>
              <w:tc>
                <w:tcPr>
                  <w:tcW w:w="1724" w:type="dxa"/>
                  <w:noWrap w:val="0"/>
                  <w:vAlign w:val="center"/>
                </w:tcPr>
                <w:p w14:paraId="49AED559">
                  <w:pPr>
                    <w:pStyle w:val="83"/>
                    <w:spacing w:line="240" w:lineRule="auto"/>
                    <w:ind w:firstLine="0" w:firstLineChars="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40.5</w:t>
                  </w:r>
                </w:p>
              </w:tc>
              <w:tc>
                <w:tcPr>
                  <w:tcW w:w="1380" w:type="dxa"/>
                  <w:noWrap w:val="0"/>
                  <w:vAlign w:val="center"/>
                </w:tcPr>
                <w:p w14:paraId="031FF562">
                  <w:pPr>
                    <w:pStyle w:val="83"/>
                    <w:spacing w:line="240" w:lineRule="auto"/>
                    <w:ind w:firstLine="0" w:firstLineChars="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0</w:t>
                  </w:r>
                </w:p>
              </w:tc>
              <w:tc>
                <w:tcPr>
                  <w:tcW w:w="1740" w:type="dxa"/>
                  <w:noWrap w:val="0"/>
                  <w:vAlign w:val="center"/>
                </w:tcPr>
                <w:p w14:paraId="4427C1E2">
                  <w:pPr>
                    <w:pStyle w:val="83"/>
                    <w:spacing w:line="240" w:lineRule="auto"/>
                    <w:ind w:firstLine="0" w:firstLineChars="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2.0</w:t>
                  </w:r>
                </w:p>
              </w:tc>
              <w:tc>
                <w:tcPr>
                  <w:tcW w:w="1020" w:type="dxa"/>
                  <w:noWrap w:val="0"/>
                  <w:vAlign w:val="center"/>
                </w:tcPr>
                <w:p w14:paraId="0112AC93">
                  <w:pPr>
                    <w:pStyle w:val="83"/>
                    <w:spacing w:line="240" w:lineRule="auto"/>
                    <w:ind w:firstLine="0" w:firstLineChars="0"/>
                    <w:jc w:val="center"/>
                    <w:rPr>
                      <w:rFonts w:hint="eastAsia"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达标</w:t>
                  </w:r>
                </w:p>
              </w:tc>
            </w:tr>
          </w:tbl>
          <w:p w14:paraId="2236B923">
            <w:pPr>
              <w:pStyle w:val="107"/>
              <w:spacing w:before="120" w:beforeLines="50"/>
              <w:ind w:firstLine="480"/>
              <w:rPr>
                <w:rFonts w:hint="default" w:ascii="Times New Roman" w:hAnsi="Times New Roman" w:cs="Times New Roman"/>
                <w:color w:val="000000"/>
                <w:sz w:val="24"/>
              </w:rPr>
            </w:pPr>
            <w:r>
              <w:rPr>
                <w:color w:val="000000"/>
                <w:sz w:val="24"/>
              </w:rPr>
              <w:t>由表3-</w:t>
            </w:r>
            <w:r>
              <w:rPr>
                <w:rFonts w:hint="eastAsia"/>
                <w:color w:val="000000"/>
                <w:sz w:val="24"/>
                <w:lang w:val="en-US" w:eastAsia="zh-CN"/>
              </w:rPr>
              <w:t>3</w:t>
            </w:r>
            <w:r>
              <w:rPr>
                <w:color w:val="000000"/>
                <w:sz w:val="24"/>
              </w:rPr>
              <w:t>环境空气质量现状评价统计结果</w:t>
            </w:r>
            <w:r>
              <w:rPr>
                <w:rFonts w:hint="eastAsia"/>
                <w:color w:val="000000"/>
                <w:sz w:val="24"/>
                <w:lang w:eastAsia="zh-CN"/>
              </w:rPr>
              <w:t>可以</w:t>
            </w:r>
            <w:r>
              <w:rPr>
                <w:color w:val="000000"/>
                <w:sz w:val="24"/>
              </w:rPr>
              <w:t>看出：</w:t>
            </w:r>
            <w:r>
              <w:rPr>
                <w:rFonts w:hint="eastAsia"/>
                <w:color w:val="000000"/>
                <w:sz w:val="24"/>
              </w:rPr>
              <w:t>TSP</w:t>
            </w:r>
            <w:r>
              <w:rPr>
                <w:rFonts w:hint="eastAsia"/>
                <w:color w:val="000000"/>
                <w:sz w:val="24"/>
                <w:lang w:eastAsia="zh-CN"/>
              </w:rPr>
              <w:t>、</w:t>
            </w:r>
            <w:r>
              <w:rPr>
                <w:rFonts w:ascii="Times New Roman" w:hAnsi="Times New Roman" w:eastAsia="宋体" w:cs="Times New Roman"/>
                <w:color w:val="000000"/>
                <w:szCs w:val="21"/>
              </w:rPr>
              <w:t>苯并</w:t>
            </w:r>
            <w:r>
              <w:rPr>
                <w:rFonts w:hint="eastAsia" w:ascii="Times New Roman" w:hAnsi="Times New Roman" w:eastAsia="宋体" w:cs="Times New Roman"/>
                <w:color w:val="000000"/>
                <w:szCs w:val="21"/>
                <w:lang w:eastAsia="zh-CN"/>
              </w:rPr>
              <w:t>（</w:t>
            </w:r>
            <w:r>
              <w:rPr>
                <w:rFonts w:ascii="Times New Roman" w:hAnsi="Times New Roman" w:eastAsia="宋体" w:cs="Times New Roman"/>
                <w:color w:val="000000"/>
                <w:szCs w:val="21"/>
              </w:rPr>
              <w:t>a</w:t>
            </w:r>
            <w:r>
              <w:rPr>
                <w:rFonts w:hint="eastAsia" w:ascii="Times New Roman" w:hAnsi="Times New Roman" w:eastAsia="宋体" w:cs="Times New Roman"/>
                <w:color w:val="000000"/>
                <w:szCs w:val="21"/>
                <w:lang w:eastAsia="zh-CN"/>
              </w:rPr>
              <w:t>）</w:t>
            </w:r>
            <w:r>
              <w:rPr>
                <w:rFonts w:ascii="Times New Roman" w:hAnsi="Times New Roman" w:eastAsia="宋体" w:cs="Times New Roman"/>
                <w:color w:val="000000"/>
                <w:szCs w:val="21"/>
              </w:rPr>
              <w:t>芘</w:t>
            </w:r>
            <w:r>
              <w:rPr>
                <w:rFonts w:hint="eastAsia"/>
                <w:color w:val="000000"/>
                <w:sz w:val="24"/>
              </w:rPr>
              <w:t>满足《环境空气质量标准》（GB3095-2012）表2中二级标准浓度限值。</w:t>
            </w:r>
            <w:r>
              <w:rPr>
                <w:rFonts w:hint="default" w:ascii="Times New Roman" w:hAnsi="Times New Roman" w:cs="Times New Roman"/>
                <w:b w:val="0"/>
                <w:bCs w:val="0"/>
                <w:color w:val="000000"/>
                <w:kern w:val="2"/>
                <w:sz w:val="24"/>
                <w:szCs w:val="24"/>
                <w:lang w:val="en-US" w:eastAsia="zh-CN" w:bidi="ar-SA"/>
              </w:rPr>
              <w:t>非甲烷总烃指标符合</w:t>
            </w:r>
            <w:r>
              <w:rPr>
                <w:rFonts w:hint="default" w:ascii="Times New Roman" w:hAnsi="Times New Roman" w:eastAsia="宋体" w:cs="Times New Roman"/>
                <w:bCs/>
                <w:color w:val="000000"/>
                <w:sz w:val="24"/>
                <w:szCs w:val="24"/>
                <w:lang w:val="en-US" w:eastAsia="zh-CN"/>
              </w:rPr>
              <w:t>《大气污染物综合排放标准》</w:t>
            </w:r>
            <w:r>
              <w:rPr>
                <w:rFonts w:hint="default" w:ascii="Times New Roman" w:hAnsi="Times New Roman" w:cs="Times New Roman"/>
                <w:bCs/>
                <w:color w:val="000000"/>
                <w:sz w:val="24"/>
                <w:szCs w:val="24"/>
                <w:lang w:val="en-US" w:eastAsia="zh-CN"/>
              </w:rPr>
              <w:t>详解。</w:t>
            </w:r>
          </w:p>
          <w:p w14:paraId="2D36486A">
            <w:pPr>
              <w:spacing w:line="360" w:lineRule="auto"/>
              <w:rPr>
                <w:rFonts w:hint="default" w:ascii="Times New Roman" w:hAnsi="Times New Roman" w:cs="Times New Roman"/>
                <w:b/>
                <w:color w:val="000000"/>
                <w:sz w:val="24"/>
              </w:rPr>
            </w:pPr>
            <w:r>
              <w:rPr>
                <w:rFonts w:hint="default" w:ascii="Times New Roman" w:hAnsi="Times New Roman" w:cs="Times New Roman"/>
                <w:b/>
                <w:color w:val="000000"/>
                <w:sz w:val="24"/>
              </w:rPr>
              <w:t>二、地表水环境</w:t>
            </w:r>
          </w:p>
          <w:p w14:paraId="68FD5667">
            <w:pPr>
              <w:pStyle w:val="105"/>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本项目评价等级为三级B，按照HJ2.3-2018要求，可不考虑评价时期，项目所在汇水区域的地表水体为巴河，根据《建设项目环境影响评价指南》（试行），水环境质量现状调查包括生态环境保护主管部门统一发布的水环境状况数据或地表水达标结论。因此，本次评价选用巴中市平昌生态环境局公布的</w:t>
            </w:r>
            <w:r>
              <w:rPr>
                <w:rFonts w:hint="eastAsia" w:ascii="Times New Roman" w:hAnsi="Times New Roman" w:eastAsia="宋体" w:cs="Times New Roman"/>
                <w:color w:val="000000"/>
              </w:rPr>
              <w:t>《平昌县202</w:t>
            </w:r>
            <w:r>
              <w:rPr>
                <w:rFonts w:hint="eastAsia" w:ascii="Times New Roman" w:hAnsi="Times New Roman" w:cs="Times New Roman"/>
                <w:color w:val="000000"/>
                <w:lang w:val="en-US" w:eastAsia="zh-CN"/>
              </w:rPr>
              <w:t>5</w:t>
            </w:r>
            <w:r>
              <w:rPr>
                <w:rFonts w:hint="eastAsia" w:ascii="Times New Roman" w:hAnsi="Times New Roman" w:eastAsia="宋体" w:cs="Times New Roman"/>
                <w:color w:val="000000"/>
              </w:rPr>
              <w:t>年生态环境质量状况公报</w:t>
            </w:r>
            <w:r>
              <w:rPr>
                <w:rFonts w:hint="eastAsia" w:ascii="Times New Roman" w:hAnsi="Times New Roman" w:eastAsia="宋体" w:cs="Times New Roman"/>
                <w:color w:val="000000"/>
                <w:lang w:eastAsia="zh-CN"/>
              </w:rPr>
              <w:t>》</w:t>
            </w:r>
            <w:r>
              <w:rPr>
                <w:rFonts w:hint="default" w:ascii="Times New Roman" w:hAnsi="Times New Roman" w:eastAsia="宋体" w:cs="Times New Roman"/>
                <w:color w:val="000000"/>
              </w:rPr>
              <w:t>结论进行评价（网站：</w:t>
            </w:r>
            <w:r>
              <w:rPr>
                <w:rFonts w:hint="eastAsia" w:ascii="Times New Roman" w:hAnsi="Times New Roman" w:eastAsia="宋体" w:cs="Times New Roman"/>
                <w:color w:val="000000"/>
              </w:rPr>
              <w:t>http://ww</w:t>
            </w:r>
            <w:r>
              <w:rPr>
                <w:rFonts w:hint="default" w:ascii="Times New Roman" w:hAnsi="Times New Roman" w:eastAsia="宋体" w:cs="Times New Roman"/>
                <w:color w:val="000000"/>
              </w:rPr>
              <w:t>w.scpc.gov.cn/public/6602261/14047832.html）。</w:t>
            </w:r>
            <w:r>
              <w:rPr>
                <w:rFonts w:hint="eastAsia" w:ascii="Times New Roman" w:hAnsi="Times New Roman" w:eastAsia="宋体" w:cs="Times New Roman"/>
                <w:color w:val="000000"/>
                <w:lang w:val="en-US" w:eastAsia="zh-CN"/>
              </w:rPr>
              <w:t>2025</w:t>
            </w:r>
            <w:r>
              <w:rPr>
                <w:rFonts w:hint="default" w:ascii="Times New Roman" w:hAnsi="Times New Roman" w:eastAsia="宋体" w:cs="Times New Roman"/>
                <w:color w:val="000000"/>
              </w:rPr>
              <w:t>年1月</w:t>
            </w:r>
            <w:r>
              <w:rPr>
                <w:rFonts w:hint="eastAsia" w:ascii="Times New Roman" w:hAnsi="Times New Roman" w:eastAsia="宋体" w:cs="Times New Roman"/>
                <w:color w:val="000000"/>
                <w:lang w:val="en-US" w:eastAsia="zh-CN"/>
              </w:rPr>
              <w:t>-</w:t>
            </w:r>
            <w:r>
              <w:rPr>
                <w:rFonts w:hint="default" w:ascii="Times New Roman" w:hAnsi="Times New Roman" w:eastAsia="宋体" w:cs="Times New Roman"/>
                <w:color w:val="000000"/>
              </w:rPr>
              <w:t>12月，大石盘、木梁溪、小滩子、红谷梁、道河湾5个主要河流地表水监测断面水质均达Ⅲ类及以上标准，达标率100%。202</w:t>
            </w:r>
            <w:r>
              <w:rPr>
                <w:rFonts w:hint="default" w:ascii="Times New Roman" w:hAnsi="Times New Roman" w:cs="Times New Roman"/>
                <w:color w:val="000000"/>
                <w:lang w:val="en-US" w:eastAsia="zh-CN"/>
              </w:rPr>
              <w:t>5</w:t>
            </w:r>
            <w:r>
              <w:rPr>
                <w:rFonts w:hint="default" w:ascii="Times New Roman" w:hAnsi="Times New Roman" w:eastAsia="宋体" w:cs="Times New Roman"/>
                <w:color w:val="000000"/>
              </w:rPr>
              <w:t>年度，五个监测断面水质总体评价均为Ⅱ类，同比水质保持稳定，具体如下：</w:t>
            </w:r>
          </w:p>
          <w:p w14:paraId="5369192B">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b/>
                <w:bCs w:val="0"/>
                <w:color w:val="000000"/>
                <w:sz w:val="24"/>
                <w:szCs w:val="24"/>
              </w:rPr>
            </w:pPr>
            <w:bookmarkStart w:id="8" w:name="_Toc65060358"/>
            <w:bookmarkStart w:id="9" w:name="_Toc199147479"/>
            <w:bookmarkStart w:id="10" w:name="_Toc7752"/>
            <w:bookmarkStart w:id="11" w:name="_Toc294108776"/>
            <w:bookmarkStart w:id="12" w:name="_Toc298342609"/>
            <w:bookmarkStart w:id="13" w:name="_Toc287025561"/>
            <w:bookmarkStart w:id="14" w:name="_Toc303667632"/>
            <w:bookmarkStart w:id="15" w:name="_Toc244441648"/>
            <w:r>
              <w:rPr>
                <w:rFonts w:hint="eastAsia" w:ascii="Times New Roman" w:hAnsi="Times New Roman"/>
                <w:b/>
                <w:bCs w:val="0"/>
                <w:color w:val="000000"/>
                <w:sz w:val="24"/>
                <w:szCs w:val="24"/>
                <w:lang w:val="en-US" w:eastAsia="zh-CN"/>
              </w:rPr>
              <w:t xml:space="preserve"> </w:t>
            </w:r>
            <w:r>
              <w:rPr>
                <w:rFonts w:hint="default" w:ascii="Times New Roman" w:hAnsi="Times New Roman"/>
                <w:b/>
                <w:bCs w:val="0"/>
                <w:color w:val="000000"/>
                <w:sz w:val="24"/>
                <w:szCs w:val="24"/>
              </w:rPr>
              <w:t>项目地表水监测数据</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528"/>
              <w:gridCol w:w="528"/>
              <w:gridCol w:w="528"/>
              <w:gridCol w:w="528"/>
              <w:gridCol w:w="528"/>
              <w:gridCol w:w="528"/>
              <w:gridCol w:w="528"/>
              <w:gridCol w:w="528"/>
              <w:gridCol w:w="528"/>
              <w:gridCol w:w="528"/>
              <w:gridCol w:w="528"/>
              <w:gridCol w:w="528"/>
              <w:gridCol w:w="528"/>
              <w:gridCol w:w="653"/>
              <w:gridCol w:w="820"/>
            </w:tblGrid>
            <w:tr w14:paraId="00A0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 w:type="pct"/>
                  <w:noWrap w:val="0"/>
                  <w:vAlign w:val="center"/>
                </w:tcPr>
                <w:p w14:paraId="65D6148D">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断面名称</w:t>
                  </w:r>
                </w:p>
              </w:tc>
              <w:tc>
                <w:tcPr>
                  <w:tcW w:w="297" w:type="pct"/>
                  <w:noWrap w:val="0"/>
                  <w:vAlign w:val="center"/>
                </w:tcPr>
                <w:p w14:paraId="6D090B7E">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断面性质</w:t>
                  </w:r>
                </w:p>
              </w:tc>
              <w:tc>
                <w:tcPr>
                  <w:tcW w:w="297" w:type="pct"/>
                  <w:noWrap w:val="0"/>
                  <w:vAlign w:val="center"/>
                </w:tcPr>
                <w:p w14:paraId="1C3216CD">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1月</w:t>
                  </w:r>
                </w:p>
              </w:tc>
              <w:tc>
                <w:tcPr>
                  <w:tcW w:w="297" w:type="pct"/>
                  <w:noWrap w:val="0"/>
                  <w:vAlign w:val="center"/>
                </w:tcPr>
                <w:p w14:paraId="2E3DDDA1">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2月</w:t>
                  </w:r>
                </w:p>
              </w:tc>
              <w:tc>
                <w:tcPr>
                  <w:tcW w:w="297" w:type="pct"/>
                  <w:noWrap w:val="0"/>
                  <w:vAlign w:val="center"/>
                </w:tcPr>
                <w:p w14:paraId="0EF833A9">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3月</w:t>
                  </w:r>
                </w:p>
              </w:tc>
              <w:tc>
                <w:tcPr>
                  <w:tcW w:w="297" w:type="pct"/>
                  <w:noWrap w:val="0"/>
                  <w:vAlign w:val="center"/>
                </w:tcPr>
                <w:p w14:paraId="4578C7F5">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4月</w:t>
                  </w:r>
                </w:p>
              </w:tc>
              <w:tc>
                <w:tcPr>
                  <w:tcW w:w="297" w:type="pct"/>
                  <w:noWrap w:val="0"/>
                  <w:vAlign w:val="center"/>
                </w:tcPr>
                <w:p w14:paraId="3EEF2414">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5月</w:t>
                  </w:r>
                </w:p>
              </w:tc>
              <w:tc>
                <w:tcPr>
                  <w:tcW w:w="297" w:type="pct"/>
                  <w:noWrap w:val="0"/>
                  <w:vAlign w:val="center"/>
                </w:tcPr>
                <w:p w14:paraId="7A195FF8">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6月</w:t>
                  </w:r>
                </w:p>
              </w:tc>
              <w:tc>
                <w:tcPr>
                  <w:tcW w:w="297" w:type="pct"/>
                  <w:noWrap w:val="0"/>
                  <w:vAlign w:val="center"/>
                </w:tcPr>
                <w:p w14:paraId="605CFB29">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7月</w:t>
                  </w:r>
                </w:p>
              </w:tc>
              <w:tc>
                <w:tcPr>
                  <w:tcW w:w="297" w:type="pct"/>
                  <w:noWrap w:val="0"/>
                  <w:vAlign w:val="center"/>
                </w:tcPr>
                <w:p w14:paraId="0C92D31B">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8月</w:t>
                  </w:r>
                </w:p>
              </w:tc>
              <w:tc>
                <w:tcPr>
                  <w:tcW w:w="297" w:type="pct"/>
                  <w:noWrap w:val="0"/>
                  <w:vAlign w:val="center"/>
                </w:tcPr>
                <w:p w14:paraId="4C60D2E8">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9月</w:t>
                  </w:r>
                </w:p>
              </w:tc>
              <w:tc>
                <w:tcPr>
                  <w:tcW w:w="297" w:type="pct"/>
                  <w:noWrap w:val="0"/>
                  <w:vAlign w:val="center"/>
                </w:tcPr>
                <w:p w14:paraId="38646F36">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10月</w:t>
                  </w:r>
                </w:p>
              </w:tc>
              <w:tc>
                <w:tcPr>
                  <w:tcW w:w="297" w:type="pct"/>
                  <w:noWrap w:val="0"/>
                  <w:vAlign w:val="center"/>
                </w:tcPr>
                <w:p w14:paraId="5B21139B">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11月</w:t>
                  </w:r>
                </w:p>
              </w:tc>
              <w:tc>
                <w:tcPr>
                  <w:tcW w:w="298" w:type="pct"/>
                  <w:noWrap w:val="0"/>
                  <w:vAlign w:val="center"/>
                </w:tcPr>
                <w:p w14:paraId="3071A3A4">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12月</w:t>
                  </w:r>
                </w:p>
              </w:tc>
              <w:tc>
                <w:tcPr>
                  <w:tcW w:w="366" w:type="pct"/>
                  <w:noWrap w:val="0"/>
                  <w:vAlign w:val="center"/>
                </w:tcPr>
                <w:p w14:paraId="12343138">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全年水质类别</w:t>
                  </w:r>
                </w:p>
              </w:tc>
              <w:tc>
                <w:tcPr>
                  <w:tcW w:w="464" w:type="pct"/>
                  <w:noWrap w:val="0"/>
                  <w:vAlign w:val="center"/>
                </w:tcPr>
                <w:p w14:paraId="3E3683FD">
                  <w:pPr>
                    <w:pStyle w:val="105"/>
                    <w:spacing w:line="240" w:lineRule="auto"/>
                    <w:ind w:firstLine="0" w:firstLineChars="0"/>
                    <w:jc w:val="center"/>
                    <w:rPr>
                      <w:rFonts w:hint="default" w:ascii="Times New Roman" w:hAnsi="Times New Roman"/>
                      <w:b/>
                      <w:bCs w:val="0"/>
                      <w:color w:val="000000"/>
                      <w:sz w:val="21"/>
                    </w:rPr>
                  </w:pPr>
                  <w:r>
                    <w:rPr>
                      <w:rFonts w:hint="default" w:ascii="Times New Roman" w:hAnsi="Times New Roman"/>
                      <w:b/>
                      <w:bCs w:val="0"/>
                      <w:color w:val="000000"/>
                      <w:sz w:val="21"/>
                    </w:rPr>
                    <w:t>全年达标率（%）</w:t>
                  </w:r>
                </w:p>
              </w:tc>
            </w:tr>
            <w:tr w14:paraId="1DA5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 w:type="pct"/>
                  <w:noWrap w:val="0"/>
                  <w:vAlign w:val="center"/>
                </w:tcPr>
                <w:p w14:paraId="6D0F8DE9">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小滩子</w:t>
                  </w:r>
                </w:p>
              </w:tc>
              <w:tc>
                <w:tcPr>
                  <w:tcW w:w="297" w:type="pct"/>
                  <w:noWrap w:val="0"/>
                  <w:vAlign w:val="center"/>
                </w:tcPr>
                <w:p w14:paraId="4D29382F">
                  <w:pPr>
                    <w:pStyle w:val="105"/>
                    <w:spacing w:line="240" w:lineRule="auto"/>
                    <w:ind w:firstLine="0" w:firstLineChars="0"/>
                    <w:jc w:val="center"/>
                    <w:rPr>
                      <w:rFonts w:hint="eastAsia" w:ascii="Times New Roman" w:hAnsi="Times New Roman" w:eastAsia="宋体"/>
                      <w:color w:val="000000"/>
                      <w:sz w:val="21"/>
                      <w:lang w:eastAsia="zh-CN"/>
                    </w:rPr>
                  </w:pPr>
                  <w:r>
                    <w:rPr>
                      <w:rFonts w:hint="default" w:ascii="Times New Roman" w:hAnsi="Times New Roman"/>
                      <w:color w:val="000000"/>
                      <w:sz w:val="21"/>
                    </w:rPr>
                    <w:t>巴河入</w:t>
                  </w:r>
                  <w:r>
                    <w:rPr>
                      <w:rFonts w:hint="eastAsia" w:ascii="Times New Roman" w:hAnsi="Times New Roman"/>
                      <w:color w:val="000000"/>
                      <w:sz w:val="21"/>
                      <w:lang w:val="en-US" w:eastAsia="zh-CN"/>
                    </w:rPr>
                    <w:t>城</w:t>
                  </w:r>
                </w:p>
              </w:tc>
              <w:tc>
                <w:tcPr>
                  <w:tcW w:w="297" w:type="pct"/>
                  <w:noWrap w:val="0"/>
                  <w:vAlign w:val="center"/>
                </w:tcPr>
                <w:p w14:paraId="7A1DB4A1">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52EA390D">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13CE62F1">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5E456437">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0C58DD14">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7AD989BD">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032A1922">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76740109">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5D1206F7">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2786C1FE">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524F9049">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8" w:type="pct"/>
                  <w:noWrap w:val="0"/>
                  <w:vAlign w:val="center"/>
                </w:tcPr>
                <w:p w14:paraId="4A1A24A1">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Ⅰ类</w:t>
                  </w:r>
                </w:p>
              </w:tc>
              <w:tc>
                <w:tcPr>
                  <w:tcW w:w="366" w:type="pct"/>
                  <w:noWrap w:val="0"/>
                  <w:vAlign w:val="center"/>
                </w:tcPr>
                <w:p w14:paraId="013EB736">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464" w:type="pct"/>
                  <w:noWrap w:val="0"/>
                  <w:vAlign w:val="center"/>
                </w:tcPr>
                <w:p w14:paraId="337CF1E6">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100</w:t>
                  </w:r>
                </w:p>
              </w:tc>
            </w:tr>
            <w:tr w14:paraId="129B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 w:type="pct"/>
                  <w:noWrap w:val="0"/>
                  <w:vAlign w:val="center"/>
                </w:tcPr>
                <w:p w14:paraId="4AF40CA6">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红谷梁</w:t>
                  </w:r>
                </w:p>
              </w:tc>
              <w:tc>
                <w:tcPr>
                  <w:tcW w:w="297" w:type="pct"/>
                  <w:noWrap w:val="0"/>
                  <w:vAlign w:val="center"/>
                </w:tcPr>
                <w:p w14:paraId="50DDE33D">
                  <w:pPr>
                    <w:pStyle w:val="105"/>
                    <w:spacing w:line="240" w:lineRule="auto"/>
                    <w:ind w:firstLine="0" w:firstLineChars="0"/>
                    <w:jc w:val="center"/>
                    <w:rPr>
                      <w:rFonts w:hint="eastAsia" w:ascii="Times New Roman" w:hAnsi="Times New Roman" w:eastAsia="宋体"/>
                      <w:color w:val="000000"/>
                      <w:sz w:val="21"/>
                      <w:lang w:eastAsia="zh-CN"/>
                    </w:rPr>
                  </w:pPr>
                  <w:r>
                    <w:rPr>
                      <w:rFonts w:hint="default" w:ascii="Times New Roman" w:hAnsi="Times New Roman"/>
                      <w:color w:val="000000"/>
                      <w:sz w:val="21"/>
                    </w:rPr>
                    <w:t>巴河出</w:t>
                  </w:r>
                  <w:r>
                    <w:rPr>
                      <w:rFonts w:hint="eastAsia" w:ascii="Times New Roman" w:hAnsi="Times New Roman"/>
                      <w:color w:val="000000"/>
                      <w:sz w:val="21"/>
                      <w:lang w:val="en-US" w:eastAsia="zh-CN"/>
                    </w:rPr>
                    <w:t>城</w:t>
                  </w:r>
                </w:p>
              </w:tc>
              <w:tc>
                <w:tcPr>
                  <w:tcW w:w="297" w:type="pct"/>
                  <w:noWrap w:val="0"/>
                  <w:vAlign w:val="center"/>
                </w:tcPr>
                <w:p w14:paraId="69F0927B">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1E7D6711">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2E06C55E">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756C6133">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51C1DC9C">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625B27B4">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7" w:type="pct"/>
                  <w:noWrap w:val="0"/>
                  <w:vAlign w:val="center"/>
                </w:tcPr>
                <w:p w14:paraId="697327C3">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42957E7A">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4EA0E759">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14416D5A">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Ⅲ类</w:t>
                  </w:r>
                </w:p>
              </w:tc>
              <w:tc>
                <w:tcPr>
                  <w:tcW w:w="297" w:type="pct"/>
                  <w:noWrap w:val="0"/>
                  <w:vAlign w:val="center"/>
                </w:tcPr>
                <w:p w14:paraId="7C1B4BE1">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298" w:type="pct"/>
                  <w:noWrap w:val="0"/>
                  <w:vAlign w:val="center"/>
                </w:tcPr>
                <w:p w14:paraId="7377D7CC">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366" w:type="pct"/>
                  <w:noWrap w:val="0"/>
                  <w:vAlign w:val="center"/>
                </w:tcPr>
                <w:p w14:paraId="42AEBD24">
                  <w:pPr>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Ⅱ类</w:t>
                  </w:r>
                </w:p>
              </w:tc>
              <w:tc>
                <w:tcPr>
                  <w:tcW w:w="464" w:type="pct"/>
                  <w:noWrap w:val="0"/>
                  <w:vAlign w:val="center"/>
                </w:tcPr>
                <w:p w14:paraId="4EE855EA">
                  <w:pPr>
                    <w:pStyle w:val="105"/>
                    <w:spacing w:line="240" w:lineRule="auto"/>
                    <w:ind w:firstLine="0" w:firstLineChars="0"/>
                    <w:jc w:val="center"/>
                    <w:rPr>
                      <w:rFonts w:hint="default" w:ascii="Times New Roman" w:hAnsi="Times New Roman"/>
                      <w:color w:val="000000"/>
                      <w:sz w:val="21"/>
                    </w:rPr>
                  </w:pPr>
                  <w:r>
                    <w:rPr>
                      <w:rFonts w:hint="default" w:ascii="Times New Roman" w:hAnsi="Times New Roman"/>
                      <w:color w:val="000000"/>
                      <w:sz w:val="21"/>
                    </w:rPr>
                    <w:t>100</w:t>
                  </w:r>
                </w:p>
              </w:tc>
            </w:tr>
          </w:tbl>
          <w:p w14:paraId="67443ECC">
            <w:pPr>
              <w:pStyle w:val="105"/>
              <w:ind w:firstLine="480"/>
              <w:rPr>
                <w:rFonts w:hint="default" w:ascii="Times New Roman" w:hAnsi="Times New Roman" w:cs="Times New Roman"/>
                <w:color w:val="000000"/>
              </w:rPr>
            </w:pPr>
            <w:r>
              <w:rPr>
                <w:rFonts w:hint="default" w:ascii="Times New Roman" w:hAnsi="Times New Roman" w:cs="Times New Roman"/>
                <w:color w:val="000000"/>
              </w:rPr>
              <w:t>根据上表可知，巴河能达到《地表水环境质量标准》（GB3838-2002）Ⅲ类水域标准。项目区域地表水水质较好。</w:t>
            </w:r>
          </w:p>
          <w:bookmarkEnd w:id="8"/>
          <w:bookmarkEnd w:id="9"/>
          <w:bookmarkEnd w:id="10"/>
          <w:bookmarkEnd w:id="11"/>
          <w:bookmarkEnd w:id="12"/>
          <w:bookmarkEnd w:id="13"/>
          <w:bookmarkEnd w:id="14"/>
          <w:bookmarkEnd w:id="15"/>
          <w:p w14:paraId="06FE060A">
            <w:pPr>
              <w:spacing w:line="360" w:lineRule="auto"/>
              <w:textAlignment w:val="baseline"/>
              <w:rPr>
                <w:rFonts w:hint="eastAsia" w:ascii="Times New Roman" w:hAnsi="Times New Roman" w:eastAsia="宋体" w:cs="Times New Roman"/>
                <w:b/>
                <w:bCs/>
                <w:color w:val="000000"/>
                <w:sz w:val="24"/>
                <w:lang w:val="en-US" w:eastAsia="zh-CN"/>
              </w:rPr>
            </w:pPr>
            <w:bookmarkStart w:id="16" w:name="_Toc200980628"/>
            <w:bookmarkStart w:id="17" w:name="_Toc287025563"/>
            <w:bookmarkStart w:id="18" w:name="_Toc199147482"/>
            <w:bookmarkStart w:id="19" w:name="_Toc244441651"/>
            <w:bookmarkStart w:id="20" w:name="_Toc245656188"/>
            <w:bookmarkStart w:id="21" w:name="_Toc202838715"/>
            <w:r>
              <w:rPr>
                <w:rFonts w:hint="eastAsia" w:ascii="Times New Roman" w:hAnsi="Times New Roman" w:eastAsia="宋体" w:cs="Times New Roman"/>
                <w:b/>
                <w:bCs/>
                <w:color w:val="000000"/>
                <w:sz w:val="24"/>
                <w:lang w:val="en-US" w:eastAsia="zh-CN"/>
              </w:rPr>
              <w:t>三、声环境质量现状监测内容</w:t>
            </w:r>
          </w:p>
          <w:p w14:paraId="5796447A">
            <w:pPr>
              <w:pStyle w:val="106"/>
              <w:keepNext w:val="0"/>
              <w:keepLines w:val="0"/>
              <w:pageBreakBefore w:val="0"/>
              <w:widowControl w:val="0"/>
              <w:kinsoku/>
              <w:wordWrap/>
              <w:overflowPunct/>
              <w:topLinePunct w:val="0"/>
              <w:autoSpaceDE/>
              <w:autoSpaceDN/>
              <w:bidi w:val="0"/>
              <w:snapToGrid/>
              <w:spacing w:line="360" w:lineRule="auto"/>
              <w:ind w:left="0" w:right="0" w:firstLine="472" w:firstLineChars="200"/>
              <w:jc w:val="left"/>
              <w:textAlignment w:val="auto"/>
              <w:rPr>
                <w:rFonts w:hint="eastAsia" w:ascii="Times New Roman" w:hAnsi="Times New Roman" w:eastAsia="Times New Roman" w:cs="Times New Roman"/>
                <w:color w:val="000000"/>
                <w:spacing w:val="-2"/>
              </w:rPr>
            </w:pPr>
            <w:r>
              <w:rPr>
                <w:rFonts w:hint="eastAsia" w:ascii="Times New Roman" w:hAnsi="Times New Roman" w:eastAsia="Times New Roman" w:cs="Times New Roman"/>
                <w:color w:val="000000"/>
                <w:spacing w:val="-2"/>
              </w:rPr>
              <w:t>根据《建设项目环境影响报告表编制技术指南》（污染影响类）（试行）：“声环境。厂界外周边50米范围内存在声环境保护目标的建设项目，应监测保护目标声环境质量现状并评价达标情况。”</w:t>
            </w:r>
          </w:p>
          <w:p w14:paraId="0851D324">
            <w:pPr>
              <w:pStyle w:val="106"/>
              <w:keepNext w:val="0"/>
              <w:keepLines w:val="0"/>
              <w:pageBreakBefore w:val="0"/>
              <w:widowControl w:val="0"/>
              <w:kinsoku/>
              <w:wordWrap/>
              <w:overflowPunct/>
              <w:topLinePunct w:val="0"/>
              <w:autoSpaceDE/>
              <w:autoSpaceDN/>
              <w:bidi w:val="0"/>
              <w:snapToGrid/>
              <w:spacing w:line="360" w:lineRule="auto"/>
              <w:ind w:left="0" w:right="0" w:firstLine="472" w:firstLineChars="200"/>
              <w:jc w:val="left"/>
              <w:textAlignment w:val="auto"/>
              <w:rPr>
                <w:b/>
                <w:bCs/>
                <w:color w:val="000000"/>
                <w:sz w:val="24"/>
              </w:rPr>
            </w:pPr>
            <w:r>
              <w:rPr>
                <w:rFonts w:hint="eastAsia" w:ascii="Times New Roman" w:hAnsi="Times New Roman" w:cs="Times New Roman"/>
                <w:color w:val="000000"/>
                <w:spacing w:val="-2"/>
                <w:lang w:val="en-US" w:eastAsia="zh-CN"/>
              </w:rPr>
              <w:t>本项目厂界外周边50米范围内不存在声环境敏感目标，</w:t>
            </w:r>
            <w:r>
              <w:rPr>
                <w:rFonts w:hint="eastAsia" w:ascii="Times New Roman" w:hAnsi="Times New Roman" w:eastAsia="Times New Roman" w:cs="Times New Roman"/>
                <w:color w:val="000000"/>
                <w:spacing w:val="-2"/>
              </w:rPr>
              <w:t>因此本次不进行声环境质量现状监测。</w:t>
            </w:r>
            <w:bookmarkEnd w:id="16"/>
            <w:bookmarkEnd w:id="17"/>
            <w:bookmarkEnd w:id="18"/>
            <w:bookmarkEnd w:id="19"/>
            <w:bookmarkEnd w:id="20"/>
            <w:bookmarkEnd w:id="21"/>
          </w:p>
          <w:p w14:paraId="5F086A83">
            <w:pPr>
              <w:spacing w:line="360" w:lineRule="auto"/>
              <w:textAlignment w:val="baseline"/>
              <w:rPr>
                <w:rFonts w:hint="eastAsia"/>
                <w:b/>
                <w:bCs/>
                <w:color w:val="000000"/>
                <w:sz w:val="24"/>
              </w:rPr>
            </w:pPr>
            <w:r>
              <w:rPr>
                <w:rFonts w:hint="eastAsia"/>
                <w:b/>
                <w:bCs/>
                <w:color w:val="000000"/>
                <w:sz w:val="24"/>
              </w:rPr>
              <w:t>四、生态环境</w:t>
            </w:r>
          </w:p>
          <w:p w14:paraId="74540517">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根据现场调查，本项目位于</w:t>
            </w:r>
            <w:r>
              <w:rPr>
                <w:rFonts w:hint="eastAsia"/>
                <w:color w:val="000000"/>
                <w:sz w:val="24"/>
                <w:lang w:eastAsia="zh-CN"/>
              </w:rPr>
              <w:t>四川省巴中市平昌经济开发区星光工业园区</w:t>
            </w:r>
            <w:r>
              <w:rPr>
                <w:rFonts w:hint="eastAsia" w:ascii="宋体" w:hAnsi="宋体" w:cs="宋体"/>
                <w:color w:val="000000"/>
                <w:sz w:val="24"/>
              </w:rPr>
              <w:t>已建厂房内进行建设，不新增用地</w:t>
            </w:r>
            <w:r>
              <w:rPr>
                <w:rFonts w:hint="eastAsia" w:ascii="宋体" w:hAnsi="宋体" w:cs="宋体"/>
                <w:color w:val="000000"/>
                <w:sz w:val="24"/>
                <w:lang w:eastAsia="zh-CN"/>
              </w:rPr>
              <w:t>，</w:t>
            </w:r>
            <w:r>
              <w:rPr>
                <w:rFonts w:hint="eastAsia" w:ascii="宋体" w:hAnsi="宋体" w:cs="宋体"/>
                <w:color w:val="000000"/>
                <w:sz w:val="24"/>
              </w:rPr>
              <w:t>项目占地为工业用地，且用地范围内无生态环境保护目标，故不开展生态现状调查。</w:t>
            </w:r>
          </w:p>
          <w:p w14:paraId="60841F16">
            <w:pPr>
              <w:pStyle w:val="9"/>
              <w:rPr>
                <w:rFonts w:hint="eastAsia" w:eastAsia="宋体"/>
                <w:color w:val="000000"/>
                <w:lang w:eastAsia="zh-CN"/>
              </w:rPr>
            </w:pPr>
            <w:r>
              <w:rPr>
                <w:rFonts w:hint="eastAsia" w:ascii="Times New Roman" w:hAnsi="Times New Roman" w:eastAsia="宋体" w:cs="Times New Roman"/>
                <w:b/>
                <w:bCs/>
                <w:color w:val="000000"/>
                <w:kern w:val="2"/>
                <w:sz w:val="24"/>
                <w:szCs w:val="24"/>
                <w:lang w:val="en-US" w:eastAsia="zh-CN" w:bidi="ar-SA"/>
              </w:rPr>
              <w:t>五、</w:t>
            </w:r>
            <w:r>
              <w:rPr>
                <w:rFonts w:hint="eastAsia" w:ascii="Times New Roman" w:hAnsi="Times New Roman" w:cs="Times New Roman"/>
                <w:b/>
                <w:bCs/>
                <w:color w:val="000000"/>
                <w:kern w:val="2"/>
                <w:sz w:val="24"/>
                <w:szCs w:val="24"/>
                <w:lang w:val="en-US" w:eastAsia="zh-CN" w:bidi="ar-SA"/>
              </w:rPr>
              <w:t>土壤、</w:t>
            </w:r>
            <w:r>
              <w:rPr>
                <w:rFonts w:hint="eastAsia" w:ascii="Times New Roman" w:hAnsi="Times New Roman" w:eastAsia="宋体" w:cs="Times New Roman"/>
                <w:b/>
                <w:bCs/>
                <w:color w:val="000000"/>
                <w:kern w:val="2"/>
                <w:sz w:val="24"/>
                <w:szCs w:val="24"/>
                <w:lang w:val="en-US" w:eastAsia="zh-CN" w:bidi="ar-SA"/>
              </w:rPr>
              <w:t>地下水环境调查</w:t>
            </w:r>
          </w:p>
          <w:p w14:paraId="47A0143F">
            <w:pPr>
              <w:spacing w:line="360" w:lineRule="auto"/>
              <w:ind w:firstLine="480" w:firstLineChars="200"/>
              <w:rPr>
                <w:rFonts w:hint="default" w:ascii="Times New Roman" w:hAnsi="Times New Roman" w:cs="Times New Roman"/>
                <w:color w:val="000000"/>
              </w:rPr>
            </w:pPr>
            <w:r>
              <w:rPr>
                <w:rFonts w:hint="eastAsia" w:ascii="宋体" w:hAnsi="宋体" w:eastAsia="宋体" w:cs="宋体"/>
                <w:color w:val="000000"/>
                <w:sz w:val="24"/>
              </w:rPr>
              <w:t>根据《建设项目环境影响报告表编制技术指南（污染影响类）》（试行），原则上不开展地下水环境、土壤环境质量现状调查。项目500m范围内无地下水集中式饮用水水源和热水、矿泉水、温泉等特殊地下水资源的地下水环境保护目标。项目做好源头控制、分区防渗等措施后，不存在明显土壤、地下水环境污染途径，故不开展土壤、地下水环境质量现状调查。</w:t>
            </w:r>
          </w:p>
        </w:tc>
      </w:tr>
      <w:tr w14:paraId="0C8B1A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406" w:type="dxa"/>
            <w:noWrap w:val="0"/>
            <w:vAlign w:val="center"/>
          </w:tcPr>
          <w:p w14:paraId="4AEC1AD0">
            <w:pPr>
              <w:adjustRightInd w:val="0"/>
              <w:snapToGrid w:val="0"/>
              <w:spacing w:line="360" w:lineRule="auto"/>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环境</w:t>
            </w:r>
          </w:p>
          <w:p w14:paraId="5604CEA3">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保护</w:t>
            </w:r>
          </w:p>
          <w:p w14:paraId="0F9B25C9">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目标</w:t>
            </w:r>
          </w:p>
        </w:tc>
        <w:tc>
          <w:tcPr>
            <w:tcW w:w="9095" w:type="dxa"/>
            <w:noWrap w:val="0"/>
            <w:vAlign w:val="top"/>
          </w:tcPr>
          <w:p w14:paraId="4C9FD907">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000000"/>
                <w:sz w:val="24"/>
                <w:lang w:val="en-US" w:eastAsia="zh-CN"/>
              </w:rPr>
            </w:pPr>
            <w:r>
              <w:rPr>
                <w:rFonts w:hint="eastAsia" w:ascii="Times New Roman" w:hAnsi="Times New Roman" w:cs="Times New Roman"/>
                <w:b/>
                <w:bCs/>
                <w:color w:val="000000"/>
                <w:sz w:val="24"/>
                <w:lang w:val="en-US" w:eastAsia="zh-CN"/>
              </w:rPr>
              <w:t>（1）大气环境保护目标</w:t>
            </w:r>
          </w:p>
          <w:p w14:paraId="1F4C548B">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000000"/>
                <w:sz w:val="24"/>
                <w:lang w:eastAsia="zh-CN"/>
              </w:rPr>
            </w:pPr>
            <w:r>
              <w:rPr>
                <w:rFonts w:hint="default" w:ascii="Times New Roman" w:hAnsi="Times New Roman" w:cs="Times New Roman"/>
                <w:b w:val="0"/>
                <w:bCs w:val="0"/>
                <w:color w:val="000000"/>
                <w:sz w:val="24"/>
                <w:lang w:eastAsia="zh-CN"/>
              </w:rPr>
              <w:t>本次评价设置大气专章，大气评价范围为以厂址为中心，边长5km矩形区域，大气环境保护目标调查范围与大气评价范围一致。</w:t>
            </w:r>
          </w:p>
          <w:p w14:paraId="3A1BADD5">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val="0"/>
                <w:color w:val="000000"/>
                <w:sz w:val="24"/>
                <w:lang w:eastAsia="zh-CN"/>
              </w:rPr>
            </w:pPr>
            <w:r>
              <w:rPr>
                <w:rFonts w:hint="default" w:ascii="Times New Roman" w:hAnsi="Times New Roman" w:cs="Times New Roman"/>
                <w:b w:val="0"/>
                <w:bCs w:val="0"/>
                <w:color w:val="000000"/>
                <w:sz w:val="24"/>
                <w:lang w:eastAsia="zh-CN"/>
              </w:rPr>
              <w:t>本项目大气环境保护目标为</w:t>
            </w:r>
            <w:r>
              <w:rPr>
                <w:rFonts w:hint="eastAsia" w:ascii="Times New Roman" w:hAnsi="Times New Roman" w:cs="Times New Roman"/>
                <w:b w:val="0"/>
                <w:bCs w:val="0"/>
                <w:color w:val="000000"/>
                <w:sz w:val="24"/>
                <w:lang w:eastAsia="zh-CN"/>
              </w:rPr>
              <w:t>大气评价范围内</w:t>
            </w:r>
            <w:r>
              <w:rPr>
                <w:rFonts w:hint="default" w:ascii="Times New Roman" w:hAnsi="Times New Roman" w:cs="Times New Roman"/>
                <w:b w:val="0"/>
                <w:bCs w:val="0"/>
                <w:color w:val="000000"/>
                <w:sz w:val="24"/>
                <w:lang w:eastAsia="zh-CN"/>
              </w:rPr>
              <w:t>的</w:t>
            </w:r>
            <w:r>
              <w:rPr>
                <w:rFonts w:hint="eastAsia" w:ascii="Times New Roman" w:hAnsi="Times New Roman" w:cs="Times New Roman"/>
                <w:b w:val="0"/>
                <w:bCs w:val="0"/>
                <w:color w:val="000000"/>
                <w:sz w:val="24"/>
                <w:lang w:eastAsia="zh-CN"/>
              </w:rPr>
              <w:t>居住小区、医院、学校以及村民住户</w:t>
            </w:r>
            <w:r>
              <w:rPr>
                <w:rFonts w:hint="default" w:ascii="Times New Roman" w:hAnsi="Times New Roman" w:cs="Times New Roman"/>
                <w:b w:val="0"/>
                <w:bCs w:val="0"/>
                <w:color w:val="000000"/>
                <w:sz w:val="24"/>
                <w:lang w:eastAsia="zh-CN"/>
              </w:rPr>
              <w:t>等，其项目所在区域环境空气质量执行《环境空气质量标准》（GB3095-2012）二级标准限值要求</w:t>
            </w:r>
            <w:r>
              <w:rPr>
                <w:rFonts w:hint="eastAsia" w:ascii="Times New Roman" w:hAnsi="Times New Roman" w:cs="Times New Roman"/>
                <w:b w:val="0"/>
                <w:bCs w:val="0"/>
                <w:color w:val="000000"/>
                <w:sz w:val="24"/>
                <w:lang w:eastAsia="zh-CN"/>
              </w:rPr>
              <w:t>。</w:t>
            </w:r>
          </w:p>
          <w:p w14:paraId="48EF1CC0">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eastAsia" w:ascii="Times New Roman" w:hAnsi="Times New Roman" w:eastAsia="宋体" w:cs="Times New Roman"/>
                <w:b/>
                <w:bCs w:val="0"/>
                <w:color w:val="000000"/>
                <w:sz w:val="24"/>
                <w:szCs w:val="24"/>
                <w:lang w:val="en-US" w:eastAsia="zh-CN"/>
              </w:rPr>
            </w:pPr>
            <w:r>
              <w:rPr>
                <w:rFonts w:hint="eastAsia" w:ascii="Times New Roman" w:hAnsi="Times New Roman" w:eastAsia="宋体" w:cs="Times New Roman"/>
                <w:b/>
                <w:bCs w:val="0"/>
                <w:color w:val="000000"/>
                <w:sz w:val="24"/>
                <w:szCs w:val="24"/>
                <w:lang w:val="en-US" w:eastAsia="zh-CN"/>
              </w:rPr>
              <w:t xml:space="preserve">  本项目主要环境保护目标</w:t>
            </w:r>
          </w:p>
          <w:p w14:paraId="5173EA99">
            <w:pPr>
              <w:spacing w:line="66" w:lineRule="exact"/>
              <w:rPr>
                <w:color w:val="000000"/>
              </w:rPr>
            </w:pPr>
          </w:p>
          <w:tbl>
            <w:tblPr>
              <w:tblStyle w:val="100"/>
              <w:tblW w:w="84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1841"/>
              <w:gridCol w:w="2243"/>
              <w:gridCol w:w="956"/>
              <w:gridCol w:w="1275"/>
              <w:gridCol w:w="1202"/>
            </w:tblGrid>
            <w:tr w14:paraId="617DD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60" w:type="dxa"/>
                  <w:noWrap w:val="0"/>
                  <w:vAlign w:val="center"/>
                </w:tcPr>
                <w:p w14:paraId="530C165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新宋体" w:cs="Times New Roman"/>
                      <w:color w:val="000000"/>
                      <w:sz w:val="21"/>
                      <w:szCs w:val="21"/>
                    </w:rPr>
                  </w:pPr>
                  <w:r>
                    <w:rPr>
                      <w:rFonts w:hint="default" w:ascii="Times New Roman" w:hAnsi="Times New Roman" w:eastAsia="新宋体" w:cs="Times New Roman"/>
                      <w:b/>
                      <w:bCs/>
                      <w:color w:val="000000"/>
                      <w:spacing w:val="3"/>
                      <w:sz w:val="21"/>
                      <w:szCs w:val="21"/>
                    </w:rPr>
                    <w:t>环境要素</w:t>
                  </w:r>
                </w:p>
              </w:tc>
              <w:tc>
                <w:tcPr>
                  <w:tcW w:w="1841" w:type="dxa"/>
                  <w:noWrap w:val="0"/>
                  <w:vAlign w:val="center"/>
                </w:tcPr>
                <w:p w14:paraId="25CAF60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新宋体" w:cs="Times New Roman"/>
                      <w:color w:val="000000"/>
                      <w:sz w:val="21"/>
                      <w:szCs w:val="21"/>
                    </w:rPr>
                  </w:pPr>
                  <w:r>
                    <w:rPr>
                      <w:rFonts w:hint="default" w:ascii="Times New Roman" w:hAnsi="Times New Roman" w:eastAsia="新宋体" w:cs="Times New Roman"/>
                      <w:b/>
                      <w:bCs/>
                      <w:color w:val="000000"/>
                      <w:spacing w:val="6"/>
                      <w:sz w:val="21"/>
                      <w:szCs w:val="21"/>
                    </w:rPr>
                    <w:t>环境保护对象</w:t>
                  </w:r>
                  <w:r>
                    <w:rPr>
                      <w:rFonts w:hint="default" w:ascii="Times New Roman" w:hAnsi="Times New Roman" w:eastAsia="新宋体" w:cs="Times New Roman"/>
                      <w:b/>
                      <w:bCs/>
                      <w:color w:val="000000"/>
                      <w:spacing w:val="2"/>
                      <w:sz w:val="21"/>
                      <w:szCs w:val="21"/>
                    </w:rPr>
                    <w:t>名称</w:t>
                  </w:r>
                </w:p>
              </w:tc>
              <w:tc>
                <w:tcPr>
                  <w:tcW w:w="2243" w:type="dxa"/>
                  <w:noWrap w:val="0"/>
                  <w:vAlign w:val="center"/>
                </w:tcPr>
                <w:p w14:paraId="410F668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新宋体" w:cs="Times New Roman"/>
                      <w:color w:val="000000"/>
                      <w:sz w:val="21"/>
                      <w:szCs w:val="21"/>
                    </w:rPr>
                  </w:pPr>
                  <w:r>
                    <w:rPr>
                      <w:rFonts w:hint="default" w:ascii="Times New Roman" w:hAnsi="Times New Roman" w:eastAsia="新宋体" w:cs="Times New Roman"/>
                      <w:b/>
                      <w:bCs/>
                      <w:color w:val="000000"/>
                      <w:spacing w:val="6"/>
                      <w:sz w:val="21"/>
                      <w:szCs w:val="21"/>
                    </w:rPr>
                    <w:t>规模概况</w:t>
                  </w:r>
                </w:p>
              </w:tc>
              <w:tc>
                <w:tcPr>
                  <w:tcW w:w="956" w:type="dxa"/>
                  <w:noWrap w:val="0"/>
                  <w:vAlign w:val="center"/>
                </w:tcPr>
                <w:p w14:paraId="5207288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新宋体" w:cs="Times New Roman"/>
                      <w:color w:val="000000"/>
                      <w:sz w:val="21"/>
                      <w:szCs w:val="21"/>
                    </w:rPr>
                  </w:pPr>
                  <w:r>
                    <w:rPr>
                      <w:rFonts w:hint="default" w:ascii="Times New Roman" w:hAnsi="Times New Roman" w:eastAsia="新宋体" w:cs="Times New Roman"/>
                      <w:b/>
                      <w:bCs/>
                      <w:color w:val="000000"/>
                      <w:spacing w:val="3"/>
                      <w:sz w:val="21"/>
                      <w:szCs w:val="21"/>
                    </w:rPr>
                    <w:t>方位</w:t>
                  </w:r>
                </w:p>
              </w:tc>
              <w:tc>
                <w:tcPr>
                  <w:tcW w:w="1275" w:type="dxa"/>
                  <w:noWrap w:val="0"/>
                  <w:vAlign w:val="center"/>
                </w:tcPr>
                <w:p w14:paraId="6FD25E3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000000"/>
                      <w:sz w:val="21"/>
                      <w:szCs w:val="21"/>
                    </w:rPr>
                  </w:pPr>
                  <w:r>
                    <w:rPr>
                      <w:rFonts w:hint="default" w:ascii="Times New Roman" w:hAnsi="Times New Roman" w:eastAsia="新宋体" w:cs="Times New Roman"/>
                      <w:b/>
                      <w:bCs/>
                      <w:color w:val="000000"/>
                      <w:spacing w:val="6"/>
                      <w:sz w:val="21"/>
                      <w:szCs w:val="21"/>
                    </w:rPr>
                    <w:t>距厂界最近</w:t>
                  </w:r>
                  <w:r>
                    <w:rPr>
                      <w:rFonts w:hint="default" w:ascii="Times New Roman" w:hAnsi="Times New Roman" w:eastAsia="新宋体" w:cs="Times New Roman"/>
                      <w:b/>
                      <w:bCs/>
                      <w:color w:val="000000"/>
                      <w:spacing w:val="5"/>
                      <w:sz w:val="21"/>
                      <w:szCs w:val="21"/>
                    </w:rPr>
                    <w:t>距离</w:t>
                  </w:r>
                  <w:r>
                    <w:rPr>
                      <w:rFonts w:hint="default" w:ascii="Times New Roman" w:hAnsi="Times New Roman" w:eastAsia="Times New Roman" w:cs="Times New Roman"/>
                      <w:b/>
                      <w:bCs/>
                      <w:color w:val="000000"/>
                      <w:spacing w:val="5"/>
                      <w:sz w:val="21"/>
                      <w:szCs w:val="21"/>
                    </w:rPr>
                    <w:t>/m</w:t>
                  </w:r>
                </w:p>
              </w:tc>
              <w:tc>
                <w:tcPr>
                  <w:tcW w:w="1202" w:type="dxa"/>
                  <w:noWrap w:val="0"/>
                  <w:vAlign w:val="top"/>
                </w:tcPr>
                <w:p w14:paraId="2264EF7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新宋体" w:hAnsi="新宋体" w:eastAsia="新宋体" w:cs="新宋体"/>
                      <w:color w:val="000000"/>
                      <w:sz w:val="21"/>
                      <w:szCs w:val="21"/>
                    </w:rPr>
                  </w:pPr>
                  <w:r>
                    <w:rPr>
                      <w:rFonts w:ascii="新宋体" w:hAnsi="新宋体" w:eastAsia="新宋体" w:cs="新宋体"/>
                      <w:b/>
                      <w:bCs/>
                      <w:color w:val="000000"/>
                      <w:spacing w:val="6"/>
                      <w:sz w:val="21"/>
                      <w:szCs w:val="21"/>
                    </w:rPr>
                    <w:t>环境功能</w:t>
                  </w:r>
                </w:p>
              </w:tc>
            </w:tr>
            <w:tr w14:paraId="66D26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960" w:type="dxa"/>
                  <w:vMerge w:val="restart"/>
                  <w:noWrap w:val="0"/>
                  <w:vAlign w:val="center"/>
                </w:tcPr>
                <w:p w14:paraId="0B9FF8A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新宋体" w:cs="Times New Roman"/>
                      <w:color w:val="000000"/>
                      <w:sz w:val="21"/>
                      <w:szCs w:val="21"/>
                    </w:rPr>
                  </w:pPr>
                  <w:r>
                    <w:rPr>
                      <w:rFonts w:hint="default" w:ascii="Times New Roman" w:hAnsi="Times New Roman" w:eastAsia="新宋体" w:cs="Times New Roman"/>
                      <w:color w:val="000000"/>
                      <w:spacing w:val="6"/>
                      <w:sz w:val="21"/>
                      <w:szCs w:val="21"/>
                    </w:rPr>
                    <w:t>大气环境</w:t>
                  </w:r>
                </w:p>
              </w:tc>
              <w:tc>
                <w:tcPr>
                  <w:tcW w:w="1841" w:type="dxa"/>
                  <w:noWrap w:val="0"/>
                  <w:vAlign w:val="center"/>
                </w:tcPr>
                <w:p w14:paraId="6EF9C89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4"/>
                      <w:sz w:val="21"/>
                      <w:szCs w:val="21"/>
                    </w:rPr>
                    <w:t>1#</w:t>
                  </w:r>
                  <w:r>
                    <w:rPr>
                      <w:rFonts w:hint="default" w:ascii="Times New Roman" w:hAnsi="Times New Roman" w:cs="Times New Roman"/>
                      <w:color w:val="000000"/>
                      <w:spacing w:val="4"/>
                      <w:sz w:val="21"/>
                      <w:szCs w:val="21"/>
                    </w:rPr>
                    <w:t>泄巴乡居民</w:t>
                  </w:r>
                </w:p>
              </w:tc>
              <w:tc>
                <w:tcPr>
                  <w:tcW w:w="2243" w:type="dxa"/>
                  <w:noWrap w:val="0"/>
                  <w:vAlign w:val="center"/>
                </w:tcPr>
                <w:p w14:paraId="6E0B6A2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10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30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1B95B0CA">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北侧</w:t>
                  </w:r>
                </w:p>
              </w:tc>
              <w:tc>
                <w:tcPr>
                  <w:tcW w:w="1275" w:type="dxa"/>
                  <w:noWrap w:val="0"/>
                  <w:vAlign w:val="center"/>
                </w:tcPr>
                <w:p w14:paraId="6BBD932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pacing w:val="1"/>
                      <w:sz w:val="21"/>
                      <w:szCs w:val="21"/>
                      <w:lang w:val="en-US" w:eastAsia="zh-CN"/>
                    </w:rPr>
                    <w:t>730</w:t>
                  </w:r>
                </w:p>
              </w:tc>
              <w:tc>
                <w:tcPr>
                  <w:tcW w:w="1202" w:type="dxa"/>
                  <w:vMerge w:val="restart"/>
                  <w:noWrap w:val="0"/>
                  <w:vAlign w:val="top"/>
                </w:tcPr>
                <w:p w14:paraId="1E92BE3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1B35861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619AF16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6B93979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2ED0CCD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3971953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57C5977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6068EC1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791D096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4A5AEBF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16F456F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0A15CA9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4C78EA8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46620D0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29A8C68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37C4B12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06FB735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29BB03F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4DA8BE0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6E1F48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27A87E5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413E98D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5A54EE3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p w14:paraId="158DE44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新宋体" w:hAnsi="新宋体" w:eastAsia="新宋体" w:cs="新宋体"/>
                      <w:color w:val="000000"/>
                      <w:sz w:val="21"/>
                      <w:szCs w:val="21"/>
                    </w:rPr>
                  </w:pPr>
                  <w:r>
                    <w:rPr>
                      <w:rFonts w:ascii="新宋体" w:hAnsi="新宋体" w:eastAsia="新宋体" w:cs="新宋体"/>
                      <w:color w:val="000000"/>
                      <w:spacing w:val="7"/>
                      <w:sz w:val="21"/>
                      <w:szCs w:val="21"/>
                    </w:rPr>
                    <w:t>《环境空气质量</w:t>
                  </w:r>
                  <w:r>
                    <w:rPr>
                      <w:rFonts w:ascii="新宋体" w:hAnsi="新宋体" w:eastAsia="新宋体" w:cs="新宋体"/>
                      <w:color w:val="000000"/>
                      <w:spacing w:val="2"/>
                      <w:sz w:val="21"/>
                      <w:szCs w:val="21"/>
                    </w:rPr>
                    <w:t>标准》</w:t>
                  </w:r>
                </w:p>
                <w:p w14:paraId="5CE4B3D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新宋体" w:hAnsi="新宋体" w:eastAsia="新宋体" w:cs="新宋体"/>
                      <w:color w:val="000000"/>
                      <w:sz w:val="21"/>
                      <w:szCs w:val="21"/>
                    </w:rPr>
                  </w:pPr>
                  <w:r>
                    <w:rPr>
                      <w:rFonts w:ascii="新宋体" w:hAnsi="新宋体" w:eastAsia="新宋体" w:cs="新宋体"/>
                      <w:color w:val="000000"/>
                      <w:spacing w:val="3"/>
                      <w:sz w:val="21"/>
                      <w:szCs w:val="21"/>
                    </w:rPr>
                    <w:t>（</w:t>
                  </w:r>
                  <w:r>
                    <w:rPr>
                      <w:rFonts w:ascii="Times New Roman" w:hAnsi="Times New Roman" w:eastAsia="Times New Roman" w:cs="Times New Roman"/>
                      <w:color w:val="000000"/>
                      <w:sz w:val="21"/>
                      <w:szCs w:val="21"/>
                    </w:rPr>
                    <w:t>GB</w:t>
                  </w:r>
                  <w:r>
                    <w:rPr>
                      <w:rFonts w:ascii="Times New Roman" w:hAnsi="Times New Roman" w:eastAsia="Times New Roman" w:cs="Times New Roman"/>
                      <w:color w:val="000000"/>
                      <w:spacing w:val="3"/>
                      <w:sz w:val="21"/>
                      <w:szCs w:val="21"/>
                    </w:rPr>
                    <w:t>3095-2012</w:t>
                  </w:r>
                  <w:r>
                    <w:rPr>
                      <w:rFonts w:ascii="新宋体" w:hAnsi="新宋体" w:eastAsia="新宋体" w:cs="新宋体"/>
                      <w:color w:val="000000"/>
                      <w:spacing w:val="3"/>
                      <w:sz w:val="21"/>
                      <w:szCs w:val="21"/>
                    </w:rPr>
                    <w:t>）</w:t>
                  </w:r>
                  <w:r>
                    <w:rPr>
                      <w:rFonts w:ascii="新宋体" w:hAnsi="新宋体" w:eastAsia="新宋体" w:cs="新宋体"/>
                      <w:color w:val="000000"/>
                      <w:spacing w:val="6"/>
                      <w:sz w:val="21"/>
                      <w:szCs w:val="21"/>
                    </w:rPr>
                    <w:t>二级标准</w:t>
                  </w:r>
                </w:p>
              </w:tc>
            </w:tr>
            <w:tr w14:paraId="05D10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jc w:val="center"/>
              </w:trPr>
              <w:tc>
                <w:tcPr>
                  <w:tcW w:w="960" w:type="dxa"/>
                  <w:vMerge w:val="continue"/>
                  <w:noWrap w:val="0"/>
                  <w:vAlign w:val="center"/>
                </w:tcPr>
                <w:p w14:paraId="53AC0B5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1591FC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7"/>
                      <w:sz w:val="21"/>
                      <w:szCs w:val="21"/>
                    </w:rPr>
                    <w:t>2#</w:t>
                  </w:r>
                  <w:r>
                    <w:rPr>
                      <w:rFonts w:hint="default" w:ascii="Times New Roman" w:hAnsi="Times New Roman" w:cs="Times New Roman"/>
                      <w:color w:val="000000"/>
                      <w:spacing w:val="7"/>
                      <w:sz w:val="21"/>
                      <w:szCs w:val="21"/>
                    </w:rPr>
                    <w:t>泄巴乡居民</w:t>
                  </w:r>
                </w:p>
              </w:tc>
              <w:tc>
                <w:tcPr>
                  <w:tcW w:w="2243" w:type="dxa"/>
                  <w:noWrap w:val="0"/>
                  <w:vAlign w:val="center"/>
                </w:tcPr>
                <w:p w14:paraId="7511DFC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4"/>
                      <w:sz w:val="21"/>
                      <w:szCs w:val="21"/>
                    </w:rPr>
                    <w:t xml:space="preserve"> </w:t>
                  </w:r>
                  <w:r>
                    <w:rPr>
                      <w:rFonts w:hint="default" w:ascii="Times New Roman" w:hAnsi="Times New Roman" w:eastAsia="Times New Roman" w:cs="Times New Roman"/>
                      <w:color w:val="000000"/>
                      <w:spacing w:val="1"/>
                      <w:sz w:val="21"/>
                      <w:szCs w:val="21"/>
                    </w:rPr>
                    <w:t>5</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15</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0F173FF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0C6D2C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pacing w:val="-3"/>
                      <w:sz w:val="21"/>
                      <w:szCs w:val="21"/>
                      <w:lang w:val="en-US" w:eastAsia="zh-CN"/>
                    </w:rPr>
                    <w:t>800</w:t>
                  </w:r>
                </w:p>
              </w:tc>
              <w:tc>
                <w:tcPr>
                  <w:tcW w:w="1202" w:type="dxa"/>
                  <w:vMerge w:val="continue"/>
                  <w:noWrap w:val="0"/>
                  <w:vAlign w:val="top"/>
                </w:tcPr>
                <w:p w14:paraId="7F56686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6DA6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FFE9B3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F2806A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3#</w:t>
                  </w:r>
                  <w:r>
                    <w:rPr>
                      <w:rFonts w:hint="default" w:ascii="Times New Roman" w:hAnsi="Times New Roman" w:cs="Times New Roman"/>
                      <w:color w:val="000000"/>
                      <w:spacing w:val="6"/>
                      <w:sz w:val="21"/>
                      <w:szCs w:val="21"/>
                    </w:rPr>
                    <w:t>散居农户</w:t>
                  </w:r>
                </w:p>
              </w:tc>
              <w:tc>
                <w:tcPr>
                  <w:tcW w:w="2243" w:type="dxa"/>
                  <w:noWrap w:val="0"/>
                  <w:vAlign w:val="center"/>
                </w:tcPr>
                <w:p w14:paraId="55D2762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2"/>
                      <w:sz w:val="21"/>
                      <w:szCs w:val="21"/>
                    </w:rPr>
                    <w:t>约</w:t>
                  </w:r>
                  <w:r>
                    <w:rPr>
                      <w:rFonts w:hint="default" w:ascii="Times New Roman" w:hAnsi="Times New Roman" w:cs="Times New Roman"/>
                      <w:color w:val="000000"/>
                      <w:spacing w:val="-41"/>
                      <w:sz w:val="21"/>
                      <w:szCs w:val="21"/>
                    </w:rPr>
                    <w:t xml:space="preserve"> </w:t>
                  </w:r>
                  <w:r>
                    <w:rPr>
                      <w:rFonts w:hint="default" w:ascii="Times New Roman" w:hAnsi="Times New Roman" w:eastAsia="Times New Roman" w:cs="Times New Roman"/>
                      <w:color w:val="000000"/>
                      <w:spacing w:val="2"/>
                      <w:sz w:val="21"/>
                      <w:szCs w:val="21"/>
                    </w:rPr>
                    <w:t>4</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2"/>
                      <w:sz w:val="21"/>
                      <w:szCs w:val="21"/>
                    </w:rPr>
                    <w:t>户，</w:t>
                  </w:r>
                  <w:r>
                    <w:rPr>
                      <w:rFonts w:hint="default" w:ascii="Times New Roman" w:hAnsi="Times New Roman" w:eastAsia="Times New Roman" w:cs="Times New Roman"/>
                      <w:color w:val="000000"/>
                      <w:spacing w:val="2"/>
                      <w:sz w:val="21"/>
                      <w:szCs w:val="21"/>
                    </w:rPr>
                    <w:t>12</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2"/>
                      <w:sz w:val="21"/>
                      <w:szCs w:val="21"/>
                    </w:rPr>
                    <w:t>人</w:t>
                  </w:r>
                </w:p>
              </w:tc>
              <w:tc>
                <w:tcPr>
                  <w:tcW w:w="956" w:type="dxa"/>
                  <w:noWrap w:val="0"/>
                  <w:vAlign w:val="center"/>
                </w:tcPr>
                <w:p w14:paraId="113505D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678DA55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1244</w:t>
                  </w:r>
                </w:p>
              </w:tc>
              <w:tc>
                <w:tcPr>
                  <w:tcW w:w="1202" w:type="dxa"/>
                  <w:vMerge w:val="continue"/>
                  <w:noWrap w:val="0"/>
                  <w:vAlign w:val="top"/>
                </w:tcPr>
                <w:p w14:paraId="7CA5ED2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F483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jc w:val="center"/>
              </w:trPr>
              <w:tc>
                <w:tcPr>
                  <w:tcW w:w="960" w:type="dxa"/>
                  <w:vMerge w:val="continue"/>
                  <w:noWrap w:val="0"/>
                  <w:vAlign w:val="center"/>
                </w:tcPr>
                <w:p w14:paraId="5E7FDCF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A1A210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7"/>
                      <w:sz w:val="21"/>
                      <w:szCs w:val="21"/>
                    </w:rPr>
                    <w:t>4#</w:t>
                  </w:r>
                  <w:r>
                    <w:rPr>
                      <w:rFonts w:hint="default" w:ascii="Times New Roman" w:hAnsi="Times New Roman" w:cs="Times New Roman"/>
                      <w:color w:val="000000"/>
                      <w:spacing w:val="7"/>
                      <w:sz w:val="21"/>
                      <w:szCs w:val="21"/>
                    </w:rPr>
                    <w:t>散居农户</w:t>
                  </w:r>
                </w:p>
              </w:tc>
              <w:tc>
                <w:tcPr>
                  <w:tcW w:w="2243" w:type="dxa"/>
                  <w:noWrap w:val="0"/>
                  <w:vAlign w:val="center"/>
                </w:tcPr>
                <w:p w14:paraId="60F68D5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4"/>
                      <w:sz w:val="21"/>
                      <w:szCs w:val="21"/>
                    </w:rPr>
                    <w:t xml:space="preserve"> </w:t>
                  </w:r>
                  <w:r>
                    <w:rPr>
                      <w:rFonts w:hint="default" w:ascii="Times New Roman" w:hAnsi="Times New Roman" w:eastAsia="Times New Roman" w:cs="Times New Roman"/>
                      <w:color w:val="000000"/>
                      <w:spacing w:val="1"/>
                      <w:sz w:val="21"/>
                      <w:szCs w:val="21"/>
                    </w:rPr>
                    <w:t>8</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24</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7CC27BE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5A7F96E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1502</w:t>
                  </w:r>
                </w:p>
              </w:tc>
              <w:tc>
                <w:tcPr>
                  <w:tcW w:w="1202" w:type="dxa"/>
                  <w:vMerge w:val="continue"/>
                  <w:noWrap w:val="0"/>
                  <w:vAlign w:val="top"/>
                </w:tcPr>
                <w:p w14:paraId="618C18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AA32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2E887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C29C99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5#</w:t>
                  </w:r>
                  <w:r>
                    <w:rPr>
                      <w:rFonts w:hint="default" w:ascii="Times New Roman" w:hAnsi="Times New Roman" w:cs="Times New Roman"/>
                      <w:color w:val="000000"/>
                      <w:spacing w:val="6"/>
                      <w:sz w:val="21"/>
                      <w:szCs w:val="21"/>
                    </w:rPr>
                    <w:t>散居农户</w:t>
                  </w:r>
                </w:p>
              </w:tc>
              <w:tc>
                <w:tcPr>
                  <w:tcW w:w="2243" w:type="dxa"/>
                  <w:noWrap w:val="0"/>
                  <w:vAlign w:val="center"/>
                </w:tcPr>
                <w:p w14:paraId="137AA97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40"/>
                      <w:sz w:val="21"/>
                      <w:szCs w:val="21"/>
                    </w:rPr>
                    <w:t xml:space="preserve"> </w:t>
                  </w:r>
                  <w:r>
                    <w:rPr>
                      <w:rFonts w:hint="default" w:ascii="Times New Roman" w:hAnsi="Times New Roman" w:eastAsia="Times New Roman" w:cs="Times New Roman"/>
                      <w:color w:val="000000"/>
                      <w:spacing w:val="-3"/>
                      <w:sz w:val="21"/>
                      <w:szCs w:val="21"/>
                    </w:rPr>
                    <w:t>2</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3"/>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3"/>
                      <w:sz w:val="21"/>
                      <w:szCs w:val="21"/>
                    </w:rPr>
                    <w:t>，</w:t>
                  </w:r>
                  <w:r>
                    <w:rPr>
                      <w:rFonts w:hint="default" w:ascii="Times New Roman" w:hAnsi="Times New Roman" w:eastAsia="Times New Roman" w:cs="Times New Roman"/>
                      <w:color w:val="000000"/>
                      <w:spacing w:val="-3"/>
                      <w:sz w:val="21"/>
                      <w:szCs w:val="21"/>
                    </w:rPr>
                    <w:t>6</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6C742EF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2B119A8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1307</w:t>
                  </w:r>
                </w:p>
              </w:tc>
              <w:tc>
                <w:tcPr>
                  <w:tcW w:w="1202" w:type="dxa"/>
                  <w:vMerge w:val="continue"/>
                  <w:noWrap w:val="0"/>
                  <w:vAlign w:val="top"/>
                </w:tcPr>
                <w:p w14:paraId="6465D77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33AB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1F9688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6DFED1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6#</w:t>
                  </w:r>
                  <w:r>
                    <w:rPr>
                      <w:rFonts w:hint="default" w:ascii="Times New Roman" w:hAnsi="Times New Roman" w:cs="Times New Roman"/>
                      <w:color w:val="000000"/>
                      <w:spacing w:val="6"/>
                      <w:sz w:val="21"/>
                      <w:szCs w:val="21"/>
                    </w:rPr>
                    <w:t>散居农户</w:t>
                  </w:r>
                </w:p>
              </w:tc>
              <w:tc>
                <w:tcPr>
                  <w:tcW w:w="2243" w:type="dxa"/>
                  <w:noWrap w:val="0"/>
                  <w:vAlign w:val="center"/>
                </w:tcPr>
                <w:p w14:paraId="6717687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15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45</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15D3189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北侧</w:t>
                  </w:r>
                </w:p>
              </w:tc>
              <w:tc>
                <w:tcPr>
                  <w:tcW w:w="1275" w:type="dxa"/>
                  <w:noWrap w:val="0"/>
                  <w:vAlign w:val="center"/>
                </w:tcPr>
                <w:p w14:paraId="5C5761A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1268</w:t>
                  </w:r>
                </w:p>
              </w:tc>
              <w:tc>
                <w:tcPr>
                  <w:tcW w:w="1202" w:type="dxa"/>
                  <w:vMerge w:val="continue"/>
                  <w:noWrap w:val="0"/>
                  <w:vAlign w:val="top"/>
                </w:tcPr>
                <w:p w14:paraId="1424CA8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9BDA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B923A9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C60BD6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7#</w:t>
                  </w:r>
                  <w:r>
                    <w:rPr>
                      <w:rFonts w:hint="default" w:ascii="Times New Roman" w:hAnsi="Times New Roman" w:cs="Times New Roman"/>
                      <w:color w:val="000000"/>
                      <w:spacing w:val="6"/>
                      <w:sz w:val="21"/>
                      <w:szCs w:val="21"/>
                    </w:rPr>
                    <w:t>散居农户</w:t>
                  </w:r>
                </w:p>
              </w:tc>
              <w:tc>
                <w:tcPr>
                  <w:tcW w:w="2243" w:type="dxa"/>
                  <w:noWrap w:val="0"/>
                  <w:vAlign w:val="center"/>
                </w:tcPr>
                <w:p w14:paraId="2BC01D8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4"/>
                      <w:sz w:val="21"/>
                      <w:szCs w:val="21"/>
                    </w:rPr>
                    <w:t xml:space="preserve"> </w:t>
                  </w:r>
                  <w:r>
                    <w:rPr>
                      <w:rFonts w:hint="default" w:ascii="Times New Roman" w:hAnsi="Times New Roman" w:eastAsia="Times New Roman" w:cs="Times New Roman"/>
                      <w:color w:val="000000"/>
                      <w:spacing w:val="1"/>
                      <w:sz w:val="21"/>
                      <w:szCs w:val="21"/>
                    </w:rPr>
                    <w:t>3</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10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3CAAD9B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北侧</w:t>
                  </w:r>
                </w:p>
              </w:tc>
              <w:tc>
                <w:tcPr>
                  <w:tcW w:w="1275" w:type="dxa"/>
                  <w:noWrap w:val="0"/>
                  <w:vAlign w:val="center"/>
                </w:tcPr>
                <w:p w14:paraId="5D133F5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1093</w:t>
                  </w:r>
                </w:p>
              </w:tc>
              <w:tc>
                <w:tcPr>
                  <w:tcW w:w="1202" w:type="dxa"/>
                  <w:vMerge w:val="continue"/>
                  <w:noWrap w:val="0"/>
                  <w:vAlign w:val="top"/>
                </w:tcPr>
                <w:p w14:paraId="05C44D6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719B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D3FC3E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FBF489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8#</w:t>
                  </w:r>
                  <w:r>
                    <w:rPr>
                      <w:rFonts w:hint="default" w:ascii="Times New Roman" w:hAnsi="Times New Roman" w:cs="Times New Roman"/>
                      <w:color w:val="000000"/>
                      <w:spacing w:val="6"/>
                      <w:sz w:val="21"/>
                      <w:szCs w:val="21"/>
                    </w:rPr>
                    <w:t>散居农户</w:t>
                  </w:r>
                </w:p>
              </w:tc>
              <w:tc>
                <w:tcPr>
                  <w:tcW w:w="2243" w:type="dxa"/>
                  <w:noWrap w:val="0"/>
                  <w:vAlign w:val="center"/>
                </w:tcPr>
                <w:p w14:paraId="7FF81F4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18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54</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313ED2F8">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北侧</w:t>
                  </w:r>
                </w:p>
              </w:tc>
              <w:tc>
                <w:tcPr>
                  <w:tcW w:w="1275" w:type="dxa"/>
                  <w:noWrap w:val="0"/>
                  <w:vAlign w:val="center"/>
                </w:tcPr>
                <w:p w14:paraId="2226F39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1136</w:t>
                  </w:r>
                </w:p>
              </w:tc>
              <w:tc>
                <w:tcPr>
                  <w:tcW w:w="1202" w:type="dxa"/>
                  <w:vMerge w:val="continue"/>
                  <w:noWrap w:val="0"/>
                  <w:vAlign w:val="top"/>
                </w:tcPr>
                <w:p w14:paraId="17979BC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4B5D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4F5AF7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29C6C7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9#</w:t>
                  </w:r>
                  <w:r>
                    <w:rPr>
                      <w:rFonts w:hint="default" w:ascii="Times New Roman" w:hAnsi="Times New Roman" w:cs="Times New Roman"/>
                      <w:color w:val="000000"/>
                      <w:spacing w:val="6"/>
                      <w:sz w:val="21"/>
                      <w:szCs w:val="21"/>
                    </w:rPr>
                    <w:t>散居农户</w:t>
                  </w:r>
                </w:p>
              </w:tc>
              <w:tc>
                <w:tcPr>
                  <w:tcW w:w="2243" w:type="dxa"/>
                  <w:noWrap w:val="0"/>
                  <w:vAlign w:val="center"/>
                </w:tcPr>
                <w:p w14:paraId="3193121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40"/>
                      <w:sz w:val="21"/>
                      <w:szCs w:val="21"/>
                    </w:rPr>
                    <w:t xml:space="preserve"> </w:t>
                  </w:r>
                  <w:r>
                    <w:rPr>
                      <w:rFonts w:hint="default" w:ascii="Times New Roman" w:hAnsi="Times New Roman" w:eastAsia="Times New Roman" w:cs="Times New Roman"/>
                      <w:color w:val="000000"/>
                      <w:spacing w:val="-3"/>
                      <w:sz w:val="21"/>
                      <w:szCs w:val="21"/>
                    </w:rPr>
                    <w:t>2</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3"/>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3"/>
                      <w:sz w:val="21"/>
                      <w:szCs w:val="21"/>
                    </w:rPr>
                    <w:t>，</w:t>
                  </w:r>
                  <w:r>
                    <w:rPr>
                      <w:rFonts w:hint="default" w:ascii="Times New Roman" w:hAnsi="Times New Roman" w:eastAsia="Times New Roman" w:cs="Times New Roman"/>
                      <w:color w:val="000000"/>
                      <w:spacing w:val="-3"/>
                      <w:sz w:val="21"/>
                      <w:szCs w:val="21"/>
                    </w:rPr>
                    <w:t>6</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6F52E95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北侧</w:t>
                  </w:r>
                </w:p>
              </w:tc>
              <w:tc>
                <w:tcPr>
                  <w:tcW w:w="1275" w:type="dxa"/>
                  <w:noWrap w:val="0"/>
                  <w:vAlign w:val="center"/>
                </w:tcPr>
                <w:p w14:paraId="266E654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1278</w:t>
                  </w:r>
                </w:p>
              </w:tc>
              <w:tc>
                <w:tcPr>
                  <w:tcW w:w="1202" w:type="dxa"/>
                  <w:vMerge w:val="continue"/>
                  <w:noWrap w:val="0"/>
                  <w:vAlign w:val="top"/>
                </w:tcPr>
                <w:p w14:paraId="1F303B0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01184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489EA8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38D93EF">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10#</w:t>
                  </w:r>
                  <w:r>
                    <w:rPr>
                      <w:rFonts w:hint="default" w:ascii="Times New Roman" w:hAnsi="Times New Roman" w:cs="Times New Roman"/>
                      <w:color w:val="000000"/>
                      <w:spacing w:val="3"/>
                      <w:sz w:val="21"/>
                      <w:szCs w:val="21"/>
                    </w:rPr>
                    <w:t>散居农户</w:t>
                  </w:r>
                </w:p>
              </w:tc>
              <w:tc>
                <w:tcPr>
                  <w:tcW w:w="2243" w:type="dxa"/>
                  <w:noWrap w:val="0"/>
                  <w:vAlign w:val="center"/>
                </w:tcPr>
                <w:p w14:paraId="29AB199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4"/>
                      <w:sz w:val="21"/>
                      <w:szCs w:val="21"/>
                    </w:rPr>
                    <w:t xml:space="preserve"> </w:t>
                  </w:r>
                  <w:r>
                    <w:rPr>
                      <w:rFonts w:hint="default" w:ascii="Times New Roman" w:hAnsi="Times New Roman" w:eastAsia="Times New Roman" w:cs="Times New Roman"/>
                      <w:color w:val="000000"/>
                      <w:spacing w:val="1"/>
                      <w:sz w:val="21"/>
                      <w:szCs w:val="21"/>
                    </w:rPr>
                    <w:t>7</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21</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51BF885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北侧</w:t>
                  </w:r>
                </w:p>
              </w:tc>
              <w:tc>
                <w:tcPr>
                  <w:tcW w:w="1275" w:type="dxa"/>
                  <w:noWrap w:val="0"/>
                  <w:vAlign w:val="center"/>
                </w:tcPr>
                <w:p w14:paraId="40E26ED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1408</w:t>
                  </w:r>
                </w:p>
              </w:tc>
              <w:tc>
                <w:tcPr>
                  <w:tcW w:w="1202" w:type="dxa"/>
                  <w:vMerge w:val="continue"/>
                  <w:noWrap w:val="0"/>
                  <w:vAlign w:val="top"/>
                </w:tcPr>
                <w:p w14:paraId="619B76A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6CDE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E7A05C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26F3E24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11#</w:t>
                  </w:r>
                  <w:r>
                    <w:rPr>
                      <w:rFonts w:hint="default" w:ascii="Times New Roman" w:hAnsi="Times New Roman" w:cs="Times New Roman"/>
                      <w:color w:val="000000"/>
                      <w:spacing w:val="3"/>
                      <w:sz w:val="21"/>
                      <w:szCs w:val="21"/>
                    </w:rPr>
                    <w:t>散居农户</w:t>
                  </w:r>
                </w:p>
              </w:tc>
              <w:tc>
                <w:tcPr>
                  <w:tcW w:w="2243" w:type="dxa"/>
                  <w:noWrap w:val="0"/>
                  <w:vAlign w:val="center"/>
                </w:tcPr>
                <w:p w14:paraId="73A04EB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约</w:t>
                  </w:r>
                  <w:r>
                    <w:rPr>
                      <w:rFonts w:hint="default" w:ascii="Times New Roman" w:hAnsi="Times New Roman" w:cs="Times New Roman"/>
                      <w:color w:val="000000"/>
                      <w:spacing w:val="-22"/>
                      <w:sz w:val="21"/>
                      <w:szCs w:val="21"/>
                    </w:rPr>
                    <w:t xml:space="preserve"> </w:t>
                  </w:r>
                  <w:r>
                    <w:rPr>
                      <w:rFonts w:hint="default" w:ascii="Times New Roman" w:hAnsi="Times New Roman" w:eastAsia="Times New Roman" w:cs="Times New Roman"/>
                      <w:color w:val="000000"/>
                      <w:spacing w:val="-6"/>
                      <w:sz w:val="21"/>
                      <w:szCs w:val="21"/>
                    </w:rPr>
                    <w:t>1</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6"/>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6"/>
                      <w:sz w:val="21"/>
                      <w:szCs w:val="21"/>
                    </w:rPr>
                    <w:t>，</w:t>
                  </w:r>
                  <w:r>
                    <w:rPr>
                      <w:rFonts w:hint="default" w:ascii="Times New Roman" w:hAnsi="Times New Roman" w:eastAsia="Times New Roman" w:cs="Times New Roman"/>
                      <w:color w:val="000000"/>
                      <w:spacing w:val="-6"/>
                      <w:sz w:val="21"/>
                      <w:szCs w:val="21"/>
                    </w:rPr>
                    <w:t>3</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6"/>
                      <w:sz w:val="21"/>
                      <w:szCs w:val="21"/>
                    </w:rPr>
                    <w:t>人</w:t>
                  </w:r>
                </w:p>
              </w:tc>
              <w:tc>
                <w:tcPr>
                  <w:tcW w:w="956" w:type="dxa"/>
                  <w:noWrap w:val="0"/>
                  <w:vAlign w:val="center"/>
                </w:tcPr>
                <w:p w14:paraId="2B0E668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北侧</w:t>
                  </w:r>
                </w:p>
              </w:tc>
              <w:tc>
                <w:tcPr>
                  <w:tcW w:w="1275" w:type="dxa"/>
                  <w:noWrap w:val="0"/>
                  <w:vAlign w:val="center"/>
                </w:tcPr>
                <w:p w14:paraId="66C9572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1244</w:t>
                  </w:r>
                </w:p>
              </w:tc>
              <w:tc>
                <w:tcPr>
                  <w:tcW w:w="1202" w:type="dxa"/>
                  <w:vMerge w:val="continue"/>
                  <w:noWrap w:val="0"/>
                  <w:vAlign w:val="top"/>
                </w:tcPr>
                <w:p w14:paraId="33F70D3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381C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5A4D524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9ED0525">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12#</w:t>
                  </w:r>
                  <w:r>
                    <w:rPr>
                      <w:rFonts w:hint="default" w:ascii="Times New Roman" w:hAnsi="Times New Roman" w:cs="Times New Roman"/>
                      <w:color w:val="000000"/>
                      <w:spacing w:val="3"/>
                      <w:sz w:val="21"/>
                      <w:szCs w:val="21"/>
                    </w:rPr>
                    <w:t>散居农户</w:t>
                  </w:r>
                </w:p>
              </w:tc>
              <w:tc>
                <w:tcPr>
                  <w:tcW w:w="2243" w:type="dxa"/>
                  <w:noWrap w:val="0"/>
                  <w:vAlign w:val="center"/>
                </w:tcPr>
                <w:p w14:paraId="35BF58C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35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105</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74DE309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4"/>
                      <w:sz w:val="21"/>
                      <w:szCs w:val="21"/>
                    </w:rPr>
                    <w:t>东北侧</w:t>
                  </w:r>
                </w:p>
              </w:tc>
              <w:tc>
                <w:tcPr>
                  <w:tcW w:w="1275" w:type="dxa"/>
                  <w:noWrap w:val="0"/>
                  <w:vAlign w:val="center"/>
                </w:tcPr>
                <w:p w14:paraId="66FB61E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1084</w:t>
                  </w:r>
                </w:p>
              </w:tc>
              <w:tc>
                <w:tcPr>
                  <w:tcW w:w="1202" w:type="dxa"/>
                  <w:vMerge w:val="continue"/>
                  <w:noWrap w:val="0"/>
                  <w:vAlign w:val="top"/>
                </w:tcPr>
                <w:p w14:paraId="7508032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2E19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2C61F58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537B05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13#</w:t>
                  </w:r>
                  <w:r>
                    <w:rPr>
                      <w:rFonts w:hint="default" w:ascii="Times New Roman" w:hAnsi="Times New Roman" w:cs="Times New Roman"/>
                      <w:color w:val="000000"/>
                      <w:spacing w:val="3"/>
                      <w:sz w:val="21"/>
                      <w:szCs w:val="21"/>
                    </w:rPr>
                    <w:t>散居农户</w:t>
                  </w:r>
                </w:p>
              </w:tc>
              <w:tc>
                <w:tcPr>
                  <w:tcW w:w="2243" w:type="dxa"/>
                  <w:noWrap w:val="0"/>
                  <w:vAlign w:val="center"/>
                </w:tcPr>
                <w:p w14:paraId="5C5E36E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9"/>
                      <w:sz w:val="21"/>
                      <w:szCs w:val="21"/>
                    </w:rPr>
                    <w:t xml:space="preserve"> </w:t>
                  </w:r>
                  <w:r>
                    <w:rPr>
                      <w:rFonts w:hint="default" w:ascii="Times New Roman" w:hAnsi="Times New Roman" w:eastAsia="Times New Roman" w:cs="Times New Roman"/>
                      <w:color w:val="000000"/>
                      <w:spacing w:val="-3"/>
                      <w:sz w:val="21"/>
                      <w:szCs w:val="21"/>
                    </w:rPr>
                    <w:t>3</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3"/>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3"/>
                      <w:sz w:val="21"/>
                      <w:szCs w:val="21"/>
                    </w:rPr>
                    <w:t>，</w:t>
                  </w:r>
                  <w:r>
                    <w:rPr>
                      <w:rFonts w:hint="default" w:ascii="Times New Roman" w:hAnsi="Times New Roman" w:eastAsia="Times New Roman" w:cs="Times New Roman"/>
                      <w:color w:val="000000"/>
                      <w:spacing w:val="-3"/>
                      <w:sz w:val="21"/>
                      <w:szCs w:val="21"/>
                    </w:rPr>
                    <w:t>9</w:t>
                  </w:r>
                  <w:r>
                    <w:rPr>
                      <w:rFonts w:hint="default" w:ascii="Times New Roman" w:hAnsi="Times New Roman" w:eastAsia="Times New Roman" w:cs="Times New Roman"/>
                      <w:color w:val="000000"/>
                      <w:spacing w:val="13"/>
                      <w:w w:val="10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4A4160A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4"/>
                      <w:sz w:val="21"/>
                      <w:szCs w:val="21"/>
                    </w:rPr>
                    <w:t>东北侧</w:t>
                  </w:r>
                </w:p>
              </w:tc>
              <w:tc>
                <w:tcPr>
                  <w:tcW w:w="1275" w:type="dxa"/>
                  <w:noWrap w:val="0"/>
                  <w:vAlign w:val="center"/>
                </w:tcPr>
                <w:p w14:paraId="2D2FEFD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1207</w:t>
                  </w:r>
                </w:p>
              </w:tc>
              <w:tc>
                <w:tcPr>
                  <w:tcW w:w="1202" w:type="dxa"/>
                  <w:vMerge w:val="continue"/>
                  <w:noWrap w:val="0"/>
                  <w:vAlign w:val="top"/>
                </w:tcPr>
                <w:p w14:paraId="0382E82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4AAF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3A2B5BE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6910A3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14#</w:t>
                  </w:r>
                  <w:r>
                    <w:rPr>
                      <w:rFonts w:hint="default" w:ascii="Times New Roman" w:hAnsi="Times New Roman" w:cs="Times New Roman"/>
                      <w:color w:val="000000"/>
                      <w:spacing w:val="3"/>
                      <w:sz w:val="21"/>
                      <w:szCs w:val="21"/>
                    </w:rPr>
                    <w:t>散居农户</w:t>
                  </w:r>
                </w:p>
              </w:tc>
              <w:tc>
                <w:tcPr>
                  <w:tcW w:w="2243" w:type="dxa"/>
                  <w:noWrap w:val="0"/>
                  <w:vAlign w:val="center"/>
                </w:tcPr>
                <w:p w14:paraId="2B5935F8">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4"/>
                      <w:sz w:val="21"/>
                      <w:szCs w:val="21"/>
                    </w:rPr>
                    <w:t xml:space="preserve"> </w:t>
                  </w:r>
                  <w:r>
                    <w:rPr>
                      <w:rFonts w:hint="default" w:ascii="Times New Roman" w:hAnsi="Times New Roman" w:eastAsia="Times New Roman" w:cs="Times New Roman"/>
                      <w:color w:val="000000"/>
                      <w:spacing w:val="1"/>
                      <w:sz w:val="21"/>
                      <w:szCs w:val="21"/>
                    </w:rPr>
                    <w:t>5</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15</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6A7D601F">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4"/>
                      <w:sz w:val="21"/>
                      <w:szCs w:val="21"/>
                    </w:rPr>
                    <w:t>东北侧</w:t>
                  </w:r>
                </w:p>
              </w:tc>
              <w:tc>
                <w:tcPr>
                  <w:tcW w:w="1275" w:type="dxa"/>
                  <w:noWrap w:val="0"/>
                  <w:vAlign w:val="center"/>
                </w:tcPr>
                <w:p w14:paraId="34ECC4C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1003</w:t>
                  </w:r>
                </w:p>
              </w:tc>
              <w:tc>
                <w:tcPr>
                  <w:tcW w:w="1202" w:type="dxa"/>
                  <w:vMerge w:val="continue"/>
                  <w:noWrap w:val="0"/>
                  <w:vAlign w:val="top"/>
                </w:tcPr>
                <w:p w14:paraId="0F628D9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2B24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328BA31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44AE89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15#</w:t>
                  </w:r>
                  <w:r>
                    <w:rPr>
                      <w:rFonts w:hint="default" w:ascii="Times New Roman" w:hAnsi="Times New Roman" w:cs="Times New Roman"/>
                      <w:color w:val="000000"/>
                      <w:spacing w:val="3"/>
                      <w:sz w:val="21"/>
                      <w:szCs w:val="21"/>
                    </w:rPr>
                    <w:t>散居农户</w:t>
                  </w:r>
                </w:p>
              </w:tc>
              <w:tc>
                <w:tcPr>
                  <w:tcW w:w="2243" w:type="dxa"/>
                  <w:noWrap w:val="0"/>
                  <w:vAlign w:val="center"/>
                </w:tcPr>
                <w:p w14:paraId="00CFC85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14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42</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1FE4B58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东</w:t>
                  </w:r>
                  <w:r>
                    <w:rPr>
                      <w:rFonts w:hint="eastAsia" w:ascii="Times New Roman" w:hAnsi="Times New Roman" w:cs="Times New Roman"/>
                      <w:color w:val="000000"/>
                      <w:spacing w:val="1"/>
                      <w:sz w:val="21"/>
                      <w:szCs w:val="21"/>
                      <w:lang w:val="en-US" w:eastAsia="zh-CN"/>
                    </w:rPr>
                    <w:t>北</w:t>
                  </w:r>
                  <w:r>
                    <w:rPr>
                      <w:rFonts w:hint="default" w:ascii="Times New Roman" w:hAnsi="Times New Roman" w:cs="Times New Roman"/>
                      <w:color w:val="000000"/>
                      <w:spacing w:val="1"/>
                      <w:sz w:val="21"/>
                      <w:szCs w:val="21"/>
                    </w:rPr>
                    <w:t>侧</w:t>
                  </w:r>
                </w:p>
              </w:tc>
              <w:tc>
                <w:tcPr>
                  <w:tcW w:w="1275" w:type="dxa"/>
                  <w:noWrap w:val="0"/>
                  <w:vAlign w:val="center"/>
                </w:tcPr>
                <w:p w14:paraId="177D40F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670</w:t>
                  </w:r>
                </w:p>
              </w:tc>
              <w:tc>
                <w:tcPr>
                  <w:tcW w:w="1202" w:type="dxa"/>
                  <w:vMerge w:val="continue"/>
                  <w:noWrap w:val="0"/>
                  <w:vAlign w:val="top"/>
                </w:tcPr>
                <w:p w14:paraId="1C5E9B9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78A7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E056EB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F16AA4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16#</w:t>
                  </w:r>
                  <w:r>
                    <w:rPr>
                      <w:rFonts w:hint="default" w:ascii="Times New Roman" w:hAnsi="Times New Roman" w:cs="Times New Roman"/>
                      <w:color w:val="000000"/>
                      <w:spacing w:val="3"/>
                      <w:sz w:val="21"/>
                      <w:szCs w:val="21"/>
                    </w:rPr>
                    <w:t>散居农户</w:t>
                  </w:r>
                </w:p>
              </w:tc>
              <w:tc>
                <w:tcPr>
                  <w:tcW w:w="2243" w:type="dxa"/>
                  <w:noWrap w:val="0"/>
                  <w:vAlign w:val="center"/>
                </w:tcPr>
                <w:p w14:paraId="4221125A">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18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54</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0541168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东</w:t>
                  </w:r>
                  <w:r>
                    <w:rPr>
                      <w:rFonts w:hint="eastAsia" w:ascii="Times New Roman" w:hAnsi="Times New Roman" w:cs="Times New Roman"/>
                      <w:color w:val="000000"/>
                      <w:spacing w:val="1"/>
                      <w:sz w:val="21"/>
                      <w:szCs w:val="21"/>
                      <w:lang w:val="en-US" w:eastAsia="zh-CN"/>
                    </w:rPr>
                    <w:t>北</w:t>
                  </w:r>
                  <w:r>
                    <w:rPr>
                      <w:rFonts w:hint="default" w:ascii="Times New Roman" w:hAnsi="Times New Roman" w:cs="Times New Roman"/>
                      <w:color w:val="000000"/>
                      <w:spacing w:val="1"/>
                      <w:sz w:val="21"/>
                      <w:szCs w:val="21"/>
                    </w:rPr>
                    <w:t>侧</w:t>
                  </w:r>
                </w:p>
              </w:tc>
              <w:tc>
                <w:tcPr>
                  <w:tcW w:w="1275" w:type="dxa"/>
                  <w:noWrap w:val="0"/>
                  <w:vAlign w:val="center"/>
                </w:tcPr>
                <w:p w14:paraId="5BF5685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748</w:t>
                  </w:r>
                </w:p>
              </w:tc>
              <w:tc>
                <w:tcPr>
                  <w:tcW w:w="1202" w:type="dxa"/>
                  <w:vMerge w:val="continue"/>
                  <w:noWrap w:val="0"/>
                  <w:vAlign w:val="top"/>
                </w:tcPr>
                <w:p w14:paraId="35C48E2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34B4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267797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935D0AF">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17#</w:t>
                  </w:r>
                  <w:r>
                    <w:rPr>
                      <w:rFonts w:hint="default" w:ascii="Times New Roman" w:hAnsi="Times New Roman" w:cs="Times New Roman"/>
                      <w:color w:val="000000"/>
                      <w:spacing w:val="3"/>
                      <w:sz w:val="21"/>
                      <w:szCs w:val="21"/>
                    </w:rPr>
                    <w:t>散居农户</w:t>
                  </w:r>
                </w:p>
              </w:tc>
              <w:tc>
                <w:tcPr>
                  <w:tcW w:w="2243" w:type="dxa"/>
                  <w:noWrap w:val="0"/>
                  <w:vAlign w:val="center"/>
                </w:tcPr>
                <w:p w14:paraId="6E21D80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6"/>
                      <w:sz w:val="21"/>
                      <w:szCs w:val="21"/>
                    </w:rPr>
                    <w:t xml:space="preserve"> </w:t>
                  </w:r>
                  <w:r>
                    <w:rPr>
                      <w:rFonts w:hint="default" w:ascii="Times New Roman" w:hAnsi="Times New Roman" w:eastAsia="Times New Roman" w:cs="Times New Roman"/>
                      <w:color w:val="000000"/>
                      <w:spacing w:val="3"/>
                      <w:sz w:val="21"/>
                      <w:szCs w:val="21"/>
                    </w:rPr>
                    <w:t xml:space="preserve">28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84</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21223B6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东</w:t>
                  </w:r>
                  <w:r>
                    <w:rPr>
                      <w:rFonts w:hint="eastAsia" w:ascii="Times New Roman" w:hAnsi="Times New Roman" w:cs="Times New Roman"/>
                      <w:color w:val="000000"/>
                      <w:spacing w:val="1"/>
                      <w:sz w:val="21"/>
                      <w:szCs w:val="21"/>
                      <w:lang w:val="en-US" w:eastAsia="zh-CN"/>
                    </w:rPr>
                    <w:t>北</w:t>
                  </w:r>
                  <w:r>
                    <w:rPr>
                      <w:rFonts w:hint="default" w:ascii="Times New Roman" w:hAnsi="Times New Roman" w:cs="Times New Roman"/>
                      <w:color w:val="000000"/>
                      <w:spacing w:val="1"/>
                      <w:sz w:val="21"/>
                      <w:szCs w:val="21"/>
                    </w:rPr>
                    <w:t>侧</w:t>
                  </w:r>
                </w:p>
              </w:tc>
              <w:tc>
                <w:tcPr>
                  <w:tcW w:w="1275" w:type="dxa"/>
                  <w:noWrap w:val="0"/>
                  <w:vAlign w:val="center"/>
                </w:tcPr>
                <w:p w14:paraId="704BDB6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273</w:t>
                  </w:r>
                </w:p>
              </w:tc>
              <w:tc>
                <w:tcPr>
                  <w:tcW w:w="1202" w:type="dxa"/>
                  <w:vMerge w:val="continue"/>
                  <w:noWrap w:val="0"/>
                  <w:vAlign w:val="top"/>
                </w:tcPr>
                <w:p w14:paraId="350484E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2B14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960" w:type="dxa"/>
                  <w:vMerge w:val="continue"/>
                  <w:noWrap w:val="0"/>
                  <w:vAlign w:val="center"/>
                </w:tcPr>
                <w:p w14:paraId="23FBF68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FBE47A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18#</w:t>
                  </w:r>
                  <w:r>
                    <w:rPr>
                      <w:rFonts w:hint="default" w:ascii="Times New Roman" w:hAnsi="Times New Roman" w:cs="Times New Roman"/>
                      <w:color w:val="000000"/>
                      <w:spacing w:val="3"/>
                      <w:sz w:val="21"/>
                      <w:szCs w:val="21"/>
                    </w:rPr>
                    <w:t>散居农户</w:t>
                  </w:r>
                </w:p>
              </w:tc>
              <w:tc>
                <w:tcPr>
                  <w:tcW w:w="2243" w:type="dxa"/>
                  <w:noWrap w:val="0"/>
                  <w:vAlign w:val="center"/>
                </w:tcPr>
                <w:p w14:paraId="3D6D63A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约</w:t>
                  </w:r>
                  <w:r>
                    <w:rPr>
                      <w:rFonts w:hint="default" w:ascii="Times New Roman" w:hAnsi="Times New Roman" w:cs="Times New Roman"/>
                      <w:color w:val="000000"/>
                      <w:spacing w:val="-22"/>
                      <w:sz w:val="21"/>
                      <w:szCs w:val="21"/>
                    </w:rPr>
                    <w:t xml:space="preserve"> </w:t>
                  </w:r>
                  <w:r>
                    <w:rPr>
                      <w:rFonts w:hint="default" w:ascii="Times New Roman" w:hAnsi="Times New Roman" w:eastAsia="Times New Roman" w:cs="Times New Roman"/>
                      <w:color w:val="000000"/>
                      <w:spacing w:val="-6"/>
                      <w:sz w:val="21"/>
                      <w:szCs w:val="21"/>
                    </w:rPr>
                    <w:t>1</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6"/>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6"/>
                      <w:sz w:val="21"/>
                      <w:szCs w:val="21"/>
                    </w:rPr>
                    <w:t>，</w:t>
                  </w:r>
                  <w:r>
                    <w:rPr>
                      <w:rFonts w:hint="default" w:ascii="Times New Roman" w:hAnsi="Times New Roman" w:eastAsia="Times New Roman" w:cs="Times New Roman"/>
                      <w:color w:val="000000"/>
                      <w:spacing w:val="-6"/>
                      <w:sz w:val="21"/>
                      <w:szCs w:val="21"/>
                    </w:rPr>
                    <w:t>3</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6"/>
                      <w:sz w:val="21"/>
                      <w:szCs w:val="21"/>
                    </w:rPr>
                    <w:t>人</w:t>
                  </w:r>
                </w:p>
              </w:tc>
              <w:tc>
                <w:tcPr>
                  <w:tcW w:w="956" w:type="dxa"/>
                  <w:noWrap w:val="0"/>
                  <w:vAlign w:val="center"/>
                </w:tcPr>
                <w:p w14:paraId="7C2C1AF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4"/>
                      <w:sz w:val="21"/>
                      <w:szCs w:val="21"/>
                    </w:rPr>
                    <w:t>东侧</w:t>
                  </w:r>
                </w:p>
              </w:tc>
              <w:tc>
                <w:tcPr>
                  <w:tcW w:w="1275" w:type="dxa"/>
                  <w:noWrap w:val="0"/>
                  <w:vAlign w:val="center"/>
                </w:tcPr>
                <w:p w14:paraId="3E25460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346</w:t>
                  </w:r>
                </w:p>
              </w:tc>
              <w:tc>
                <w:tcPr>
                  <w:tcW w:w="1202" w:type="dxa"/>
                  <w:vMerge w:val="continue"/>
                  <w:noWrap w:val="0"/>
                  <w:vAlign w:val="top"/>
                </w:tcPr>
                <w:p w14:paraId="69B7762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01516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772E694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D12D3D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3"/>
                      <w:sz w:val="21"/>
                      <w:szCs w:val="21"/>
                    </w:rPr>
                    <w:t>19#</w:t>
                  </w:r>
                  <w:r>
                    <w:rPr>
                      <w:rFonts w:hint="default" w:ascii="Times New Roman" w:hAnsi="Times New Roman" w:cs="Times New Roman"/>
                      <w:color w:val="000000"/>
                      <w:spacing w:val="3"/>
                      <w:sz w:val="21"/>
                      <w:szCs w:val="21"/>
                    </w:rPr>
                    <w:t>散居农户</w:t>
                  </w:r>
                </w:p>
              </w:tc>
              <w:tc>
                <w:tcPr>
                  <w:tcW w:w="2243" w:type="dxa"/>
                  <w:noWrap w:val="0"/>
                  <w:vAlign w:val="center"/>
                </w:tcPr>
                <w:p w14:paraId="4125204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18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54</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646FEF5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4"/>
                      <w:sz w:val="21"/>
                      <w:szCs w:val="21"/>
                    </w:rPr>
                    <w:t>东侧</w:t>
                  </w:r>
                </w:p>
              </w:tc>
              <w:tc>
                <w:tcPr>
                  <w:tcW w:w="1275" w:type="dxa"/>
                  <w:noWrap w:val="0"/>
                  <w:vAlign w:val="center"/>
                </w:tcPr>
                <w:p w14:paraId="385F327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504</w:t>
                  </w:r>
                </w:p>
              </w:tc>
              <w:tc>
                <w:tcPr>
                  <w:tcW w:w="1202" w:type="dxa"/>
                  <w:vMerge w:val="continue"/>
                  <w:noWrap w:val="0"/>
                  <w:vAlign w:val="top"/>
                </w:tcPr>
                <w:p w14:paraId="1889272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A43A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F8D40A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699F9D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20#</w:t>
                  </w:r>
                  <w:r>
                    <w:rPr>
                      <w:rFonts w:hint="default" w:ascii="Times New Roman" w:hAnsi="Times New Roman" w:cs="Times New Roman"/>
                      <w:color w:val="000000"/>
                      <w:spacing w:val="6"/>
                      <w:sz w:val="21"/>
                      <w:szCs w:val="21"/>
                    </w:rPr>
                    <w:t>散居农户</w:t>
                  </w:r>
                </w:p>
              </w:tc>
              <w:tc>
                <w:tcPr>
                  <w:tcW w:w="2243" w:type="dxa"/>
                  <w:noWrap w:val="0"/>
                  <w:vAlign w:val="center"/>
                </w:tcPr>
                <w:p w14:paraId="6E68197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6"/>
                      <w:sz w:val="21"/>
                      <w:szCs w:val="21"/>
                    </w:rPr>
                    <w:t xml:space="preserve"> </w:t>
                  </w:r>
                  <w:r>
                    <w:rPr>
                      <w:rFonts w:hint="default" w:ascii="Times New Roman" w:hAnsi="Times New Roman" w:eastAsia="Times New Roman" w:cs="Times New Roman"/>
                      <w:color w:val="000000"/>
                      <w:spacing w:val="3"/>
                      <w:sz w:val="21"/>
                      <w:szCs w:val="21"/>
                    </w:rPr>
                    <w:t xml:space="preserve">20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60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690735C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eastAsia" w:ascii="Times New Roman" w:hAnsi="Times New Roman" w:cs="Times New Roman"/>
                      <w:color w:val="000000"/>
                      <w:spacing w:val="3"/>
                      <w:sz w:val="21"/>
                      <w:szCs w:val="21"/>
                      <w:lang w:val="en-US" w:eastAsia="zh-CN"/>
                    </w:rPr>
                    <w:t>东</w:t>
                  </w:r>
                  <w:r>
                    <w:rPr>
                      <w:rFonts w:hint="default" w:ascii="Times New Roman" w:hAnsi="Times New Roman" w:cs="Times New Roman"/>
                      <w:color w:val="000000"/>
                      <w:spacing w:val="3"/>
                      <w:sz w:val="21"/>
                      <w:szCs w:val="21"/>
                    </w:rPr>
                    <w:t>南侧</w:t>
                  </w:r>
                </w:p>
              </w:tc>
              <w:tc>
                <w:tcPr>
                  <w:tcW w:w="1275" w:type="dxa"/>
                  <w:noWrap w:val="0"/>
                  <w:vAlign w:val="center"/>
                </w:tcPr>
                <w:p w14:paraId="515C698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674</w:t>
                  </w:r>
                </w:p>
              </w:tc>
              <w:tc>
                <w:tcPr>
                  <w:tcW w:w="1202" w:type="dxa"/>
                  <w:vMerge w:val="continue"/>
                  <w:noWrap w:val="0"/>
                  <w:vAlign w:val="top"/>
                </w:tcPr>
                <w:p w14:paraId="15DDEE0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D98F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5800AF3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AF548E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21#</w:t>
                  </w:r>
                  <w:r>
                    <w:rPr>
                      <w:rFonts w:hint="default" w:ascii="Times New Roman" w:hAnsi="Times New Roman" w:cs="Times New Roman"/>
                      <w:color w:val="000000"/>
                      <w:spacing w:val="6"/>
                      <w:sz w:val="21"/>
                      <w:szCs w:val="21"/>
                    </w:rPr>
                    <w:t>散居农户</w:t>
                  </w:r>
                </w:p>
              </w:tc>
              <w:tc>
                <w:tcPr>
                  <w:tcW w:w="2243" w:type="dxa"/>
                  <w:noWrap w:val="0"/>
                  <w:vAlign w:val="center"/>
                </w:tcPr>
                <w:p w14:paraId="34294205">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6"/>
                      <w:sz w:val="21"/>
                      <w:szCs w:val="21"/>
                    </w:rPr>
                    <w:t xml:space="preserve"> </w:t>
                  </w:r>
                  <w:r>
                    <w:rPr>
                      <w:rFonts w:hint="default" w:ascii="Times New Roman" w:hAnsi="Times New Roman" w:eastAsia="Times New Roman" w:cs="Times New Roman"/>
                      <w:color w:val="000000"/>
                      <w:spacing w:val="3"/>
                      <w:sz w:val="21"/>
                      <w:szCs w:val="21"/>
                    </w:rPr>
                    <w:t xml:space="preserve">20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60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3AC25B6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南侧</w:t>
                  </w:r>
                </w:p>
              </w:tc>
              <w:tc>
                <w:tcPr>
                  <w:tcW w:w="1275" w:type="dxa"/>
                  <w:noWrap w:val="0"/>
                  <w:vAlign w:val="center"/>
                </w:tcPr>
                <w:p w14:paraId="2136793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385</w:t>
                  </w:r>
                </w:p>
              </w:tc>
              <w:tc>
                <w:tcPr>
                  <w:tcW w:w="1202" w:type="dxa"/>
                  <w:vMerge w:val="continue"/>
                  <w:noWrap w:val="0"/>
                  <w:vAlign w:val="top"/>
                </w:tcPr>
                <w:p w14:paraId="61C49AB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049D1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DCEE14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C763D78">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22#</w:t>
                  </w:r>
                  <w:r>
                    <w:rPr>
                      <w:rFonts w:hint="default" w:ascii="Times New Roman" w:hAnsi="Times New Roman" w:cs="Times New Roman"/>
                      <w:color w:val="000000"/>
                      <w:spacing w:val="6"/>
                      <w:sz w:val="21"/>
                      <w:szCs w:val="21"/>
                    </w:rPr>
                    <w:t>散居农户</w:t>
                  </w:r>
                </w:p>
              </w:tc>
              <w:tc>
                <w:tcPr>
                  <w:tcW w:w="2243" w:type="dxa"/>
                  <w:noWrap w:val="0"/>
                  <w:vAlign w:val="center"/>
                </w:tcPr>
                <w:p w14:paraId="4EFAD40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4"/>
                      <w:sz w:val="21"/>
                      <w:szCs w:val="21"/>
                    </w:rPr>
                    <w:t xml:space="preserve"> </w:t>
                  </w:r>
                  <w:r>
                    <w:rPr>
                      <w:rFonts w:hint="default" w:ascii="Times New Roman" w:hAnsi="Times New Roman" w:eastAsia="Times New Roman" w:cs="Times New Roman"/>
                      <w:color w:val="000000"/>
                      <w:spacing w:val="1"/>
                      <w:sz w:val="21"/>
                      <w:szCs w:val="21"/>
                    </w:rPr>
                    <w:t>8</w:t>
                  </w:r>
                  <w:r>
                    <w:rPr>
                      <w:rFonts w:hint="default" w:ascii="Times New Roman" w:hAnsi="Times New Roman" w:eastAsia="Times New Roman" w:cs="Times New Roman"/>
                      <w:color w:val="000000"/>
                      <w:spacing w:val="12"/>
                      <w:w w:val="101"/>
                      <w:sz w:val="21"/>
                      <w:szCs w:val="21"/>
                    </w:rPr>
                    <w:t xml:space="preserve">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24</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37347295">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南侧</w:t>
                  </w:r>
                </w:p>
              </w:tc>
              <w:tc>
                <w:tcPr>
                  <w:tcW w:w="1275" w:type="dxa"/>
                  <w:noWrap w:val="0"/>
                  <w:vAlign w:val="center"/>
                </w:tcPr>
                <w:p w14:paraId="0F4202D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297</w:t>
                  </w:r>
                </w:p>
              </w:tc>
              <w:tc>
                <w:tcPr>
                  <w:tcW w:w="1202" w:type="dxa"/>
                  <w:vMerge w:val="continue"/>
                  <w:noWrap w:val="0"/>
                  <w:vAlign w:val="top"/>
                </w:tcPr>
                <w:p w14:paraId="3F69E20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643F2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F42398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5FC97F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23#</w:t>
                  </w:r>
                  <w:r>
                    <w:rPr>
                      <w:rFonts w:hint="default" w:ascii="Times New Roman" w:hAnsi="Times New Roman" w:cs="Times New Roman"/>
                      <w:color w:val="000000"/>
                      <w:spacing w:val="6"/>
                      <w:sz w:val="21"/>
                      <w:szCs w:val="21"/>
                    </w:rPr>
                    <w:t>散居农户</w:t>
                  </w:r>
                </w:p>
              </w:tc>
              <w:tc>
                <w:tcPr>
                  <w:tcW w:w="2243" w:type="dxa"/>
                  <w:noWrap w:val="0"/>
                  <w:vAlign w:val="center"/>
                </w:tcPr>
                <w:p w14:paraId="738A1C1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18"/>
                      <w:sz w:val="21"/>
                      <w:szCs w:val="21"/>
                    </w:rPr>
                    <w:t xml:space="preserve"> </w:t>
                  </w:r>
                  <w:r>
                    <w:rPr>
                      <w:rFonts w:hint="default" w:ascii="Times New Roman" w:hAnsi="Times New Roman" w:eastAsia="Times New Roman" w:cs="Times New Roman"/>
                      <w:color w:val="000000"/>
                      <w:spacing w:val="1"/>
                      <w:sz w:val="21"/>
                      <w:szCs w:val="21"/>
                    </w:rPr>
                    <w:t xml:space="preserve">16 </w:t>
                  </w:r>
                  <w:r>
                    <w:rPr>
                      <w:rFonts w:hint="default" w:ascii="Times New Roman" w:hAnsi="Times New Roman" w:cs="Times New Roman"/>
                      <w:color w:val="000000"/>
                      <w:spacing w:val="1"/>
                      <w:sz w:val="21"/>
                      <w:szCs w:val="21"/>
                    </w:rPr>
                    <w:t>户，</w:t>
                  </w:r>
                  <w:r>
                    <w:rPr>
                      <w:rFonts w:hint="default" w:ascii="Times New Roman" w:hAnsi="Times New Roman" w:eastAsia="Times New Roman" w:cs="Times New Roman"/>
                      <w:color w:val="000000"/>
                      <w:spacing w:val="1"/>
                      <w:sz w:val="21"/>
                      <w:szCs w:val="21"/>
                    </w:rPr>
                    <w:t>48</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6FB109F8">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2"/>
                      <w:sz w:val="21"/>
                      <w:szCs w:val="21"/>
                    </w:rPr>
                    <w:t>西侧</w:t>
                  </w:r>
                </w:p>
              </w:tc>
              <w:tc>
                <w:tcPr>
                  <w:tcW w:w="1275" w:type="dxa"/>
                  <w:noWrap w:val="0"/>
                  <w:vAlign w:val="center"/>
                </w:tcPr>
                <w:p w14:paraId="0A8C42F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884</w:t>
                  </w:r>
                </w:p>
              </w:tc>
              <w:tc>
                <w:tcPr>
                  <w:tcW w:w="1202" w:type="dxa"/>
                  <w:vMerge w:val="continue"/>
                  <w:noWrap w:val="0"/>
                  <w:vAlign w:val="top"/>
                </w:tcPr>
                <w:p w14:paraId="1CECE27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43AD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918A3F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F2CA1D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24#</w:t>
                  </w:r>
                  <w:r>
                    <w:rPr>
                      <w:rFonts w:hint="default" w:ascii="Times New Roman" w:hAnsi="Times New Roman" w:cs="Times New Roman"/>
                      <w:color w:val="000000"/>
                      <w:spacing w:val="6"/>
                      <w:sz w:val="21"/>
                      <w:szCs w:val="21"/>
                    </w:rPr>
                    <w:t>散居农户</w:t>
                  </w:r>
                </w:p>
              </w:tc>
              <w:tc>
                <w:tcPr>
                  <w:tcW w:w="2243" w:type="dxa"/>
                  <w:noWrap w:val="0"/>
                  <w:vAlign w:val="center"/>
                </w:tcPr>
                <w:p w14:paraId="639E578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6"/>
                      <w:sz w:val="21"/>
                      <w:szCs w:val="21"/>
                    </w:rPr>
                    <w:t xml:space="preserve"> </w:t>
                  </w:r>
                  <w:r>
                    <w:rPr>
                      <w:rFonts w:hint="default" w:ascii="Times New Roman" w:hAnsi="Times New Roman" w:eastAsia="Times New Roman" w:cs="Times New Roman"/>
                      <w:color w:val="000000"/>
                      <w:spacing w:val="3"/>
                      <w:sz w:val="21"/>
                      <w:szCs w:val="21"/>
                    </w:rPr>
                    <w:t xml:space="preserve">20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60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4ECFA85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2"/>
                      <w:sz w:val="21"/>
                      <w:szCs w:val="21"/>
                    </w:rPr>
                    <w:t>西侧</w:t>
                  </w:r>
                </w:p>
              </w:tc>
              <w:tc>
                <w:tcPr>
                  <w:tcW w:w="1275" w:type="dxa"/>
                  <w:noWrap w:val="0"/>
                  <w:vAlign w:val="center"/>
                </w:tcPr>
                <w:p w14:paraId="498F393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910</w:t>
                  </w:r>
                </w:p>
              </w:tc>
              <w:tc>
                <w:tcPr>
                  <w:tcW w:w="1202" w:type="dxa"/>
                  <w:vMerge w:val="continue"/>
                  <w:noWrap w:val="0"/>
                  <w:vAlign w:val="top"/>
                </w:tcPr>
                <w:p w14:paraId="6B806B6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BB35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756310C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F2551E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w:t>
                  </w:r>
                  <w:r>
                    <w:rPr>
                      <w:rFonts w:hint="eastAsia" w:ascii="Times New Roman" w:hAnsi="Times New Roman" w:eastAsia="宋体" w:cs="Times New Roman"/>
                      <w:color w:val="000000"/>
                      <w:spacing w:val="6"/>
                      <w:sz w:val="21"/>
                      <w:szCs w:val="21"/>
                      <w:lang w:val="en-US" w:eastAsia="zh-CN"/>
                    </w:rPr>
                    <w:t>5</w:t>
                  </w:r>
                  <w:r>
                    <w:rPr>
                      <w:rFonts w:hint="default" w:ascii="Times New Roman" w:hAnsi="Times New Roman" w:eastAsia="Times New Roman" w:cs="Times New Roman"/>
                      <w:color w:val="000000"/>
                      <w:spacing w:val="6"/>
                      <w:sz w:val="21"/>
                      <w:szCs w:val="21"/>
                    </w:rPr>
                    <w:t>#</w:t>
                  </w:r>
                  <w:r>
                    <w:rPr>
                      <w:rFonts w:hint="default" w:ascii="Times New Roman" w:hAnsi="Times New Roman" w:cs="Times New Roman"/>
                      <w:color w:val="000000"/>
                      <w:spacing w:val="6"/>
                      <w:sz w:val="21"/>
                      <w:szCs w:val="21"/>
                    </w:rPr>
                    <w:t>散居农户</w:t>
                  </w:r>
                </w:p>
              </w:tc>
              <w:tc>
                <w:tcPr>
                  <w:tcW w:w="2243" w:type="dxa"/>
                  <w:noWrap w:val="0"/>
                  <w:vAlign w:val="center"/>
                </w:tcPr>
                <w:p w14:paraId="4A66980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约</w:t>
                  </w:r>
                  <w:r>
                    <w:rPr>
                      <w:rFonts w:hint="default" w:ascii="Times New Roman" w:hAnsi="Times New Roman" w:cs="Times New Roman"/>
                      <w:color w:val="000000"/>
                      <w:spacing w:val="-22"/>
                      <w:sz w:val="21"/>
                      <w:szCs w:val="21"/>
                    </w:rPr>
                    <w:t xml:space="preserve"> </w:t>
                  </w:r>
                  <w:r>
                    <w:rPr>
                      <w:rFonts w:hint="default" w:ascii="Times New Roman" w:hAnsi="Times New Roman" w:eastAsia="Times New Roman" w:cs="Times New Roman"/>
                      <w:color w:val="000000"/>
                      <w:spacing w:val="-6"/>
                      <w:sz w:val="21"/>
                      <w:szCs w:val="21"/>
                    </w:rPr>
                    <w:t>1</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6"/>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6"/>
                      <w:sz w:val="21"/>
                      <w:szCs w:val="21"/>
                    </w:rPr>
                    <w:t>，</w:t>
                  </w:r>
                  <w:r>
                    <w:rPr>
                      <w:rFonts w:hint="default" w:ascii="Times New Roman" w:hAnsi="Times New Roman" w:eastAsia="Times New Roman" w:cs="Times New Roman"/>
                      <w:color w:val="000000"/>
                      <w:spacing w:val="-6"/>
                      <w:sz w:val="21"/>
                      <w:szCs w:val="21"/>
                    </w:rPr>
                    <w:t>3</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6"/>
                      <w:sz w:val="21"/>
                      <w:szCs w:val="21"/>
                    </w:rPr>
                    <w:t>人</w:t>
                  </w:r>
                </w:p>
              </w:tc>
              <w:tc>
                <w:tcPr>
                  <w:tcW w:w="956" w:type="dxa"/>
                  <w:noWrap w:val="0"/>
                  <w:vAlign w:val="center"/>
                </w:tcPr>
                <w:p w14:paraId="232CBA0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eastAsia" w:ascii="Times New Roman" w:hAnsi="Times New Roman" w:cs="Times New Roman"/>
                      <w:color w:val="000000"/>
                      <w:spacing w:val="3"/>
                      <w:sz w:val="21"/>
                      <w:szCs w:val="21"/>
                      <w:lang w:val="en-US" w:eastAsia="zh-CN"/>
                    </w:rPr>
                    <w:t>东</w:t>
                  </w:r>
                  <w:r>
                    <w:rPr>
                      <w:rFonts w:hint="default" w:ascii="Times New Roman" w:hAnsi="Times New Roman" w:cs="Times New Roman"/>
                      <w:color w:val="000000"/>
                      <w:spacing w:val="3"/>
                      <w:sz w:val="21"/>
                      <w:szCs w:val="21"/>
                    </w:rPr>
                    <w:t>北侧</w:t>
                  </w:r>
                </w:p>
              </w:tc>
              <w:tc>
                <w:tcPr>
                  <w:tcW w:w="1275" w:type="dxa"/>
                  <w:noWrap w:val="0"/>
                  <w:vAlign w:val="center"/>
                </w:tcPr>
                <w:p w14:paraId="61239F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656</w:t>
                  </w:r>
                </w:p>
              </w:tc>
              <w:tc>
                <w:tcPr>
                  <w:tcW w:w="1202" w:type="dxa"/>
                  <w:vMerge w:val="continue"/>
                  <w:noWrap w:val="0"/>
                  <w:vAlign w:val="top"/>
                </w:tcPr>
                <w:p w14:paraId="0C8745A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39F2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2C1328F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53C038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w:t>
                  </w:r>
                  <w:r>
                    <w:rPr>
                      <w:rFonts w:hint="eastAsia" w:ascii="Times New Roman" w:hAnsi="Times New Roman" w:eastAsia="宋体" w:cs="Times New Roman"/>
                      <w:color w:val="000000"/>
                      <w:spacing w:val="6"/>
                      <w:sz w:val="21"/>
                      <w:szCs w:val="21"/>
                      <w:lang w:val="en-US" w:eastAsia="zh-CN"/>
                    </w:rPr>
                    <w:t>6</w:t>
                  </w:r>
                  <w:r>
                    <w:rPr>
                      <w:rFonts w:hint="default" w:ascii="Times New Roman" w:hAnsi="Times New Roman" w:eastAsia="Times New Roman" w:cs="Times New Roman"/>
                      <w:color w:val="000000"/>
                      <w:spacing w:val="6"/>
                      <w:sz w:val="21"/>
                      <w:szCs w:val="21"/>
                    </w:rPr>
                    <w:t>#</w:t>
                  </w:r>
                  <w:r>
                    <w:rPr>
                      <w:rFonts w:hint="default" w:ascii="Times New Roman" w:hAnsi="Times New Roman" w:cs="Times New Roman"/>
                      <w:color w:val="000000"/>
                      <w:spacing w:val="6"/>
                      <w:sz w:val="21"/>
                      <w:szCs w:val="21"/>
                    </w:rPr>
                    <w:t>散居农户</w:t>
                  </w:r>
                </w:p>
              </w:tc>
              <w:tc>
                <w:tcPr>
                  <w:tcW w:w="2243" w:type="dxa"/>
                  <w:noWrap w:val="0"/>
                  <w:vAlign w:val="center"/>
                </w:tcPr>
                <w:p w14:paraId="297E1F9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40"/>
                      <w:sz w:val="21"/>
                      <w:szCs w:val="21"/>
                    </w:rPr>
                    <w:t xml:space="preserve"> </w:t>
                  </w:r>
                  <w:r>
                    <w:rPr>
                      <w:rFonts w:hint="default" w:ascii="Times New Roman" w:hAnsi="Times New Roman" w:eastAsia="Times New Roman" w:cs="Times New Roman"/>
                      <w:color w:val="000000"/>
                      <w:spacing w:val="-3"/>
                      <w:sz w:val="21"/>
                      <w:szCs w:val="21"/>
                    </w:rPr>
                    <w:t>2</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3"/>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3"/>
                      <w:sz w:val="21"/>
                      <w:szCs w:val="21"/>
                    </w:rPr>
                    <w:t>，</w:t>
                  </w:r>
                  <w:r>
                    <w:rPr>
                      <w:rFonts w:hint="default" w:ascii="Times New Roman" w:hAnsi="Times New Roman" w:eastAsia="Times New Roman" w:cs="Times New Roman"/>
                      <w:color w:val="000000"/>
                      <w:spacing w:val="-3"/>
                      <w:sz w:val="21"/>
                      <w:szCs w:val="21"/>
                    </w:rPr>
                    <w:t>6</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4894EE8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eastAsia" w:ascii="Times New Roman" w:hAnsi="Times New Roman" w:cs="Times New Roman"/>
                      <w:color w:val="000000"/>
                      <w:spacing w:val="3"/>
                      <w:sz w:val="21"/>
                      <w:szCs w:val="21"/>
                      <w:lang w:val="en-US" w:eastAsia="zh-CN"/>
                    </w:rPr>
                    <w:t>东</w:t>
                  </w:r>
                  <w:r>
                    <w:rPr>
                      <w:rFonts w:hint="default" w:ascii="Times New Roman" w:hAnsi="Times New Roman" w:cs="Times New Roman"/>
                      <w:color w:val="000000"/>
                      <w:spacing w:val="3"/>
                      <w:sz w:val="21"/>
                      <w:szCs w:val="21"/>
                    </w:rPr>
                    <w:t>北侧</w:t>
                  </w:r>
                </w:p>
              </w:tc>
              <w:tc>
                <w:tcPr>
                  <w:tcW w:w="1275" w:type="dxa"/>
                  <w:noWrap w:val="0"/>
                  <w:vAlign w:val="center"/>
                </w:tcPr>
                <w:p w14:paraId="3E1F213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598</w:t>
                  </w:r>
                </w:p>
              </w:tc>
              <w:tc>
                <w:tcPr>
                  <w:tcW w:w="1202" w:type="dxa"/>
                  <w:vMerge w:val="continue"/>
                  <w:noWrap w:val="0"/>
                  <w:vAlign w:val="top"/>
                </w:tcPr>
                <w:p w14:paraId="42D4D63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8E26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31158F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5D0223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w:t>
                  </w:r>
                  <w:r>
                    <w:rPr>
                      <w:rFonts w:hint="eastAsia" w:ascii="Times New Roman" w:hAnsi="Times New Roman" w:eastAsia="宋体" w:cs="Times New Roman"/>
                      <w:color w:val="000000"/>
                      <w:spacing w:val="6"/>
                      <w:sz w:val="21"/>
                      <w:szCs w:val="21"/>
                      <w:lang w:val="en-US" w:eastAsia="zh-CN"/>
                    </w:rPr>
                    <w:t>7</w:t>
                  </w:r>
                  <w:r>
                    <w:rPr>
                      <w:rFonts w:hint="default" w:ascii="Times New Roman" w:hAnsi="Times New Roman" w:eastAsia="Times New Roman" w:cs="Times New Roman"/>
                      <w:color w:val="000000"/>
                      <w:spacing w:val="6"/>
                      <w:sz w:val="21"/>
                      <w:szCs w:val="21"/>
                    </w:rPr>
                    <w:t>#</w:t>
                  </w:r>
                  <w:r>
                    <w:rPr>
                      <w:rFonts w:hint="default" w:ascii="Times New Roman" w:hAnsi="Times New Roman" w:cs="Times New Roman"/>
                      <w:color w:val="000000"/>
                      <w:spacing w:val="6"/>
                      <w:sz w:val="21"/>
                      <w:szCs w:val="21"/>
                    </w:rPr>
                    <w:t>散居农户</w:t>
                  </w:r>
                </w:p>
              </w:tc>
              <w:tc>
                <w:tcPr>
                  <w:tcW w:w="2243" w:type="dxa"/>
                  <w:noWrap w:val="0"/>
                  <w:vAlign w:val="center"/>
                </w:tcPr>
                <w:p w14:paraId="32E38C2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约</w:t>
                  </w:r>
                  <w:r>
                    <w:rPr>
                      <w:rFonts w:hint="default" w:ascii="Times New Roman" w:hAnsi="Times New Roman" w:cs="Times New Roman"/>
                      <w:color w:val="000000"/>
                      <w:spacing w:val="-22"/>
                      <w:sz w:val="21"/>
                      <w:szCs w:val="21"/>
                    </w:rPr>
                    <w:t xml:space="preserve"> </w:t>
                  </w:r>
                  <w:r>
                    <w:rPr>
                      <w:rFonts w:hint="default" w:ascii="Times New Roman" w:hAnsi="Times New Roman" w:eastAsia="Times New Roman" w:cs="Times New Roman"/>
                      <w:color w:val="000000"/>
                      <w:spacing w:val="-6"/>
                      <w:sz w:val="21"/>
                      <w:szCs w:val="21"/>
                    </w:rPr>
                    <w:t>1</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6"/>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6"/>
                      <w:sz w:val="21"/>
                      <w:szCs w:val="21"/>
                    </w:rPr>
                    <w:t>，</w:t>
                  </w:r>
                  <w:r>
                    <w:rPr>
                      <w:rFonts w:hint="default" w:ascii="Times New Roman" w:hAnsi="Times New Roman" w:eastAsia="Times New Roman" w:cs="Times New Roman"/>
                      <w:color w:val="000000"/>
                      <w:spacing w:val="-6"/>
                      <w:sz w:val="21"/>
                      <w:szCs w:val="21"/>
                    </w:rPr>
                    <w:t>3</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6"/>
                      <w:sz w:val="21"/>
                      <w:szCs w:val="21"/>
                    </w:rPr>
                    <w:t>人</w:t>
                  </w:r>
                </w:p>
              </w:tc>
              <w:tc>
                <w:tcPr>
                  <w:tcW w:w="956" w:type="dxa"/>
                  <w:noWrap w:val="0"/>
                  <w:vAlign w:val="center"/>
                </w:tcPr>
                <w:p w14:paraId="31348E1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eastAsia" w:ascii="Times New Roman" w:hAnsi="Times New Roman" w:cs="Times New Roman"/>
                      <w:color w:val="000000"/>
                      <w:spacing w:val="3"/>
                      <w:sz w:val="21"/>
                      <w:szCs w:val="21"/>
                      <w:lang w:val="en-US" w:eastAsia="zh-CN"/>
                    </w:rPr>
                    <w:t>东</w:t>
                  </w:r>
                  <w:r>
                    <w:rPr>
                      <w:rFonts w:hint="default" w:ascii="Times New Roman" w:hAnsi="Times New Roman" w:cs="Times New Roman"/>
                      <w:color w:val="000000"/>
                      <w:spacing w:val="3"/>
                      <w:sz w:val="21"/>
                      <w:szCs w:val="21"/>
                    </w:rPr>
                    <w:t>北侧</w:t>
                  </w:r>
                </w:p>
              </w:tc>
              <w:tc>
                <w:tcPr>
                  <w:tcW w:w="1275" w:type="dxa"/>
                  <w:noWrap w:val="0"/>
                  <w:vAlign w:val="center"/>
                </w:tcPr>
                <w:p w14:paraId="1A55114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531</w:t>
                  </w:r>
                </w:p>
              </w:tc>
              <w:tc>
                <w:tcPr>
                  <w:tcW w:w="1202" w:type="dxa"/>
                  <w:vMerge w:val="continue"/>
                  <w:noWrap w:val="0"/>
                  <w:vAlign w:val="top"/>
                </w:tcPr>
                <w:p w14:paraId="1F8865F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E323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E15621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7E4567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eastAsia="Times New Roman" w:cs="Times New Roman"/>
                      <w:color w:val="000000"/>
                      <w:spacing w:val="6"/>
                      <w:sz w:val="21"/>
                      <w:szCs w:val="21"/>
                    </w:rPr>
                    <w:t>2</w:t>
                  </w:r>
                  <w:r>
                    <w:rPr>
                      <w:rFonts w:hint="eastAsia" w:ascii="Times New Roman" w:hAnsi="Times New Roman" w:eastAsia="宋体" w:cs="Times New Roman"/>
                      <w:color w:val="000000"/>
                      <w:spacing w:val="6"/>
                      <w:sz w:val="21"/>
                      <w:szCs w:val="21"/>
                      <w:lang w:val="en-US" w:eastAsia="zh-CN"/>
                    </w:rPr>
                    <w:t>8</w:t>
                  </w:r>
                  <w:r>
                    <w:rPr>
                      <w:rFonts w:hint="default" w:ascii="Times New Roman" w:hAnsi="Times New Roman" w:eastAsia="Times New Roman" w:cs="Times New Roman"/>
                      <w:color w:val="000000"/>
                      <w:spacing w:val="6"/>
                      <w:sz w:val="21"/>
                      <w:szCs w:val="21"/>
                    </w:rPr>
                    <w:t>#</w:t>
                  </w:r>
                  <w:r>
                    <w:rPr>
                      <w:rFonts w:hint="default" w:ascii="Times New Roman" w:hAnsi="Times New Roman" w:cs="Times New Roman"/>
                      <w:color w:val="000000"/>
                      <w:spacing w:val="6"/>
                      <w:sz w:val="21"/>
                      <w:szCs w:val="21"/>
                    </w:rPr>
                    <w:t>散居农户</w:t>
                  </w:r>
                </w:p>
              </w:tc>
              <w:tc>
                <w:tcPr>
                  <w:tcW w:w="2243" w:type="dxa"/>
                  <w:noWrap w:val="0"/>
                  <w:vAlign w:val="center"/>
                </w:tcPr>
                <w:p w14:paraId="613BB05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约</w:t>
                  </w:r>
                  <w:r>
                    <w:rPr>
                      <w:rFonts w:hint="default" w:ascii="Times New Roman" w:hAnsi="Times New Roman" w:cs="Times New Roman"/>
                      <w:color w:val="000000"/>
                      <w:spacing w:val="-22"/>
                      <w:sz w:val="21"/>
                      <w:szCs w:val="21"/>
                    </w:rPr>
                    <w:t xml:space="preserve"> </w:t>
                  </w:r>
                  <w:r>
                    <w:rPr>
                      <w:rFonts w:hint="default" w:ascii="Times New Roman" w:hAnsi="Times New Roman" w:eastAsia="Times New Roman" w:cs="Times New Roman"/>
                      <w:color w:val="000000"/>
                      <w:spacing w:val="-6"/>
                      <w:sz w:val="21"/>
                      <w:szCs w:val="21"/>
                    </w:rPr>
                    <w:t>1</w:t>
                  </w:r>
                  <w:r>
                    <w:rPr>
                      <w:rFonts w:hint="default" w:ascii="Times New Roman" w:hAnsi="Times New Roman" w:eastAsia="Times New Roman" w:cs="Times New Roman"/>
                      <w:color w:val="000000"/>
                      <w:spacing w:val="13"/>
                      <w:sz w:val="21"/>
                      <w:szCs w:val="21"/>
                    </w:rPr>
                    <w:t xml:space="preserve"> </w:t>
                  </w:r>
                  <w:r>
                    <w:rPr>
                      <w:rFonts w:hint="default" w:ascii="Times New Roman" w:hAnsi="Times New Roman" w:cs="Times New Roman"/>
                      <w:color w:val="000000"/>
                      <w:spacing w:val="-6"/>
                      <w:sz w:val="21"/>
                      <w:szCs w:val="21"/>
                    </w:rPr>
                    <w:t>户</w:t>
                  </w:r>
                  <w:r>
                    <w:rPr>
                      <w:rFonts w:hint="default" w:ascii="Times New Roman" w:hAnsi="Times New Roman" w:cs="Times New Roman"/>
                      <w:color w:val="000000"/>
                      <w:spacing w:val="-75"/>
                      <w:sz w:val="21"/>
                      <w:szCs w:val="21"/>
                    </w:rPr>
                    <w:t xml:space="preserve"> </w:t>
                  </w:r>
                  <w:r>
                    <w:rPr>
                      <w:rFonts w:hint="default" w:ascii="Times New Roman" w:hAnsi="Times New Roman" w:cs="Times New Roman"/>
                      <w:color w:val="000000"/>
                      <w:spacing w:val="-6"/>
                      <w:sz w:val="21"/>
                      <w:szCs w:val="21"/>
                    </w:rPr>
                    <w:t>，</w:t>
                  </w:r>
                  <w:r>
                    <w:rPr>
                      <w:rFonts w:hint="default" w:ascii="Times New Roman" w:hAnsi="Times New Roman" w:eastAsia="Times New Roman" w:cs="Times New Roman"/>
                      <w:color w:val="000000"/>
                      <w:spacing w:val="-6"/>
                      <w:sz w:val="21"/>
                      <w:szCs w:val="21"/>
                    </w:rPr>
                    <w:t>3</w:t>
                  </w:r>
                  <w:r>
                    <w:rPr>
                      <w:rFonts w:hint="default" w:ascii="Times New Roman" w:hAnsi="Times New Roman" w:eastAsia="Times New Roman" w:cs="Times New Roman"/>
                      <w:color w:val="000000"/>
                      <w:spacing w:val="14"/>
                      <w:sz w:val="21"/>
                      <w:szCs w:val="21"/>
                    </w:rPr>
                    <w:t xml:space="preserve"> </w:t>
                  </w:r>
                  <w:r>
                    <w:rPr>
                      <w:rFonts w:hint="default" w:ascii="Times New Roman" w:hAnsi="Times New Roman" w:cs="Times New Roman"/>
                      <w:color w:val="000000"/>
                      <w:spacing w:val="-6"/>
                      <w:sz w:val="21"/>
                      <w:szCs w:val="21"/>
                    </w:rPr>
                    <w:t>人</w:t>
                  </w:r>
                </w:p>
              </w:tc>
              <w:tc>
                <w:tcPr>
                  <w:tcW w:w="956" w:type="dxa"/>
                  <w:noWrap w:val="0"/>
                  <w:vAlign w:val="center"/>
                </w:tcPr>
                <w:p w14:paraId="35CFCDE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eastAsia" w:ascii="Times New Roman" w:hAnsi="Times New Roman" w:cs="Times New Roman"/>
                      <w:color w:val="000000"/>
                      <w:spacing w:val="3"/>
                      <w:sz w:val="21"/>
                      <w:szCs w:val="21"/>
                      <w:lang w:val="en-US" w:eastAsia="zh-CN"/>
                    </w:rPr>
                    <w:t>东</w:t>
                  </w:r>
                  <w:r>
                    <w:rPr>
                      <w:rFonts w:hint="default" w:ascii="Times New Roman" w:hAnsi="Times New Roman" w:cs="Times New Roman"/>
                      <w:color w:val="000000"/>
                      <w:spacing w:val="3"/>
                      <w:sz w:val="21"/>
                      <w:szCs w:val="21"/>
                    </w:rPr>
                    <w:t>北侧</w:t>
                  </w:r>
                </w:p>
              </w:tc>
              <w:tc>
                <w:tcPr>
                  <w:tcW w:w="1275" w:type="dxa"/>
                  <w:noWrap w:val="0"/>
                  <w:vAlign w:val="center"/>
                </w:tcPr>
                <w:p w14:paraId="14634A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450</w:t>
                  </w:r>
                </w:p>
              </w:tc>
              <w:tc>
                <w:tcPr>
                  <w:tcW w:w="1202" w:type="dxa"/>
                  <w:vMerge w:val="continue"/>
                  <w:noWrap w:val="0"/>
                  <w:vAlign w:val="top"/>
                </w:tcPr>
                <w:p w14:paraId="14BC9D6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94F0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FBB1D1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218C0DB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pacing w:val="6"/>
                      <w:sz w:val="21"/>
                      <w:szCs w:val="21"/>
                      <w:lang w:val="en-US" w:eastAsia="zh-CN"/>
                    </w:rPr>
                  </w:pPr>
                  <w:r>
                    <w:rPr>
                      <w:rFonts w:hint="eastAsia" w:ascii="Times New Roman" w:hAnsi="Times New Roman" w:eastAsia="宋体" w:cs="Times New Roman"/>
                      <w:color w:val="000000"/>
                      <w:spacing w:val="6"/>
                      <w:sz w:val="21"/>
                      <w:szCs w:val="21"/>
                      <w:lang w:val="en-US" w:eastAsia="zh-CN"/>
                    </w:rPr>
                    <w:t>公园城欢乐时光（在建）</w:t>
                  </w:r>
                </w:p>
              </w:tc>
              <w:tc>
                <w:tcPr>
                  <w:tcW w:w="2243" w:type="dxa"/>
                  <w:noWrap w:val="0"/>
                  <w:vAlign w:val="center"/>
                </w:tcPr>
                <w:p w14:paraId="273E4D2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在建（商业）</w:t>
                  </w:r>
                </w:p>
              </w:tc>
              <w:tc>
                <w:tcPr>
                  <w:tcW w:w="956" w:type="dxa"/>
                  <w:noWrap w:val="0"/>
                  <w:vAlign w:val="center"/>
                </w:tcPr>
                <w:p w14:paraId="3F91DEC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东北侧</w:t>
                  </w:r>
                </w:p>
              </w:tc>
              <w:tc>
                <w:tcPr>
                  <w:tcW w:w="1275" w:type="dxa"/>
                  <w:noWrap w:val="0"/>
                  <w:vAlign w:val="center"/>
                </w:tcPr>
                <w:p w14:paraId="38D3FFA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887</w:t>
                  </w:r>
                </w:p>
              </w:tc>
              <w:tc>
                <w:tcPr>
                  <w:tcW w:w="1202" w:type="dxa"/>
                  <w:vMerge w:val="continue"/>
                  <w:noWrap w:val="0"/>
                  <w:vAlign w:val="top"/>
                </w:tcPr>
                <w:p w14:paraId="582468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94A2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60" w:type="dxa"/>
                  <w:vMerge w:val="continue"/>
                  <w:noWrap w:val="0"/>
                  <w:vAlign w:val="center"/>
                </w:tcPr>
                <w:p w14:paraId="251906B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92CD31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7"/>
                      <w:sz w:val="21"/>
                      <w:szCs w:val="21"/>
                    </w:rPr>
                    <w:t>梅垭村</w:t>
                  </w:r>
                </w:p>
              </w:tc>
              <w:tc>
                <w:tcPr>
                  <w:tcW w:w="2243" w:type="dxa"/>
                  <w:noWrap w:val="0"/>
                  <w:vAlign w:val="center"/>
                </w:tcPr>
                <w:p w14:paraId="228978A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60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180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534E0FA5">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eastAsia" w:ascii="Times New Roman" w:hAnsi="Times New Roman" w:cs="Times New Roman"/>
                      <w:color w:val="000000"/>
                      <w:spacing w:val="3"/>
                      <w:sz w:val="21"/>
                      <w:szCs w:val="21"/>
                      <w:lang w:val="en-US" w:eastAsia="zh-CN"/>
                    </w:rPr>
                    <w:t>东</w:t>
                  </w:r>
                  <w:r>
                    <w:rPr>
                      <w:rFonts w:hint="default" w:ascii="Times New Roman" w:hAnsi="Times New Roman" w:cs="Times New Roman"/>
                      <w:color w:val="000000"/>
                      <w:spacing w:val="3"/>
                      <w:sz w:val="21"/>
                      <w:szCs w:val="21"/>
                    </w:rPr>
                    <w:t>南侧</w:t>
                  </w:r>
                </w:p>
              </w:tc>
              <w:tc>
                <w:tcPr>
                  <w:tcW w:w="1275" w:type="dxa"/>
                  <w:noWrap w:val="0"/>
                  <w:vAlign w:val="center"/>
                </w:tcPr>
                <w:p w14:paraId="0ED3DF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191</w:t>
                  </w:r>
                </w:p>
              </w:tc>
              <w:tc>
                <w:tcPr>
                  <w:tcW w:w="1202" w:type="dxa"/>
                  <w:vMerge w:val="continue"/>
                  <w:noWrap w:val="0"/>
                  <w:vAlign w:val="top"/>
                </w:tcPr>
                <w:p w14:paraId="4496390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06D6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960" w:type="dxa"/>
                  <w:vMerge w:val="continue"/>
                  <w:noWrap w:val="0"/>
                  <w:vAlign w:val="center"/>
                </w:tcPr>
                <w:p w14:paraId="4170AC6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9F792F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8"/>
                      <w:sz w:val="21"/>
                      <w:szCs w:val="21"/>
                    </w:rPr>
                    <w:t>平昌县星光实</w:t>
                  </w:r>
                  <w:r>
                    <w:rPr>
                      <w:rFonts w:hint="default" w:ascii="Times New Roman" w:hAnsi="Times New Roman" w:cs="Times New Roman"/>
                      <w:color w:val="000000"/>
                      <w:spacing w:val="7"/>
                      <w:sz w:val="21"/>
                      <w:szCs w:val="21"/>
                    </w:rPr>
                    <w:t>验学校</w:t>
                  </w:r>
                </w:p>
              </w:tc>
              <w:tc>
                <w:tcPr>
                  <w:tcW w:w="2243" w:type="dxa"/>
                  <w:noWrap w:val="0"/>
                  <w:vAlign w:val="center"/>
                </w:tcPr>
                <w:p w14:paraId="699A52E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约</w:t>
                  </w:r>
                  <w:r>
                    <w:rPr>
                      <w:rFonts w:hint="default" w:ascii="Times New Roman" w:hAnsi="Times New Roman" w:cs="Times New Roman"/>
                      <w:color w:val="000000"/>
                      <w:spacing w:val="-37"/>
                      <w:sz w:val="21"/>
                      <w:szCs w:val="21"/>
                    </w:rPr>
                    <w:t xml:space="preserve"> </w:t>
                  </w:r>
                  <w:r>
                    <w:rPr>
                      <w:rFonts w:hint="default" w:ascii="Times New Roman" w:hAnsi="Times New Roman" w:eastAsia="Times New Roman" w:cs="Times New Roman"/>
                      <w:color w:val="000000"/>
                      <w:sz w:val="21"/>
                      <w:szCs w:val="21"/>
                    </w:rPr>
                    <w:t>600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z w:val="21"/>
                      <w:szCs w:val="21"/>
                    </w:rPr>
                    <w:t>人</w:t>
                  </w:r>
                </w:p>
              </w:tc>
              <w:tc>
                <w:tcPr>
                  <w:tcW w:w="956" w:type="dxa"/>
                  <w:noWrap w:val="0"/>
                  <w:vAlign w:val="center"/>
                </w:tcPr>
                <w:p w14:paraId="3E4CE75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3706EB0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843</w:t>
                  </w:r>
                </w:p>
              </w:tc>
              <w:tc>
                <w:tcPr>
                  <w:tcW w:w="1202" w:type="dxa"/>
                  <w:vMerge w:val="continue"/>
                  <w:noWrap w:val="0"/>
                  <w:vAlign w:val="top"/>
                </w:tcPr>
                <w:p w14:paraId="062DEBF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A10A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CDA77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D5FE5F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7"/>
                      <w:sz w:val="21"/>
                      <w:szCs w:val="21"/>
                    </w:rPr>
                    <w:t>星光安置小区</w:t>
                  </w:r>
                </w:p>
              </w:tc>
              <w:tc>
                <w:tcPr>
                  <w:tcW w:w="2243" w:type="dxa"/>
                  <w:noWrap w:val="0"/>
                  <w:vAlign w:val="center"/>
                </w:tcPr>
                <w:p w14:paraId="488DC10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1"/>
                      <w:sz w:val="21"/>
                      <w:szCs w:val="21"/>
                    </w:rPr>
                    <w:t xml:space="preserve"> </w:t>
                  </w:r>
                  <w:r>
                    <w:rPr>
                      <w:rFonts w:hint="default" w:ascii="Times New Roman" w:hAnsi="Times New Roman" w:eastAsia="Times New Roman" w:cs="Times New Roman"/>
                      <w:color w:val="000000"/>
                      <w:spacing w:val="3"/>
                      <w:sz w:val="21"/>
                      <w:szCs w:val="21"/>
                    </w:rPr>
                    <w:t xml:space="preserve">500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1500</w:t>
                  </w:r>
                  <w:r>
                    <w:rPr>
                      <w:rFonts w:hint="default" w:ascii="Times New Roman" w:hAnsi="Times New Roman" w:eastAsia="Times New Roman" w:cs="Times New Roman"/>
                      <w:color w:val="000000"/>
                      <w:spacing w:val="12"/>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6551313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03828AB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1083</w:t>
                  </w:r>
                </w:p>
              </w:tc>
              <w:tc>
                <w:tcPr>
                  <w:tcW w:w="1202" w:type="dxa"/>
                  <w:vMerge w:val="continue"/>
                  <w:noWrap w:val="0"/>
                  <w:vAlign w:val="top"/>
                </w:tcPr>
                <w:p w14:paraId="7D0108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8D8F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960" w:type="dxa"/>
                  <w:vMerge w:val="continue"/>
                  <w:noWrap w:val="0"/>
                  <w:vAlign w:val="center"/>
                </w:tcPr>
                <w:p w14:paraId="18462A0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2135AD8">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7"/>
                      <w:sz w:val="21"/>
                      <w:szCs w:val="21"/>
                    </w:rPr>
                    <w:t>星光社区卫生服务中心</w:t>
                  </w:r>
                </w:p>
              </w:tc>
              <w:tc>
                <w:tcPr>
                  <w:tcW w:w="2243" w:type="dxa"/>
                  <w:noWrap w:val="0"/>
                  <w:vAlign w:val="center"/>
                </w:tcPr>
                <w:p w14:paraId="141090E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2"/>
                      <w:sz w:val="21"/>
                      <w:szCs w:val="21"/>
                    </w:rPr>
                    <w:t>约</w:t>
                  </w:r>
                  <w:r>
                    <w:rPr>
                      <w:rFonts w:hint="default" w:ascii="Times New Roman" w:hAnsi="Times New Roman" w:cs="Times New Roman"/>
                      <w:color w:val="000000"/>
                      <w:spacing w:val="-35"/>
                      <w:sz w:val="21"/>
                      <w:szCs w:val="21"/>
                    </w:rPr>
                    <w:t xml:space="preserve"> </w:t>
                  </w:r>
                  <w:r>
                    <w:rPr>
                      <w:rFonts w:hint="default" w:ascii="Times New Roman" w:hAnsi="Times New Roman" w:eastAsia="Times New Roman" w:cs="Times New Roman"/>
                      <w:color w:val="000000"/>
                      <w:spacing w:val="-2"/>
                      <w:sz w:val="21"/>
                      <w:szCs w:val="21"/>
                    </w:rPr>
                    <w:t>50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2"/>
                      <w:sz w:val="21"/>
                      <w:szCs w:val="21"/>
                    </w:rPr>
                    <w:t>人</w:t>
                  </w:r>
                </w:p>
              </w:tc>
              <w:tc>
                <w:tcPr>
                  <w:tcW w:w="956" w:type="dxa"/>
                  <w:noWrap w:val="0"/>
                  <w:vAlign w:val="center"/>
                </w:tcPr>
                <w:p w14:paraId="60F876F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0703C6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1070</w:t>
                  </w:r>
                </w:p>
              </w:tc>
              <w:tc>
                <w:tcPr>
                  <w:tcW w:w="1202" w:type="dxa"/>
                  <w:vMerge w:val="continue"/>
                  <w:noWrap w:val="0"/>
                  <w:vAlign w:val="top"/>
                </w:tcPr>
                <w:p w14:paraId="1DACCD3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0CD9D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1A5951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01D537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7"/>
                      <w:sz w:val="21"/>
                      <w:szCs w:val="21"/>
                    </w:rPr>
                    <w:t>秦巴本草药业</w:t>
                  </w:r>
                </w:p>
              </w:tc>
              <w:tc>
                <w:tcPr>
                  <w:tcW w:w="2243" w:type="dxa"/>
                  <w:noWrap w:val="0"/>
                  <w:vAlign w:val="center"/>
                </w:tcPr>
                <w:p w14:paraId="4282DB3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约</w:t>
                  </w:r>
                  <w:r>
                    <w:rPr>
                      <w:rFonts w:hint="default" w:ascii="Times New Roman" w:hAnsi="Times New Roman" w:cs="Times New Roman"/>
                      <w:color w:val="000000"/>
                      <w:spacing w:val="-39"/>
                      <w:sz w:val="21"/>
                      <w:szCs w:val="21"/>
                    </w:rPr>
                    <w:t xml:space="preserve"> </w:t>
                  </w:r>
                  <w:r>
                    <w:rPr>
                      <w:rFonts w:hint="default" w:ascii="Times New Roman" w:hAnsi="Times New Roman" w:eastAsia="Times New Roman" w:cs="Times New Roman"/>
                      <w:color w:val="000000"/>
                      <w:spacing w:val="-1"/>
                      <w:sz w:val="21"/>
                      <w:szCs w:val="21"/>
                    </w:rPr>
                    <w:t>30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1"/>
                      <w:sz w:val="21"/>
                      <w:szCs w:val="21"/>
                    </w:rPr>
                    <w:t>人</w:t>
                  </w:r>
                </w:p>
              </w:tc>
              <w:tc>
                <w:tcPr>
                  <w:tcW w:w="956" w:type="dxa"/>
                  <w:noWrap w:val="0"/>
                  <w:vAlign w:val="center"/>
                </w:tcPr>
                <w:p w14:paraId="14ACC52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南侧</w:t>
                  </w:r>
                </w:p>
              </w:tc>
              <w:tc>
                <w:tcPr>
                  <w:tcW w:w="1275" w:type="dxa"/>
                  <w:noWrap w:val="0"/>
                  <w:vAlign w:val="center"/>
                </w:tcPr>
                <w:p w14:paraId="35E4BB5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146</w:t>
                  </w:r>
                </w:p>
              </w:tc>
              <w:tc>
                <w:tcPr>
                  <w:tcW w:w="1202" w:type="dxa"/>
                  <w:vMerge w:val="continue"/>
                  <w:noWrap w:val="0"/>
                  <w:vAlign w:val="top"/>
                </w:tcPr>
                <w:p w14:paraId="3B15F23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7E5F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7151A5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25FFB70">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星光村</w:t>
                  </w:r>
                </w:p>
              </w:tc>
              <w:tc>
                <w:tcPr>
                  <w:tcW w:w="2243" w:type="dxa"/>
                  <w:noWrap w:val="0"/>
                  <w:vAlign w:val="center"/>
                </w:tcPr>
                <w:p w14:paraId="2492F52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35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105</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7CD5E817">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372D1B6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1191</w:t>
                  </w:r>
                </w:p>
              </w:tc>
              <w:tc>
                <w:tcPr>
                  <w:tcW w:w="1202" w:type="dxa"/>
                  <w:vMerge w:val="continue"/>
                  <w:noWrap w:val="0"/>
                  <w:vAlign w:val="top"/>
                </w:tcPr>
                <w:p w14:paraId="1D88111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07612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C30144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5414F08">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何家山</w:t>
                  </w:r>
                </w:p>
              </w:tc>
              <w:tc>
                <w:tcPr>
                  <w:tcW w:w="2243" w:type="dxa"/>
                  <w:noWrap w:val="0"/>
                  <w:vAlign w:val="center"/>
                </w:tcPr>
                <w:p w14:paraId="066B6B7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40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120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5E23A4E1">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1"/>
                      <w:sz w:val="21"/>
                      <w:szCs w:val="21"/>
                    </w:rPr>
                    <w:t>东侧</w:t>
                  </w:r>
                </w:p>
              </w:tc>
              <w:tc>
                <w:tcPr>
                  <w:tcW w:w="1275" w:type="dxa"/>
                  <w:noWrap w:val="0"/>
                  <w:vAlign w:val="center"/>
                </w:tcPr>
                <w:p w14:paraId="7E03FEC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883</w:t>
                  </w:r>
                </w:p>
              </w:tc>
              <w:tc>
                <w:tcPr>
                  <w:tcW w:w="1202" w:type="dxa"/>
                  <w:vMerge w:val="continue"/>
                  <w:noWrap w:val="0"/>
                  <w:vAlign w:val="top"/>
                </w:tcPr>
                <w:p w14:paraId="0B23E20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3386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960" w:type="dxa"/>
                  <w:vMerge w:val="continue"/>
                  <w:noWrap w:val="0"/>
                  <w:vAlign w:val="center"/>
                </w:tcPr>
                <w:p w14:paraId="49483D8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042D93A">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8"/>
                      <w:sz w:val="21"/>
                      <w:szCs w:val="21"/>
                    </w:rPr>
                    <w:t>平昌县公安局</w:t>
                  </w:r>
                </w:p>
                <w:p w14:paraId="5E0B1B2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7"/>
                      <w:sz w:val="21"/>
                      <w:szCs w:val="21"/>
                    </w:rPr>
                    <w:t>江口派出所</w:t>
                  </w:r>
                </w:p>
              </w:tc>
              <w:tc>
                <w:tcPr>
                  <w:tcW w:w="2243" w:type="dxa"/>
                  <w:noWrap w:val="0"/>
                  <w:vAlign w:val="center"/>
                </w:tcPr>
                <w:p w14:paraId="51C70592">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约</w:t>
                  </w:r>
                  <w:r>
                    <w:rPr>
                      <w:rFonts w:hint="default" w:ascii="Times New Roman" w:hAnsi="Times New Roman" w:cs="Times New Roman"/>
                      <w:color w:val="000000"/>
                      <w:spacing w:val="-23"/>
                      <w:sz w:val="21"/>
                      <w:szCs w:val="21"/>
                    </w:rPr>
                    <w:t xml:space="preserve"> </w:t>
                  </w:r>
                  <w:r>
                    <w:rPr>
                      <w:rFonts w:hint="default" w:ascii="Times New Roman" w:hAnsi="Times New Roman" w:eastAsia="Times New Roman" w:cs="Times New Roman"/>
                      <w:color w:val="000000"/>
                      <w:spacing w:val="-5"/>
                      <w:sz w:val="21"/>
                      <w:szCs w:val="21"/>
                    </w:rPr>
                    <w:t>10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5"/>
                      <w:sz w:val="21"/>
                      <w:szCs w:val="21"/>
                    </w:rPr>
                    <w:t>人</w:t>
                  </w:r>
                </w:p>
              </w:tc>
              <w:tc>
                <w:tcPr>
                  <w:tcW w:w="956" w:type="dxa"/>
                  <w:noWrap w:val="0"/>
                  <w:vAlign w:val="center"/>
                </w:tcPr>
                <w:p w14:paraId="0CEF280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06D459E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1335</w:t>
                  </w:r>
                </w:p>
              </w:tc>
              <w:tc>
                <w:tcPr>
                  <w:tcW w:w="1202" w:type="dxa"/>
                  <w:vMerge w:val="continue"/>
                  <w:noWrap w:val="0"/>
                  <w:vAlign w:val="top"/>
                </w:tcPr>
                <w:p w14:paraId="4C0BAFF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08DF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7AE9FF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2C490C7E">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4"/>
                      <w:sz w:val="21"/>
                      <w:szCs w:val="21"/>
                    </w:rPr>
                    <w:t>畅延米业</w:t>
                  </w:r>
                </w:p>
              </w:tc>
              <w:tc>
                <w:tcPr>
                  <w:tcW w:w="2243" w:type="dxa"/>
                  <w:noWrap w:val="0"/>
                  <w:vAlign w:val="center"/>
                </w:tcPr>
                <w:p w14:paraId="33809B2B">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约</w:t>
                  </w:r>
                  <w:r>
                    <w:rPr>
                      <w:rFonts w:hint="default" w:ascii="Times New Roman" w:hAnsi="Times New Roman" w:cs="Times New Roman"/>
                      <w:color w:val="000000"/>
                      <w:spacing w:val="-43"/>
                      <w:sz w:val="21"/>
                      <w:szCs w:val="21"/>
                    </w:rPr>
                    <w:t xml:space="preserve"> </w:t>
                  </w:r>
                  <w:r>
                    <w:rPr>
                      <w:rFonts w:hint="default" w:ascii="Times New Roman" w:hAnsi="Times New Roman" w:eastAsia="Times New Roman" w:cs="Times New Roman"/>
                      <w:color w:val="000000"/>
                      <w:sz w:val="21"/>
                      <w:szCs w:val="21"/>
                    </w:rPr>
                    <w:t>20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z w:val="21"/>
                      <w:szCs w:val="21"/>
                    </w:rPr>
                    <w:t>人</w:t>
                  </w:r>
                </w:p>
              </w:tc>
              <w:tc>
                <w:tcPr>
                  <w:tcW w:w="956" w:type="dxa"/>
                  <w:noWrap w:val="0"/>
                  <w:vAlign w:val="center"/>
                </w:tcPr>
                <w:p w14:paraId="7ECEDFE5">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6E751D2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1467</w:t>
                  </w:r>
                </w:p>
              </w:tc>
              <w:tc>
                <w:tcPr>
                  <w:tcW w:w="1202" w:type="dxa"/>
                  <w:vMerge w:val="continue"/>
                  <w:noWrap w:val="0"/>
                  <w:vAlign w:val="top"/>
                </w:tcPr>
                <w:p w14:paraId="348F68D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4899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0BA27D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646A851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6"/>
                      <w:sz w:val="21"/>
                      <w:szCs w:val="21"/>
                    </w:rPr>
                    <w:t>杜家坝</w:t>
                  </w:r>
                </w:p>
              </w:tc>
              <w:tc>
                <w:tcPr>
                  <w:tcW w:w="2243" w:type="dxa"/>
                  <w:noWrap w:val="0"/>
                  <w:vAlign w:val="center"/>
                </w:tcPr>
                <w:p w14:paraId="74F60D9C">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65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195</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2E364B46">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r>
                    <w:rPr>
                      <w:rFonts w:hint="default" w:ascii="Times New Roman" w:hAnsi="Times New Roman" w:cs="Times New Roman"/>
                      <w:color w:val="000000"/>
                      <w:spacing w:val="5"/>
                      <w:sz w:val="21"/>
                      <w:szCs w:val="21"/>
                    </w:rPr>
                    <w:t>西南侧</w:t>
                  </w:r>
                </w:p>
              </w:tc>
              <w:tc>
                <w:tcPr>
                  <w:tcW w:w="1275" w:type="dxa"/>
                  <w:noWrap w:val="0"/>
                  <w:vAlign w:val="center"/>
                </w:tcPr>
                <w:p w14:paraId="3DA6FDE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743</w:t>
                  </w:r>
                </w:p>
              </w:tc>
              <w:tc>
                <w:tcPr>
                  <w:tcW w:w="1202" w:type="dxa"/>
                  <w:vMerge w:val="continue"/>
                  <w:noWrap w:val="0"/>
                  <w:vAlign w:val="top"/>
                </w:tcPr>
                <w:p w14:paraId="2E60936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EF6A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772181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C2A4591">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en-US" w:bidi="ar-SA"/>
                    </w:rPr>
                  </w:pPr>
                  <w:r>
                    <w:rPr>
                      <w:rFonts w:hint="default" w:ascii="Times New Roman" w:hAnsi="Times New Roman" w:cs="Times New Roman"/>
                      <w:color w:val="000000"/>
                      <w:spacing w:val="6"/>
                      <w:sz w:val="21"/>
                      <w:szCs w:val="21"/>
                    </w:rPr>
                    <w:t>碾子湾</w:t>
                  </w:r>
                </w:p>
              </w:tc>
              <w:tc>
                <w:tcPr>
                  <w:tcW w:w="2243" w:type="dxa"/>
                  <w:noWrap w:val="0"/>
                  <w:vAlign w:val="center"/>
                </w:tcPr>
                <w:p w14:paraId="3721ACF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en-US" w:bidi="ar-SA"/>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60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180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23E87C0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en-US" w:bidi="ar-SA"/>
                    </w:rPr>
                  </w:pPr>
                  <w:r>
                    <w:rPr>
                      <w:rFonts w:hint="default" w:ascii="Times New Roman" w:hAnsi="Times New Roman" w:cs="Times New Roman"/>
                      <w:color w:val="000000"/>
                      <w:spacing w:val="5"/>
                      <w:sz w:val="21"/>
                      <w:szCs w:val="21"/>
                    </w:rPr>
                    <w:t>西北侧</w:t>
                  </w:r>
                </w:p>
              </w:tc>
              <w:tc>
                <w:tcPr>
                  <w:tcW w:w="1275" w:type="dxa"/>
                  <w:noWrap w:val="0"/>
                  <w:vAlign w:val="center"/>
                </w:tcPr>
                <w:p w14:paraId="585A62E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2357</w:t>
                  </w:r>
                </w:p>
              </w:tc>
              <w:tc>
                <w:tcPr>
                  <w:tcW w:w="1202" w:type="dxa"/>
                  <w:vMerge w:val="continue"/>
                  <w:noWrap w:val="0"/>
                  <w:vAlign w:val="top"/>
                </w:tcPr>
                <w:p w14:paraId="49C3471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EDA5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72282B4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25C39583">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歇凉树</w:t>
                  </w:r>
                </w:p>
              </w:tc>
              <w:tc>
                <w:tcPr>
                  <w:tcW w:w="2243" w:type="dxa"/>
                  <w:noWrap w:val="0"/>
                  <w:vAlign w:val="center"/>
                </w:tcPr>
                <w:p w14:paraId="6F92A1C1">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约30户，90人</w:t>
                  </w:r>
                </w:p>
              </w:tc>
              <w:tc>
                <w:tcPr>
                  <w:tcW w:w="956" w:type="dxa"/>
                  <w:noWrap w:val="0"/>
                  <w:vAlign w:val="center"/>
                </w:tcPr>
                <w:p w14:paraId="0AD51B8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rPr>
                  </w:pPr>
                  <w:r>
                    <w:rPr>
                      <w:rFonts w:hint="default" w:ascii="Times New Roman" w:hAnsi="Times New Roman" w:cs="Times New Roman"/>
                      <w:color w:val="000000"/>
                      <w:spacing w:val="5"/>
                      <w:sz w:val="21"/>
                      <w:szCs w:val="21"/>
                    </w:rPr>
                    <w:t>西北侧</w:t>
                  </w:r>
                </w:p>
              </w:tc>
              <w:tc>
                <w:tcPr>
                  <w:tcW w:w="1275" w:type="dxa"/>
                  <w:noWrap w:val="0"/>
                  <w:vAlign w:val="center"/>
                </w:tcPr>
                <w:p w14:paraId="288B4EC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1941</w:t>
                  </w:r>
                </w:p>
              </w:tc>
              <w:tc>
                <w:tcPr>
                  <w:tcW w:w="1202" w:type="dxa"/>
                  <w:vMerge w:val="continue"/>
                  <w:noWrap w:val="0"/>
                  <w:vAlign w:val="top"/>
                </w:tcPr>
                <w:p w14:paraId="62738B3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0262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1FCE97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872E42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兰家湾</w:t>
                  </w:r>
                </w:p>
              </w:tc>
              <w:tc>
                <w:tcPr>
                  <w:tcW w:w="2243" w:type="dxa"/>
                  <w:noWrap w:val="0"/>
                  <w:vAlign w:val="center"/>
                </w:tcPr>
                <w:p w14:paraId="3621DF97">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约30户，90人</w:t>
                  </w:r>
                </w:p>
              </w:tc>
              <w:tc>
                <w:tcPr>
                  <w:tcW w:w="956" w:type="dxa"/>
                  <w:noWrap w:val="0"/>
                  <w:vAlign w:val="center"/>
                </w:tcPr>
                <w:p w14:paraId="554C784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西北侧</w:t>
                  </w:r>
                </w:p>
              </w:tc>
              <w:tc>
                <w:tcPr>
                  <w:tcW w:w="1275" w:type="dxa"/>
                  <w:noWrap w:val="0"/>
                  <w:vAlign w:val="center"/>
                </w:tcPr>
                <w:p w14:paraId="5E47141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1860</w:t>
                  </w:r>
                </w:p>
              </w:tc>
              <w:tc>
                <w:tcPr>
                  <w:tcW w:w="1202" w:type="dxa"/>
                  <w:vMerge w:val="continue"/>
                  <w:noWrap w:val="0"/>
                  <w:vAlign w:val="top"/>
                </w:tcPr>
                <w:p w14:paraId="0775F31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F54B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0D3B94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FB5C145">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柴家院</w:t>
                  </w:r>
                </w:p>
              </w:tc>
              <w:tc>
                <w:tcPr>
                  <w:tcW w:w="2243" w:type="dxa"/>
                  <w:noWrap w:val="0"/>
                  <w:vAlign w:val="center"/>
                </w:tcPr>
                <w:p w14:paraId="044E2EE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约15户，45人</w:t>
                  </w:r>
                </w:p>
              </w:tc>
              <w:tc>
                <w:tcPr>
                  <w:tcW w:w="956" w:type="dxa"/>
                  <w:noWrap w:val="0"/>
                  <w:vAlign w:val="center"/>
                </w:tcPr>
                <w:p w14:paraId="4445AFD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北</w:t>
                  </w:r>
                  <w:r>
                    <w:rPr>
                      <w:rFonts w:hint="default" w:ascii="Times New Roman" w:hAnsi="Times New Roman" w:cs="Times New Roman"/>
                      <w:color w:val="000000"/>
                      <w:spacing w:val="4"/>
                      <w:sz w:val="21"/>
                      <w:szCs w:val="21"/>
                    </w:rPr>
                    <w:t>侧</w:t>
                  </w:r>
                </w:p>
              </w:tc>
              <w:tc>
                <w:tcPr>
                  <w:tcW w:w="1275" w:type="dxa"/>
                  <w:noWrap w:val="0"/>
                  <w:vAlign w:val="center"/>
                </w:tcPr>
                <w:p w14:paraId="31990E6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2158</w:t>
                  </w:r>
                </w:p>
              </w:tc>
              <w:tc>
                <w:tcPr>
                  <w:tcW w:w="1202" w:type="dxa"/>
                  <w:vMerge w:val="continue"/>
                  <w:noWrap w:val="0"/>
                  <w:vAlign w:val="top"/>
                </w:tcPr>
                <w:p w14:paraId="7CE1241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6C29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2AC3B91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D5361BD">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老坝屋</w:t>
                  </w:r>
                </w:p>
              </w:tc>
              <w:tc>
                <w:tcPr>
                  <w:tcW w:w="2243" w:type="dxa"/>
                  <w:noWrap w:val="0"/>
                  <w:vAlign w:val="center"/>
                </w:tcPr>
                <w:p w14:paraId="3FBBF21D">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约20户，60人</w:t>
                  </w:r>
                </w:p>
              </w:tc>
              <w:tc>
                <w:tcPr>
                  <w:tcW w:w="956" w:type="dxa"/>
                  <w:noWrap w:val="0"/>
                  <w:vAlign w:val="center"/>
                </w:tcPr>
                <w:p w14:paraId="3A142DA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北</w:t>
                  </w:r>
                  <w:r>
                    <w:rPr>
                      <w:rFonts w:hint="default" w:ascii="Times New Roman" w:hAnsi="Times New Roman" w:cs="Times New Roman"/>
                      <w:color w:val="000000"/>
                      <w:spacing w:val="4"/>
                      <w:sz w:val="21"/>
                      <w:szCs w:val="21"/>
                    </w:rPr>
                    <w:t>侧</w:t>
                  </w:r>
                </w:p>
              </w:tc>
              <w:tc>
                <w:tcPr>
                  <w:tcW w:w="1275" w:type="dxa"/>
                  <w:noWrap w:val="0"/>
                  <w:vAlign w:val="center"/>
                </w:tcPr>
                <w:p w14:paraId="7AAB38C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1676</w:t>
                  </w:r>
                </w:p>
              </w:tc>
              <w:tc>
                <w:tcPr>
                  <w:tcW w:w="1202" w:type="dxa"/>
                  <w:vMerge w:val="continue"/>
                  <w:noWrap w:val="0"/>
                  <w:vAlign w:val="top"/>
                </w:tcPr>
                <w:p w14:paraId="777F105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78F2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0809CF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5310672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水井湾</w:t>
                  </w:r>
                </w:p>
              </w:tc>
              <w:tc>
                <w:tcPr>
                  <w:tcW w:w="2243" w:type="dxa"/>
                  <w:noWrap w:val="0"/>
                  <w:vAlign w:val="center"/>
                </w:tcPr>
                <w:p w14:paraId="716FB81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约50户，150人</w:t>
                  </w:r>
                </w:p>
              </w:tc>
              <w:tc>
                <w:tcPr>
                  <w:tcW w:w="956" w:type="dxa"/>
                  <w:noWrap w:val="0"/>
                  <w:vAlign w:val="center"/>
                </w:tcPr>
                <w:p w14:paraId="47117D9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北</w:t>
                  </w:r>
                  <w:r>
                    <w:rPr>
                      <w:rFonts w:hint="default" w:ascii="Times New Roman" w:hAnsi="Times New Roman" w:cs="Times New Roman"/>
                      <w:color w:val="000000"/>
                      <w:spacing w:val="4"/>
                      <w:sz w:val="21"/>
                      <w:szCs w:val="21"/>
                    </w:rPr>
                    <w:t>侧</w:t>
                  </w:r>
                </w:p>
              </w:tc>
              <w:tc>
                <w:tcPr>
                  <w:tcW w:w="1275" w:type="dxa"/>
                  <w:noWrap w:val="0"/>
                  <w:vAlign w:val="center"/>
                </w:tcPr>
                <w:p w14:paraId="63F2A8B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1926</w:t>
                  </w:r>
                </w:p>
              </w:tc>
              <w:tc>
                <w:tcPr>
                  <w:tcW w:w="1202" w:type="dxa"/>
                  <w:vMerge w:val="continue"/>
                  <w:noWrap w:val="0"/>
                  <w:vAlign w:val="top"/>
                </w:tcPr>
                <w:p w14:paraId="76F3C4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FEC5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9CFA27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DE17A1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朽石坎</w:t>
                  </w:r>
                </w:p>
              </w:tc>
              <w:tc>
                <w:tcPr>
                  <w:tcW w:w="2243" w:type="dxa"/>
                  <w:noWrap w:val="0"/>
                  <w:vAlign w:val="center"/>
                </w:tcPr>
                <w:p w14:paraId="2CF3477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约20户，60人</w:t>
                  </w:r>
                </w:p>
              </w:tc>
              <w:tc>
                <w:tcPr>
                  <w:tcW w:w="956" w:type="dxa"/>
                  <w:noWrap w:val="0"/>
                  <w:vAlign w:val="center"/>
                </w:tcPr>
                <w:p w14:paraId="1365E7D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东北</w:t>
                  </w:r>
                  <w:r>
                    <w:rPr>
                      <w:rFonts w:hint="default" w:ascii="Times New Roman" w:hAnsi="Times New Roman" w:cs="Times New Roman"/>
                      <w:color w:val="000000"/>
                      <w:spacing w:val="4"/>
                      <w:sz w:val="21"/>
                      <w:szCs w:val="21"/>
                    </w:rPr>
                    <w:t>侧</w:t>
                  </w:r>
                </w:p>
              </w:tc>
              <w:tc>
                <w:tcPr>
                  <w:tcW w:w="1275" w:type="dxa"/>
                  <w:noWrap w:val="0"/>
                  <w:vAlign w:val="center"/>
                </w:tcPr>
                <w:p w14:paraId="5944F0F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1734</w:t>
                  </w:r>
                </w:p>
              </w:tc>
              <w:tc>
                <w:tcPr>
                  <w:tcW w:w="1202" w:type="dxa"/>
                  <w:vMerge w:val="continue"/>
                  <w:noWrap w:val="0"/>
                  <w:vAlign w:val="top"/>
                </w:tcPr>
                <w:p w14:paraId="7240A03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610D0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FEE953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424BEE1">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李家沟</w:t>
                  </w:r>
                </w:p>
              </w:tc>
              <w:tc>
                <w:tcPr>
                  <w:tcW w:w="2243" w:type="dxa"/>
                  <w:noWrap w:val="0"/>
                  <w:vAlign w:val="center"/>
                </w:tcPr>
                <w:p w14:paraId="39C6DDB3">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约50户，150人</w:t>
                  </w:r>
                </w:p>
              </w:tc>
              <w:tc>
                <w:tcPr>
                  <w:tcW w:w="956" w:type="dxa"/>
                  <w:noWrap w:val="0"/>
                  <w:vAlign w:val="center"/>
                </w:tcPr>
                <w:p w14:paraId="1D8DA3A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东北</w:t>
                  </w:r>
                  <w:r>
                    <w:rPr>
                      <w:rFonts w:hint="default" w:ascii="Times New Roman" w:hAnsi="Times New Roman" w:cs="Times New Roman"/>
                      <w:color w:val="000000"/>
                      <w:spacing w:val="4"/>
                      <w:sz w:val="21"/>
                      <w:szCs w:val="21"/>
                    </w:rPr>
                    <w:t>侧</w:t>
                  </w:r>
                </w:p>
              </w:tc>
              <w:tc>
                <w:tcPr>
                  <w:tcW w:w="1275" w:type="dxa"/>
                  <w:noWrap w:val="0"/>
                  <w:vAlign w:val="center"/>
                </w:tcPr>
                <w:p w14:paraId="592BE07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2288</w:t>
                  </w:r>
                </w:p>
              </w:tc>
              <w:tc>
                <w:tcPr>
                  <w:tcW w:w="1202" w:type="dxa"/>
                  <w:vMerge w:val="continue"/>
                  <w:noWrap w:val="0"/>
                  <w:vAlign w:val="top"/>
                </w:tcPr>
                <w:p w14:paraId="04AF448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C877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60" w:type="dxa"/>
                  <w:vMerge w:val="continue"/>
                  <w:noWrap w:val="0"/>
                  <w:vAlign w:val="center"/>
                </w:tcPr>
                <w:p w14:paraId="4793C06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066676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5"/>
                      <w:sz w:val="21"/>
                      <w:szCs w:val="21"/>
                      <w:lang w:val="en-US" w:eastAsia="zh-CN"/>
                    </w:rPr>
                    <w:t>孙家山</w:t>
                  </w:r>
                </w:p>
              </w:tc>
              <w:tc>
                <w:tcPr>
                  <w:tcW w:w="2243" w:type="dxa"/>
                  <w:noWrap w:val="0"/>
                  <w:vAlign w:val="center"/>
                </w:tcPr>
                <w:p w14:paraId="1D6386A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约15户，45人</w:t>
                  </w:r>
                </w:p>
              </w:tc>
              <w:tc>
                <w:tcPr>
                  <w:tcW w:w="956" w:type="dxa"/>
                  <w:noWrap w:val="0"/>
                  <w:vAlign w:val="center"/>
                </w:tcPr>
                <w:p w14:paraId="1B2EB42D">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东北</w:t>
                  </w:r>
                  <w:r>
                    <w:rPr>
                      <w:rFonts w:hint="default" w:ascii="Times New Roman" w:hAnsi="Times New Roman" w:cs="Times New Roman"/>
                      <w:color w:val="000000"/>
                      <w:spacing w:val="4"/>
                      <w:sz w:val="21"/>
                      <w:szCs w:val="21"/>
                    </w:rPr>
                    <w:t>侧</w:t>
                  </w:r>
                </w:p>
              </w:tc>
              <w:tc>
                <w:tcPr>
                  <w:tcW w:w="1275" w:type="dxa"/>
                  <w:noWrap w:val="0"/>
                  <w:vAlign w:val="center"/>
                </w:tcPr>
                <w:p w14:paraId="62DB8DD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1720</w:t>
                  </w:r>
                </w:p>
              </w:tc>
              <w:tc>
                <w:tcPr>
                  <w:tcW w:w="1202" w:type="dxa"/>
                  <w:vMerge w:val="continue"/>
                  <w:noWrap w:val="0"/>
                  <w:vAlign w:val="top"/>
                </w:tcPr>
                <w:p w14:paraId="705034E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28534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743A393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A7FF9D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刘家湾</w:t>
                  </w:r>
                </w:p>
              </w:tc>
              <w:tc>
                <w:tcPr>
                  <w:tcW w:w="2243" w:type="dxa"/>
                  <w:noWrap w:val="0"/>
                  <w:vAlign w:val="center"/>
                </w:tcPr>
                <w:p w14:paraId="34C969B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约10户，30人</w:t>
                  </w:r>
                </w:p>
              </w:tc>
              <w:tc>
                <w:tcPr>
                  <w:tcW w:w="956" w:type="dxa"/>
                  <w:noWrap w:val="0"/>
                  <w:vAlign w:val="center"/>
                </w:tcPr>
                <w:p w14:paraId="5A9A0087">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东北</w:t>
                  </w:r>
                  <w:r>
                    <w:rPr>
                      <w:rFonts w:hint="default" w:ascii="Times New Roman" w:hAnsi="Times New Roman" w:cs="Times New Roman"/>
                      <w:color w:val="000000"/>
                      <w:spacing w:val="4"/>
                      <w:sz w:val="21"/>
                      <w:szCs w:val="21"/>
                    </w:rPr>
                    <w:t>侧</w:t>
                  </w:r>
                </w:p>
              </w:tc>
              <w:tc>
                <w:tcPr>
                  <w:tcW w:w="1275" w:type="dxa"/>
                  <w:noWrap w:val="0"/>
                  <w:vAlign w:val="center"/>
                </w:tcPr>
                <w:p w14:paraId="6D8B14D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2232</w:t>
                  </w:r>
                </w:p>
              </w:tc>
              <w:tc>
                <w:tcPr>
                  <w:tcW w:w="1202" w:type="dxa"/>
                  <w:vMerge w:val="continue"/>
                  <w:noWrap w:val="0"/>
                  <w:vAlign w:val="top"/>
                </w:tcPr>
                <w:p w14:paraId="715351B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F7AB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E8B95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408B19A">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cs="Times New Roman"/>
                      <w:color w:val="000000"/>
                      <w:spacing w:val="5"/>
                      <w:sz w:val="21"/>
                      <w:szCs w:val="21"/>
                      <w:lang w:val="en-US" w:eastAsia="zh-CN"/>
                    </w:rPr>
                    <w:t>白</w:t>
                  </w:r>
                  <w:r>
                    <w:rPr>
                      <w:rFonts w:hint="default" w:ascii="Times New Roman" w:hAnsi="Times New Roman" w:cs="Times New Roman"/>
                      <w:color w:val="000000"/>
                      <w:spacing w:val="5"/>
                      <w:sz w:val="21"/>
                      <w:szCs w:val="21"/>
                    </w:rPr>
                    <w:t>沙村</w:t>
                  </w:r>
                </w:p>
              </w:tc>
              <w:tc>
                <w:tcPr>
                  <w:tcW w:w="2243" w:type="dxa"/>
                  <w:noWrap w:val="0"/>
                  <w:vAlign w:val="center"/>
                </w:tcPr>
                <w:p w14:paraId="18E5FC0A">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90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270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0790E5B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pacing w:val="4"/>
                      <w:sz w:val="21"/>
                      <w:szCs w:val="21"/>
                    </w:rPr>
                    <w:t>东侧</w:t>
                  </w:r>
                </w:p>
              </w:tc>
              <w:tc>
                <w:tcPr>
                  <w:tcW w:w="1275" w:type="dxa"/>
                  <w:noWrap w:val="0"/>
                  <w:vAlign w:val="center"/>
                </w:tcPr>
                <w:p w14:paraId="584030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2000</w:t>
                  </w:r>
                </w:p>
              </w:tc>
              <w:tc>
                <w:tcPr>
                  <w:tcW w:w="1202" w:type="dxa"/>
                  <w:vMerge w:val="continue"/>
                  <w:noWrap w:val="0"/>
                  <w:vAlign w:val="top"/>
                </w:tcPr>
                <w:p w14:paraId="2F62B98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49A1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68A02C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290EDF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梯湾</w:t>
                  </w:r>
                </w:p>
              </w:tc>
              <w:tc>
                <w:tcPr>
                  <w:tcW w:w="2243" w:type="dxa"/>
                  <w:noWrap w:val="0"/>
                  <w:vAlign w:val="center"/>
                </w:tcPr>
                <w:p w14:paraId="732E7A7D">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约15户，45人</w:t>
                  </w:r>
                </w:p>
              </w:tc>
              <w:tc>
                <w:tcPr>
                  <w:tcW w:w="956" w:type="dxa"/>
                  <w:noWrap w:val="0"/>
                  <w:vAlign w:val="center"/>
                </w:tcPr>
                <w:p w14:paraId="2C09AAE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东侧</w:t>
                  </w:r>
                </w:p>
              </w:tc>
              <w:tc>
                <w:tcPr>
                  <w:tcW w:w="1275" w:type="dxa"/>
                  <w:noWrap w:val="0"/>
                  <w:vAlign w:val="center"/>
                </w:tcPr>
                <w:p w14:paraId="7E5ABF5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2243</w:t>
                  </w:r>
                </w:p>
              </w:tc>
              <w:tc>
                <w:tcPr>
                  <w:tcW w:w="1202" w:type="dxa"/>
                  <w:vMerge w:val="continue"/>
                  <w:noWrap w:val="0"/>
                  <w:vAlign w:val="top"/>
                </w:tcPr>
                <w:p w14:paraId="59E61C8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3ADE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293D4E4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92D880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小寨子</w:t>
                  </w:r>
                </w:p>
              </w:tc>
              <w:tc>
                <w:tcPr>
                  <w:tcW w:w="2243" w:type="dxa"/>
                  <w:noWrap w:val="0"/>
                  <w:vAlign w:val="center"/>
                </w:tcPr>
                <w:p w14:paraId="2936BB3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约30户，90人</w:t>
                  </w:r>
                </w:p>
              </w:tc>
              <w:tc>
                <w:tcPr>
                  <w:tcW w:w="956" w:type="dxa"/>
                  <w:noWrap w:val="0"/>
                  <w:vAlign w:val="center"/>
                </w:tcPr>
                <w:p w14:paraId="2F729F6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东南</w:t>
                  </w:r>
                </w:p>
              </w:tc>
              <w:tc>
                <w:tcPr>
                  <w:tcW w:w="1275" w:type="dxa"/>
                  <w:noWrap w:val="0"/>
                  <w:vAlign w:val="center"/>
                </w:tcPr>
                <w:p w14:paraId="3D09E32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1413</w:t>
                  </w:r>
                </w:p>
              </w:tc>
              <w:tc>
                <w:tcPr>
                  <w:tcW w:w="1202" w:type="dxa"/>
                  <w:vMerge w:val="continue"/>
                  <w:noWrap w:val="0"/>
                  <w:vAlign w:val="top"/>
                </w:tcPr>
                <w:p w14:paraId="1F95405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6124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7E0B5D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BC27E56">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寨子坡</w:t>
                  </w:r>
                </w:p>
              </w:tc>
              <w:tc>
                <w:tcPr>
                  <w:tcW w:w="2243" w:type="dxa"/>
                  <w:noWrap w:val="0"/>
                  <w:vAlign w:val="center"/>
                </w:tcPr>
                <w:p w14:paraId="67B6CFEA">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约10户，30人</w:t>
                  </w:r>
                </w:p>
              </w:tc>
              <w:tc>
                <w:tcPr>
                  <w:tcW w:w="956" w:type="dxa"/>
                  <w:noWrap w:val="0"/>
                  <w:vAlign w:val="center"/>
                </w:tcPr>
                <w:p w14:paraId="7426CC2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东南</w:t>
                  </w:r>
                </w:p>
              </w:tc>
              <w:tc>
                <w:tcPr>
                  <w:tcW w:w="1275" w:type="dxa"/>
                  <w:noWrap w:val="0"/>
                  <w:vAlign w:val="center"/>
                </w:tcPr>
                <w:p w14:paraId="189282E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2877</w:t>
                  </w:r>
                </w:p>
              </w:tc>
              <w:tc>
                <w:tcPr>
                  <w:tcW w:w="1202" w:type="dxa"/>
                  <w:vMerge w:val="continue"/>
                  <w:noWrap w:val="0"/>
                  <w:vAlign w:val="top"/>
                </w:tcPr>
                <w:p w14:paraId="170B3C7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18636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5F565C9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11018B4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厂子坪</w:t>
                  </w:r>
                </w:p>
              </w:tc>
              <w:tc>
                <w:tcPr>
                  <w:tcW w:w="2243" w:type="dxa"/>
                  <w:noWrap w:val="0"/>
                  <w:vAlign w:val="center"/>
                </w:tcPr>
                <w:p w14:paraId="28A3BE2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3"/>
                      <w:kern w:val="2"/>
                      <w:sz w:val="21"/>
                      <w:szCs w:val="21"/>
                      <w:lang w:val="en-US" w:eastAsia="zh-CN" w:bidi="ar-SA"/>
                    </w:rPr>
                  </w:pPr>
                  <w:r>
                    <w:rPr>
                      <w:rFonts w:hint="eastAsia" w:ascii="Times New Roman" w:hAnsi="Times New Roman" w:cs="Times New Roman"/>
                      <w:color w:val="000000"/>
                      <w:spacing w:val="3"/>
                      <w:sz w:val="21"/>
                      <w:szCs w:val="21"/>
                      <w:lang w:val="en-US" w:eastAsia="zh-CN"/>
                    </w:rPr>
                    <w:t>约10户，30人</w:t>
                  </w:r>
                </w:p>
              </w:tc>
              <w:tc>
                <w:tcPr>
                  <w:tcW w:w="956" w:type="dxa"/>
                  <w:noWrap w:val="0"/>
                  <w:vAlign w:val="center"/>
                </w:tcPr>
                <w:p w14:paraId="1465D261">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5"/>
                      <w:kern w:val="2"/>
                      <w:sz w:val="21"/>
                      <w:szCs w:val="21"/>
                      <w:lang w:val="en-US" w:eastAsia="zh-CN" w:bidi="ar-SA"/>
                    </w:rPr>
                  </w:pPr>
                  <w:r>
                    <w:rPr>
                      <w:rFonts w:hint="eastAsia" w:ascii="Times New Roman" w:hAnsi="Times New Roman" w:cs="Times New Roman"/>
                      <w:color w:val="000000"/>
                      <w:spacing w:val="5"/>
                      <w:sz w:val="21"/>
                      <w:szCs w:val="21"/>
                      <w:lang w:val="en-US" w:eastAsia="zh-CN"/>
                    </w:rPr>
                    <w:t>东南</w:t>
                  </w:r>
                </w:p>
              </w:tc>
              <w:tc>
                <w:tcPr>
                  <w:tcW w:w="1275" w:type="dxa"/>
                  <w:noWrap w:val="0"/>
                  <w:vAlign w:val="center"/>
                </w:tcPr>
                <w:p w14:paraId="772C835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2567</w:t>
                  </w:r>
                </w:p>
              </w:tc>
              <w:tc>
                <w:tcPr>
                  <w:tcW w:w="1202" w:type="dxa"/>
                  <w:vMerge w:val="continue"/>
                  <w:noWrap w:val="0"/>
                  <w:vAlign w:val="top"/>
                </w:tcPr>
                <w:p w14:paraId="4FBC8A8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F457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34D82EB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7E9055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朱家湾</w:t>
                  </w:r>
                </w:p>
              </w:tc>
              <w:tc>
                <w:tcPr>
                  <w:tcW w:w="2243" w:type="dxa"/>
                  <w:noWrap w:val="0"/>
                  <w:vAlign w:val="center"/>
                </w:tcPr>
                <w:p w14:paraId="17E61BA7">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约90户，270人</w:t>
                  </w:r>
                </w:p>
              </w:tc>
              <w:tc>
                <w:tcPr>
                  <w:tcW w:w="956" w:type="dxa"/>
                  <w:noWrap w:val="0"/>
                  <w:vAlign w:val="center"/>
                </w:tcPr>
                <w:p w14:paraId="45B44BA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东南</w:t>
                  </w:r>
                </w:p>
              </w:tc>
              <w:tc>
                <w:tcPr>
                  <w:tcW w:w="1275" w:type="dxa"/>
                  <w:noWrap w:val="0"/>
                  <w:vAlign w:val="center"/>
                </w:tcPr>
                <w:p w14:paraId="3161C35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1038</w:t>
                  </w:r>
                </w:p>
              </w:tc>
              <w:tc>
                <w:tcPr>
                  <w:tcW w:w="1202" w:type="dxa"/>
                  <w:vMerge w:val="continue"/>
                  <w:noWrap w:val="0"/>
                  <w:vAlign w:val="top"/>
                </w:tcPr>
                <w:p w14:paraId="5865201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54F8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60F4E4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620B514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大沿沟</w:t>
                  </w:r>
                </w:p>
              </w:tc>
              <w:tc>
                <w:tcPr>
                  <w:tcW w:w="2243" w:type="dxa"/>
                  <w:noWrap w:val="0"/>
                  <w:vAlign w:val="center"/>
                </w:tcPr>
                <w:p w14:paraId="55C4E7A5">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约50户，150人</w:t>
                  </w:r>
                </w:p>
              </w:tc>
              <w:tc>
                <w:tcPr>
                  <w:tcW w:w="956" w:type="dxa"/>
                  <w:noWrap w:val="0"/>
                  <w:vAlign w:val="center"/>
                </w:tcPr>
                <w:p w14:paraId="472309F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南</w:t>
                  </w:r>
                </w:p>
              </w:tc>
              <w:tc>
                <w:tcPr>
                  <w:tcW w:w="1275" w:type="dxa"/>
                  <w:noWrap w:val="0"/>
                  <w:vAlign w:val="center"/>
                </w:tcPr>
                <w:p w14:paraId="29D6247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1118</w:t>
                  </w:r>
                </w:p>
              </w:tc>
              <w:tc>
                <w:tcPr>
                  <w:tcW w:w="1202" w:type="dxa"/>
                  <w:vMerge w:val="continue"/>
                  <w:noWrap w:val="0"/>
                  <w:vAlign w:val="top"/>
                </w:tcPr>
                <w:p w14:paraId="7E271A2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B94C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2320FA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FE316D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柳树坝</w:t>
                  </w:r>
                </w:p>
              </w:tc>
              <w:tc>
                <w:tcPr>
                  <w:tcW w:w="2243" w:type="dxa"/>
                  <w:noWrap w:val="0"/>
                  <w:vAlign w:val="center"/>
                </w:tcPr>
                <w:p w14:paraId="44683B0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约8户，24人</w:t>
                  </w:r>
                </w:p>
              </w:tc>
              <w:tc>
                <w:tcPr>
                  <w:tcW w:w="956" w:type="dxa"/>
                  <w:noWrap w:val="0"/>
                  <w:vAlign w:val="center"/>
                </w:tcPr>
                <w:p w14:paraId="199E87F6">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东南</w:t>
                  </w:r>
                </w:p>
              </w:tc>
              <w:tc>
                <w:tcPr>
                  <w:tcW w:w="1275" w:type="dxa"/>
                  <w:noWrap w:val="0"/>
                  <w:vAlign w:val="center"/>
                </w:tcPr>
                <w:p w14:paraId="5FE8B3B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1690</w:t>
                  </w:r>
                </w:p>
              </w:tc>
              <w:tc>
                <w:tcPr>
                  <w:tcW w:w="1202" w:type="dxa"/>
                  <w:vMerge w:val="continue"/>
                  <w:noWrap w:val="0"/>
                  <w:vAlign w:val="top"/>
                </w:tcPr>
                <w:p w14:paraId="6315CB1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F3FF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960" w:type="dxa"/>
                  <w:vMerge w:val="continue"/>
                  <w:noWrap w:val="0"/>
                  <w:vAlign w:val="center"/>
                </w:tcPr>
                <w:p w14:paraId="53C55A2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8F1C2C3">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风斗岩</w:t>
                  </w:r>
                </w:p>
              </w:tc>
              <w:tc>
                <w:tcPr>
                  <w:tcW w:w="2243" w:type="dxa"/>
                  <w:noWrap w:val="0"/>
                  <w:vAlign w:val="center"/>
                </w:tcPr>
                <w:p w14:paraId="6C9DAF96">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约30户，90人</w:t>
                  </w:r>
                </w:p>
              </w:tc>
              <w:tc>
                <w:tcPr>
                  <w:tcW w:w="956" w:type="dxa"/>
                  <w:noWrap w:val="0"/>
                  <w:vAlign w:val="center"/>
                </w:tcPr>
                <w:p w14:paraId="10E94BD3">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东南</w:t>
                  </w:r>
                </w:p>
              </w:tc>
              <w:tc>
                <w:tcPr>
                  <w:tcW w:w="1275" w:type="dxa"/>
                  <w:noWrap w:val="0"/>
                  <w:vAlign w:val="center"/>
                </w:tcPr>
                <w:p w14:paraId="03910D1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2102</w:t>
                  </w:r>
                </w:p>
              </w:tc>
              <w:tc>
                <w:tcPr>
                  <w:tcW w:w="1202" w:type="dxa"/>
                  <w:vMerge w:val="continue"/>
                  <w:noWrap w:val="0"/>
                  <w:vAlign w:val="top"/>
                </w:tcPr>
                <w:p w14:paraId="12FC966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2EEFF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0B5F92B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4E9B36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大地坪</w:t>
                  </w:r>
                </w:p>
              </w:tc>
              <w:tc>
                <w:tcPr>
                  <w:tcW w:w="2243" w:type="dxa"/>
                  <w:noWrap w:val="0"/>
                  <w:vAlign w:val="center"/>
                </w:tcPr>
                <w:p w14:paraId="74FEF7E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约10户，30人</w:t>
                  </w:r>
                </w:p>
              </w:tc>
              <w:tc>
                <w:tcPr>
                  <w:tcW w:w="956" w:type="dxa"/>
                  <w:noWrap w:val="0"/>
                  <w:vAlign w:val="center"/>
                </w:tcPr>
                <w:p w14:paraId="36C7C06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西南</w:t>
                  </w:r>
                </w:p>
              </w:tc>
              <w:tc>
                <w:tcPr>
                  <w:tcW w:w="1275" w:type="dxa"/>
                  <w:noWrap w:val="0"/>
                  <w:vAlign w:val="center"/>
                </w:tcPr>
                <w:p w14:paraId="7F0661E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1304</w:t>
                  </w:r>
                </w:p>
              </w:tc>
              <w:tc>
                <w:tcPr>
                  <w:tcW w:w="1202" w:type="dxa"/>
                  <w:vMerge w:val="continue"/>
                  <w:noWrap w:val="0"/>
                  <w:vAlign w:val="top"/>
                </w:tcPr>
                <w:p w14:paraId="40B429D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5F601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D11675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43F95C5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花蛇坪</w:t>
                  </w:r>
                </w:p>
              </w:tc>
              <w:tc>
                <w:tcPr>
                  <w:tcW w:w="2243" w:type="dxa"/>
                  <w:noWrap w:val="0"/>
                  <w:vAlign w:val="center"/>
                </w:tcPr>
                <w:p w14:paraId="49A99ED5">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约10户，30人</w:t>
                  </w:r>
                </w:p>
              </w:tc>
              <w:tc>
                <w:tcPr>
                  <w:tcW w:w="956" w:type="dxa"/>
                  <w:noWrap w:val="0"/>
                  <w:vAlign w:val="center"/>
                </w:tcPr>
                <w:p w14:paraId="218FC36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5"/>
                      <w:kern w:val="2"/>
                      <w:sz w:val="21"/>
                      <w:szCs w:val="21"/>
                      <w:lang w:val="en-US" w:eastAsia="zh-CN" w:bidi="ar-SA"/>
                    </w:rPr>
                  </w:pPr>
                  <w:r>
                    <w:rPr>
                      <w:rFonts w:hint="eastAsia" w:ascii="Times New Roman" w:hAnsi="Times New Roman" w:cs="Times New Roman"/>
                      <w:color w:val="000000"/>
                      <w:spacing w:val="5"/>
                      <w:sz w:val="21"/>
                      <w:szCs w:val="21"/>
                      <w:lang w:val="en-US" w:eastAsia="zh-CN"/>
                    </w:rPr>
                    <w:t>西南</w:t>
                  </w:r>
                </w:p>
              </w:tc>
              <w:tc>
                <w:tcPr>
                  <w:tcW w:w="1275" w:type="dxa"/>
                  <w:noWrap w:val="0"/>
                  <w:vAlign w:val="center"/>
                </w:tcPr>
                <w:p w14:paraId="26252D9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1104</w:t>
                  </w:r>
                </w:p>
              </w:tc>
              <w:tc>
                <w:tcPr>
                  <w:tcW w:w="1202" w:type="dxa"/>
                  <w:vMerge w:val="continue"/>
                  <w:noWrap w:val="0"/>
                  <w:vAlign w:val="top"/>
                </w:tcPr>
                <w:p w14:paraId="2B8DF76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4773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57D5F8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57BAF9B">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default" w:ascii="Times New Roman" w:hAnsi="Times New Roman" w:cs="Times New Roman"/>
                      <w:color w:val="000000"/>
                      <w:spacing w:val="6"/>
                      <w:sz w:val="21"/>
                      <w:szCs w:val="21"/>
                    </w:rPr>
                    <w:t>风滩村</w:t>
                  </w:r>
                </w:p>
              </w:tc>
              <w:tc>
                <w:tcPr>
                  <w:tcW w:w="2243" w:type="dxa"/>
                  <w:noWrap w:val="0"/>
                  <w:vAlign w:val="center"/>
                </w:tcPr>
                <w:p w14:paraId="3BECDC0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color w:val="000000"/>
                      <w:spacing w:val="3"/>
                      <w:sz w:val="21"/>
                      <w:szCs w:val="21"/>
                      <w:lang w:val="en-US" w:eastAsia="zh-CN"/>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6"/>
                      <w:sz w:val="21"/>
                      <w:szCs w:val="21"/>
                    </w:rPr>
                    <w:t xml:space="preserve"> </w:t>
                  </w:r>
                  <w:r>
                    <w:rPr>
                      <w:rFonts w:hint="default" w:ascii="Times New Roman" w:hAnsi="Times New Roman" w:eastAsia="Times New Roman" w:cs="Times New Roman"/>
                      <w:color w:val="000000"/>
                      <w:spacing w:val="3"/>
                      <w:sz w:val="21"/>
                      <w:szCs w:val="21"/>
                    </w:rPr>
                    <w:t xml:space="preserve">30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90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448CC8D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spacing w:val="5"/>
                      <w:kern w:val="2"/>
                      <w:sz w:val="21"/>
                      <w:szCs w:val="21"/>
                      <w:lang w:val="en-US" w:eastAsia="zh-CN" w:bidi="ar-SA"/>
                    </w:rPr>
                  </w:pPr>
                  <w:r>
                    <w:rPr>
                      <w:rFonts w:hint="default" w:ascii="Times New Roman" w:hAnsi="Times New Roman" w:cs="Times New Roman"/>
                      <w:color w:val="000000"/>
                      <w:spacing w:val="5"/>
                      <w:sz w:val="21"/>
                      <w:szCs w:val="21"/>
                    </w:rPr>
                    <w:t>西南侧</w:t>
                  </w:r>
                </w:p>
              </w:tc>
              <w:tc>
                <w:tcPr>
                  <w:tcW w:w="1275" w:type="dxa"/>
                  <w:noWrap w:val="0"/>
                  <w:vAlign w:val="center"/>
                </w:tcPr>
                <w:p w14:paraId="080F8D4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1725</w:t>
                  </w:r>
                </w:p>
              </w:tc>
              <w:tc>
                <w:tcPr>
                  <w:tcW w:w="1202" w:type="dxa"/>
                  <w:vMerge w:val="continue"/>
                  <w:noWrap w:val="0"/>
                  <w:vAlign w:val="top"/>
                </w:tcPr>
                <w:p w14:paraId="7E0853C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30F5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1352B90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502250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pacing w:val="6"/>
                      <w:sz w:val="21"/>
                      <w:szCs w:val="21"/>
                    </w:rPr>
                    <w:t>潘家坡</w:t>
                  </w:r>
                </w:p>
              </w:tc>
              <w:tc>
                <w:tcPr>
                  <w:tcW w:w="2243" w:type="dxa"/>
                  <w:noWrap w:val="0"/>
                  <w:vAlign w:val="center"/>
                </w:tcPr>
                <w:p w14:paraId="2E1E66A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pacing w:val="3"/>
                      <w:sz w:val="21"/>
                      <w:szCs w:val="21"/>
                    </w:rPr>
                    <w:t>约</w:t>
                  </w:r>
                  <w:r>
                    <w:rPr>
                      <w:rFonts w:hint="default" w:ascii="Times New Roman" w:hAnsi="Times New Roman" w:cs="Times New Roman"/>
                      <w:color w:val="000000"/>
                      <w:spacing w:val="-33"/>
                      <w:sz w:val="21"/>
                      <w:szCs w:val="21"/>
                    </w:rPr>
                    <w:t xml:space="preserve"> </w:t>
                  </w:r>
                  <w:r>
                    <w:rPr>
                      <w:rFonts w:hint="default" w:ascii="Times New Roman" w:hAnsi="Times New Roman" w:eastAsia="Times New Roman" w:cs="Times New Roman"/>
                      <w:color w:val="000000"/>
                      <w:spacing w:val="3"/>
                      <w:sz w:val="21"/>
                      <w:szCs w:val="21"/>
                    </w:rPr>
                    <w:t xml:space="preserve">70 </w:t>
                  </w:r>
                  <w:r>
                    <w:rPr>
                      <w:rFonts w:hint="default" w:ascii="Times New Roman" w:hAnsi="Times New Roman" w:cs="Times New Roman"/>
                      <w:color w:val="000000"/>
                      <w:spacing w:val="3"/>
                      <w:sz w:val="21"/>
                      <w:szCs w:val="21"/>
                    </w:rPr>
                    <w:t>户，</w:t>
                  </w:r>
                  <w:r>
                    <w:rPr>
                      <w:rFonts w:hint="default" w:ascii="Times New Roman" w:hAnsi="Times New Roman" w:eastAsia="Times New Roman" w:cs="Times New Roman"/>
                      <w:color w:val="000000"/>
                      <w:spacing w:val="3"/>
                      <w:sz w:val="21"/>
                      <w:szCs w:val="21"/>
                    </w:rPr>
                    <w:t>210</w:t>
                  </w:r>
                  <w:r>
                    <w:rPr>
                      <w:rFonts w:hint="default" w:ascii="Times New Roman" w:hAnsi="Times New Roman" w:eastAsia="Times New Roman" w:cs="Times New Roman"/>
                      <w:color w:val="000000"/>
                      <w:spacing w:val="11"/>
                      <w:sz w:val="21"/>
                      <w:szCs w:val="21"/>
                    </w:rPr>
                    <w:t xml:space="preserve"> </w:t>
                  </w:r>
                  <w:r>
                    <w:rPr>
                      <w:rFonts w:hint="default" w:ascii="Times New Roman" w:hAnsi="Times New Roman" w:cs="Times New Roman"/>
                      <w:color w:val="000000"/>
                      <w:spacing w:val="3"/>
                      <w:sz w:val="21"/>
                      <w:szCs w:val="21"/>
                    </w:rPr>
                    <w:t>人</w:t>
                  </w:r>
                </w:p>
              </w:tc>
              <w:tc>
                <w:tcPr>
                  <w:tcW w:w="956" w:type="dxa"/>
                  <w:noWrap w:val="0"/>
                  <w:vAlign w:val="center"/>
                </w:tcPr>
                <w:p w14:paraId="456F485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pacing w:val="5"/>
                      <w:sz w:val="21"/>
                      <w:szCs w:val="21"/>
                    </w:rPr>
                    <w:t>西南侧</w:t>
                  </w:r>
                </w:p>
              </w:tc>
              <w:tc>
                <w:tcPr>
                  <w:tcW w:w="1275" w:type="dxa"/>
                  <w:noWrap w:val="0"/>
                  <w:vAlign w:val="center"/>
                </w:tcPr>
                <w:p w14:paraId="10A346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2115</w:t>
                  </w:r>
                </w:p>
              </w:tc>
              <w:tc>
                <w:tcPr>
                  <w:tcW w:w="1202" w:type="dxa"/>
                  <w:vMerge w:val="continue"/>
                  <w:noWrap w:val="0"/>
                  <w:vAlign w:val="top"/>
                </w:tcPr>
                <w:p w14:paraId="0F1D660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2C6DA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4FD9933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F1B85FC">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6"/>
                      <w:sz w:val="21"/>
                      <w:szCs w:val="21"/>
                      <w:lang w:val="en-US" w:eastAsia="zh-CN"/>
                    </w:rPr>
                  </w:pPr>
                  <w:r>
                    <w:rPr>
                      <w:rFonts w:hint="eastAsia" w:ascii="Times New Roman" w:hAnsi="Times New Roman" w:cs="Times New Roman"/>
                      <w:color w:val="000000"/>
                      <w:spacing w:val="6"/>
                      <w:sz w:val="21"/>
                      <w:szCs w:val="21"/>
                      <w:lang w:val="en-US" w:eastAsia="zh-CN"/>
                    </w:rPr>
                    <w:t>横山子</w:t>
                  </w:r>
                </w:p>
              </w:tc>
              <w:tc>
                <w:tcPr>
                  <w:tcW w:w="2243" w:type="dxa"/>
                  <w:noWrap w:val="0"/>
                  <w:vAlign w:val="center"/>
                </w:tcPr>
                <w:p w14:paraId="5C87EEA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3"/>
                      <w:sz w:val="21"/>
                      <w:szCs w:val="21"/>
                      <w:lang w:val="en-US" w:eastAsia="zh-CN"/>
                    </w:rPr>
                  </w:pPr>
                  <w:r>
                    <w:rPr>
                      <w:rFonts w:hint="eastAsia" w:ascii="Times New Roman" w:hAnsi="Times New Roman" w:cs="Times New Roman"/>
                      <w:color w:val="000000"/>
                      <w:spacing w:val="3"/>
                      <w:sz w:val="21"/>
                      <w:szCs w:val="21"/>
                      <w:lang w:val="en-US" w:eastAsia="zh-CN"/>
                    </w:rPr>
                    <w:t>约20户，60人</w:t>
                  </w:r>
                </w:p>
              </w:tc>
              <w:tc>
                <w:tcPr>
                  <w:tcW w:w="956" w:type="dxa"/>
                  <w:noWrap w:val="0"/>
                  <w:vAlign w:val="center"/>
                </w:tcPr>
                <w:p w14:paraId="292AF5F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spacing w:val="5"/>
                      <w:sz w:val="21"/>
                      <w:szCs w:val="21"/>
                      <w:lang w:val="en-US" w:eastAsia="zh-CN"/>
                    </w:rPr>
                  </w:pPr>
                  <w:r>
                    <w:rPr>
                      <w:rFonts w:hint="eastAsia" w:ascii="Times New Roman" w:hAnsi="Times New Roman" w:cs="Times New Roman"/>
                      <w:color w:val="000000"/>
                      <w:spacing w:val="5"/>
                      <w:sz w:val="21"/>
                      <w:szCs w:val="21"/>
                      <w:lang w:val="en-US" w:eastAsia="zh-CN"/>
                    </w:rPr>
                    <w:t>西南侧</w:t>
                  </w:r>
                </w:p>
              </w:tc>
              <w:tc>
                <w:tcPr>
                  <w:tcW w:w="1275" w:type="dxa"/>
                  <w:noWrap w:val="0"/>
                  <w:vAlign w:val="center"/>
                </w:tcPr>
                <w:p w14:paraId="7244231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2492</w:t>
                  </w:r>
                </w:p>
              </w:tc>
              <w:tc>
                <w:tcPr>
                  <w:tcW w:w="1202" w:type="dxa"/>
                  <w:vMerge w:val="continue"/>
                  <w:noWrap w:val="0"/>
                  <w:vAlign w:val="top"/>
                </w:tcPr>
                <w:p w14:paraId="162E527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74857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6DAABD0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0551D98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cs="Times New Roman"/>
                      <w:color w:val="000000"/>
                      <w:kern w:val="2"/>
                      <w:sz w:val="21"/>
                      <w:szCs w:val="21"/>
                      <w:lang w:val="en-US" w:eastAsia="zh-CN" w:bidi="ar-SA"/>
                    </w:rPr>
                    <w:t>玉帝庙</w:t>
                  </w:r>
                </w:p>
              </w:tc>
              <w:tc>
                <w:tcPr>
                  <w:tcW w:w="2243" w:type="dxa"/>
                  <w:noWrap w:val="0"/>
                  <w:vAlign w:val="center"/>
                </w:tcPr>
                <w:p w14:paraId="0B83D41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cs="Times New Roman"/>
                      <w:color w:val="000000"/>
                      <w:kern w:val="2"/>
                      <w:sz w:val="21"/>
                      <w:szCs w:val="21"/>
                      <w:lang w:val="en-US" w:eastAsia="zh-CN" w:bidi="ar-SA"/>
                    </w:rPr>
                    <w:t>约30户，90人</w:t>
                  </w:r>
                </w:p>
              </w:tc>
              <w:tc>
                <w:tcPr>
                  <w:tcW w:w="956" w:type="dxa"/>
                  <w:noWrap w:val="0"/>
                  <w:vAlign w:val="center"/>
                </w:tcPr>
                <w:p w14:paraId="7C79174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cs="Times New Roman"/>
                      <w:color w:val="000000"/>
                      <w:kern w:val="2"/>
                      <w:sz w:val="21"/>
                      <w:szCs w:val="21"/>
                      <w:lang w:val="en-US" w:eastAsia="zh-CN" w:bidi="ar-SA"/>
                    </w:rPr>
                    <w:t>西</w:t>
                  </w:r>
                </w:p>
              </w:tc>
              <w:tc>
                <w:tcPr>
                  <w:tcW w:w="1275" w:type="dxa"/>
                  <w:noWrap w:val="0"/>
                  <w:vAlign w:val="center"/>
                </w:tcPr>
                <w:p w14:paraId="600C80E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1525</w:t>
                  </w:r>
                </w:p>
              </w:tc>
              <w:tc>
                <w:tcPr>
                  <w:tcW w:w="1202" w:type="dxa"/>
                  <w:vMerge w:val="continue"/>
                  <w:noWrap w:val="0"/>
                  <w:vAlign w:val="top"/>
                </w:tcPr>
                <w:p w14:paraId="766FDBB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48140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5FC258C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3050A2E3">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张爷庙</w:t>
                  </w:r>
                </w:p>
              </w:tc>
              <w:tc>
                <w:tcPr>
                  <w:tcW w:w="2243" w:type="dxa"/>
                  <w:noWrap w:val="0"/>
                  <w:vAlign w:val="center"/>
                </w:tcPr>
                <w:p w14:paraId="4E888A75">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约15户，45人</w:t>
                  </w:r>
                </w:p>
              </w:tc>
              <w:tc>
                <w:tcPr>
                  <w:tcW w:w="956" w:type="dxa"/>
                  <w:noWrap w:val="0"/>
                  <w:vAlign w:val="center"/>
                </w:tcPr>
                <w:p w14:paraId="5441B0C9">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西</w:t>
                  </w:r>
                </w:p>
              </w:tc>
              <w:tc>
                <w:tcPr>
                  <w:tcW w:w="1275" w:type="dxa"/>
                  <w:noWrap w:val="0"/>
                  <w:vAlign w:val="center"/>
                </w:tcPr>
                <w:p w14:paraId="56919F7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2292</w:t>
                  </w:r>
                </w:p>
                <w:p w14:paraId="5D27B14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p>
              </w:tc>
              <w:tc>
                <w:tcPr>
                  <w:tcW w:w="1202" w:type="dxa"/>
                  <w:vMerge w:val="continue"/>
                  <w:noWrap w:val="0"/>
                  <w:vAlign w:val="top"/>
                </w:tcPr>
                <w:p w14:paraId="5A8215D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r w14:paraId="3B094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60" w:type="dxa"/>
                  <w:vMerge w:val="continue"/>
                  <w:noWrap w:val="0"/>
                  <w:vAlign w:val="center"/>
                </w:tcPr>
                <w:p w14:paraId="2C74267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000000"/>
                      <w:sz w:val="21"/>
                      <w:szCs w:val="21"/>
                    </w:rPr>
                  </w:pPr>
                </w:p>
              </w:tc>
              <w:tc>
                <w:tcPr>
                  <w:tcW w:w="1841" w:type="dxa"/>
                  <w:noWrap w:val="0"/>
                  <w:vAlign w:val="center"/>
                </w:tcPr>
                <w:p w14:paraId="77B22394">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杜家河</w:t>
                  </w:r>
                </w:p>
              </w:tc>
              <w:tc>
                <w:tcPr>
                  <w:tcW w:w="2243" w:type="dxa"/>
                  <w:noWrap w:val="0"/>
                  <w:vAlign w:val="center"/>
                </w:tcPr>
                <w:p w14:paraId="5A824F9F">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约20户，60人</w:t>
                  </w:r>
                </w:p>
              </w:tc>
              <w:tc>
                <w:tcPr>
                  <w:tcW w:w="956" w:type="dxa"/>
                  <w:noWrap w:val="0"/>
                  <w:vAlign w:val="center"/>
                </w:tcPr>
                <w:p w14:paraId="0326C63D">
                  <w:pPr>
                    <w:pStyle w:val="10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西北</w:t>
                  </w:r>
                </w:p>
              </w:tc>
              <w:tc>
                <w:tcPr>
                  <w:tcW w:w="1275" w:type="dxa"/>
                  <w:noWrap w:val="0"/>
                  <w:vAlign w:val="center"/>
                </w:tcPr>
                <w:p w14:paraId="1BC3C91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2860</w:t>
                  </w:r>
                </w:p>
              </w:tc>
              <w:tc>
                <w:tcPr>
                  <w:tcW w:w="1202" w:type="dxa"/>
                  <w:vMerge w:val="continue"/>
                  <w:noWrap w:val="0"/>
                  <w:vAlign w:val="top"/>
                </w:tcPr>
                <w:p w14:paraId="5B42247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000000"/>
                      <w:sz w:val="21"/>
                      <w:szCs w:val="21"/>
                    </w:rPr>
                  </w:pPr>
                </w:p>
              </w:tc>
            </w:tr>
          </w:tbl>
          <w:p w14:paraId="042C8C74">
            <w:pPr>
              <w:pStyle w:val="106"/>
              <w:spacing w:before="31" w:line="226" w:lineRule="auto"/>
              <w:ind w:left="313"/>
              <w:rPr>
                <w:color w:val="000000"/>
                <w:sz w:val="20"/>
                <w:szCs w:val="20"/>
              </w:rPr>
            </w:pPr>
            <w:r>
              <w:rPr>
                <w:color w:val="000000"/>
                <w:spacing w:val="9"/>
                <w:sz w:val="20"/>
                <w:szCs w:val="20"/>
              </w:rPr>
              <w:t>注：本项目大气为专题评价，评价等级为</w:t>
            </w:r>
            <w:r>
              <w:rPr>
                <w:rFonts w:hint="eastAsia"/>
                <w:color w:val="000000"/>
                <w:spacing w:val="9"/>
                <w:sz w:val="20"/>
                <w:szCs w:val="20"/>
                <w:lang w:val="en-US" w:eastAsia="zh-CN"/>
              </w:rPr>
              <w:t>一</w:t>
            </w:r>
            <w:r>
              <w:rPr>
                <w:color w:val="000000"/>
                <w:spacing w:val="9"/>
                <w:sz w:val="20"/>
                <w:szCs w:val="20"/>
              </w:rPr>
              <w:t>级，评价范围为边长</w:t>
            </w:r>
            <w:r>
              <w:rPr>
                <w:color w:val="000000"/>
                <w:spacing w:val="-31"/>
                <w:sz w:val="20"/>
                <w:szCs w:val="20"/>
              </w:rPr>
              <w:t xml:space="preserve"> </w:t>
            </w:r>
            <w:r>
              <w:rPr>
                <w:rFonts w:ascii="Times New Roman" w:hAnsi="Times New Roman" w:eastAsia="Times New Roman" w:cs="Times New Roman"/>
                <w:color w:val="000000"/>
                <w:spacing w:val="9"/>
                <w:sz w:val="20"/>
                <w:szCs w:val="20"/>
              </w:rPr>
              <w:t>5</w:t>
            </w:r>
            <w:r>
              <w:rPr>
                <w:rFonts w:ascii="Times New Roman" w:hAnsi="Times New Roman" w:eastAsia="Times New Roman" w:cs="Times New Roman"/>
                <w:color w:val="000000"/>
                <w:sz w:val="20"/>
                <w:szCs w:val="20"/>
              </w:rPr>
              <w:t>km</w:t>
            </w:r>
            <w:r>
              <w:rPr>
                <w:color w:val="000000"/>
                <w:spacing w:val="9"/>
                <w:sz w:val="20"/>
                <w:szCs w:val="20"/>
              </w:rPr>
              <w:t>。</w:t>
            </w:r>
          </w:p>
          <w:p w14:paraId="1A06DEE9">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cs="Times New Roman"/>
                <w:b/>
                <w:bCs/>
                <w:color w:val="000000"/>
                <w:sz w:val="24"/>
                <w:lang w:eastAsia="zh-CN"/>
              </w:rPr>
            </w:pPr>
            <w:bookmarkStart w:id="22" w:name="bookmark49"/>
            <w:bookmarkEnd w:id="22"/>
            <w:bookmarkStart w:id="23" w:name="bookmark48"/>
            <w:bookmarkEnd w:id="23"/>
            <w:r>
              <w:rPr>
                <w:rFonts w:hint="eastAsia" w:ascii="Times New Roman" w:hAnsi="Times New Roman" w:cs="Times New Roman"/>
                <w:b/>
                <w:bCs/>
                <w:color w:val="000000"/>
                <w:sz w:val="24"/>
                <w:lang w:eastAsia="zh-CN"/>
              </w:rPr>
              <w:t>（</w:t>
            </w:r>
            <w:r>
              <w:rPr>
                <w:rFonts w:hint="eastAsia" w:ascii="Times New Roman" w:hAnsi="Times New Roman" w:cs="Times New Roman"/>
                <w:b/>
                <w:bCs/>
                <w:color w:val="000000"/>
                <w:sz w:val="24"/>
                <w:lang w:val="en-US" w:eastAsia="zh-CN"/>
              </w:rPr>
              <w:t>2</w:t>
            </w:r>
            <w:r>
              <w:rPr>
                <w:rFonts w:hint="eastAsia" w:ascii="Times New Roman" w:hAnsi="Times New Roman" w:cs="Times New Roman"/>
                <w:b/>
                <w:bCs/>
                <w:color w:val="000000"/>
                <w:sz w:val="24"/>
                <w:lang w:eastAsia="zh-CN"/>
              </w:rPr>
              <w:t>）声环境保护目标</w:t>
            </w:r>
          </w:p>
          <w:p w14:paraId="2616F019">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val="0"/>
                <w:color w:val="000000"/>
                <w:sz w:val="24"/>
                <w:lang w:eastAsia="zh-CN"/>
              </w:rPr>
            </w:pPr>
            <w:r>
              <w:rPr>
                <w:rFonts w:hint="eastAsia" w:ascii="Times New Roman" w:hAnsi="Times New Roman" w:cs="Times New Roman"/>
                <w:b w:val="0"/>
                <w:bCs w:val="0"/>
                <w:color w:val="000000"/>
                <w:sz w:val="24"/>
                <w:lang w:eastAsia="zh-CN"/>
              </w:rPr>
              <w:t>本项目厂界外周边50m范围内不存在声环境保护目标。</w:t>
            </w:r>
          </w:p>
          <w:p w14:paraId="04D0ECD7">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cs="Times New Roman"/>
                <w:b/>
                <w:bCs/>
                <w:color w:val="000000"/>
                <w:sz w:val="24"/>
                <w:lang w:eastAsia="zh-CN"/>
              </w:rPr>
            </w:pPr>
            <w:r>
              <w:rPr>
                <w:rFonts w:hint="eastAsia" w:ascii="Times New Roman" w:hAnsi="Times New Roman" w:cs="Times New Roman"/>
                <w:b/>
                <w:bCs/>
                <w:color w:val="000000"/>
                <w:sz w:val="24"/>
                <w:lang w:eastAsia="zh-CN"/>
              </w:rPr>
              <w:t>（</w:t>
            </w:r>
            <w:r>
              <w:rPr>
                <w:rFonts w:hint="eastAsia" w:ascii="Times New Roman" w:hAnsi="Times New Roman" w:cs="Times New Roman"/>
                <w:b/>
                <w:bCs/>
                <w:color w:val="000000"/>
                <w:sz w:val="24"/>
                <w:lang w:val="en-US" w:eastAsia="zh-CN"/>
              </w:rPr>
              <w:t>3</w:t>
            </w:r>
            <w:r>
              <w:rPr>
                <w:rFonts w:hint="eastAsia" w:ascii="Times New Roman" w:hAnsi="Times New Roman" w:cs="Times New Roman"/>
                <w:b/>
                <w:bCs/>
                <w:color w:val="000000"/>
                <w:sz w:val="24"/>
                <w:lang w:eastAsia="zh-CN"/>
              </w:rPr>
              <w:t>）地下水环境保护目标</w:t>
            </w:r>
          </w:p>
          <w:p w14:paraId="03A957F6">
            <w:pPr>
              <w:spacing w:line="360" w:lineRule="auto"/>
              <w:ind w:firstLine="480" w:firstLineChars="200"/>
              <w:rPr>
                <w:rFonts w:ascii="Times New Roman" w:hAnsi="Times New Roman"/>
                <w:b w:val="0"/>
                <w:bCs w:val="0"/>
                <w:snapToGrid w:val="0"/>
                <w:color w:val="000000"/>
                <w:kern w:val="0"/>
                <w:sz w:val="24"/>
                <w:szCs w:val="24"/>
              </w:rPr>
            </w:pPr>
            <w:r>
              <w:rPr>
                <w:rFonts w:hint="eastAsia"/>
                <w:b w:val="0"/>
                <w:bCs w:val="0"/>
                <w:color w:val="000000"/>
                <w:sz w:val="24"/>
              </w:rPr>
              <w:t>本项目厂界外500米范围内不涉及地下水集中式饮用水水源和热水、矿泉水、温泉等特殊地下水资源</w:t>
            </w:r>
            <w:r>
              <w:rPr>
                <w:rFonts w:hint="eastAsia" w:ascii="宋体" w:hAnsi="宋体" w:cs="宋体"/>
                <w:b w:val="0"/>
                <w:bCs w:val="0"/>
                <w:color w:val="000000"/>
                <w:sz w:val="24"/>
              </w:rPr>
              <w:t>。</w:t>
            </w:r>
          </w:p>
          <w:p w14:paraId="634E01C3">
            <w:pPr>
              <w:keepNext w:val="0"/>
              <w:keepLines w:val="0"/>
              <w:pageBreakBefore w:val="0"/>
              <w:widowControl w:val="0"/>
              <w:tabs>
                <w:tab w:val="left" w:pos="612"/>
                <w:tab w:val="left" w:pos="657"/>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sz w:val="24"/>
                <w:lang w:eastAsia="zh-CN"/>
              </w:rPr>
            </w:pPr>
            <w:r>
              <w:rPr>
                <w:rFonts w:hint="eastAsia" w:ascii="Times New Roman" w:hAnsi="Times New Roman" w:cs="Times New Roman"/>
                <w:b/>
                <w:bCs/>
                <w:color w:val="000000"/>
                <w:sz w:val="24"/>
                <w:lang w:eastAsia="zh-CN"/>
              </w:rPr>
              <w:t>（</w:t>
            </w:r>
            <w:r>
              <w:rPr>
                <w:rFonts w:hint="eastAsia" w:ascii="Times New Roman" w:hAnsi="Times New Roman" w:cs="Times New Roman"/>
                <w:b/>
                <w:bCs/>
                <w:color w:val="000000"/>
                <w:sz w:val="24"/>
                <w:lang w:val="en-US" w:eastAsia="zh-CN"/>
              </w:rPr>
              <w:t>4</w:t>
            </w:r>
            <w:r>
              <w:rPr>
                <w:rFonts w:hint="eastAsia" w:ascii="Times New Roman" w:hAnsi="Times New Roman" w:cs="Times New Roman"/>
                <w:b/>
                <w:bCs/>
                <w:color w:val="000000"/>
                <w:sz w:val="24"/>
                <w:lang w:eastAsia="zh-CN"/>
              </w:rPr>
              <w:t>）地表水环境保护目标</w:t>
            </w:r>
          </w:p>
          <w:p w14:paraId="0173B04D">
            <w:pPr>
              <w:tabs>
                <w:tab w:val="left" w:pos="612"/>
                <w:tab w:val="left" w:pos="657"/>
              </w:tabs>
              <w:spacing w:line="360" w:lineRule="auto"/>
              <w:ind w:firstLine="480" w:firstLineChars="200"/>
              <w:rPr>
                <w:rFonts w:hint="default" w:ascii="Times New Roman" w:hAnsi="Times New Roman" w:cs="Times New Roman"/>
                <w:b w:val="0"/>
                <w:bCs w:val="0"/>
                <w:color w:val="000000"/>
                <w:sz w:val="24"/>
                <w:lang w:eastAsia="zh-CN"/>
              </w:rPr>
            </w:pPr>
            <w:r>
              <w:rPr>
                <w:rFonts w:hint="eastAsia" w:ascii="Times New Roman" w:hAnsi="Times New Roman" w:cs="Times New Roman"/>
                <w:b w:val="0"/>
                <w:bCs w:val="0"/>
                <w:color w:val="000000"/>
                <w:sz w:val="24"/>
                <w:lang w:eastAsia="zh-CN"/>
              </w:rPr>
              <w:t>巴河</w:t>
            </w:r>
            <w:r>
              <w:rPr>
                <w:rFonts w:hint="default" w:ascii="Times New Roman" w:hAnsi="Times New Roman" w:cs="Times New Roman"/>
                <w:b w:val="0"/>
                <w:bCs w:val="0"/>
                <w:color w:val="000000"/>
                <w:sz w:val="24"/>
                <w:lang w:eastAsia="zh-CN"/>
              </w:rPr>
              <w:t>是本项目的最终受纳水体，其水质和水体功能不因本项目的建设而发生变化，应使其符合《地表水环境质量标准》（GB3838-2002）Ⅲ类水域标准的要求。</w:t>
            </w:r>
          </w:p>
          <w:p w14:paraId="108DE204">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eastAsia" w:ascii="Times New Roman" w:hAnsi="Times New Roman" w:eastAsia="宋体" w:cs="Times New Roman"/>
                <w:b/>
                <w:bCs w:val="0"/>
                <w:color w:val="000000"/>
                <w:sz w:val="24"/>
                <w:szCs w:val="24"/>
                <w:lang w:val="en-US" w:eastAsia="zh-CN"/>
              </w:rPr>
            </w:pPr>
            <w:r>
              <w:rPr>
                <w:rFonts w:hint="eastAsia" w:ascii="Times New Roman" w:hAnsi="Times New Roman" w:eastAsia="宋体" w:cs="Times New Roman"/>
                <w:b/>
                <w:bCs w:val="0"/>
                <w:color w:val="000000"/>
                <w:sz w:val="24"/>
                <w:szCs w:val="24"/>
                <w:lang w:val="en-US" w:eastAsia="zh-CN"/>
              </w:rPr>
              <w:t xml:space="preserve"> 本项目水环境保护目标一览表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734"/>
              <w:gridCol w:w="841"/>
              <w:gridCol w:w="1068"/>
              <w:gridCol w:w="949"/>
              <w:gridCol w:w="3128"/>
            </w:tblGrid>
            <w:tr w14:paraId="2F70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7" w:type="pct"/>
                  <w:noWrap w:val="0"/>
                  <w:vAlign w:val="center"/>
                </w:tcPr>
                <w:p w14:paraId="78355876">
                  <w:pPr>
                    <w:pStyle w:val="94"/>
                    <w:rPr>
                      <w:b/>
                      <w:bCs/>
                      <w:color w:val="000000"/>
                      <w:szCs w:val="21"/>
                    </w:rPr>
                  </w:pPr>
                  <w:r>
                    <w:rPr>
                      <w:b/>
                      <w:bCs/>
                      <w:color w:val="000000"/>
                      <w:szCs w:val="21"/>
                    </w:rPr>
                    <w:t>环境要素</w:t>
                  </w:r>
                </w:p>
              </w:tc>
              <w:tc>
                <w:tcPr>
                  <w:tcW w:w="978" w:type="pct"/>
                  <w:noWrap w:val="0"/>
                  <w:vAlign w:val="center"/>
                </w:tcPr>
                <w:p w14:paraId="65FADDE8">
                  <w:pPr>
                    <w:pStyle w:val="94"/>
                    <w:rPr>
                      <w:b/>
                      <w:bCs/>
                      <w:color w:val="000000"/>
                      <w:szCs w:val="21"/>
                    </w:rPr>
                  </w:pPr>
                  <w:r>
                    <w:rPr>
                      <w:b/>
                      <w:bCs/>
                      <w:color w:val="000000"/>
                      <w:szCs w:val="21"/>
                    </w:rPr>
                    <w:t>主要保护</w:t>
                  </w:r>
                  <w:r>
                    <w:rPr>
                      <w:rFonts w:hint="eastAsia"/>
                      <w:b/>
                      <w:bCs/>
                      <w:color w:val="000000"/>
                      <w:szCs w:val="21"/>
                    </w:rPr>
                    <w:t>敏感</w:t>
                  </w:r>
                  <w:r>
                    <w:rPr>
                      <w:b/>
                      <w:bCs/>
                      <w:color w:val="000000"/>
                      <w:szCs w:val="21"/>
                    </w:rPr>
                    <w:t>目标</w:t>
                  </w:r>
                </w:p>
              </w:tc>
              <w:tc>
                <w:tcPr>
                  <w:tcW w:w="474" w:type="pct"/>
                  <w:noWrap w:val="0"/>
                  <w:vAlign w:val="center"/>
                </w:tcPr>
                <w:p w14:paraId="6ACCFDD5">
                  <w:pPr>
                    <w:pStyle w:val="94"/>
                    <w:rPr>
                      <w:b/>
                      <w:bCs/>
                      <w:color w:val="000000"/>
                      <w:szCs w:val="21"/>
                    </w:rPr>
                  </w:pPr>
                  <w:r>
                    <w:rPr>
                      <w:b/>
                      <w:bCs/>
                      <w:color w:val="000000"/>
                      <w:szCs w:val="21"/>
                    </w:rPr>
                    <w:t>方位</w:t>
                  </w:r>
                </w:p>
              </w:tc>
              <w:tc>
                <w:tcPr>
                  <w:tcW w:w="601" w:type="pct"/>
                  <w:noWrap w:val="0"/>
                  <w:vAlign w:val="center"/>
                </w:tcPr>
                <w:p w14:paraId="43C57669">
                  <w:pPr>
                    <w:pStyle w:val="94"/>
                    <w:rPr>
                      <w:b/>
                      <w:bCs/>
                      <w:color w:val="000000"/>
                      <w:szCs w:val="21"/>
                    </w:rPr>
                  </w:pPr>
                  <w:r>
                    <w:rPr>
                      <w:b/>
                      <w:bCs/>
                      <w:color w:val="000000"/>
                      <w:szCs w:val="21"/>
                    </w:rPr>
                    <w:t>距离（m）</w:t>
                  </w:r>
                </w:p>
              </w:tc>
              <w:tc>
                <w:tcPr>
                  <w:tcW w:w="535" w:type="pct"/>
                  <w:noWrap w:val="0"/>
                  <w:vAlign w:val="center"/>
                </w:tcPr>
                <w:p w14:paraId="380FED47">
                  <w:pPr>
                    <w:pStyle w:val="94"/>
                    <w:rPr>
                      <w:b/>
                      <w:bCs/>
                      <w:color w:val="000000"/>
                      <w:szCs w:val="21"/>
                    </w:rPr>
                  </w:pPr>
                  <w:r>
                    <w:rPr>
                      <w:b/>
                      <w:bCs/>
                      <w:color w:val="000000"/>
                      <w:szCs w:val="21"/>
                    </w:rPr>
                    <w:t>功能/规模</w:t>
                  </w:r>
                </w:p>
              </w:tc>
              <w:tc>
                <w:tcPr>
                  <w:tcW w:w="1762" w:type="pct"/>
                  <w:noWrap w:val="0"/>
                  <w:vAlign w:val="center"/>
                </w:tcPr>
                <w:p w14:paraId="5449D45D">
                  <w:pPr>
                    <w:pStyle w:val="94"/>
                    <w:rPr>
                      <w:b/>
                      <w:bCs/>
                      <w:color w:val="000000"/>
                      <w:szCs w:val="21"/>
                    </w:rPr>
                  </w:pPr>
                  <w:r>
                    <w:rPr>
                      <w:b/>
                      <w:bCs/>
                      <w:color w:val="000000"/>
                      <w:szCs w:val="21"/>
                    </w:rPr>
                    <w:t>环境区划</w:t>
                  </w:r>
                </w:p>
              </w:tc>
            </w:tr>
            <w:tr w14:paraId="4653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7" w:type="pct"/>
                  <w:noWrap w:val="0"/>
                  <w:vAlign w:val="center"/>
                </w:tcPr>
                <w:p w14:paraId="3D505CD3">
                  <w:pPr>
                    <w:pStyle w:val="94"/>
                    <w:rPr>
                      <w:color w:val="000000"/>
                      <w:szCs w:val="21"/>
                    </w:rPr>
                  </w:pPr>
                  <w:r>
                    <w:rPr>
                      <w:color w:val="000000"/>
                      <w:szCs w:val="21"/>
                    </w:rPr>
                    <w:t>地表水环境</w:t>
                  </w:r>
                </w:p>
              </w:tc>
              <w:tc>
                <w:tcPr>
                  <w:tcW w:w="978" w:type="pct"/>
                  <w:noWrap w:val="0"/>
                  <w:vAlign w:val="center"/>
                </w:tcPr>
                <w:p w14:paraId="37AC2CDC">
                  <w:pPr>
                    <w:pStyle w:val="94"/>
                    <w:rPr>
                      <w:color w:val="000000"/>
                      <w:szCs w:val="21"/>
                    </w:rPr>
                  </w:pPr>
                  <w:r>
                    <w:rPr>
                      <w:rFonts w:hint="eastAsia"/>
                      <w:color w:val="000000"/>
                      <w:szCs w:val="21"/>
                    </w:rPr>
                    <w:t>巴河</w:t>
                  </w:r>
                </w:p>
              </w:tc>
              <w:tc>
                <w:tcPr>
                  <w:tcW w:w="474" w:type="pct"/>
                  <w:noWrap w:val="0"/>
                  <w:vAlign w:val="center"/>
                </w:tcPr>
                <w:p w14:paraId="384D0ED5">
                  <w:pPr>
                    <w:pStyle w:val="94"/>
                    <w:rPr>
                      <w:color w:val="000000"/>
                      <w:szCs w:val="21"/>
                    </w:rPr>
                  </w:pPr>
                  <w:r>
                    <w:rPr>
                      <w:rFonts w:hint="eastAsia"/>
                      <w:color w:val="000000"/>
                      <w:szCs w:val="21"/>
                    </w:rPr>
                    <w:t>北</w:t>
                  </w:r>
                </w:p>
              </w:tc>
              <w:tc>
                <w:tcPr>
                  <w:tcW w:w="601" w:type="pct"/>
                  <w:noWrap w:val="0"/>
                  <w:vAlign w:val="center"/>
                </w:tcPr>
                <w:p w14:paraId="4901D769">
                  <w:pPr>
                    <w:pStyle w:val="94"/>
                    <w:rPr>
                      <w:color w:val="000000"/>
                      <w:szCs w:val="21"/>
                    </w:rPr>
                  </w:pPr>
                  <w:r>
                    <w:rPr>
                      <w:color w:val="000000"/>
                    </w:rPr>
                    <w:t>1</w:t>
                  </w:r>
                  <w:r>
                    <w:rPr>
                      <w:rFonts w:hint="eastAsia"/>
                      <w:color w:val="000000"/>
                    </w:rPr>
                    <w:t>51</w:t>
                  </w:r>
                </w:p>
              </w:tc>
              <w:tc>
                <w:tcPr>
                  <w:tcW w:w="535" w:type="pct"/>
                  <w:noWrap w:val="0"/>
                  <w:vAlign w:val="center"/>
                </w:tcPr>
                <w:p w14:paraId="1F6B8C85">
                  <w:pPr>
                    <w:pStyle w:val="94"/>
                    <w:rPr>
                      <w:color w:val="000000"/>
                      <w:szCs w:val="21"/>
                    </w:rPr>
                  </w:pPr>
                  <w:r>
                    <w:rPr>
                      <w:color w:val="000000"/>
                      <w:szCs w:val="21"/>
                    </w:rPr>
                    <w:t>灌溉，纳污</w:t>
                  </w:r>
                </w:p>
              </w:tc>
              <w:tc>
                <w:tcPr>
                  <w:tcW w:w="1762" w:type="pct"/>
                  <w:noWrap w:val="0"/>
                  <w:vAlign w:val="center"/>
                </w:tcPr>
                <w:p w14:paraId="31C54427">
                  <w:pPr>
                    <w:pStyle w:val="94"/>
                    <w:rPr>
                      <w:color w:val="000000"/>
                      <w:szCs w:val="21"/>
                    </w:rPr>
                  </w:pPr>
                  <w:r>
                    <w:rPr>
                      <w:color w:val="000000"/>
                    </w:rPr>
                    <w:t>《</w:t>
                  </w:r>
                  <w:r>
                    <w:rPr>
                      <w:color w:val="000000"/>
                      <w:lang w:val="en-US" w:eastAsia="zh-CN"/>
                    </w:rPr>
                    <w:t>地表⽔环境质量标准</w:t>
                  </w:r>
                  <w:r>
                    <w:rPr>
                      <w:color w:val="000000"/>
                    </w:rPr>
                    <w:t>》（GB3838－</w:t>
                  </w:r>
                  <w:r>
                    <w:rPr>
                      <w:rFonts w:hint="eastAsia"/>
                      <w:color w:val="000000"/>
                      <w:lang w:val="en-US" w:eastAsia="zh-CN"/>
                    </w:rPr>
                    <w:t>2002</w:t>
                  </w:r>
                  <w:r>
                    <w:rPr>
                      <w:color w:val="000000"/>
                    </w:rPr>
                    <w:t>）中的</w:t>
                  </w:r>
                  <w:r>
                    <w:rPr>
                      <w:rFonts w:hint="eastAsia"/>
                      <w:color w:val="000000"/>
                    </w:rPr>
                    <w:t>Ⅲ</w:t>
                  </w:r>
                  <w:r>
                    <w:rPr>
                      <w:color w:val="000000"/>
                    </w:rPr>
                    <w:t>类</w:t>
                  </w:r>
                </w:p>
              </w:tc>
            </w:tr>
          </w:tbl>
          <w:p w14:paraId="65B5DD53">
            <w:pPr>
              <w:pStyle w:val="10"/>
              <w:keepNext w:val="0"/>
              <w:keepLines w:val="0"/>
              <w:pageBreakBefore w:val="0"/>
              <w:widowControl/>
              <w:kinsoku/>
              <w:wordWrap/>
              <w:overflowPunct/>
              <w:topLinePunct w:val="0"/>
              <w:autoSpaceDE/>
              <w:autoSpaceDN/>
              <w:bidi w:val="0"/>
              <w:adjustRightInd/>
              <w:snapToGrid w:val="0"/>
              <w:spacing w:before="0" w:after="0" w:line="360" w:lineRule="auto"/>
              <w:ind w:right="0" w:firstLine="482" w:firstLineChars="200"/>
              <w:textAlignment w:val="auto"/>
              <w:rPr>
                <w:rFonts w:hint="eastAsia" w:ascii="宋体" w:hAnsi="宋体" w:cs="宋体"/>
                <w:color w:val="000000"/>
                <w:sz w:val="24"/>
                <w:szCs w:val="24"/>
              </w:rPr>
            </w:pPr>
            <w:r>
              <w:rPr>
                <w:rFonts w:hint="eastAsia" w:ascii="宋体" w:hAnsi="宋体" w:cs="宋体"/>
                <w:b/>
                <w:bCs/>
                <w:color w:val="000000"/>
                <w:sz w:val="24"/>
                <w:szCs w:val="24"/>
              </w:rPr>
              <w:t>（5）生态环境</w:t>
            </w:r>
          </w:p>
          <w:p w14:paraId="6F5D4686">
            <w:pPr>
              <w:pStyle w:val="10"/>
              <w:spacing w:before="0" w:after="0" w:line="360" w:lineRule="auto"/>
              <w:ind w:right="0" w:firstLine="480" w:firstLineChars="200"/>
              <w:rPr>
                <w:rFonts w:hint="default" w:ascii="Times New Roman" w:hAnsi="Times New Roman" w:cs="Times New Roman"/>
                <w:color w:val="000000"/>
                <w:sz w:val="24"/>
              </w:rPr>
            </w:pPr>
            <w:r>
              <w:rPr>
                <w:rFonts w:hint="eastAsia" w:ascii="宋体" w:hAnsi="宋体" w:cs="宋体"/>
                <w:color w:val="000000"/>
                <w:sz w:val="24"/>
                <w:szCs w:val="24"/>
              </w:rPr>
              <w:t>本项目位于</w:t>
            </w:r>
            <w:r>
              <w:rPr>
                <w:rFonts w:hint="eastAsia" w:ascii="宋体" w:hAnsi="宋体" w:cs="宋体"/>
                <w:color w:val="000000"/>
                <w:sz w:val="24"/>
                <w:szCs w:val="24"/>
                <w:lang w:eastAsia="zh-CN"/>
              </w:rPr>
              <w:t>四川省巴中市平昌经济开发区星光工业园区</w:t>
            </w:r>
            <w:r>
              <w:rPr>
                <w:rFonts w:hint="eastAsia" w:ascii="宋体" w:hAnsi="宋体" w:cs="宋体"/>
                <w:color w:val="000000"/>
                <w:sz w:val="24"/>
                <w:szCs w:val="24"/>
              </w:rPr>
              <w:t>已建厂房内进行建设，不涉及新增用地，不涉及生态环境保护目标。</w:t>
            </w:r>
          </w:p>
        </w:tc>
      </w:tr>
      <w:tr w14:paraId="53128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6" w:type="dxa"/>
            <w:noWrap w:val="0"/>
            <w:tcMar>
              <w:left w:w="28" w:type="dxa"/>
              <w:right w:w="28" w:type="dxa"/>
            </w:tcMar>
            <w:vAlign w:val="center"/>
          </w:tcPr>
          <w:p w14:paraId="461E06C9">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污染</w:t>
            </w:r>
          </w:p>
          <w:p w14:paraId="004EA6D8">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物排</w:t>
            </w:r>
          </w:p>
          <w:p w14:paraId="474A7A09">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放控</w:t>
            </w:r>
          </w:p>
          <w:p w14:paraId="0D509151">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制标</w:t>
            </w:r>
          </w:p>
          <w:p w14:paraId="6BF82917">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准</w:t>
            </w:r>
          </w:p>
        </w:tc>
        <w:tc>
          <w:tcPr>
            <w:tcW w:w="9095" w:type="dxa"/>
            <w:noWrap w:val="0"/>
            <w:vAlign w:val="center"/>
          </w:tcPr>
          <w:p w14:paraId="6DF2E4DA">
            <w:pPr>
              <w:spacing w:line="360" w:lineRule="auto"/>
              <w:ind w:firstLine="482" w:firstLineChars="200"/>
              <w:rPr>
                <w:rFonts w:hint="default" w:ascii="Times New Roman" w:hAnsi="Times New Roman" w:cs="Times New Roman"/>
                <w:b/>
                <w:bCs/>
                <w:color w:val="000000"/>
                <w:sz w:val="24"/>
              </w:rPr>
            </w:pPr>
            <w:r>
              <w:rPr>
                <w:rFonts w:hint="eastAsia" w:ascii="Times New Roman" w:hAnsi="Times New Roman" w:cs="Times New Roman"/>
                <w:b/>
                <w:bCs/>
                <w:color w:val="000000"/>
                <w:sz w:val="24"/>
                <w:lang w:eastAsia="zh-CN"/>
              </w:rPr>
              <w:t>1.</w:t>
            </w:r>
            <w:r>
              <w:rPr>
                <w:rFonts w:hint="default" w:ascii="Times New Roman" w:hAnsi="Times New Roman" w:cs="Times New Roman"/>
                <w:b/>
                <w:bCs/>
                <w:color w:val="000000"/>
                <w:sz w:val="24"/>
              </w:rPr>
              <w:t>废气</w:t>
            </w:r>
          </w:p>
          <w:p w14:paraId="701A54C0">
            <w:pPr>
              <w:pStyle w:val="78"/>
              <w:ind w:firstLine="482"/>
              <w:rPr>
                <w:rFonts w:hint="default" w:ascii="Times New Roman" w:hAnsi="Times New Roman" w:cs="Times New Roman"/>
                <w:b/>
                <w:bCs/>
                <w:color w:val="000000"/>
              </w:rPr>
            </w:pPr>
            <w:r>
              <w:rPr>
                <w:rFonts w:hint="default" w:ascii="Times New Roman" w:hAnsi="Times New Roman" w:cs="Times New Roman"/>
                <w:b/>
                <w:bCs/>
                <w:color w:val="000000"/>
              </w:rPr>
              <w:t>施工期：</w:t>
            </w:r>
          </w:p>
          <w:p w14:paraId="493382DB">
            <w:pPr>
              <w:pStyle w:val="78"/>
              <w:ind w:firstLine="480"/>
              <w:rPr>
                <w:rFonts w:hint="default" w:ascii="Times New Roman" w:hAnsi="Times New Roman" w:cs="Times New Roman"/>
                <w:color w:val="000000"/>
              </w:rPr>
            </w:pPr>
            <w:r>
              <w:rPr>
                <w:rFonts w:hint="default" w:ascii="Times New Roman" w:hAnsi="Times New Roman" w:cs="Times New Roman"/>
                <w:color w:val="000000"/>
              </w:rPr>
              <w:t>施工期：施工期扬尘执行《四川省施工场地扬尘排放标准》（DB51/2682-2020），见表3-</w:t>
            </w:r>
            <w:r>
              <w:rPr>
                <w:rFonts w:hint="eastAsia" w:ascii="Times New Roman" w:hAnsi="Times New Roman" w:cs="Times New Roman"/>
                <w:color w:val="000000"/>
                <w:lang w:val="en-US" w:eastAsia="zh-CN"/>
              </w:rPr>
              <w:t>7</w:t>
            </w:r>
            <w:r>
              <w:rPr>
                <w:rFonts w:hint="default" w:ascii="Times New Roman" w:hAnsi="Times New Roman" w:cs="Times New Roman"/>
                <w:color w:val="000000"/>
              </w:rPr>
              <w:t>。</w:t>
            </w:r>
          </w:p>
          <w:p w14:paraId="0D58E70D">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val="0"/>
                <w:color w:val="000000"/>
                <w:sz w:val="24"/>
                <w:szCs w:val="24"/>
                <w:lang w:val="en-US" w:eastAsia="zh-CN"/>
              </w:rPr>
            </w:pPr>
            <w:r>
              <w:rPr>
                <w:rFonts w:hint="default" w:ascii="Times New Roman" w:hAnsi="Times New Roman" w:eastAsia="宋体" w:cs="Times New Roman"/>
                <w:b/>
                <w:bCs w:val="0"/>
                <w:color w:val="000000"/>
                <w:sz w:val="24"/>
                <w:szCs w:val="24"/>
                <w:lang w:val="en-US" w:eastAsia="zh-CN"/>
              </w:rPr>
              <w:t xml:space="preserve">  四川省施工场地扬尘排放限值</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3390"/>
              <w:gridCol w:w="2595"/>
              <w:gridCol w:w="1927"/>
            </w:tblGrid>
            <w:tr w14:paraId="030E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2" w:type="dxa"/>
                  <w:noWrap w:val="0"/>
                  <w:vAlign w:val="center"/>
                </w:tcPr>
                <w:p w14:paraId="5033C96B">
                  <w:pPr>
                    <w:rPr>
                      <w:rFonts w:hint="default" w:ascii="Times New Roman" w:hAnsi="Times New Roman" w:cs="Times New Roman"/>
                      <w:color w:val="000000"/>
                      <w:szCs w:val="21"/>
                    </w:rPr>
                  </w:pPr>
                  <w:r>
                    <w:rPr>
                      <w:rFonts w:hint="default" w:ascii="Times New Roman" w:hAnsi="Times New Roman" w:cs="Times New Roman"/>
                      <w:color w:val="000000"/>
                      <w:szCs w:val="21"/>
                    </w:rPr>
                    <w:t>监测项目</w:t>
                  </w:r>
                </w:p>
              </w:tc>
              <w:tc>
                <w:tcPr>
                  <w:tcW w:w="3390" w:type="dxa"/>
                  <w:noWrap w:val="0"/>
                  <w:vAlign w:val="center"/>
                </w:tcPr>
                <w:p w14:paraId="15602C80">
                  <w:pPr>
                    <w:rPr>
                      <w:rFonts w:hint="default" w:ascii="Times New Roman" w:hAnsi="Times New Roman" w:cs="Times New Roman"/>
                      <w:color w:val="000000"/>
                      <w:szCs w:val="21"/>
                    </w:rPr>
                  </w:pPr>
                  <w:r>
                    <w:rPr>
                      <w:rFonts w:hint="default" w:ascii="Times New Roman" w:hAnsi="Times New Roman" w:cs="Times New Roman"/>
                      <w:color w:val="000000"/>
                      <w:szCs w:val="21"/>
                    </w:rPr>
                    <w:t>施工阶段</w:t>
                  </w:r>
                </w:p>
              </w:tc>
              <w:tc>
                <w:tcPr>
                  <w:tcW w:w="2595" w:type="dxa"/>
                  <w:noWrap w:val="0"/>
                  <w:vAlign w:val="center"/>
                </w:tcPr>
                <w:p w14:paraId="31F0BDF4">
                  <w:pPr>
                    <w:rPr>
                      <w:rFonts w:hint="default" w:ascii="Times New Roman" w:hAnsi="Times New Roman" w:cs="Times New Roman"/>
                      <w:color w:val="000000"/>
                      <w:szCs w:val="21"/>
                    </w:rPr>
                  </w:pPr>
                  <w:r>
                    <w:rPr>
                      <w:rFonts w:hint="default" w:ascii="Times New Roman" w:hAnsi="Times New Roman" w:cs="Times New Roman"/>
                      <w:color w:val="000000"/>
                      <w:szCs w:val="21"/>
                    </w:rPr>
                    <w:t>监测点排放限值（μg/m</w:t>
                  </w:r>
                  <w:r>
                    <w:rPr>
                      <w:rFonts w:hint="default" w:ascii="Times New Roman" w:hAnsi="Times New Roman" w:cs="Times New Roman"/>
                      <w:color w:val="000000"/>
                      <w:szCs w:val="21"/>
                      <w:vertAlign w:val="superscript"/>
                    </w:rPr>
                    <w:t>3</w:t>
                  </w:r>
                  <w:r>
                    <w:rPr>
                      <w:rFonts w:hint="default" w:ascii="Times New Roman" w:hAnsi="Times New Roman" w:cs="Times New Roman"/>
                      <w:color w:val="000000"/>
                      <w:szCs w:val="21"/>
                    </w:rPr>
                    <w:t>）</w:t>
                  </w:r>
                </w:p>
              </w:tc>
              <w:tc>
                <w:tcPr>
                  <w:tcW w:w="1927" w:type="dxa"/>
                  <w:noWrap w:val="0"/>
                  <w:vAlign w:val="center"/>
                </w:tcPr>
                <w:p w14:paraId="575C4A1F">
                  <w:pPr>
                    <w:rPr>
                      <w:rFonts w:hint="default" w:ascii="Times New Roman" w:hAnsi="Times New Roman" w:cs="Times New Roman"/>
                      <w:color w:val="000000"/>
                      <w:szCs w:val="21"/>
                    </w:rPr>
                  </w:pPr>
                  <w:r>
                    <w:rPr>
                      <w:rFonts w:hint="default" w:ascii="Times New Roman" w:hAnsi="Times New Roman" w:cs="Times New Roman"/>
                      <w:color w:val="000000"/>
                      <w:szCs w:val="21"/>
                    </w:rPr>
                    <w:t>监测时间</w:t>
                  </w:r>
                </w:p>
              </w:tc>
            </w:tr>
            <w:tr w14:paraId="53D4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2" w:type="dxa"/>
                  <w:noWrap w:val="0"/>
                  <w:vAlign w:val="center"/>
                </w:tcPr>
                <w:p w14:paraId="7911FBBB">
                  <w:pPr>
                    <w:rPr>
                      <w:rFonts w:hint="default" w:ascii="Times New Roman" w:hAnsi="Times New Roman" w:eastAsia="宋体" w:cs="Times New Roman"/>
                      <w:color w:val="000000"/>
                      <w:szCs w:val="21"/>
                      <w:lang w:val="en-US" w:eastAsia="zh-CN"/>
                    </w:rPr>
                  </w:pPr>
                  <w:r>
                    <w:rPr>
                      <w:rFonts w:hint="eastAsia" w:ascii="Times New Roman" w:hAnsi="Times New Roman" w:cs="Times New Roman"/>
                      <w:color w:val="000000"/>
                      <w:szCs w:val="21"/>
                      <w:lang w:val="en-US" w:eastAsia="zh-CN"/>
                    </w:rPr>
                    <w:t>颗粒物</w:t>
                  </w:r>
                </w:p>
              </w:tc>
              <w:tc>
                <w:tcPr>
                  <w:tcW w:w="3390" w:type="dxa"/>
                  <w:noWrap w:val="0"/>
                  <w:vAlign w:val="center"/>
                </w:tcPr>
                <w:p w14:paraId="67A601B8">
                  <w:pPr>
                    <w:rPr>
                      <w:rFonts w:hint="default" w:ascii="Times New Roman" w:hAnsi="Times New Roman" w:cs="Times New Roman"/>
                      <w:color w:val="000000"/>
                      <w:szCs w:val="21"/>
                    </w:rPr>
                  </w:pPr>
                  <w:r>
                    <w:rPr>
                      <w:rFonts w:hint="default" w:ascii="Times New Roman" w:hAnsi="Times New Roman" w:cs="Times New Roman"/>
                      <w:color w:val="000000"/>
                      <w:szCs w:val="21"/>
                    </w:rPr>
                    <w:t>其他工程阶段</w:t>
                  </w:r>
                </w:p>
              </w:tc>
              <w:tc>
                <w:tcPr>
                  <w:tcW w:w="2595" w:type="dxa"/>
                  <w:noWrap w:val="0"/>
                  <w:vAlign w:val="center"/>
                </w:tcPr>
                <w:p w14:paraId="7AD399A0">
                  <w:pPr>
                    <w:rPr>
                      <w:rFonts w:hint="default" w:ascii="Times New Roman" w:hAnsi="Times New Roman" w:cs="Times New Roman"/>
                      <w:color w:val="000000"/>
                      <w:szCs w:val="21"/>
                    </w:rPr>
                  </w:pPr>
                  <w:r>
                    <w:rPr>
                      <w:rFonts w:hint="default" w:ascii="Times New Roman" w:hAnsi="Times New Roman" w:cs="Times New Roman"/>
                      <w:color w:val="000000"/>
                      <w:szCs w:val="21"/>
                    </w:rPr>
                    <w:t>250</w:t>
                  </w:r>
                </w:p>
              </w:tc>
              <w:tc>
                <w:tcPr>
                  <w:tcW w:w="1927" w:type="dxa"/>
                  <w:noWrap w:val="0"/>
                  <w:vAlign w:val="center"/>
                </w:tcPr>
                <w:p w14:paraId="2632766C">
                  <w:pPr>
                    <w:rPr>
                      <w:rFonts w:hint="default" w:ascii="Times New Roman" w:hAnsi="Times New Roman" w:cs="Times New Roman"/>
                      <w:color w:val="000000"/>
                      <w:szCs w:val="21"/>
                    </w:rPr>
                  </w:pPr>
                  <w:r>
                    <w:rPr>
                      <w:rFonts w:hint="eastAsia"/>
                      <w:color w:val="000000"/>
                      <w:szCs w:val="21"/>
                    </w:rPr>
                    <w:t>自监测起持续15分钟</w:t>
                  </w:r>
                </w:p>
              </w:tc>
            </w:tr>
          </w:tbl>
          <w:p w14:paraId="77C3510A">
            <w:pPr>
              <w:pStyle w:val="78"/>
              <w:keepNext w:val="0"/>
              <w:keepLines w:val="0"/>
              <w:pageBreakBefore w:val="0"/>
              <w:widowControl w:val="0"/>
              <w:kinsoku/>
              <w:wordWrap/>
              <w:overflowPunct/>
              <w:topLinePunct w:val="0"/>
              <w:autoSpaceDE/>
              <w:autoSpaceDN/>
              <w:bidi w:val="0"/>
              <w:adjustRightInd w:val="0"/>
              <w:snapToGrid/>
              <w:ind w:left="0" w:leftChars="0" w:firstLine="482" w:firstLineChars="200"/>
              <w:textAlignment w:val="auto"/>
              <w:rPr>
                <w:rFonts w:hint="default" w:ascii="Times New Roman" w:hAnsi="Times New Roman" w:cs="Times New Roman"/>
                <w:b/>
                <w:bCs/>
                <w:color w:val="000000"/>
              </w:rPr>
            </w:pPr>
            <w:r>
              <w:rPr>
                <w:rFonts w:hint="default" w:ascii="Times New Roman" w:hAnsi="Times New Roman" w:cs="Times New Roman"/>
                <w:b/>
                <w:bCs/>
                <w:color w:val="000000"/>
              </w:rPr>
              <w:t>营运期：</w:t>
            </w:r>
            <w:r>
              <w:rPr>
                <w:rFonts w:hint="default" w:ascii="Times New Roman" w:hAnsi="Times New Roman" w:cs="Times New Roman"/>
                <w:b w:val="0"/>
                <w:bCs w:val="0"/>
                <w:color w:val="000000"/>
              </w:rPr>
              <w:t>项目运营期生产过程中废气</w:t>
            </w:r>
            <w:r>
              <w:rPr>
                <w:rFonts w:hint="eastAsia" w:ascii="Times New Roman" w:hAnsi="Times New Roman" w:cs="Times New Roman"/>
                <w:b w:val="0"/>
                <w:bCs w:val="0"/>
                <w:color w:val="000000"/>
                <w:lang w:val="en-US" w:eastAsia="zh-CN"/>
              </w:rPr>
              <w:t>主要为预</w:t>
            </w:r>
            <w:r>
              <w:rPr>
                <w:rFonts w:hint="eastAsia" w:ascii="Times New Roman" w:hAnsi="Times New Roman" w:cs="Times New Roman"/>
                <w:b w:val="0"/>
                <w:bCs w:val="0"/>
                <w:color w:val="000000"/>
                <w:lang w:eastAsia="zh-CN"/>
              </w:rPr>
              <w:t>碳化废气等。</w:t>
            </w:r>
            <w:r>
              <w:rPr>
                <w:rFonts w:hint="default" w:ascii="Times New Roman" w:hAnsi="Times New Roman" w:cs="Times New Roman"/>
                <w:b w:val="0"/>
                <w:bCs w:val="0"/>
                <w:color w:val="000000"/>
              </w:rPr>
              <w:t>对照国家、地方及行业相关环保要求，本项目废气污染物排放标准控制如下：</w:t>
            </w:r>
          </w:p>
          <w:p w14:paraId="4597381F">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eastAsia" w:ascii="Times New Roman" w:hAnsi="Times New Roman" w:eastAsia="宋体" w:cs="Times New Roman"/>
                <w:b/>
                <w:bCs/>
                <w:color w:val="000000"/>
                <w:sz w:val="24"/>
                <w:szCs w:val="24"/>
                <w:lang w:eastAsia="zh-CN"/>
              </w:rPr>
            </w:pPr>
            <w:r>
              <w:rPr>
                <w:rFonts w:hint="eastAsia" w:ascii="Times New Roman" w:hAnsi="Times New Roman" w:cs="Times New Roman"/>
                <w:b/>
                <w:bCs/>
                <w:color w:val="000000"/>
                <w:sz w:val="24"/>
                <w:szCs w:val="24"/>
                <w:lang w:val="en-US" w:eastAsia="zh-CN"/>
              </w:rPr>
              <w:t xml:space="preserve">  </w:t>
            </w:r>
            <w:r>
              <w:rPr>
                <w:rFonts w:hint="eastAsia" w:ascii="Times New Roman" w:hAnsi="Times New Roman" w:cs="Times New Roman"/>
                <w:b/>
                <w:bCs/>
                <w:color w:val="000000"/>
                <w:sz w:val="24"/>
                <w:szCs w:val="24"/>
                <w:lang w:eastAsia="zh-CN"/>
              </w:rPr>
              <w:t>营运期有组织排放废气浓度限值 单位：mg/m</w:t>
            </w:r>
            <w:r>
              <w:rPr>
                <w:rFonts w:hint="eastAsia" w:ascii="Times New Roman" w:hAnsi="Times New Roman" w:cs="Times New Roman"/>
                <w:b/>
                <w:bCs/>
                <w:color w:val="000000"/>
                <w:sz w:val="24"/>
                <w:szCs w:val="24"/>
                <w:vertAlign w:val="superscript"/>
                <w:lang w:eastAsia="zh-CN"/>
              </w:rPr>
              <w:t>3</w:t>
            </w:r>
          </w:p>
          <w:tbl>
            <w:tblPr>
              <w:tblStyle w:val="32"/>
              <w:tblW w:w="8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825"/>
              <w:gridCol w:w="1290"/>
              <w:gridCol w:w="1815"/>
              <w:gridCol w:w="1705"/>
              <w:gridCol w:w="1267"/>
              <w:gridCol w:w="864"/>
            </w:tblGrid>
            <w:tr w14:paraId="472C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noWrap w:val="0"/>
                  <w:vAlign w:val="center"/>
                </w:tcPr>
                <w:p w14:paraId="4FEB9894">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eastAsia="宋体" w:cs="Times New Roman"/>
                      <w:b w:val="0"/>
                      <w:bCs w:val="0"/>
                      <w:color w:val="000000"/>
                      <w:sz w:val="21"/>
                      <w:szCs w:val="21"/>
                      <w:vertAlign w:val="baseline"/>
                      <w:lang w:eastAsia="zh-CN"/>
                    </w:rPr>
                    <w:t>工序</w:t>
                  </w:r>
                </w:p>
              </w:tc>
              <w:tc>
                <w:tcPr>
                  <w:tcW w:w="825" w:type="dxa"/>
                  <w:noWrap w:val="0"/>
                  <w:vAlign w:val="center"/>
                </w:tcPr>
                <w:p w14:paraId="6C94D08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eastAsia="宋体" w:cs="Times New Roman"/>
                      <w:b w:val="0"/>
                      <w:bCs w:val="0"/>
                      <w:color w:val="000000"/>
                      <w:sz w:val="21"/>
                      <w:szCs w:val="21"/>
                      <w:vertAlign w:val="baseline"/>
                      <w:lang w:eastAsia="zh-CN"/>
                    </w:rPr>
                    <w:t>污染物</w:t>
                  </w:r>
                </w:p>
              </w:tc>
              <w:tc>
                <w:tcPr>
                  <w:tcW w:w="1290" w:type="dxa"/>
                  <w:noWrap w:val="0"/>
                  <w:vAlign w:val="center"/>
                </w:tcPr>
                <w:p w14:paraId="415E7BC9">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工业炉窑大气污染物排放标准</w:t>
                  </w: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GB9078</w:t>
                  </w:r>
                  <w:r>
                    <w:rPr>
                      <w:rFonts w:hint="default" w:ascii="Times New Roman" w:hAnsi="Times New Roman" w:eastAsia="宋体" w:cs="Times New Roman"/>
                      <w:b w:val="0"/>
                      <w:bCs w:val="0"/>
                      <w:color w:val="000000"/>
                      <w:sz w:val="21"/>
                      <w:szCs w:val="21"/>
                      <w:vertAlign w:val="baseline"/>
                      <w:lang w:val="en-US" w:eastAsia="zh-CN"/>
                    </w:rPr>
                    <w:t>-1996</w:t>
                  </w:r>
                </w:p>
              </w:tc>
              <w:tc>
                <w:tcPr>
                  <w:tcW w:w="1815" w:type="dxa"/>
                  <w:noWrap w:val="0"/>
                  <w:vAlign w:val="center"/>
                </w:tcPr>
                <w:p w14:paraId="651787EE">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rPr>
                  </w:pP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四川省工业炉窑大气污染综合治理实施清单</w:t>
                  </w: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（川环函</w:t>
                  </w:r>
                </w:p>
                <w:p w14:paraId="08579C3A">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rPr>
                  </w:pPr>
                  <w:r>
                    <w:rPr>
                      <w:rFonts w:hint="default" w:ascii="Times New Roman" w:hAnsi="Times New Roman" w:eastAsia="宋体" w:cs="Times New Roman"/>
                      <w:b w:val="0"/>
                      <w:bCs w:val="0"/>
                      <w:color w:val="000000"/>
                      <w:sz w:val="21"/>
                      <w:szCs w:val="21"/>
                      <w:vertAlign w:val="baseline"/>
                      <w:lang w:eastAsia="zh-CN"/>
                    </w:rPr>
                    <w:t>〔2019〕</w:t>
                  </w:r>
                  <w:r>
                    <w:rPr>
                      <w:rFonts w:hint="default" w:ascii="Times New Roman" w:hAnsi="Times New Roman" w:eastAsia="宋体" w:cs="Times New Roman"/>
                      <w:b w:val="0"/>
                      <w:bCs w:val="0"/>
                      <w:color w:val="000000"/>
                      <w:sz w:val="21"/>
                      <w:szCs w:val="21"/>
                      <w:vertAlign w:val="baseline"/>
                    </w:rPr>
                    <w:t>1002</w:t>
                  </w:r>
                  <w:r>
                    <w:rPr>
                      <w:rFonts w:hint="default" w:ascii="Times New Roman" w:hAnsi="Times New Roman" w:eastAsia="宋体" w:cs="Times New Roman"/>
                      <w:b w:val="0"/>
                      <w:bCs w:val="0"/>
                      <w:color w:val="000000"/>
                      <w:sz w:val="21"/>
                      <w:szCs w:val="21"/>
                      <w:vertAlign w:val="baseline"/>
                      <w:lang w:eastAsia="zh-CN"/>
                    </w:rPr>
                    <w:t>)</w:t>
                  </w:r>
                </w:p>
              </w:tc>
              <w:tc>
                <w:tcPr>
                  <w:tcW w:w="1705" w:type="dxa"/>
                  <w:noWrap w:val="0"/>
                  <w:vAlign w:val="center"/>
                </w:tcPr>
                <w:p w14:paraId="2553447E">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rPr>
                  </w:pP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四川省固定污染源大气挥发性有机物排放标准</w:t>
                  </w: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DB51/</w:t>
                  </w:r>
                  <w:r>
                    <w:rPr>
                      <w:rFonts w:hint="default" w:ascii="Times New Roman" w:hAnsi="Times New Roman" w:eastAsia="宋体" w:cs="Times New Roman"/>
                      <w:b w:val="0"/>
                      <w:bCs w:val="0"/>
                      <w:color w:val="000000"/>
                      <w:sz w:val="21"/>
                      <w:szCs w:val="21"/>
                      <w:vertAlign w:val="baseline"/>
                      <w:lang w:val="en-US" w:eastAsia="zh-CN"/>
                    </w:rPr>
                    <w:t>2</w:t>
                  </w:r>
                  <w:r>
                    <w:rPr>
                      <w:rFonts w:hint="default" w:ascii="Times New Roman" w:hAnsi="Times New Roman" w:eastAsia="宋体" w:cs="Times New Roman"/>
                      <w:b w:val="0"/>
                      <w:bCs w:val="0"/>
                      <w:color w:val="000000"/>
                      <w:sz w:val="21"/>
                      <w:szCs w:val="21"/>
                      <w:vertAlign w:val="baseline"/>
                    </w:rPr>
                    <w:t>377-2017</w:t>
                  </w:r>
                </w:p>
              </w:tc>
              <w:tc>
                <w:tcPr>
                  <w:tcW w:w="1267" w:type="dxa"/>
                  <w:noWrap w:val="0"/>
                  <w:vAlign w:val="center"/>
                </w:tcPr>
                <w:p w14:paraId="56037F80">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rPr>
                  </w:pP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大气污染物综合排放标准</w:t>
                  </w:r>
                  <w:r>
                    <w:rPr>
                      <w:rFonts w:hint="default" w:ascii="Times New Roman" w:hAnsi="Times New Roman" w:eastAsia="宋体" w:cs="Times New Roman"/>
                      <w:b w:val="0"/>
                      <w:bCs w:val="0"/>
                      <w:color w:val="000000"/>
                      <w:sz w:val="21"/>
                      <w:szCs w:val="21"/>
                      <w:vertAlign w:val="baseline"/>
                      <w:lang w:eastAsia="zh-CN"/>
                    </w:rPr>
                    <w:t>》</w:t>
                  </w:r>
                  <w:r>
                    <w:rPr>
                      <w:rFonts w:hint="default" w:ascii="Times New Roman" w:hAnsi="Times New Roman" w:eastAsia="宋体" w:cs="Times New Roman"/>
                      <w:b w:val="0"/>
                      <w:bCs w:val="0"/>
                      <w:color w:val="000000"/>
                      <w:sz w:val="21"/>
                      <w:szCs w:val="21"/>
                      <w:vertAlign w:val="baseline"/>
                    </w:rPr>
                    <w:t>GB16297-1996</w:t>
                  </w:r>
                </w:p>
              </w:tc>
              <w:tc>
                <w:tcPr>
                  <w:tcW w:w="864" w:type="dxa"/>
                  <w:noWrap w:val="0"/>
                  <w:vAlign w:val="center"/>
                </w:tcPr>
                <w:p w14:paraId="0CCF47E3">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执行</w:t>
                  </w:r>
                </w:p>
                <w:p w14:paraId="083FD742">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标准</w:t>
                  </w:r>
                </w:p>
              </w:tc>
            </w:tr>
            <w:tr w14:paraId="2DBA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noWrap w:val="0"/>
                  <w:vAlign w:val="center"/>
                </w:tcPr>
                <w:p w14:paraId="5BE0A05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装料、</w:t>
                  </w:r>
                </w:p>
                <w:p w14:paraId="12E3F8A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包装粉尘</w:t>
                  </w:r>
                </w:p>
              </w:tc>
              <w:tc>
                <w:tcPr>
                  <w:tcW w:w="825" w:type="dxa"/>
                  <w:noWrap w:val="0"/>
                  <w:vAlign w:val="center"/>
                </w:tcPr>
                <w:p w14:paraId="1CA946A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eastAsia="宋体" w:cs="Times New Roman"/>
                      <w:b w:val="0"/>
                      <w:bCs w:val="0"/>
                      <w:color w:val="000000"/>
                      <w:sz w:val="21"/>
                      <w:szCs w:val="21"/>
                      <w:vertAlign w:val="baseline"/>
                      <w:lang w:eastAsia="zh-CN"/>
                    </w:rPr>
                    <w:t>颗粒物</w:t>
                  </w:r>
                </w:p>
              </w:tc>
              <w:tc>
                <w:tcPr>
                  <w:tcW w:w="1290" w:type="dxa"/>
                  <w:noWrap w:val="0"/>
                  <w:vAlign w:val="center"/>
                </w:tcPr>
                <w:p w14:paraId="242D311C">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eastAsia="宋体" w:cs="Times New Roman"/>
                      <w:b/>
                      <w:bCs/>
                      <w:color w:val="000000"/>
                      <w:sz w:val="21"/>
                      <w:szCs w:val="21"/>
                      <w:vertAlign w:val="baseline"/>
                      <w:lang w:val="en-US" w:eastAsia="zh-CN"/>
                    </w:rPr>
                    <w:t>/</w:t>
                  </w:r>
                </w:p>
              </w:tc>
              <w:tc>
                <w:tcPr>
                  <w:tcW w:w="1815" w:type="dxa"/>
                  <w:noWrap w:val="0"/>
                  <w:vAlign w:val="center"/>
                </w:tcPr>
                <w:p w14:paraId="00989B63">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eastAsia="宋体" w:cs="Times New Roman"/>
                      <w:b/>
                      <w:bCs/>
                      <w:color w:val="000000"/>
                      <w:sz w:val="21"/>
                      <w:szCs w:val="21"/>
                      <w:vertAlign w:val="baseline"/>
                      <w:lang w:val="en-US" w:eastAsia="zh-CN"/>
                    </w:rPr>
                    <w:t>/</w:t>
                  </w:r>
                </w:p>
              </w:tc>
              <w:tc>
                <w:tcPr>
                  <w:tcW w:w="1705" w:type="dxa"/>
                  <w:noWrap w:val="0"/>
                  <w:vAlign w:val="center"/>
                </w:tcPr>
                <w:p w14:paraId="7ED16A2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bCs/>
                      <w:color w:val="000000"/>
                      <w:sz w:val="21"/>
                      <w:szCs w:val="21"/>
                      <w:vertAlign w:val="baseline"/>
                      <w:lang w:val="en-US" w:eastAsia="zh-CN"/>
                    </w:rPr>
                  </w:pPr>
                  <w:r>
                    <w:rPr>
                      <w:rFonts w:hint="default" w:ascii="Times New Roman" w:hAnsi="Times New Roman" w:eastAsia="宋体" w:cs="Times New Roman"/>
                      <w:b/>
                      <w:bCs/>
                      <w:color w:val="000000"/>
                      <w:sz w:val="21"/>
                      <w:szCs w:val="21"/>
                      <w:vertAlign w:val="baseline"/>
                      <w:lang w:val="en-US" w:eastAsia="zh-CN"/>
                    </w:rPr>
                    <w:t>/</w:t>
                  </w:r>
                </w:p>
              </w:tc>
              <w:tc>
                <w:tcPr>
                  <w:tcW w:w="1267" w:type="dxa"/>
                  <w:noWrap w:val="0"/>
                  <w:vAlign w:val="center"/>
                </w:tcPr>
                <w:p w14:paraId="22F4BD8E">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120</w:t>
                  </w:r>
                </w:p>
              </w:tc>
              <w:tc>
                <w:tcPr>
                  <w:tcW w:w="864" w:type="dxa"/>
                  <w:noWrap w:val="0"/>
                  <w:vAlign w:val="center"/>
                </w:tcPr>
                <w:p w14:paraId="030ACE2B">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120</w:t>
                  </w:r>
                </w:p>
              </w:tc>
            </w:tr>
            <w:tr w14:paraId="5FE9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960" w:type="dxa"/>
                  <w:vMerge w:val="restart"/>
                  <w:noWrap w:val="0"/>
                  <w:vAlign w:val="center"/>
                </w:tcPr>
                <w:p w14:paraId="1C1E68E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eastAsia="宋体" w:cs="Times New Roman"/>
                      <w:b w:val="0"/>
                      <w:bCs w:val="0"/>
                      <w:color w:val="000000"/>
                      <w:sz w:val="21"/>
                      <w:szCs w:val="21"/>
                      <w:vertAlign w:val="baseline"/>
                      <w:lang w:val="en-US" w:eastAsia="zh-CN"/>
                    </w:rPr>
                    <w:t>预炭化</w:t>
                  </w:r>
                </w:p>
              </w:tc>
              <w:tc>
                <w:tcPr>
                  <w:tcW w:w="825" w:type="dxa"/>
                  <w:noWrap w:val="0"/>
                  <w:vAlign w:val="center"/>
                </w:tcPr>
                <w:p w14:paraId="4AF7AAF9">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eastAsia="宋体" w:cs="Times New Roman"/>
                      <w:b w:val="0"/>
                      <w:bCs w:val="0"/>
                      <w:color w:val="000000"/>
                      <w:sz w:val="21"/>
                      <w:szCs w:val="21"/>
                      <w:vertAlign w:val="baseline"/>
                      <w:lang w:eastAsia="zh-CN"/>
                    </w:rPr>
                    <w:t>颗粒物</w:t>
                  </w:r>
                </w:p>
              </w:tc>
              <w:tc>
                <w:tcPr>
                  <w:tcW w:w="1290" w:type="dxa"/>
                  <w:noWrap w:val="0"/>
                  <w:vAlign w:val="center"/>
                </w:tcPr>
                <w:p w14:paraId="42EE9DC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200</w:t>
                  </w:r>
                </w:p>
              </w:tc>
              <w:tc>
                <w:tcPr>
                  <w:tcW w:w="1815" w:type="dxa"/>
                  <w:noWrap w:val="0"/>
                  <w:vAlign w:val="center"/>
                </w:tcPr>
                <w:p w14:paraId="67A46978">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30</w:t>
                  </w:r>
                </w:p>
              </w:tc>
              <w:tc>
                <w:tcPr>
                  <w:tcW w:w="1705" w:type="dxa"/>
                  <w:noWrap w:val="0"/>
                  <w:vAlign w:val="center"/>
                </w:tcPr>
                <w:p w14:paraId="7EAAC08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67" w:type="dxa"/>
                  <w:noWrap w:val="0"/>
                  <w:vAlign w:val="center"/>
                </w:tcPr>
                <w:p w14:paraId="681047ED">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864" w:type="dxa"/>
                  <w:noWrap w:val="0"/>
                  <w:vAlign w:val="center"/>
                </w:tcPr>
                <w:p w14:paraId="79B08BBC">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30</w:t>
                  </w:r>
                </w:p>
              </w:tc>
            </w:tr>
            <w:tr w14:paraId="2A64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960" w:type="dxa"/>
                  <w:vMerge w:val="continue"/>
                  <w:noWrap w:val="0"/>
                  <w:vAlign w:val="center"/>
                </w:tcPr>
                <w:p w14:paraId="591CE162">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textAlignment w:val="auto"/>
                    <w:rPr>
                      <w:rFonts w:hint="default" w:ascii="Times New Roman" w:hAnsi="Times New Roman" w:eastAsia="宋体" w:cs="Times New Roman"/>
                      <w:b w:val="0"/>
                      <w:bCs w:val="0"/>
                      <w:color w:val="000000"/>
                      <w:sz w:val="21"/>
                      <w:szCs w:val="21"/>
                      <w:vertAlign w:val="baseline"/>
                    </w:rPr>
                  </w:pPr>
                </w:p>
              </w:tc>
              <w:tc>
                <w:tcPr>
                  <w:tcW w:w="825" w:type="dxa"/>
                  <w:noWrap w:val="0"/>
                  <w:vAlign w:val="center"/>
                </w:tcPr>
                <w:p w14:paraId="5B66AEE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eastAsia="zh-CN"/>
                    </w:rPr>
                  </w:pPr>
                  <w:r>
                    <w:rPr>
                      <w:rFonts w:hint="default" w:ascii="Times New Roman" w:hAnsi="Times New Roman" w:eastAsia="宋体" w:cs="Times New Roman"/>
                      <w:b w:val="0"/>
                      <w:bCs w:val="0"/>
                      <w:color w:val="000000"/>
                      <w:sz w:val="21"/>
                      <w:szCs w:val="21"/>
                      <w:vertAlign w:val="baseline"/>
                      <w:lang w:eastAsia="zh-CN"/>
                    </w:rPr>
                    <w:t>沥青烟</w:t>
                  </w:r>
                </w:p>
              </w:tc>
              <w:tc>
                <w:tcPr>
                  <w:tcW w:w="1290" w:type="dxa"/>
                  <w:noWrap w:val="0"/>
                  <w:vAlign w:val="center"/>
                </w:tcPr>
                <w:p w14:paraId="12E6A23E">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50</w:t>
                  </w:r>
                </w:p>
              </w:tc>
              <w:tc>
                <w:tcPr>
                  <w:tcW w:w="1815" w:type="dxa"/>
                  <w:noWrap w:val="0"/>
                  <w:vAlign w:val="center"/>
                </w:tcPr>
                <w:p w14:paraId="7A2668B5">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705" w:type="dxa"/>
                  <w:noWrap w:val="0"/>
                  <w:vAlign w:val="center"/>
                </w:tcPr>
                <w:p w14:paraId="319793A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67" w:type="dxa"/>
                  <w:noWrap w:val="0"/>
                  <w:vAlign w:val="center"/>
                </w:tcPr>
                <w:p w14:paraId="64D5BB1D">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864" w:type="dxa"/>
                  <w:noWrap w:val="0"/>
                  <w:vAlign w:val="center"/>
                </w:tcPr>
                <w:p w14:paraId="2E11CE1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50</w:t>
                  </w:r>
                </w:p>
              </w:tc>
            </w:tr>
            <w:tr w14:paraId="264A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vMerge w:val="continue"/>
                  <w:noWrap w:val="0"/>
                  <w:vAlign w:val="center"/>
                </w:tcPr>
                <w:p w14:paraId="402FAD83">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textAlignment w:val="auto"/>
                    <w:rPr>
                      <w:rFonts w:hint="default" w:ascii="Times New Roman" w:hAnsi="Times New Roman" w:eastAsia="宋体" w:cs="Times New Roman"/>
                      <w:b w:val="0"/>
                      <w:bCs w:val="0"/>
                      <w:color w:val="000000"/>
                      <w:sz w:val="21"/>
                      <w:szCs w:val="21"/>
                      <w:vertAlign w:val="baseline"/>
                    </w:rPr>
                  </w:pPr>
                </w:p>
              </w:tc>
              <w:tc>
                <w:tcPr>
                  <w:tcW w:w="825" w:type="dxa"/>
                  <w:noWrap w:val="0"/>
                  <w:vAlign w:val="center"/>
                </w:tcPr>
                <w:p w14:paraId="045666B8">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rPr>
                  </w:pPr>
                  <w:r>
                    <w:rPr>
                      <w:rFonts w:hint="default" w:ascii="Times New Roman" w:hAnsi="Times New Roman" w:eastAsia="宋体" w:cs="Times New Roman"/>
                      <w:b w:val="0"/>
                      <w:bCs w:val="0"/>
                      <w:color w:val="000000"/>
                      <w:sz w:val="21"/>
                      <w:szCs w:val="21"/>
                      <w:vertAlign w:val="baseline"/>
                    </w:rPr>
                    <w:t>苯并[a]芘</w:t>
                  </w:r>
                </w:p>
              </w:tc>
              <w:tc>
                <w:tcPr>
                  <w:tcW w:w="1290" w:type="dxa"/>
                  <w:noWrap w:val="0"/>
                  <w:vAlign w:val="center"/>
                </w:tcPr>
                <w:p w14:paraId="57A3C4F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815" w:type="dxa"/>
                  <w:noWrap w:val="0"/>
                  <w:vAlign w:val="center"/>
                </w:tcPr>
                <w:p w14:paraId="7FADA3E9">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705" w:type="dxa"/>
                  <w:noWrap w:val="0"/>
                  <w:vAlign w:val="center"/>
                </w:tcPr>
                <w:p w14:paraId="408C7BB5">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67" w:type="dxa"/>
                  <w:noWrap w:val="0"/>
                  <w:vAlign w:val="center"/>
                </w:tcPr>
                <w:p w14:paraId="25FA493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rPr>
                  </w:pPr>
                  <w:r>
                    <w:rPr>
                      <w:rFonts w:hint="default" w:ascii="Times New Roman" w:hAnsi="Times New Roman" w:eastAsia="宋体" w:cs="Times New Roman"/>
                      <w:b w:val="0"/>
                      <w:bCs w:val="0"/>
                      <w:color w:val="000000"/>
                      <w:sz w:val="21"/>
                      <w:szCs w:val="21"/>
                      <w:vertAlign w:val="baseline"/>
                    </w:rPr>
                    <w:t>0.0003</w:t>
                  </w:r>
                </w:p>
              </w:tc>
              <w:tc>
                <w:tcPr>
                  <w:tcW w:w="864" w:type="dxa"/>
                  <w:noWrap w:val="0"/>
                  <w:vAlign w:val="center"/>
                </w:tcPr>
                <w:p w14:paraId="75E9696B">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0.0003</w:t>
                  </w:r>
                </w:p>
              </w:tc>
            </w:tr>
            <w:tr w14:paraId="4EED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vMerge w:val="continue"/>
                  <w:noWrap w:val="0"/>
                  <w:vAlign w:val="center"/>
                </w:tcPr>
                <w:p w14:paraId="26F1107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textAlignment w:val="auto"/>
                    <w:rPr>
                      <w:rFonts w:hint="default" w:ascii="Times New Roman" w:hAnsi="Times New Roman" w:eastAsia="宋体" w:cs="Times New Roman"/>
                      <w:b w:val="0"/>
                      <w:bCs w:val="0"/>
                      <w:color w:val="000000"/>
                      <w:sz w:val="21"/>
                      <w:szCs w:val="21"/>
                      <w:vertAlign w:val="baseline"/>
                    </w:rPr>
                  </w:pPr>
                </w:p>
              </w:tc>
              <w:tc>
                <w:tcPr>
                  <w:tcW w:w="825" w:type="dxa"/>
                  <w:noWrap w:val="0"/>
                  <w:vAlign w:val="center"/>
                </w:tcPr>
                <w:p w14:paraId="3B62A140">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VOCs</w:t>
                  </w:r>
                </w:p>
              </w:tc>
              <w:tc>
                <w:tcPr>
                  <w:tcW w:w="1290" w:type="dxa"/>
                  <w:noWrap w:val="0"/>
                  <w:vAlign w:val="center"/>
                </w:tcPr>
                <w:p w14:paraId="25C95329">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815" w:type="dxa"/>
                  <w:noWrap w:val="0"/>
                  <w:vAlign w:val="center"/>
                </w:tcPr>
                <w:p w14:paraId="640366AE">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705" w:type="dxa"/>
                  <w:noWrap w:val="0"/>
                  <w:vAlign w:val="center"/>
                </w:tcPr>
                <w:p w14:paraId="75AF4A21">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60</w:t>
                  </w:r>
                </w:p>
              </w:tc>
              <w:tc>
                <w:tcPr>
                  <w:tcW w:w="1267" w:type="dxa"/>
                  <w:noWrap w:val="0"/>
                  <w:vAlign w:val="center"/>
                </w:tcPr>
                <w:p w14:paraId="6F2FF9A6">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864" w:type="dxa"/>
                  <w:noWrap w:val="0"/>
                  <w:vAlign w:val="center"/>
                </w:tcPr>
                <w:p w14:paraId="2B47BDD4">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60</w:t>
                  </w:r>
                </w:p>
              </w:tc>
            </w:tr>
            <w:tr w14:paraId="56DF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960" w:type="dxa"/>
                  <w:vMerge w:val="continue"/>
                  <w:noWrap w:val="0"/>
                  <w:vAlign w:val="center"/>
                </w:tcPr>
                <w:p w14:paraId="0ECEF796">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textAlignment w:val="auto"/>
                    <w:rPr>
                      <w:rFonts w:hint="default" w:ascii="Times New Roman" w:hAnsi="Times New Roman" w:eastAsia="宋体" w:cs="Times New Roman"/>
                      <w:b w:val="0"/>
                      <w:bCs w:val="0"/>
                      <w:color w:val="000000"/>
                      <w:sz w:val="21"/>
                      <w:szCs w:val="21"/>
                      <w:vertAlign w:val="baseline"/>
                    </w:rPr>
                  </w:pPr>
                </w:p>
              </w:tc>
              <w:tc>
                <w:tcPr>
                  <w:tcW w:w="825" w:type="dxa"/>
                  <w:noWrap w:val="0"/>
                  <w:vAlign w:val="center"/>
                </w:tcPr>
                <w:p w14:paraId="741549F0">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SO</w:t>
                  </w:r>
                  <w:r>
                    <w:rPr>
                      <w:rFonts w:hint="default" w:ascii="Times New Roman" w:hAnsi="Times New Roman" w:eastAsia="宋体" w:cs="Times New Roman"/>
                      <w:b w:val="0"/>
                      <w:bCs w:val="0"/>
                      <w:color w:val="000000"/>
                      <w:sz w:val="21"/>
                      <w:szCs w:val="21"/>
                      <w:vertAlign w:val="subscript"/>
                      <w:lang w:val="en-US" w:eastAsia="zh-CN"/>
                    </w:rPr>
                    <w:t>2</w:t>
                  </w:r>
                </w:p>
              </w:tc>
              <w:tc>
                <w:tcPr>
                  <w:tcW w:w="1290" w:type="dxa"/>
                  <w:noWrap w:val="0"/>
                  <w:vAlign w:val="center"/>
                </w:tcPr>
                <w:p w14:paraId="52A71737">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815" w:type="dxa"/>
                  <w:noWrap w:val="0"/>
                  <w:vAlign w:val="center"/>
                </w:tcPr>
                <w:p w14:paraId="069D5CC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200</w:t>
                  </w:r>
                </w:p>
              </w:tc>
              <w:tc>
                <w:tcPr>
                  <w:tcW w:w="1705" w:type="dxa"/>
                  <w:noWrap w:val="0"/>
                  <w:vAlign w:val="center"/>
                </w:tcPr>
                <w:p w14:paraId="100068CE">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67" w:type="dxa"/>
                  <w:noWrap w:val="0"/>
                  <w:vAlign w:val="center"/>
                </w:tcPr>
                <w:p w14:paraId="57137D90">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864" w:type="dxa"/>
                  <w:noWrap w:val="0"/>
                  <w:vAlign w:val="center"/>
                </w:tcPr>
                <w:p w14:paraId="70A451DD">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200</w:t>
                  </w:r>
                </w:p>
              </w:tc>
            </w:tr>
            <w:tr w14:paraId="7554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vMerge w:val="continue"/>
                  <w:noWrap w:val="0"/>
                  <w:vAlign w:val="center"/>
                </w:tcPr>
                <w:p w14:paraId="342ACA32">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textAlignment w:val="auto"/>
                    <w:rPr>
                      <w:rFonts w:hint="default" w:ascii="Times New Roman" w:hAnsi="Times New Roman" w:eastAsia="宋体" w:cs="Times New Roman"/>
                      <w:b w:val="0"/>
                      <w:bCs w:val="0"/>
                      <w:color w:val="000000"/>
                      <w:sz w:val="21"/>
                      <w:szCs w:val="21"/>
                      <w:vertAlign w:val="baseline"/>
                    </w:rPr>
                  </w:pPr>
                </w:p>
              </w:tc>
              <w:tc>
                <w:tcPr>
                  <w:tcW w:w="825" w:type="dxa"/>
                  <w:noWrap w:val="0"/>
                  <w:vAlign w:val="center"/>
                </w:tcPr>
                <w:p w14:paraId="7BA1D467">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NOx</w:t>
                  </w:r>
                </w:p>
              </w:tc>
              <w:tc>
                <w:tcPr>
                  <w:tcW w:w="1290" w:type="dxa"/>
                  <w:noWrap w:val="0"/>
                  <w:vAlign w:val="center"/>
                </w:tcPr>
                <w:p w14:paraId="5FF86293">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815" w:type="dxa"/>
                  <w:noWrap w:val="0"/>
                  <w:vAlign w:val="center"/>
                </w:tcPr>
                <w:p w14:paraId="6DD40A76">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300</w:t>
                  </w:r>
                </w:p>
              </w:tc>
              <w:tc>
                <w:tcPr>
                  <w:tcW w:w="1705" w:type="dxa"/>
                  <w:noWrap w:val="0"/>
                  <w:vAlign w:val="center"/>
                </w:tcPr>
                <w:p w14:paraId="07CA3A3F">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67" w:type="dxa"/>
                  <w:noWrap w:val="0"/>
                  <w:vAlign w:val="center"/>
                </w:tcPr>
                <w:p w14:paraId="65E72E8C">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864" w:type="dxa"/>
                  <w:noWrap w:val="0"/>
                  <w:vAlign w:val="center"/>
                </w:tcPr>
                <w:p w14:paraId="217459BD">
                  <w:pPr>
                    <w:pStyle w:val="78"/>
                    <w:keepNext w:val="0"/>
                    <w:keepLines w:val="0"/>
                    <w:pageBreakBefore w:val="0"/>
                    <w:widowControl w:val="0"/>
                    <w:kinsoku/>
                    <w:wordWrap/>
                    <w:overflowPunct/>
                    <w:topLinePunct w:val="0"/>
                    <w:autoSpaceDE/>
                    <w:autoSpaceDN/>
                    <w:bidi w:val="0"/>
                    <w:adjustRightInd w:val="0"/>
                    <w:snapToGrid/>
                    <w:spacing w:line="240" w:lineRule="auto"/>
                    <w:ind w:left="-42" w:leftChars="-20" w:right="-42" w:rightChars="-20"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300</w:t>
                  </w:r>
                </w:p>
              </w:tc>
            </w:tr>
          </w:tbl>
          <w:p w14:paraId="4C788F74">
            <w:pPr>
              <w:rPr>
                <w:rFonts w:hint="default"/>
                <w:color w:val="000000"/>
              </w:rPr>
            </w:pPr>
          </w:p>
          <w:p w14:paraId="634DAE00">
            <w:pPr>
              <w:pStyle w:val="78"/>
              <w:keepNext w:val="0"/>
              <w:keepLines w:val="0"/>
              <w:pageBreakBefore w:val="0"/>
              <w:widowControl w:val="0"/>
              <w:kinsoku/>
              <w:wordWrap/>
              <w:overflowPunct/>
              <w:topLinePunct w:val="0"/>
              <w:autoSpaceDE/>
              <w:autoSpaceDN/>
              <w:bidi w:val="0"/>
              <w:adjustRightInd w:val="0"/>
              <w:snapToGrid/>
              <w:ind w:left="0" w:leftChars="0" w:firstLine="480" w:firstLineChars="200"/>
              <w:textAlignment w:val="auto"/>
              <w:rPr>
                <w:rFonts w:hint="eastAsia" w:ascii="Times New Roman" w:hAnsi="Times New Roman" w:cs="Times New Roman"/>
                <w:b w:val="0"/>
                <w:bCs w:val="0"/>
                <w:color w:val="000000"/>
                <w:lang w:eastAsia="zh-CN"/>
              </w:rPr>
            </w:pPr>
            <w:r>
              <w:rPr>
                <w:rFonts w:hint="default" w:ascii="Times New Roman" w:hAnsi="Times New Roman" w:cs="Times New Roman"/>
                <w:b w:val="0"/>
                <w:bCs w:val="0"/>
                <w:color w:val="000000"/>
              </w:rPr>
              <w:t>本项目</w:t>
            </w:r>
            <w:r>
              <w:rPr>
                <w:rFonts w:hint="eastAsia" w:ascii="Times New Roman" w:hAnsi="Times New Roman" w:cs="Times New Roman"/>
                <w:b w:val="0"/>
                <w:bCs w:val="0"/>
                <w:color w:val="000000"/>
                <w:lang w:val="en-US" w:eastAsia="zh-CN"/>
              </w:rPr>
              <w:t>装料、包装废气</w:t>
            </w:r>
            <w:r>
              <w:rPr>
                <w:rFonts w:hint="default" w:ascii="Times New Roman" w:hAnsi="Times New Roman" w:cs="Times New Roman"/>
                <w:b w:val="0"/>
                <w:bCs w:val="0"/>
                <w:color w:val="000000"/>
                <w:lang w:eastAsia="zh-CN"/>
              </w:rPr>
              <w:t>执行《大气污染物综合排放标准》（GB16297-1996）标准限值</w:t>
            </w:r>
            <w:r>
              <w:rPr>
                <w:rFonts w:hint="default" w:ascii="Times New Roman" w:hAnsi="Times New Roman" w:cs="Times New Roman"/>
                <w:b w:val="0"/>
                <w:bCs w:val="0"/>
                <w:color w:val="000000"/>
              </w:rPr>
              <w:t>；</w:t>
            </w:r>
            <w:r>
              <w:rPr>
                <w:rFonts w:hint="eastAsia" w:ascii="Times New Roman" w:hAnsi="Times New Roman" w:cs="Times New Roman"/>
                <w:b w:val="0"/>
                <w:bCs w:val="0"/>
                <w:color w:val="000000"/>
                <w:lang w:val="en-US" w:eastAsia="zh-CN"/>
              </w:rPr>
              <w:t>预</w:t>
            </w:r>
            <w:r>
              <w:rPr>
                <w:rFonts w:hint="default" w:ascii="Times New Roman" w:hAnsi="Times New Roman" w:cs="Times New Roman"/>
                <w:b w:val="0"/>
                <w:bCs w:val="0"/>
                <w:color w:val="000000"/>
                <w:lang w:eastAsia="zh-CN"/>
              </w:rPr>
              <w:t>碳化</w:t>
            </w:r>
            <w:r>
              <w:rPr>
                <w:rFonts w:hint="default" w:ascii="Times New Roman" w:hAnsi="Times New Roman" w:cs="Times New Roman"/>
                <w:b w:val="0"/>
                <w:bCs w:val="0"/>
                <w:color w:val="000000"/>
              </w:rPr>
              <w:t>工序产生的沥青烟</w:t>
            </w:r>
            <w:r>
              <w:rPr>
                <w:rFonts w:hint="default" w:ascii="Times New Roman" w:hAnsi="Times New Roman" w:cs="Times New Roman"/>
                <w:b w:val="0"/>
                <w:bCs w:val="0"/>
                <w:color w:val="000000"/>
                <w:lang w:eastAsia="zh-CN"/>
              </w:rPr>
              <w:t>执行</w:t>
            </w:r>
            <w:r>
              <w:rPr>
                <w:rFonts w:hint="default" w:ascii="Times New Roman" w:hAnsi="Times New Roman" w:eastAsia="宋体" w:cs="Times New Roman"/>
                <w:b w:val="0"/>
                <w:bCs w:val="0"/>
                <w:color w:val="000000"/>
                <w:sz w:val="24"/>
                <w:szCs w:val="24"/>
                <w:vertAlign w:val="baseline"/>
                <w:lang w:eastAsia="zh-CN"/>
              </w:rPr>
              <w:t>《</w:t>
            </w:r>
            <w:r>
              <w:rPr>
                <w:rFonts w:hint="default" w:ascii="Times New Roman" w:hAnsi="Times New Roman" w:eastAsia="宋体" w:cs="Times New Roman"/>
                <w:b w:val="0"/>
                <w:bCs w:val="0"/>
                <w:color w:val="000000"/>
                <w:sz w:val="24"/>
                <w:szCs w:val="24"/>
                <w:vertAlign w:val="baseline"/>
              </w:rPr>
              <w:t>工业炉窑大气污染物排放标准</w:t>
            </w:r>
            <w:r>
              <w:rPr>
                <w:rFonts w:hint="default" w:ascii="Times New Roman" w:hAnsi="Times New Roman" w:eastAsia="宋体" w:cs="Times New Roman"/>
                <w:b w:val="0"/>
                <w:bCs w:val="0"/>
                <w:color w:val="000000"/>
                <w:sz w:val="24"/>
                <w:szCs w:val="24"/>
                <w:vertAlign w:val="baseline"/>
                <w:lang w:eastAsia="zh-CN"/>
              </w:rPr>
              <w:t>》（</w:t>
            </w:r>
            <w:r>
              <w:rPr>
                <w:rFonts w:hint="default" w:ascii="Times New Roman" w:hAnsi="Times New Roman" w:eastAsia="宋体" w:cs="Times New Roman"/>
                <w:b w:val="0"/>
                <w:bCs w:val="0"/>
                <w:color w:val="000000"/>
                <w:sz w:val="24"/>
                <w:szCs w:val="24"/>
                <w:vertAlign w:val="baseline"/>
              </w:rPr>
              <w:t>GB9078</w:t>
            </w:r>
            <w:r>
              <w:rPr>
                <w:rFonts w:hint="default" w:ascii="Times New Roman" w:hAnsi="Times New Roman" w:eastAsia="宋体" w:cs="Times New Roman"/>
                <w:b w:val="0"/>
                <w:bCs w:val="0"/>
                <w:color w:val="000000"/>
                <w:sz w:val="24"/>
                <w:szCs w:val="24"/>
                <w:vertAlign w:val="baseline"/>
                <w:lang w:val="en-US" w:eastAsia="zh-CN"/>
              </w:rPr>
              <w:t>-1996</w:t>
            </w:r>
            <w:r>
              <w:rPr>
                <w:rFonts w:hint="default" w:ascii="Times New Roman" w:hAnsi="Times New Roman" w:eastAsia="宋体" w:cs="Times New Roman"/>
                <w:b w:val="0"/>
                <w:bCs w:val="0"/>
                <w:color w:val="000000"/>
                <w:sz w:val="24"/>
                <w:szCs w:val="24"/>
                <w:vertAlign w:val="baseline"/>
                <w:lang w:eastAsia="zh-CN"/>
              </w:rPr>
              <w:t>）标准限值，</w:t>
            </w:r>
            <w:r>
              <w:rPr>
                <w:rFonts w:hint="default" w:ascii="Times New Roman" w:hAnsi="Times New Roman" w:cs="Times New Roman"/>
                <w:b w:val="0"/>
                <w:bCs w:val="0"/>
                <w:color w:val="000000"/>
                <w:lang w:eastAsia="zh-CN"/>
              </w:rPr>
              <w:t>苯并[a]芘参照《大气污染物综合排放标准》（GB16297-1996）标准限值，颗粒物、</w:t>
            </w:r>
            <w:r>
              <w:rPr>
                <w:rFonts w:hint="default" w:ascii="Times New Roman" w:hAnsi="Times New Roman" w:cs="Times New Roman"/>
                <w:b w:val="0"/>
                <w:bCs w:val="0"/>
                <w:color w:val="000000"/>
                <w:lang w:val="en-US" w:eastAsia="zh-CN"/>
              </w:rPr>
              <w:t>SO</w:t>
            </w:r>
            <w:r>
              <w:rPr>
                <w:rFonts w:hint="default" w:ascii="Times New Roman" w:hAnsi="Times New Roman" w:cs="Times New Roman"/>
                <w:b w:val="0"/>
                <w:bCs w:val="0"/>
                <w:color w:val="000000"/>
                <w:vertAlign w:val="subscript"/>
                <w:lang w:val="en-US" w:eastAsia="zh-CN"/>
              </w:rPr>
              <w:t>2</w:t>
            </w:r>
            <w:r>
              <w:rPr>
                <w:rFonts w:hint="default" w:ascii="Times New Roman" w:hAnsi="Times New Roman" w:cs="Times New Roman"/>
                <w:b w:val="0"/>
                <w:bCs w:val="0"/>
                <w:color w:val="000000"/>
                <w:lang w:val="en-US" w:eastAsia="zh-CN"/>
              </w:rPr>
              <w:t>、NOx</w:t>
            </w:r>
            <w:r>
              <w:rPr>
                <w:rFonts w:hint="eastAsia" w:ascii="Times New Roman" w:hAnsi="Times New Roman" w:cs="Times New Roman"/>
                <w:b w:val="0"/>
                <w:bCs w:val="0"/>
                <w:color w:val="000000"/>
                <w:lang w:val="en-US" w:eastAsia="zh-CN"/>
              </w:rPr>
              <w:t>参照</w:t>
            </w:r>
            <w:r>
              <w:rPr>
                <w:rFonts w:hint="default" w:ascii="Times New Roman" w:hAnsi="Times New Roman" w:cs="Times New Roman"/>
                <w:b w:val="0"/>
                <w:bCs w:val="0"/>
                <w:color w:val="000000"/>
              </w:rPr>
              <w:t>执行</w:t>
            </w:r>
            <w:r>
              <w:rPr>
                <w:rFonts w:hint="default" w:ascii="Times New Roman" w:hAnsi="Times New Roman" w:cs="Times New Roman"/>
                <w:b w:val="0"/>
                <w:bCs w:val="0"/>
                <w:color w:val="000000"/>
                <w:lang w:eastAsia="zh-CN"/>
              </w:rPr>
              <w:t>《四川省工业炉窑大气污染综合治理实施清单》（川环函〔2019〕1002）要求</w:t>
            </w:r>
            <w:r>
              <w:rPr>
                <w:rFonts w:hint="default" w:ascii="Times New Roman" w:hAnsi="Times New Roman" w:cs="Times New Roman"/>
                <w:b w:val="0"/>
                <w:bCs w:val="0"/>
                <w:color w:val="000000"/>
              </w:rPr>
              <w:t>，</w:t>
            </w:r>
            <w:r>
              <w:rPr>
                <w:rFonts w:hint="default" w:ascii="Times New Roman" w:hAnsi="Times New Roman" w:eastAsia="宋体" w:cs="Times New Roman"/>
                <w:b w:val="0"/>
                <w:bCs w:val="0"/>
                <w:color w:val="000000"/>
                <w:sz w:val="24"/>
                <w:szCs w:val="24"/>
                <w:vertAlign w:val="baseline"/>
                <w:lang w:val="en-US" w:eastAsia="zh-CN"/>
              </w:rPr>
              <w:t>VOCs</w:t>
            </w:r>
            <w:r>
              <w:rPr>
                <w:rFonts w:hint="default" w:ascii="Times New Roman" w:hAnsi="Times New Roman" w:cs="Times New Roman"/>
                <w:b w:val="0"/>
                <w:bCs w:val="0"/>
                <w:color w:val="000000"/>
              </w:rPr>
              <w:t>执行《四川省固定污染源大气挥发性有机物排放标准》（DB51/2377-2017）</w:t>
            </w:r>
            <w:r>
              <w:rPr>
                <w:rFonts w:hint="default" w:ascii="Times New Roman" w:hAnsi="Times New Roman" w:cs="Times New Roman"/>
                <w:b w:val="0"/>
                <w:bCs w:val="0"/>
                <w:color w:val="000000"/>
                <w:lang w:eastAsia="zh-CN"/>
              </w:rPr>
              <w:t>标准限值</w:t>
            </w:r>
            <w:r>
              <w:rPr>
                <w:rFonts w:hint="eastAsia" w:ascii="Times New Roman" w:hAnsi="Times New Roman" w:cs="Times New Roman"/>
                <w:b w:val="0"/>
                <w:bCs w:val="0"/>
                <w:color w:val="000000"/>
                <w:lang w:eastAsia="zh-CN"/>
              </w:rPr>
              <w:t>。</w:t>
            </w:r>
          </w:p>
          <w:p w14:paraId="143763D9">
            <w:pPr>
              <w:keepNext w:val="0"/>
              <w:keepLines w:val="0"/>
              <w:pageBreakBefore w:val="0"/>
              <w:widowControl w:val="0"/>
              <w:numPr>
                <w:ilvl w:val="0"/>
                <w:numId w:val="23"/>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b/>
                <w:bCs/>
                <w:color w:val="000000"/>
                <w:lang w:val="en-US" w:eastAsia="zh-CN"/>
              </w:rPr>
            </w:pPr>
            <w:r>
              <w:rPr>
                <w:rFonts w:hint="eastAsia" w:ascii="Times New Roman" w:hAnsi="Times New Roman" w:eastAsia="宋体" w:cs="Times New Roman"/>
                <w:b/>
                <w:bCs/>
                <w:color w:val="000000"/>
                <w:sz w:val="24"/>
                <w:szCs w:val="24"/>
                <w:lang w:val="en-US" w:eastAsia="zh-CN"/>
              </w:rPr>
              <w:t xml:space="preserve">  </w:t>
            </w:r>
            <w:r>
              <w:rPr>
                <w:rFonts w:hint="eastAsia" w:ascii="Times New Roman" w:hAnsi="Times New Roman" w:cs="Times New Roman"/>
                <w:b/>
                <w:bCs/>
                <w:color w:val="000000"/>
                <w:lang w:val="en-US" w:eastAsia="zh-CN"/>
              </w:rPr>
              <w:t>大气污染物有组织排放速率</w:t>
            </w:r>
          </w:p>
          <w:tbl>
            <w:tblPr>
              <w:tblStyle w:val="32"/>
              <w:tblW w:w="8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95"/>
              <w:gridCol w:w="1140"/>
              <w:gridCol w:w="1170"/>
              <w:gridCol w:w="1264"/>
              <w:gridCol w:w="2883"/>
            </w:tblGrid>
            <w:tr w14:paraId="33CA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vMerge w:val="restart"/>
                  <w:noWrap w:val="0"/>
                  <w:vAlign w:val="center"/>
                </w:tcPr>
                <w:p w14:paraId="740D71DF">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序号</w:t>
                  </w:r>
                </w:p>
              </w:tc>
              <w:tc>
                <w:tcPr>
                  <w:tcW w:w="1395" w:type="dxa"/>
                  <w:vMerge w:val="restart"/>
                  <w:noWrap w:val="0"/>
                  <w:vAlign w:val="center"/>
                </w:tcPr>
                <w:p w14:paraId="2F20A2B4">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排放口</w:t>
                  </w:r>
                </w:p>
              </w:tc>
              <w:tc>
                <w:tcPr>
                  <w:tcW w:w="1140" w:type="dxa"/>
                  <w:vMerge w:val="restart"/>
                  <w:noWrap w:val="0"/>
                  <w:vAlign w:val="center"/>
                </w:tcPr>
                <w:p w14:paraId="18C40451">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污染物</w:t>
                  </w:r>
                </w:p>
              </w:tc>
              <w:tc>
                <w:tcPr>
                  <w:tcW w:w="2434" w:type="dxa"/>
                  <w:gridSpan w:val="2"/>
                  <w:noWrap w:val="0"/>
                  <w:vAlign w:val="center"/>
                </w:tcPr>
                <w:p w14:paraId="3F97DD1A">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eastAsia="zh-CN"/>
                    </w:rPr>
                    <w:t>排放速率（</w:t>
                  </w:r>
                  <w:r>
                    <w:rPr>
                      <w:rFonts w:hint="eastAsia" w:ascii="Times New Roman" w:hAnsi="Times New Roman" w:cs="Times New Roman"/>
                      <w:b w:val="0"/>
                      <w:bCs w:val="0"/>
                      <w:color w:val="000000"/>
                      <w:sz w:val="21"/>
                      <w:szCs w:val="21"/>
                      <w:vertAlign w:val="baseline"/>
                      <w:lang w:val="en-US" w:eastAsia="zh-CN"/>
                    </w:rPr>
                    <w:t>kg/h</w:t>
                  </w:r>
                  <w:r>
                    <w:rPr>
                      <w:rFonts w:hint="eastAsia" w:ascii="Times New Roman" w:hAnsi="Times New Roman" w:cs="Times New Roman"/>
                      <w:b w:val="0"/>
                      <w:bCs w:val="0"/>
                      <w:color w:val="000000"/>
                      <w:sz w:val="21"/>
                      <w:szCs w:val="21"/>
                      <w:vertAlign w:val="baseline"/>
                      <w:lang w:eastAsia="zh-CN"/>
                    </w:rPr>
                    <w:t>）</w:t>
                  </w:r>
                </w:p>
              </w:tc>
              <w:tc>
                <w:tcPr>
                  <w:tcW w:w="2883" w:type="dxa"/>
                  <w:vMerge w:val="restart"/>
                  <w:noWrap w:val="0"/>
                  <w:vAlign w:val="center"/>
                </w:tcPr>
                <w:p w14:paraId="084ADB62">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标准来源</w:t>
                  </w:r>
                </w:p>
              </w:tc>
            </w:tr>
            <w:tr w14:paraId="0B8C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vMerge w:val="continue"/>
                  <w:noWrap w:val="0"/>
                  <w:vAlign w:val="center"/>
                </w:tcPr>
                <w:p w14:paraId="5849D54A">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p>
              </w:tc>
              <w:tc>
                <w:tcPr>
                  <w:tcW w:w="1395" w:type="dxa"/>
                  <w:vMerge w:val="continue"/>
                  <w:noWrap w:val="0"/>
                  <w:vAlign w:val="center"/>
                </w:tcPr>
                <w:p w14:paraId="607A490E">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p>
              </w:tc>
              <w:tc>
                <w:tcPr>
                  <w:tcW w:w="1140" w:type="dxa"/>
                  <w:vMerge w:val="continue"/>
                  <w:noWrap w:val="0"/>
                  <w:vAlign w:val="center"/>
                </w:tcPr>
                <w:p w14:paraId="454AF15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p>
              </w:tc>
              <w:tc>
                <w:tcPr>
                  <w:tcW w:w="1170" w:type="dxa"/>
                  <w:noWrap w:val="0"/>
                  <w:vAlign w:val="center"/>
                </w:tcPr>
                <w:p w14:paraId="58197FF6">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排放高度</w:t>
                  </w:r>
                </w:p>
              </w:tc>
              <w:tc>
                <w:tcPr>
                  <w:tcW w:w="1264" w:type="dxa"/>
                  <w:noWrap w:val="0"/>
                  <w:vAlign w:val="center"/>
                </w:tcPr>
                <w:p w14:paraId="620FAF6D">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排放速率</w:t>
                  </w:r>
                </w:p>
              </w:tc>
              <w:tc>
                <w:tcPr>
                  <w:tcW w:w="2883" w:type="dxa"/>
                  <w:vMerge w:val="continue"/>
                  <w:noWrap w:val="0"/>
                  <w:vAlign w:val="center"/>
                </w:tcPr>
                <w:p w14:paraId="42AD6683">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p>
              </w:tc>
            </w:tr>
            <w:tr w14:paraId="72C1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noWrap w:val="0"/>
                  <w:vAlign w:val="center"/>
                </w:tcPr>
                <w:p w14:paraId="3028F7B2">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1</w:t>
                  </w:r>
                </w:p>
              </w:tc>
              <w:tc>
                <w:tcPr>
                  <w:tcW w:w="1395" w:type="dxa"/>
                  <w:vMerge w:val="restart"/>
                  <w:noWrap w:val="0"/>
                  <w:vAlign w:val="center"/>
                </w:tcPr>
                <w:p w14:paraId="2C320534">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高温碳化废气</w:t>
                  </w:r>
                </w:p>
              </w:tc>
              <w:tc>
                <w:tcPr>
                  <w:tcW w:w="1140" w:type="dxa"/>
                  <w:noWrap w:val="0"/>
                  <w:vAlign w:val="center"/>
                </w:tcPr>
                <w:p w14:paraId="5E279D31">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苯并[a]芘</w:t>
                  </w:r>
                </w:p>
              </w:tc>
              <w:tc>
                <w:tcPr>
                  <w:tcW w:w="1170" w:type="dxa"/>
                  <w:vMerge w:val="restart"/>
                  <w:noWrap w:val="0"/>
                  <w:vAlign w:val="center"/>
                </w:tcPr>
                <w:p w14:paraId="45531E4C">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33m</w:t>
                  </w:r>
                </w:p>
              </w:tc>
              <w:tc>
                <w:tcPr>
                  <w:tcW w:w="1264" w:type="dxa"/>
                  <w:noWrap w:val="0"/>
                  <w:vAlign w:val="center"/>
                </w:tcPr>
                <w:p w14:paraId="0C6B3644">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0.353×10</w:t>
                  </w:r>
                  <w:r>
                    <w:rPr>
                      <w:rFonts w:hint="eastAsia" w:ascii="Times New Roman" w:hAnsi="Times New Roman" w:cs="Times New Roman"/>
                      <w:b w:val="0"/>
                      <w:bCs w:val="0"/>
                      <w:color w:val="000000"/>
                      <w:sz w:val="21"/>
                      <w:szCs w:val="21"/>
                      <w:vertAlign w:val="superscript"/>
                      <w:lang w:val="en-US" w:eastAsia="zh-CN"/>
                    </w:rPr>
                    <w:t>-3</w:t>
                  </w:r>
                </w:p>
              </w:tc>
              <w:tc>
                <w:tcPr>
                  <w:tcW w:w="2883" w:type="dxa"/>
                  <w:noWrap w:val="0"/>
                  <w:vAlign w:val="center"/>
                </w:tcPr>
                <w:p w14:paraId="442907AC">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699AFDD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r>
            <w:tr w14:paraId="60ED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noWrap w:val="0"/>
                  <w:vAlign w:val="center"/>
                </w:tcPr>
                <w:p w14:paraId="3DB8E3B1">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2</w:t>
                  </w:r>
                </w:p>
              </w:tc>
              <w:tc>
                <w:tcPr>
                  <w:tcW w:w="1395" w:type="dxa"/>
                  <w:vMerge w:val="continue"/>
                  <w:noWrap w:val="0"/>
                  <w:vAlign w:val="center"/>
                </w:tcPr>
                <w:p w14:paraId="4D81B87A">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p>
              </w:tc>
              <w:tc>
                <w:tcPr>
                  <w:tcW w:w="1140" w:type="dxa"/>
                  <w:noWrap w:val="0"/>
                  <w:vAlign w:val="center"/>
                </w:tcPr>
                <w:p w14:paraId="68EE567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VOCs</w:t>
                  </w:r>
                </w:p>
              </w:tc>
              <w:tc>
                <w:tcPr>
                  <w:tcW w:w="1170" w:type="dxa"/>
                  <w:vMerge w:val="continue"/>
                  <w:noWrap w:val="0"/>
                  <w:vAlign w:val="center"/>
                </w:tcPr>
                <w:p w14:paraId="1ED4867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p>
              </w:tc>
              <w:tc>
                <w:tcPr>
                  <w:tcW w:w="1264" w:type="dxa"/>
                  <w:noWrap w:val="0"/>
                  <w:vAlign w:val="center"/>
                </w:tcPr>
                <w:p w14:paraId="045C5A3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24.8</w:t>
                  </w:r>
                </w:p>
              </w:tc>
              <w:tc>
                <w:tcPr>
                  <w:tcW w:w="2883" w:type="dxa"/>
                  <w:noWrap w:val="0"/>
                  <w:vAlign w:val="center"/>
                </w:tcPr>
                <w:p w14:paraId="51F9FFD5">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四川省固定污染源大气挥发性有机物排放标准</w:t>
                  </w: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DB51/</w:t>
                  </w:r>
                  <w:r>
                    <w:rPr>
                      <w:rFonts w:hint="eastAsia" w:ascii="Times New Roman" w:hAnsi="Times New Roman" w:cs="Times New Roman"/>
                      <w:b w:val="0"/>
                      <w:bCs w:val="0"/>
                      <w:color w:val="000000"/>
                      <w:sz w:val="21"/>
                      <w:szCs w:val="21"/>
                      <w:vertAlign w:val="baseline"/>
                      <w:lang w:val="en-US" w:eastAsia="zh-CN"/>
                    </w:rPr>
                    <w:t>2</w:t>
                  </w:r>
                  <w:r>
                    <w:rPr>
                      <w:rFonts w:hint="default" w:ascii="Times New Roman" w:hAnsi="Times New Roman" w:cs="Times New Roman"/>
                      <w:b w:val="0"/>
                      <w:bCs w:val="0"/>
                      <w:color w:val="000000"/>
                      <w:sz w:val="21"/>
                      <w:szCs w:val="21"/>
                      <w:vertAlign w:val="baseline"/>
                    </w:rPr>
                    <w:t>377-2017</w:t>
                  </w:r>
                  <w:r>
                    <w:rPr>
                      <w:rFonts w:hint="eastAsia" w:ascii="Times New Roman" w:hAnsi="Times New Roman" w:cs="Times New Roman"/>
                      <w:b w:val="0"/>
                      <w:bCs w:val="0"/>
                      <w:color w:val="000000"/>
                      <w:sz w:val="21"/>
                      <w:szCs w:val="21"/>
                      <w:vertAlign w:val="baseline"/>
                      <w:lang w:eastAsia="zh-CN"/>
                    </w:rPr>
                    <w:t>）</w:t>
                  </w:r>
                </w:p>
              </w:tc>
            </w:tr>
            <w:tr w14:paraId="4370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noWrap w:val="0"/>
                  <w:vAlign w:val="center"/>
                </w:tcPr>
                <w:p w14:paraId="5C667049">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3</w:t>
                  </w:r>
                </w:p>
              </w:tc>
              <w:tc>
                <w:tcPr>
                  <w:tcW w:w="1395" w:type="dxa"/>
                  <w:noWrap w:val="0"/>
                  <w:vAlign w:val="center"/>
                </w:tcPr>
                <w:p w14:paraId="77F63B1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装料、包装</w:t>
                  </w:r>
                </w:p>
              </w:tc>
              <w:tc>
                <w:tcPr>
                  <w:tcW w:w="1140" w:type="dxa"/>
                  <w:noWrap w:val="0"/>
                  <w:vAlign w:val="center"/>
                </w:tcPr>
                <w:p w14:paraId="0EB28F0C">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颗粒物</w:t>
                  </w:r>
                </w:p>
              </w:tc>
              <w:tc>
                <w:tcPr>
                  <w:tcW w:w="1170" w:type="dxa"/>
                  <w:noWrap w:val="0"/>
                  <w:vAlign w:val="center"/>
                </w:tcPr>
                <w:p w14:paraId="33A4208D">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15m</w:t>
                  </w:r>
                </w:p>
              </w:tc>
              <w:tc>
                <w:tcPr>
                  <w:tcW w:w="1264" w:type="dxa"/>
                  <w:noWrap w:val="0"/>
                  <w:vAlign w:val="center"/>
                </w:tcPr>
                <w:p w14:paraId="2C28BC1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3.5</w:t>
                  </w:r>
                </w:p>
              </w:tc>
              <w:tc>
                <w:tcPr>
                  <w:tcW w:w="2883" w:type="dxa"/>
                  <w:noWrap w:val="0"/>
                  <w:vAlign w:val="center"/>
                </w:tcPr>
                <w:p w14:paraId="04FADC36">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3F2E18A2">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r>
          </w:tbl>
          <w:p w14:paraId="487EB475">
            <w:pPr>
              <w:keepNext w:val="0"/>
              <w:keepLines w:val="0"/>
              <w:pageBreakBefore w:val="0"/>
              <w:widowControl w:val="0"/>
              <w:numPr>
                <w:ilvl w:val="0"/>
                <w:numId w:val="23"/>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eastAsia="宋体" w:cs="Times New Roman"/>
                <w:b/>
                <w:bCs/>
                <w:color w:val="000000"/>
                <w:lang w:val="en-US" w:eastAsia="zh-CN"/>
              </w:rPr>
            </w:pPr>
            <w:r>
              <w:rPr>
                <w:rFonts w:hint="eastAsia" w:ascii="Times New Roman" w:hAnsi="Times New Roman" w:cs="Times New Roman"/>
                <w:b/>
                <w:bCs/>
                <w:color w:val="000000"/>
                <w:sz w:val="24"/>
                <w:szCs w:val="24"/>
                <w:lang w:val="en-US" w:eastAsia="zh-CN"/>
              </w:rPr>
              <w:t xml:space="preserve">  大气污染物无组织排放限值  单位：mg/m</w:t>
            </w:r>
            <w:r>
              <w:rPr>
                <w:rFonts w:hint="eastAsia" w:ascii="Times New Roman" w:hAnsi="Times New Roman" w:cs="Times New Roman"/>
                <w:b/>
                <w:bCs/>
                <w:color w:val="000000"/>
                <w:vertAlign w:val="superscript"/>
                <w:lang w:val="en-US" w:eastAsia="zh-CN"/>
              </w:rPr>
              <w:t>3</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4035"/>
              <w:gridCol w:w="1663"/>
              <w:gridCol w:w="1633"/>
            </w:tblGrid>
            <w:tr w14:paraId="77BE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9" w:type="dxa"/>
                  <w:noWrap w:val="0"/>
                  <w:vAlign w:val="center"/>
                </w:tcPr>
                <w:p w14:paraId="13D776E8">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污染物</w:t>
                  </w:r>
                </w:p>
              </w:tc>
              <w:tc>
                <w:tcPr>
                  <w:tcW w:w="5698" w:type="dxa"/>
                  <w:gridSpan w:val="2"/>
                  <w:noWrap w:val="0"/>
                  <w:vAlign w:val="center"/>
                </w:tcPr>
                <w:p w14:paraId="0AD7568E">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无组织排放监控浓度限值</w:t>
                  </w:r>
                </w:p>
              </w:tc>
              <w:tc>
                <w:tcPr>
                  <w:tcW w:w="1633" w:type="dxa"/>
                  <w:noWrap w:val="0"/>
                  <w:vAlign w:val="center"/>
                </w:tcPr>
                <w:p w14:paraId="52D265A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项目执行标准</w:t>
                  </w:r>
                </w:p>
              </w:tc>
            </w:tr>
            <w:tr w14:paraId="43FF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9" w:type="dxa"/>
                  <w:noWrap w:val="0"/>
                  <w:vAlign w:val="center"/>
                </w:tcPr>
                <w:p w14:paraId="1615AFB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eastAsia="zh-CN"/>
                    </w:rPr>
                  </w:pPr>
                  <w:r>
                    <w:rPr>
                      <w:rFonts w:hint="eastAsia" w:ascii="Times New Roman" w:hAnsi="Times New Roman" w:cs="Times New Roman"/>
                      <w:b w:val="0"/>
                      <w:bCs w:val="0"/>
                      <w:color w:val="000000"/>
                      <w:sz w:val="21"/>
                      <w:szCs w:val="21"/>
                      <w:vertAlign w:val="baseline"/>
                      <w:lang w:eastAsia="zh-CN"/>
                    </w:rPr>
                    <w:t>颗粒物</w:t>
                  </w:r>
                </w:p>
              </w:tc>
              <w:tc>
                <w:tcPr>
                  <w:tcW w:w="4035" w:type="dxa"/>
                  <w:noWrap w:val="0"/>
                  <w:vAlign w:val="center"/>
                </w:tcPr>
                <w:p w14:paraId="0A2EC75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349BC04A">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c>
                <w:tcPr>
                  <w:tcW w:w="1663" w:type="dxa"/>
                  <w:noWrap w:val="0"/>
                  <w:vAlign w:val="center"/>
                </w:tcPr>
                <w:p w14:paraId="40B7499A">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1</w:t>
                  </w:r>
                </w:p>
              </w:tc>
              <w:tc>
                <w:tcPr>
                  <w:tcW w:w="1633" w:type="dxa"/>
                  <w:noWrap w:val="0"/>
                  <w:vAlign w:val="center"/>
                </w:tcPr>
                <w:p w14:paraId="491D2D78">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1</w:t>
                  </w:r>
                </w:p>
              </w:tc>
            </w:tr>
            <w:tr w14:paraId="3530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9" w:type="dxa"/>
                  <w:noWrap w:val="0"/>
                  <w:vAlign w:val="center"/>
                </w:tcPr>
                <w:p w14:paraId="080620AA">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沥青烟</w:t>
                  </w:r>
                </w:p>
              </w:tc>
              <w:tc>
                <w:tcPr>
                  <w:tcW w:w="4035" w:type="dxa"/>
                  <w:noWrap w:val="0"/>
                  <w:vAlign w:val="center"/>
                </w:tcPr>
                <w:p w14:paraId="382246DF">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2E14CAE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c>
                <w:tcPr>
                  <w:tcW w:w="1663" w:type="dxa"/>
                  <w:noWrap w:val="0"/>
                  <w:vAlign w:val="center"/>
                </w:tcPr>
                <w:p w14:paraId="030914A5">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生产装置不得有明显的无组织排放存在</w:t>
                  </w:r>
                </w:p>
              </w:tc>
              <w:tc>
                <w:tcPr>
                  <w:tcW w:w="1633" w:type="dxa"/>
                  <w:noWrap w:val="0"/>
                  <w:vAlign w:val="center"/>
                </w:tcPr>
                <w:p w14:paraId="51C3A58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生产装置不得有明显的无组织排放存在</w:t>
                  </w:r>
                </w:p>
              </w:tc>
            </w:tr>
            <w:tr w14:paraId="3817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99" w:type="dxa"/>
                  <w:noWrap w:val="0"/>
                  <w:vAlign w:val="center"/>
                </w:tcPr>
                <w:p w14:paraId="316EB403">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苯并[a]芘</w:t>
                  </w:r>
                </w:p>
              </w:tc>
              <w:tc>
                <w:tcPr>
                  <w:tcW w:w="4035" w:type="dxa"/>
                  <w:noWrap w:val="0"/>
                  <w:vAlign w:val="center"/>
                </w:tcPr>
                <w:p w14:paraId="2466D62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704E0F20">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c>
                <w:tcPr>
                  <w:tcW w:w="1663" w:type="dxa"/>
                  <w:noWrap w:val="0"/>
                  <w:vAlign w:val="center"/>
                </w:tcPr>
                <w:p w14:paraId="329F1051">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cs="Times New Roman"/>
                      <w:b w:val="0"/>
                      <w:bCs w:val="0"/>
                      <w:color w:val="000000"/>
                      <w:sz w:val="21"/>
                      <w:szCs w:val="21"/>
                      <w:vertAlign w:val="baseline"/>
                    </w:rPr>
                    <w:t>0.008μg/m</w:t>
                  </w:r>
                  <w:r>
                    <w:rPr>
                      <w:rFonts w:hint="eastAsia" w:ascii="Times New Roman" w:hAnsi="Times New Roman" w:cs="Times New Roman"/>
                      <w:b w:val="0"/>
                      <w:bCs w:val="0"/>
                      <w:color w:val="000000"/>
                      <w:sz w:val="21"/>
                      <w:szCs w:val="21"/>
                      <w:vertAlign w:val="superscript"/>
                      <w:lang w:val="en-US" w:eastAsia="zh-CN"/>
                    </w:rPr>
                    <w:t>3</w:t>
                  </w:r>
                </w:p>
              </w:tc>
              <w:tc>
                <w:tcPr>
                  <w:tcW w:w="1633" w:type="dxa"/>
                  <w:noWrap w:val="0"/>
                  <w:vAlign w:val="center"/>
                </w:tcPr>
                <w:p w14:paraId="3D0FBF7B">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0.008</w:t>
                  </w:r>
                  <w:r>
                    <w:rPr>
                      <w:rFonts w:hint="default" w:ascii="Times New Roman" w:hAnsi="Times New Roman" w:cs="Times New Roman"/>
                      <w:b w:val="0"/>
                      <w:bCs w:val="0"/>
                      <w:color w:val="000000"/>
                      <w:sz w:val="21"/>
                      <w:szCs w:val="21"/>
                      <w:vertAlign w:val="baseline"/>
                    </w:rPr>
                    <w:t>μg/m</w:t>
                  </w:r>
                  <w:r>
                    <w:rPr>
                      <w:rFonts w:hint="eastAsia" w:ascii="Times New Roman" w:hAnsi="Times New Roman" w:cs="Times New Roman"/>
                      <w:b w:val="0"/>
                      <w:bCs w:val="0"/>
                      <w:color w:val="000000"/>
                      <w:sz w:val="21"/>
                      <w:szCs w:val="21"/>
                      <w:vertAlign w:val="superscript"/>
                      <w:lang w:val="en-US" w:eastAsia="zh-CN"/>
                    </w:rPr>
                    <w:t>3</w:t>
                  </w:r>
                </w:p>
              </w:tc>
            </w:tr>
            <w:tr w14:paraId="7C57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9" w:type="dxa"/>
                  <w:noWrap w:val="0"/>
                  <w:vAlign w:val="center"/>
                </w:tcPr>
                <w:p w14:paraId="5C0938A0">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VOCs</w:t>
                  </w:r>
                </w:p>
              </w:tc>
              <w:tc>
                <w:tcPr>
                  <w:tcW w:w="4035" w:type="dxa"/>
                  <w:noWrap w:val="0"/>
                  <w:vAlign w:val="center"/>
                </w:tcPr>
                <w:p w14:paraId="02BF430C">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rPr>
                    <w:t>《四川省固定污染源大气挥发性有机物排放标准》（DB51/2377-2017）</w:t>
                  </w:r>
                </w:p>
              </w:tc>
              <w:tc>
                <w:tcPr>
                  <w:tcW w:w="1663" w:type="dxa"/>
                  <w:noWrap w:val="0"/>
                  <w:vAlign w:val="center"/>
                </w:tcPr>
                <w:p w14:paraId="1F667840">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2.0</w:t>
                  </w:r>
                </w:p>
              </w:tc>
              <w:tc>
                <w:tcPr>
                  <w:tcW w:w="1633" w:type="dxa"/>
                  <w:noWrap w:val="0"/>
                  <w:vAlign w:val="center"/>
                </w:tcPr>
                <w:p w14:paraId="6C8D710D">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2.0</w:t>
                  </w:r>
                </w:p>
              </w:tc>
            </w:tr>
            <w:tr w14:paraId="17D8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9" w:type="dxa"/>
                  <w:noWrap w:val="0"/>
                  <w:vAlign w:val="center"/>
                </w:tcPr>
                <w:p w14:paraId="7021F87E">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rPr>
                  </w:pPr>
                  <w:r>
                    <w:rPr>
                      <w:rFonts w:hint="default" w:ascii="Times New Roman" w:hAnsi="Times New Roman" w:eastAsia="宋体" w:cs="Times New Roman"/>
                      <w:b w:val="0"/>
                      <w:bCs w:val="0"/>
                      <w:color w:val="000000"/>
                      <w:sz w:val="21"/>
                      <w:szCs w:val="21"/>
                      <w:vertAlign w:val="baseline"/>
                      <w:lang w:val="en-US" w:eastAsia="zh-CN"/>
                    </w:rPr>
                    <w:t>SO</w:t>
                  </w:r>
                  <w:r>
                    <w:rPr>
                      <w:rFonts w:hint="default" w:ascii="Times New Roman" w:hAnsi="Times New Roman" w:eastAsia="宋体" w:cs="Times New Roman"/>
                      <w:b w:val="0"/>
                      <w:bCs w:val="0"/>
                      <w:color w:val="000000"/>
                      <w:sz w:val="21"/>
                      <w:szCs w:val="21"/>
                      <w:vertAlign w:val="subscript"/>
                      <w:lang w:val="en-US" w:eastAsia="zh-CN"/>
                    </w:rPr>
                    <w:t>2</w:t>
                  </w:r>
                </w:p>
              </w:tc>
              <w:tc>
                <w:tcPr>
                  <w:tcW w:w="4035" w:type="dxa"/>
                  <w:noWrap w:val="0"/>
                  <w:vAlign w:val="center"/>
                </w:tcPr>
                <w:p w14:paraId="728BC33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04D7F0C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c>
                <w:tcPr>
                  <w:tcW w:w="1663" w:type="dxa"/>
                  <w:noWrap w:val="0"/>
                  <w:vAlign w:val="center"/>
                </w:tcPr>
                <w:p w14:paraId="1ED9C200">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0.4</w:t>
                  </w:r>
                </w:p>
              </w:tc>
              <w:tc>
                <w:tcPr>
                  <w:tcW w:w="1633" w:type="dxa"/>
                  <w:noWrap w:val="0"/>
                  <w:vAlign w:val="center"/>
                </w:tcPr>
                <w:p w14:paraId="1BD2CF32">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0.4</w:t>
                  </w:r>
                </w:p>
              </w:tc>
            </w:tr>
            <w:tr w14:paraId="7D57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9" w:type="dxa"/>
                  <w:noWrap w:val="0"/>
                  <w:vAlign w:val="center"/>
                </w:tcPr>
                <w:p w14:paraId="45FCB177">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rPr>
                  </w:pPr>
                  <w:r>
                    <w:rPr>
                      <w:rFonts w:hint="default" w:ascii="Times New Roman" w:hAnsi="Times New Roman" w:eastAsia="宋体" w:cs="Times New Roman"/>
                      <w:b w:val="0"/>
                      <w:bCs w:val="0"/>
                      <w:color w:val="000000"/>
                      <w:sz w:val="21"/>
                      <w:szCs w:val="21"/>
                      <w:vertAlign w:val="baseline"/>
                      <w:lang w:val="en-US" w:eastAsia="zh-CN"/>
                    </w:rPr>
                    <w:t>NOx</w:t>
                  </w:r>
                </w:p>
              </w:tc>
              <w:tc>
                <w:tcPr>
                  <w:tcW w:w="4035" w:type="dxa"/>
                  <w:noWrap w:val="0"/>
                  <w:vAlign w:val="center"/>
                </w:tcPr>
                <w:p w14:paraId="19B0585D">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default" w:ascii="Times New Roman" w:hAnsi="Times New Roman" w:cs="Times New Roman"/>
                      <w:b w:val="0"/>
                      <w:bCs w:val="0"/>
                      <w:color w:val="000000"/>
                      <w:sz w:val="21"/>
                      <w:szCs w:val="21"/>
                      <w:vertAlign w:val="baseline"/>
                    </w:rPr>
                    <w:t>《大气污染物综合排放标准》</w:t>
                  </w:r>
                </w:p>
                <w:p w14:paraId="0FCFA445">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 w:val="0"/>
                      <w:bCs w:val="0"/>
                      <w:color w:val="000000"/>
                      <w:sz w:val="21"/>
                      <w:szCs w:val="21"/>
                      <w:vertAlign w:val="baseline"/>
                    </w:rPr>
                  </w:pPr>
                  <w:r>
                    <w:rPr>
                      <w:rFonts w:hint="eastAsia" w:ascii="Times New Roman" w:hAnsi="Times New Roman" w:cs="Times New Roman"/>
                      <w:b w:val="0"/>
                      <w:bCs w:val="0"/>
                      <w:color w:val="000000"/>
                      <w:sz w:val="21"/>
                      <w:szCs w:val="21"/>
                      <w:vertAlign w:val="baseline"/>
                      <w:lang w:eastAsia="zh-CN"/>
                    </w:rPr>
                    <w:t>(</w:t>
                  </w:r>
                  <w:r>
                    <w:rPr>
                      <w:rFonts w:hint="default" w:ascii="Times New Roman" w:hAnsi="Times New Roman" w:cs="Times New Roman"/>
                      <w:b w:val="0"/>
                      <w:bCs w:val="0"/>
                      <w:color w:val="000000"/>
                      <w:sz w:val="21"/>
                      <w:szCs w:val="21"/>
                      <w:vertAlign w:val="baseline"/>
                    </w:rPr>
                    <w:t>GB16297-1996</w:t>
                  </w:r>
                  <w:r>
                    <w:rPr>
                      <w:rFonts w:hint="eastAsia" w:ascii="Times New Roman" w:hAnsi="Times New Roman" w:cs="Times New Roman"/>
                      <w:b w:val="0"/>
                      <w:bCs w:val="0"/>
                      <w:color w:val="000000"/>
                      <w:sz w:val="21"/>
                      <w:szCs w:val="21"/>
                      <w:vertAlign w:val="baseline"/>
                      <w:lang w:eastAsia="zh-CN"/>
                    </w:rPr>
                    <w:t>)</w:t>
                  </w:r>
                </w:p>
              </w:tc>
              <w:tc>
                <w:tcPr>
                  <w:tcW w:w="1663" w:type="dxa"/>
                  <w:noWrap w:val="0"/>
                  <w:vAlign w:val="center"/>
                </w:tcPr>
                <w:p w14:paraId="3E5E4645">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color w:val="000000"/>
                      <w:lang w:val="en-US" w:eastAsia="zh-CN"/>
                    </w:rPr>
                  </w:pPr>
                  <w:r>
                    <w:rPr>
                      <w:rFonts w:hint="eastAsia" w:ascii="Times New Roman" w:hAnsi="Times New Roman" w:cs="Times New Roman"/>
                      <w:b w:val="0"/>
                      <w:bCs w:val="0"/>
                      <w:color w:val="000000"/>
                      <w:sz w:val="21"/>
                      <w:szCs w:val="21"/>
                      <w:vertAlign w:val="baseline"/>
                      <w:lang w:val="en-US" w:eastAsia="zh-CN"/>
                    </w:rPr>
                    <w:t>0.12</w:t>
                  </w:r>
                </w:p>
              </w:tc>
              <w:tc>
                <w:tcPr>
                  <w:tcW w:w="1633" w:type="dxa"/>
                  <w:noWrap w:val="0"/>
                  <w:vAlign w:val="center"/>
                </w:tcPr>
                <w:p w14:paraId="028D82E0">
                  <w:pPr>
                    <w:pStyle w:val="7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cs="Times New Roman"/>
                      <w:b w:val="0"/>
                      <w:bCs w:val="0"/>
                      <w:color w:val="000000"/>
                      <w:sz w:val="21"/>
                      <w:szCs w:val="21"/>
                      <w:vertAlign w:val="baseline"/>
                      <w:lang w:val="en-US" w:eastAsia="zh-CN"/>
                    </w:rPr>
                    <w:t>0.12</w:t>
                  </w:r>
                </w:p>
              </w:tc>
            </w:tr>
          </w:tbl>
          <w:p w14:paraId="1DA47A8F">
            <w:pPr>
              <w:pStyle w:val="78"/>
              <w:keepNext w:val="0"/>
              <w:keepLines w:val="0"/>
              <w:pageBreakBefore w:val="0"/>
              <w:widowControl w:val="0"/>
              <w:kinsoku/>
              <w:wordWrap/>
              <w:overflowPunct/>
              <w:topLinePunct w:val="0"/>
              <w:autoSpaceDE/>
              <w:autoSpaceDN/>
              <w:bidi w:val="0"/>
              <w:adjustRightInd w:val="0"/>
              <w:snapToGrid/>
              <w:ind w:left="0" w:leftChars="0" w:firstLine="0" w:firstLineChars="0"/>
              <w:textAlignment w:val="auto"/>
              <w:rPr>
                <w:rFonts w:hint="eastAsia" w:ascii="Times New Roman" w:hAnsi="Times New Roman" w:cs="Times New Roman"/>
                <w:b/>
                <w:bCs/>
                <w:color w:val="000000"/>
                <w:lang w:eastAsia="zh-CN"/>
              </w:rPr>
            </w:pPr>
          </w:p>
          <w:p w14:paraId="4C6723D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sz w:val="24"/>
              </w:rPr>
            </w:pPr>
            <w:r>
              <w:rPr>
                <w:rFonts w:hint="eastAsia" w:ascii="Times New Roman" w:hAnsi="Times New Roman" w:cs="Times New Roman"/>
                <w:b/>
                <w:bCs/>
                <w:color w:val="000000"/>
                <w:sz w:val="24"/>
                <w:lang w:eastAsia="zh-CN"/>
              </w:rPr>
              <w:t>2.</w:t>
            </w:r>
            <w:r>
              <w:rPr>
                <w:rFonts w:hint="default" w:ascii="Times New Roman" w:hAnsi="Times New Roman" w:cs="Times New Roman"/>
                <w:b/>
                <w:bCs/>
                <w:color w:val="000000"/>
                <w:sz w:val="24"/>
              </w:rPr>
              <w:t>废水</w:t>
            </w:r>
          </w:p>
          <w:p w14:paraId="14A78DC4">
            <w:pPr>
              <w:spacing w:line="360" w:lineRule="auto"/>
              <w:ind w:firstLine="480" w:firstLineChars="200"/>
              <w:rPr>
                <w:rFonts w:hint="default"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本项目废水执行《污水综合排放标准》（GB8978-1996）中的三级排放标准及《污水排入城镇下水道水质标准》（GB/T31962-2015）B级标准后排入园区污水管网</w:t>
            </w:r>
            <w:r>
              <w:rPr>
                <w:rFonts w:hint="eastAsia" w:cs="Times New Roman"/>
                <w:b w:val="0"/>
                <w:bCs w:val="0"/>
                <w:color w:val="000000"/>
                <w:sz w:val="24"/>
                <w:szCs w:val="24"/>
                <w:highlight w:val="none"/>
                <w:lang w:val="en-US" w:eastAsia="zh-CN"/>
              </w:rPr>
              <w:t>，</w:t>
            </w:r>
            <w:r>
              <w:rPr>
                <w:rFonts w:hint="eastAsia" w:ascii="Times New Roman" w:hAnsi="Times New Roman" w:eastAsia="宋体" w:cs="Times New Roman"/>
                <w:b w:val="0"/>
                <w:bCs w:val="0"/>
                <w:color w:val="000000"/>
                <w:sz w:val="24"/>
                <w:szCs w:val="24"/>
                <w:highlight w:val="none"/>
                <w:lang w:val="en-US" w:eastAsia="zh-CN"/>
              </w:rPr>
              <w:t>经园区管网进入</w:t>
            </w:r>
            <w:r>
              <w:rPr>
                <w:rFonts w:hint="eastAsia" w:cs="Times New Roman"/>
                <w:b w:val="0"/>
                <w:bCs w:val="0"/>
                <w:color w:val="000000"/>
                <w:sz w:val="24"/>
                <w:szCs w:val="24"/>
                <w:highlight w:val="none"/>
                <w:lang w:val="en-US" w:eastAsia="zh-CN"/>
              </w:rPr>
              <w:t>星光工业园区污水处理厂</w:t>
            </w:r>
            <w:r>
              <w:rPr>
                <w:rFonts w:hint="eastAsia" w:ascii="Times New Roman" w:hAnsi="Times New Roman" w:eastAsia="宋体" w:cs="Times New Roman"/>
                <w:b w:val="0"/>
                <w:bCs w:val="0"/>
                <w:color w:val="000000"/>
                <w:sz w:val="24"/>
                <w:szCs w:val="24"/>
                <w:highlight w:val="none"/>
                <w:lang w:val="en-US" w:eastAsia="zh-CN"/>
              </w:rPr>
              <w:t>处理达</w:t>
            </w:r>
            <w:r>
              <w:rPr>
                <w:rFonts w:hint="eastAsia" w:ascii="Times New Roman" w:hAnsi="Times New Roman" w:eastAsia="宋体" w:cs="Times New Roman"/>
                <w:color w:val="000000"/>
                <w:sz w:val="24"/>
                <w:szCs w:val="24"/>
                <w:highlight w:val="none"/>
                <w:lang w:val="en-US" w:eastAsia="zh-CN"/>
              </w:rPr>
              <w:t>《城镇污水处理厂污染物排放标准》（</w:t>
            </w:r>
            <w:r>
              <w:rPr>
                <w:rFonts w:hint="default" w:ascii="Times New Roman" w:hAnsi="Times New Roman" w:eastAsia="宋体" w:cs="Times New Roman"/>
                <w:color w:val="000000"/>
                <w:sz w:val="24"/>
                <w:szCs w:val="24"/>
                <w:highlight w:val="none"/>
                <w:lang w:val="en-US" w:eastAsia="zh-CN"/>
              </w:rPr>
              <w:t>GB18918-2002</w:t>
            </w:r>
            <w:r>
              <w:rPr>
                <w:rFonts w:hint="eastAsia" w:ascii="Times New Roman" w:hAnsi="Times New Roman" w:eastAsia="宋体" w:cs="Times New Roman"/>
                <w:color w:val="000000"/>
                <w:sz w:val="24"/>
                <w:szCs w:val="24"/>
                <w:highlight w:val="none"/>
                <w:lang w:val="en-US" w:eastAsia="zh-CN"/>
              </w:rPr>
              <w:t>）一级A标准后</w:t>
            </w:r>
            <w:r>
              <w:rPr>
                <w:rFonts w:hint="eastAsia" w:cs="Times New Roman"/>
                <w:b w:val="0"/>
                <w:bCs w:val="0"/>
                <w:color w:val="000000"/>
                <w:sz w:val="24"/>
                <w:szCs w:val="24"/>
                <w:highlight w:val="none"/>
                <w:lang w:val="en-US" w:eastAsia="zh-CN"/>
              </w:rPr>
              <w:t>排入巴河</w:t>
            </w:r>
            <w:r>
              <w:rPr>
                <w:rFonts w:hint="default" w:ascii="Times New Roman" w:hAnsi="Times New Roman" w:eastAsia="宋体" w:cs="Times New Roman"/>
                <w:b w:val="0"/>
                <w:bCs w:val="0"/>
                <w:color w:val="000000"/>
                <w:sz w:val="24"/>
                <w:szCs w:val="24"/>
                <w:highlight w:val="none"/>
                <w:lang w:val="en-US" w:eastAsia="zh-CN"/>
              </w:rPr>
              <w:t>。详见表3-</w:t>
            </w:r>
            <w:r>
              <w:rPr>
                <w:rFonts w:hint="eastAsia" w:cs="Times New Roman"/>
                <w:b w:val="0"/>
                <w:bCs w:val="0"/>
                <w:color w:val="000000"/>
                <w:sz w:val="24"/>
                <w:szCs w:val="24"/>
                <w:highlight w:val="none"/>
                <w:lang w:val="en-US" w:eastAsia="zh-CN"/>
              </w:rPr>
              <w:t>8</w:t>
            </w:r>
            <w:r>
              <w:rPr>
                <w:rFonts w:hint="default" w:ascii="Times New Roman" w:hAnsi="Times New Roman" w:eastAsia="宋体" w:cs="Times New Roman"/>
                <w:b w:val="0"/>
                <w:bCs w:val="0"/>
                <w:color w:val="000000"/>
                <w:sz w:val="24"/>
                <w:szCs w:val="24"/>
                <w:highlight w:val="none"/>
                <w:lang w:val="en-US" w:eastAsia="zh-CN"/>
              </w:rPr>
              <w:t>。</w:t>
            </w:r>
          </w:p>
          <w:p w14:paraId="70E5C362">
            <w:pPr>
              <w:keepNext w:val="0"/>
              <w:keepLines w:val="0"/>
              <w:pageBreakBefore w:val="0"/>
              <w:widowControl w:val="0"/>
              <w:numPr>
                <w:ilvl w:val="0"/>
                <w:numId w:val="23"/>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sz w:val="24"/>
                <w:szCs w:val="24"/>
                <w:lang w:val="en-US" w:eastAsia="zh-CN"/>
              </w:rPr>
              <w:t xml:space="preserve">  </w:t>
            </w:r>
            <w:r>
              <w:rPr>
                <w:rFonts w:hint="default" w:ascii="Times New Roman" w:hAnsi="Times New Roman" w:eastAsia="宋体" w:cs="Times New Roman"/>
                <w:b/>
                <w:bCs/>
                <w:color w:val="000000"/>
                <w:kern w:val="2"/>
                <w:sz w:val="24"/>
                <w:szCs w:val="24"/>
                <w:highlight w:val="none"/>
                <w:lang w:val="en-US" w:eastAsia="zh-CN" w:bidi="ar-SA"/>
              </w:rPr>
              <w:t>《污水综合排放标准》（GB8978-1996）</w:t>
            </w:r>
          </w:p>
          <w:tbl>
            <w:tblPr>
              <w:tblStyle w:val="3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815"/>
              <w:gridCol w:w="986"/>
              <w:gridCol w:w="804"/>
              <w:gridCol w:w="737"/>
              <w:gridCol w:w="736"/>
              <w:gridCol w:w="897"/>
              <w:gridCol w:w="800"/>
              <w:gridCol w:w="820"/>
            </w:tblGrid>
            <w:tr w14:paraId="2E81E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jc w:val="center"/>
              </w:trPr>
              <w:tc>
                <w:tcPr>
                  <w:tcW w:w="2815" w:type="dxa"/>
                  <w:tcBorders>
                    <w:tl2br w:val="nil"/>
                    <w:tr2bl w:val="nil"/>
                  </w:tcBorders>
                  <w:noWrap w:val="0"/>
                  <w:vAlign w:val="center"/>
                </w:tcPr>
                <w:p w14:paraId="6DAC8A3A">
                  <w:pPr>
                    <w:jc w:val="center"/>
                    <w:rPr>
                      <w:rFonts w:hint="default" w:ascii="Times New Roman" w:hAnsi="Times New Roman" w:eastAsia="宋体" w:cs="Times New Roman"/>
                      <w:b w:val="0"/>
                      <w:bCs/>
                      <w:color w:val="000000"/>
                      <w:szCs w:val="21"/>
                      <w:highlight w:val="none"/>
                    </w:rPr>
                  </w:pPr>
                  <w:r>
                    <w:rPr>
                      <w:rFonts w:hint="default" w:ascii="Times New Roman" w:hAnsi="Times New Roman" w:eastAsia="宋体" w:cs="Times New Roman"/>
                      <w:b w:val="0"/>
                      <w:bCs/>
                      <w:color w:val="000000"/>
                      <w:szCs w:val="21"/>
                      <w:highlight w:val="none"/>
                    </w:rPr>
                    <w:t>评价标准</w:t>
                  </w:r>
                </w:p>
              </w:tc>
              <w:tc>
                <w:tcPr>
                  <w:tcW w:w="986" w:type="dxa"/>
                  <w:tcBorders>
                    <w:tl2br w:val="nil"/>
                    <w:tr2bl w:val="nil"/>
                  </w:tcBorders>
                  <w:noWrap w:val="0"/>
                  <w:vAlign w:val="center"/>
                </w:tcPr>
                <w:p w14:paraId="4944D355">
                  <w:pPr>
                    <w:jc w:val="center"/>
                    <w:rPr>
                      <w:rFonts w:hint="default" w:ascii="Times New Roman" w:hAnsi="Times New Roman" w:eastAsia="宋体" w:cs="Times New Roman"/>
                      <w:b w:val="0"/>
                      <w:bCs/>
                      <w:color w:val="000000"/>
                      <w:szCs w:val="21"/>
                      <w:highlight w:val="none"/>
                    </w:rPr>
                  </w:pPr>
                  <w:r>
                    <w:rPr>
                      <w:rFonts w:hint="default" w:ascii="Times New Roman" w:hAnsi="Times New Roman" w:eastAsia="宋体" w:cs="Times New Roman"/>
                      <w:b w:val="0"/>
                      <w:bCs/>
                      <w:color w:val="000000"/>
                      <w:szCs w:val="21"/>
                      <w:highlight w:val="none"/>
                    </w:rPr>
                    <w:t>pH</w:t>
                  </w:r>
                </w:p>
              </w:tc>
              <w:tc>
                <w:tcPr>
                  <w:tcW w:w="804" w:type="dxa"/>
                  <w:tcBorders>
                    <w:tl2br w:val="nil"/>
                    <w:tr2bl w:val="nil"/>
                  </w:tcBorders>
                  <w:noWrap w:val="0"/>
                  <w:vAlign w:val="center"/>
                </w:tcPr>
                <w:p w14:paraId="7E111369">
                  <w:pPr>
                    <w:jc w:val="center"/>
                    <w:rPr>
                      <w:rFonts w:hint="default" w:ascii="Times New Roman" w:hAnsi="Times New Roman" w:eastAsia="宋体" w:cs="Times New Roman"/>
                      <w:b w:val="0"/>
                      <w:bCs/>
                      <w:color w:val="000000"/>
                      <w:szCs w:val="21"/>
                      <w:highlight w:val="none"/>
                      <w:vertAlign w:val="subscript"/>
                    </w:rPr>
                  </w:pPr>
                  <w:r>
                    <w:rPr>
                      <w:rFonts w:hint="default" w:ascii="Times New Roman" w:hAnsi="Times New Roman" w:eastAsia="宋体" w:cs="Times New Roman"/>
                      <w:b w:val="0"/>
                      <w:bCs/>
                      <w:color w:val="000000"/>
                      <w:szCs w:val="21"/>
                      <w:highlight w:val="none"/>
                    </w:rPr>
                    <w:t>COD</w:t>
                  </w:r>
                  <w:r>
                    <w:rPr>
                      <w:rFonts w:hint="default" w:ascii="Times New Roman" w:hAnsi="Times New Roman" w:eastAsia="宋体" w:cs="Times New Roman"/>
                      <w:b w:val="0"/>
                      <w:bCs/>
                      <w:color w:val="000000"/>
                      <w:szCs w:val="21"/>
                      <w:highlight w:val="none"/>
                      <w:vertAlign w:val="subscript"/>
                    </w:rPr>
                    <w:t>cr</w:t>
                  </w:r>
                </w:p>
              </w:tc>
              <w:tc>
                <w:tcPr>
                  <w:tcW w:w="737" w:type="dxa"/>
                  <w:tcBorders>
                    <w:tl2br w:val="nil"/>
                    <w:tr2bl w:val="nil"/>
                  </w:tcBorders>
                  <w:noWrap w:val="0"/>
                  <w:vAlign w:val="center"/>
                </w:tcPr>
                <w:p w14:paraId="09950DFB">
                  <w:pPr>
                    <w:jc w:val="center"/>
                    <w:rPr>
                      <w:rFonts w:hint="default" w:ascii="Times New Roman" w:hAnsi="Times New Roman" w:eastAsia="宋体" w:cs="Times New Roman"/>
                      <w:b w:val="0"/>
                      <w:bCs/>
                      <w:color w:val="000000"/>
                      <w:szCs w:val="21"/>
                      <w:highlight w:val="none"/>
                      <w:vertAlign w:val="subscript"/>
                    </w:rPr>
                  </w:pPr>
                  <w:r>
                    <w:rPr>
                      <w:rFonts w:hint="default" w:ascii="Times New Roman" w:hAnsi="Times New Roman" w:eastAsia="宋体" w:cs="Times New Roman"/>
                      <w:b w:val="0"/>
                      <w:bCs/>
                      <w:color w:val="000000"/>
                      <w:szCs w:val="21"/>
                      <w:highlight w:val="none"/>
                    </w:rPr>
                    <w:t>BOD</w:t>
                  </w:r>
                  <w:r>
                    <w:rPr>
                      <w:rFonts w:hint="default" w:ascii="Times New Roman" w:hAnsi="Times New Roman" w:eastAsia="宋体" w:cs="Times New Roman"/>
                      <w:b w:val="0"/>
                      <w:bCs/>
                      <w:color w:val="000000"/>
                      <w:szCs w:val="21"/>
                      <w:highlight w:val="none"/>
                      <w:vertAlign w:val="subscript"/>
                    </w:rPr>
                    <w:t>5</w:t>
                  </w:r>
                </w:p>
              </w:tc>
              <w:tc>
                <w:tcPr>
                  <w:tcW w:w="736" w:type="dxa"/>
                  <w:tcBorders>
                    <w:tl2br w:val="nil"/>
                    <w:tr2bl w:val="nil"/>
                  </w:tcBorders>
                  <w:noWrap w:val="0"/>
                  <w:vAlign w:val="center"/>
                </w:tcPr>
                <w:p w14:paraId="534F7035">
                  <w:pPr>
                    <w:jc w:val="center"/>
                    <w:rPr>
                      <w:rFonts w:hint="default" w:ascii="Times New Roman" w:hAnsi="Times New Roman" w:eastAsia="宋体" w:cs="Times New Roman"/>
                      <w:b w:val="0"/>
                      <w:bCs/>
                      <w:color w:val="000000"/>
                      <w:szCs w:val="21"/>
                      <w:highlight w:val="none"/>
                    </w:rPr>
                  </w:pPr>
                  <w:r>
                    <w:rPr>
                      <w:rFonts w:hint="default" w:ascii="Times New Roman" w:hAnsi="Times New Roman" w:eastAsia="宋体" w:cs="Times New Roman"/>
                      <w:b w:val="0"/>
                      <w:bCs/>
                      <w:color w:val="000000"/>
                      <w:szCs w:val="21"/>
                      <w:highlight w:val="none"/>
                    </w:rPr>
                    <w:t>SS</w:t>
                  </w:r>
                </w:p>
              </w:tc>
              <w:tc>
                <w:tcPr>
                  <w:tcW w:w="897" w:type="dxa"/>
                  <w:tcBorders>
                    <w:tl2br w:val="nil"/>
                    <w:tr2bl w:val="nil"/>
                  </w:tcBorders>
                  <w:noWrap w:val="0"/>
                  <w:vAlign w:val="center"/>
                </w:tcPr>
                <w:p w14:paraId="0FB00874">
                  <w:pPr>
                    <w:jc w:val="center"/>
                    <w:rPr>
                      <w:rFonts w:hint="default" w:ascii="Times New Roman" w:hAnsi="Times New Roman" w:eastAsia="宋体" w:cs="Times New Roman"/>
                      <w:b w:val="0"/>
                      <w:bCs/>
                      <w:color w:val="000000"/>
                      <w:szCs w:val="21"/>
                      <w:highlight w:val="none"/>
                    </w:rPr>
                  </w:pPr>
                  <w:r>
                    <w:rPr>
                      <w:rFonts w:hint="default" w:ascii="Times New Roman" w:hAnsi="Times New Roman" w:eastAsia="宋体" w:cs="Times New Roman"/>
                      <w:b w:val="0"/>
                      <w:bCs/>
                      <w:color w:val="000000"/>
                      <w:szCs w:val="21"/>
                      <w:highlight w:val="none"/>
                    </w:rPr>
                    <w:t>NH</w:t>
                  </w:r>
                  <w:r>
                    <w:rPr>
                      <w:rFonts w:hint="default" w:ascii="Times New Roman" w:hAnsi="Times New Roman" w:eastAsia="宋体" w:cs="Times New Roman"/>
                      <w:b w:val="0"/>
                      <w:bCs/>
                      <w:color w:val="000000"/>
                      <w:szCs w:val="21"/>
                      <w:highlight w:val="none"/>
                      <w:vertAlign w:val="subscript"/>
                    </w:rPr>
                    <w:t>3</w:t>
                  </w:r>
                  <w:r>
                    <w:rPr>
                      <w:rFonts w:hint="default" w:ascii="Times New Roman" w:hAnsi="Times New Roman" w:eastAsia="宋体" w:cs="Times New Roman"/>
                      <w:b w:val="0"/>
                      <w:bCs/>
                      <w:color w:val="000000"/>
                      <w:szCs w:val="21"/>
                      <w:highlight w:val="none"/>
                    </w:rPr>
                    <w:t>-N</w:t>
                  </w:r>
                </w:p>
              </w:tc>
              <w:tc>
                <w:tcPr>
                  <w:tcW w:w="800" w:type="dxa"/>
                  <w:tcBorders>
                    <w:tl2br w:val="nil"/>
                    <w:tr2bl w:val="nil"/>
                  </w:tcBorders>
                  <w:noWrap w:val="0"/>
                  <w:vAlign w:val="center"/>
                </w:tcPr>
                <w:p w14:paraId="6DFD40AD">
                  <w:pPr>
                    <w:jc w:val="center"/>
                    <w:rPr>
                      <w:rFonts w:hint="default" w:ascii="Times New Roman" w:hAnsi="Times New Roman" w:eastAsia="宋体" w:cs="Times New Roman"/>
                      <w:b w:val="0"/>
                      <w:bCs/>
                      <w:color w:val="000000"/>
                      <w:szCs w:val="21"/>
                      <w:highlight w:val="none"/>
                    </w:rPr>
                  </w:pPr>
                  <w:r>
                    <w:rPr>
                      <w:rFonts w:hint="default" w:ascii="Times New Roman" w:hAnsi="Times New Roman" w:eastAsia="宋体" w:cs="Times New Roman"/>
                      <w:b w:val="0"/>
                      <w:bCs/>
                      <w:color w:val="000000"/>
                      <w:szCs w:val="21"/>
                      <w:highlight w:val="none"/>
                    </w:rPr>
                    <w:t>动植物油</w:t>
                  </w:r>
                </w:p>
              </w:tc>
              <w:tc>
                <w:tcPr>
                  <w:tcW w:w="820" w:type="dxa"/>
                  <w:tcBorders>
                    <w:tl2br w:val="nil"/>
                    <w:tr2bl w:val="nil"/>
                  </w:tcBorders>
                  <w:noWrap w:val="0"/>
                  <w:vAlign w:val="center"/>
                </w:tcPr>
                <w:p w14:paraId="2D79D842">
                  <w:pPr>
                    <w:jc w:val="center"/>
                    <w:rPr>
                      <w:rFonts w:hint="default" w:ascii="Times New Roman" w:hAnsi="Times New Roman" w:eastAsia="宋体" w:cs="Times New Roman"/>
                      <w:b w:val="0"/>
                      <w:bCs/>
                      <w:color w:val="000000"/>
                      <w:szCs w:val="21"/>
                      <w:highlight w:val="none"/>
                      <w:lang w:eastAsia="zh-CN"/>
                    </w:rPr>
                  </w:pPr>
                  <w:r>
                    <w:rPr>
                      <w:rFonts w:hint="default" w:ascii="Times New Roman" w:hAnsi="Times New Roman" w:cs="Times New Roman"/>
                      <w:b w:val="0"/>
                      <w:bCs/>
                      <w:color w:val="000000"/>
                      <w:szCs w:val="21"/>
                      <w:highlight w:val="none"/>
                      <w:lang w:eastAsia="zh-CN"/>
                    </w:rPr>
                    <w:t>总磷</w:t>
                  </w:r>
                </w:p>
              </w:tc>
            </w:tr>
            <w:tr w14:paraId="43AF0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7" w:hRule="atLeast"/>
                <w:jc w:val="center"/>
              </w:trPr>
              <w:tc>
                <w:tcPr>
                  <w:tcW w:w="2815" w:type="dxa"/>
                  <w:tcBorders>
                    <w:tl2br w:val="nil"/>
                    <w:tr2bl w:val="nil"/>
                  </w:tcBorders>
                  <w:noWrap w:val="0"/>
                  <w:vAlign w:val="center"/>
                </w:tcPr>
                <w:p w14:paraId="01459BF5">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lang w:eastAsia="zh-CN"/>
                    </w:rPr>
                    <w:t>《</w:t>
                  </w:r>
                  <w:r>
                    <w:rPr>
                      <w:rFonts w:hint="default" w:ascii="Times New Roman" w:hAnsi="Times New Roman" w:eastAsia="宋体" w:cs="Times New Roman"/>
                      <w:bCs/>
                      <w:color w:val="000000"/>
                      <w:szCs w:val="21"/>
                      <w:highlight w:val="none"/>
                    </w:rPr>
                    <w:t>污水综合排放标准》（GB8978-1996）中的三级排放标准</w:t>
                  </w:r>
                </w:p>
              </w:tc>
              <w:tc>
                <w:tcPr>
                  <w:tcW w:w="986" w:type="dxa"/>
                  <w:tcBorders>
                    <w:tl2br w:val="nil"/>
                    <w:tr2bl w:val="nil"/>
                  </w:tcBorders>
                  <w:noWrap w:val="0"/>
                  <w:vAlign w:val="center"/>
                </w:tcPr>
                <w:p w14:paraId="5596D2A3">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6～9</w:t>
                  </w:r>
                </w:p>
              </w:tc>
              <w:tc>
                <w:tcPr>
                  <w:tcW w:w="804" w:type="dxa"/>
                  <w:tcBorders>
                    <w:tl2br w:val="nil"/>
                    <w:tr2bl w:val="nil"/>
                  </w:tcBorders>
                  <w:noWrap w:val="0"/>
                  <w:vAlign w:val="center"/>
                </w:tcPr>
                <w:p w14:paraId="5D7E4A8F">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500</w:t>
                  </w:r>
                </w:p>
              </w:tc>
              <w:tc>
                <w:tcPr>
                  <w:tcW w:w="737" w:type="dxa"/>
                  <w:tcBorders>
                    <w:tl2br w:val="nil"/>
                    <w:tr2bl w:val="nil"/>
                  </w:tcBorders>
                  <w:noWrap w:val="0"/>
                  <w:vAlign w:val="center"/>
                </w:tcPr>
                <w:p w14:paraId="7A3F6790">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300</w:t>
                  </w:r>
                </w:p>
              </w:tc>
              <w:tc>
                <w:tcPr>
                  <w:tcW w:w="736" w:type="dxa"/>
                  <w:tcBorders>
                    <w:tl2br w:val="nil"/>
                    <w:tr2bl w:val="nil"/>
                  </w:tcBorders>
                  <w:noWrap w:val="0"/>
                  <w:vAlign w:val="center"/>
                </w:tcPr>
                <w:p w14:paraId="47BB432B">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400</w:t>
                  </w:r>
                </w:p>
              </w:tc>
              <w:tc>
                <w:tcPr>
                  <w:tcW w:w="897" w:type="dxa"/>
                  <w:tcBorders>
                    <w:tl2br w:val="nil"/>
                    <w:tr2bl w:val="nil"/>
                  </w:tcBorders>
                  <w:noWrap w:val="0"/>
                  <w:vAlign w:val="center"/>
                </w:tcPr>
                <w:p w14:paraId="30AF7CEF">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45</w:t>
                  </w:r>
                </w:p>
              </w:tc>
              <w:tc>
                <w:tcPr>
                  <w:tcW w:w="800" w:type="dxa"/>
                  <w:tcBorders>
                    <w:tl2br w:val="nil"/>
                    <w:tr2bl w:val="nil"/>
                  </w:tcBorders>
                  <w:noWrap w:val="0"/>
                  <w:vAlign w:val="center"/>
                </w:tcPr>
                <w:p w14:paraId="5C273FB2">
                  <w:pPr>
                    <w:jc w:val="center"/>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100</w:t>
                  </w:r>
                </w:p>
              </w:tc>
              <w:tc>
                <w:tcPr>
                  <w:tcW w:w="820" w:type="dxa"/>
                  <w:tcBorders>
                    <w:tl2br w:val="nil"/>
                    <w:tr2bl w:val="nil"/>
                  </w:tcBorders>
                  <w:noWrap w:val="0"/>
                  <w:vAlign w:val="center"/>
                </w:tcPr>
                <w:p w14:paraId="6C17A3F6">
                  <w:pPr>
                    <w:jc w:val="center"/>
                    <w:rPr>
                      <w:rFonts w:hint="default" w:ascii="Times New Roman" w:hAnsi="Times New Roman" w:eastAsia="宋体" w:cs="Times New Roman"/>
                      <w:bCs/>
                      <w:color w:val="000000"/>
                      <w:szCs w:val="21"/>
                      <w:highlight w:val="none"/>
                      <w:lang w:val="en-US" w:eastAsia="zh-CN"/>
                    </w:rPr>
                  </w:pPr>
                  <w:r>
                    <w:rPr>
                      <w:rFonts w:hint="default" w:ascii="Times New Roman" w:hAnsi="Times New Roman" w:cs="Times New Roman"/>
                      <w:bCs/>
                      <w:color w:val="000000"/>
                      <w:szCs w:val="21"/>
                      <w:highlight w:val="none"/>
                      <w:lang w:val="en-US" w:eastAsia="zh-CN"/>
                    </w:rPr>
                    <w:t>8</w:t>
                  </w:r>
                </w:p>
              </w:tc>
            </w:tr>
          </w:tbl>
          <w:p w14:paraId="384B3D0E">
            <w:pPr>
              <w:rPr>
                <w:rFonts w:hint="default"/>
                <w:color w:val="000000"/>
              </w:rPr>
            </w:pPr>
          </w:p>
          <w:p w14:paraId="74E09109">
            <w:pPr>
              <w:spacing w:line="360" w:lineRule="auto"/>
              <w:ind w:firstLine="482" w:firstLineChars="200"/>
              <w:rPr>
                <w:rFonts w:hint="default" w:ascii="Times New Roman" w:hAnsi="Times New Roman" w:cs="Times New Roman"/>
                <w:b/>
                <w:bCs/>
                <w:color w:val="000000"/>
                <w:sz w:val="24"/>
              </w:rPr>
            </w:pPr>
            <w:r>
              <w:rPr>
                <w:rFonts w:hint="eastAsia" w:ascii="Times New Roman" w:hAnsi="Times New Roman" w:cs="Times New Roman"/>
                <w:b/>
                <w:bCs/>
                <w:color w:val="000000"/>
                <w:sz w:val="24"/>
                <w:lang w:eastAsia="zh-CN"/>
              </w:rPr>
              <w:t>3.</w:t>
            </w:r>
            <w:r>
              <w:rPr>
                <w:rFonts w:hint="default" w:ascii="Times New Roman" w:hAnsi="Times New Roman" w:cs="Times New Roman"/>
                <w:b/>
                <w:bCs/>
                <w:color w:val="000000"/>
                <w:sz w:val="24"/>
              </w:rPr>
              <w:t>噪声</w:t>
            </w:r>
          </w:p>
          <w:p w14:paraId="63925CC6">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施工期执行</w:t>
            </w:r>
            <w:r>
              <w:rPr>
                <w:rFonts w:hint="eastAsia" w:ascii="Times New Roman" w:hAnsi="Times New Roman" w:cs="Times New Roman"/>
                <w:color w:val="000000"/>
                <w:sz w:val="24"/>
                <w:lang w:eastAsia="zh-CN"/>
              </w:rPr>
              <w:t>《建筑施工噪声排放标准》(GB12523-2025)</w:t>
            </w:r>
            <w:r>
              <w:rPr>
                <w:rFonts w:hint="default" w:ascii="Times New Roman" w:hAnsi="Times New Roman" w:cs="Times New Roman"/>
                <w:color w:val="000000"/>
                <w:sz w:val="24"/>
              </w:rPr>
              <w:t>。具体标准值见表3-</w:t>
            </w:r>
            <w:r>
              <w:rPr>
                <w:rFonts w:hint="eastAsia" w:ascii="Times New Roman" w:hAnsi="Times New Roman" w:cs="Times New Roman"/>
                <w:color w:val="000000"/>
                <w:sz w:val="24"/>
                <w:lang w:val="en-US" w:eastAsia="zh-CN"/>
              </w:rPr>
              <w:t>12</w:t>
            </w:r>
            <w:r>
              <w:rPr>
                <w:rFonts w:hint="default" w:ascii="Times New Roman" w:hAnsi="Times New Roman" w:cs="Times New Roman"/>
                <w:color w:val="000000"/>
                <w:sz w:val="24"/>
              </w:rPr>
              <w:t>。</w:t>
            </w:r>
          </w:p>
          <w:p w14:paraId="069D5753">
            <w:pPr>
              <w:keepNext w:val="0"/>
              <w:keepLines w:val="0"/>
              <w:pageBreakBefore w:val="0"/>
              <w:widowControl w:val="0"/>
              <w:numPr>
                <w:ilvl w:val="0"/>
                <w:numId w:val="23"/>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cs="Times New Roman"/>
                <w:b/>
                <w:bCs/>
                <w:color w:val="000000"/>
                <w:sz w:val="24"/>
              </w:rPr>
            </w:pPr>
            <w:r>
              <w:rPr>
                <w:rFonts w:hint="default" w:ascii="Times New Roman" w:hAnsi="Times New Roman" w:cs="Times New Roman"/>
                <w:b/>
                <w:bCs/>
                <w:color w:val="000000"/>
                <w:sz w:val="24"/>
              </w:rPr>
              <w:t xml:space="preserve"> 《建筑施工噪声排放标准》(GB12523-2025)</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9"/>
              <w:gridCol w:w="3930"/>
            </w:tblGrid>
            <w:tr w14:paraId="2C40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69" w:type="dxa"/>
                  <w:gridSpan w:val="2"/>
                  <w:noWrap w:val="0"/>
                  <w:vAlign w:val="center"/>
                </w:tcPr>
                <w:p w14:paraId="479EB8FB">
                  <w:pPr>
                    <w:jc w:val="center"/>
                    <w:rPr>
                      <w:rFonts w:hint="default" w:ascii="Times New Roman" w:hAnsi="Times New Roman" w:cs="Times New Roman"/>
                      <w:color w:val="000000"/>
                    </w:rPr>
                  </w:pPr>
                  <w:r>
                    <w:rPr>
                      <w:rFonts w:hint="default" w:ascii="Times New Roman" w:hAnsi="Times New Roman" w:cs="Times New Roman"/>
                      <w:color w:val="000000"/>
                    </w:rPr>
                    <w:t>噪声限值dB(A)</w:t>
                  </w:r>
                </w:p>
              </w:tc>
            </w:tr>
            <w:tr w14:paraId="3F72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439" w:type="dxa"/>
                  <w:noWrap w:val="0"/>
                  <w:vAlign w:val="center"/>
                </w:tcPr>
                <w:p w14:paraId="02769E8B">
                  <w:pPr>
                    <w:jc w:val="center"/>
                    <w:rPr>
                      <w:rFonts w:hint="default" w:ascii="Times New Roman" w:hAnsi="Times New Roman" w:cs="Times New Roman"/>
                      <w:color w:val="000000"/>
                    </w:rPr>
                  </w:pPr>
                  <w:r>
                    <w:rPr>
                      <w:rFonts w:hint="default" w:ascii="Times New Roman" w:hAnsi="Times New Roman" w:cs="Times New Roman"/>
                      <w:color w:val="000000"/>
                    </w:rPr>
                    <w:t>昼间</w:t>
                  </w:r>
                </w:p>
              </w:tc>
              <w:tc>
                <w:tcPr>
                  <w:tcW w:w="3930" w:type="dxa"/>
                  <w:noWrap w:val="0"/>
                  <w:vAlign w:val="center"/>
                </w:tcPr>
                <w:p w14:paraId="2F80AA07">
                  <w:pPr>
                    <w:jc w:val="center"/>
                    <w:rPr>
                      <w:rFonts w:hint="default" w:ascii="Times New Roman" w:hAnsi="Times New Roman" w:cs="Times New Roman"/>
                      <w:color w:val="000000"/>
                    </w:rPr>
                  </w:pPr>
                  <w:r>
                    <w:rPr>
                      <w:rFonts w:hint="default" w:ascii="Times New Roman" w:hAnsi="Times New Roman" w:cs="Times New Roman"/>
                      <w:color w:val="000000"/>
                    </w:rPr>
                    <w:t>夜间</w:t>
                  </w:r>
                </w:p>
              </w:tc>
            </w:tr>
            <w:tr w14:paraId="1EB1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439" w:type="dxa"/>
                  <w:noWrap w:val="0"/>
                  <w:vAlign w:val="center"/>
                </w:tcPr>
                <w:p w14:paraId="76C336E8">
                  <w:pPr>
                    <w:jc w:val="center"/>
                    <w:rPr>
                      <w:rFonts w:hint="default" w:ascii="Times New Roman" w:hAnsi="Times New Roman" w:cs="Times New Roman"/>
                      <w:color w:val="000000"/>
                    </w:rPr>
                  </w:pPr>
                  <w:r>
                    <w:rPr>
                      <w:rFonts w:hint="default" w:ascii="Times New Roman" w:hAnsi="Times New Roman" w:cs="Times New Roman"/>
                      <w:color w:val="000000"/>
                    </w:rPr>
                    <w:t>70</w:t>
                  </w:r>
                </w:p>
              </w:tc>
              <w:tc>
                <w:tcPr>
                  <w:tcW w:w="3930" w:type="dxa"/>
                  <w:noWrap w:val="0"/>
                  <w:vAlign w:val="center"/>
                </w:tcPr>
                <w:p w14:paraId="5C01C38F">
                  <w:pPr>
                    <w:jc w:val="center"/>
                    <w:rPr>
                      <w:rFonts w:hint="default" w:ascii="Times New Roman" w:hAnsi="Times New Roman" w:cs="Times New Roman"/>
                      <w:color w:val="000000"/>
                    </w:rPr>
                  </w:pPr>
                  <w:r>
                    <w:rPr>
                      <w:rFonts w:hint="default" w:ascii="Times New Roman" w:hAnsi="Times New Roman" w:cs="Times New Roman"/>
                      <w:color w:val="000000"/>
                    </w:rPr>
                    <w:t>55</w:t>
                  </w:r>
                </w:p>
              </w:tc>
            </w:tr>
          </w:tbl>
          <w:p w14:paraId="1D211A5F">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注：表中所列噪声限值是指敏感区域相应的建筑施工场地边界线处的限值，如有几个施工阶段同时运行，以高噪声阶段的限值为准。</w:t>
            </w:r>
          </w:p>
          <w:p w14:paraId="5642385A">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营运期执行《工业企业厂界环境噪声排放标准》（GB12348-2008）</w:t>
            </w:r>
            <w:r>
              <w:rPr>
                <w:rFonts w:hint="eastAsia" w:ascii="Times New Roman" w:hAnsi="Times New Roman" w:cs="Times New Roman"/>
                <w:color w:val="000000"/>
                <w:sz w:val="24"/>
                <w:lang w:val="en-US" w:eastAsia="zh-CN"/>
              </w:rPr>
              <w:t>3</w:t>
            </w:r>
            <w:r>
              <w:rPr>
                <w:rFonts w:hint="default" w:ascii="Times New Roman" w:hAnsi="Times New Roman" w:cs="Times New Roman"/>
                <w:color w:val="000000"/>
                <w:sz w:val="24"/>
              </w:rPr>
              <w:t>类标准限值。具体标准见表3-</w:t>
            </w:r>
            <w:r>
              <w:rPr>
                <w:rFonts w:hint="eastAsia" w:ascii="Times New Roman" w:hAnsi="Times New Roman" w:cs="Times New Roman"/>
                <w:color w:val="000000"/>
                <w:sz w:val="24"/>
                <w:lang w:val="en-US" w:eastAsia="zh-CN"/>
              </w:rPr>
              <w:t>13</w:t>
            </w:r>
            <w:r>
              <w:rPr>
                <w:rFonts w:hint="default" w:ascii="Times New Roman" w:hAnsi="Times New Roman" w:cs="Times New Roman"/>
                <w:color w:val="000000"/>
                <w:sz w:val="24"/>
              </w:rPr>
              <w:t>。</w:t>
            </w:r>
          </w:p>
          <w:p w14:paraId="4CB87331">
            <w:pPr>
              <w:keepNext w:val="0"/>
              <w:keepLines w:val="0"/>
              <w:pageBreakBefore w:val="0"/>
              <w:widowControl w:val="0"/>
              <w:numPr>
                <w:ilvl w:val="0"/>
                <w:numId w:val="23"/>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cs="Times New Roman"/>
                <w:b/>
                <w:bCs/>
                <w:color w:val="000000"/>
                <w:sz w:val="24"/>
              </w:rPr>
            </w:pPr>
            <w:r>
              <w:rPr>
                <w:rFonts w:hint="default" w:ascii="Times New Roman" w:hAnsi="Times New Roman" w:eastAsia="宋体" w:cs="Times New Roman"/>
                <w:b/>
                <w:bCs/>
                <w:color w:val="000000"/>
                <w:sz w:val="24"/>
                <w:szCs w:val="24"/>
                <w:lang w:val="en-US" w:eastAsia="zh-CN"/>
              </w:rPr>
              <w:t xml:space="preserve"> </w:t>
            </w:r>
            <w:r>
              <w:rPr>
                <w:rFonts w:hint="default" w:ascii="Times New Roman" w:hAnsi="Times New Roman" w:cs="Times New Roman"/>
                <w:b/>
                <w:bCs/>
                <w:color w:val="000000"/>
                <w:sz w:val="24"/>
              </w:rPr>
              <w:t>《工业企业厂界环境噪声排放标准》（GB12348-2008）单位：dB(A)</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8"/>
              <w:gridCol w:w="1997"/>
              <w:gridCol w:w="3895"/>
            </w:tblGrid>
            <w:tr w14:paraId="4DDC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598" w:type="dxa"/>
                  <w:shd w:val="clear" w:color="auto" w:fill="BEBEBE"/>
                  <w:noWrap w:val="0"/>
                  <w:vAlign w:val="center"/>
                </w:tcPr>
                <w:p w14:paraId="2D5D23DA">
                  <w:pPr>
                    <w:spacing w:line="0" w:lineRule="atLeast"/>
                    <w:jc w:val="center"/>
                    <w:rPr>
                      <w:rFonts w:hint="default" w:ascii="Times New Roman" w:hAnsi="Times New Roman" w:cs="Times New Roman"/>
                      <w:color w:val="000000"/>
                    </w:rPr>
                  </w:pPr>
                  <w:r>
                    <w:rPr>
                      <w:rFonts w:hint="default" w:ascii="Times New Roman" w:hAnsi="Times New Roman" w:cs="Times New Roman"/>
                      <w:color w:val="000000"/>
                    </w:rPr>
                    <w:t>昼间</w:t>
                  </w:r>
                </w:p>
              </w:tc>
              <w:tc>
                <w:tcPr>
                  <w:tcW w:w="1997" w:type="dxa"/>
                  <w:shd w:val="clear" w:color="auto" w:fill="BEBEBE"/>
                  <w:noWrap w:val="0"/>
                  <w:vAlign w:val="center"/>
                </w:tcPr>
                <w:p w14:paraId="60106716">
                  <w:pPr>
                    <w:spacing w:line="0" w:lineRule="atLeast"/>
                    <w:jc w:val="center"/>
                    <w:rPr>
                      <w:rFonts w:hint="default" w:ascii="Times New Roman" w:hAnsi="Times New Roman" w:cs="Times New Roman"/>
                      <w:color w:val="000000"/>
                    </w:rPr>
                  </w:pPr>
                  <w:r>
                    <w:rPr>
                      <w:rFonts w:hint="default" w:ascii="Times New Roman" w:hAnsi="Times New Roman" w:cs="Times New Roman"/>
                      <w:color w:val="000000"/>
                    </w:rPr>
                    <w:t>夜间</w:t>
                  </w:r>
                </w:p>
              </w:tc>
              <w:tc>
                <w:tcPr>
                  <w:tcW w:w="3895" w:type="dxa"/>
                  <w:shd w:val="clear" w:color="auto" w:fill="BEBEBE"/>
                  <w:noWrap w:val="0"/>
                  <w:vAlign w:val="center"/>
                </w:tcPr>
                <w:p w14:paraId="41406C86">
                  <w:pPr>
                    <w:spacing w:line="0" w:lineRule="atLeast"/>
                    <w:jc w:val="center"/>
                    <w:rPr>
                      <w:rFonts w:hint="default" w:ascii="Times New Roman" w:hAnsi="Times New Roman" w:cs="Times New Roman"/>
                      <w:color w:val="000000"/>
                    </w:rPr>
                  </w:pPr>
                  <w:r>
                    <w:rPr>
                      <w:rFonts w:hint="default" w:ascii="Times New Roman" w:hAnsi="Times New Roman" w:cs="Times New Roman"/>
                      <w:color w:val="000000"/>
                    </w:rPr>
                    <w:t>依据</w:t>
                  </w:r>
                </w:p>
              </w:tc>
            </w:tr>
            <w:tr w14:paraId="4D6A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98" w:type="dxa"/>
                  <w:noWrap w:val="0"/>
                  <w:vAlign w:val="center"/>
                </w:tcPr>
                <w:p w14:paraId="2C0442B0">
                  <w:pPr>
                    <w:spacing w:line="0" w:lineRule="atLeast"/>
                    <w:jc w:val="center"/>
                    <w:rPr>
                      <w:rFonts w:hint="default" w:ascii="Times New Roman" w:hAnsi="Times New Roman" w:eastAsia="宋体" w:cs="Times New Roman"/>
                      <w:color w:val="000000"/>
                      <w:lang w:eastAsia="zh-CN"/>
                    </w:rPr>
                  </w:pPr>
                  <w:r>
                    <w:rPr>
                      <w:rFonts w:hint="default" w:ascii="Times New Roman" w:hAnsi="Times New Roman" w:cs="Times New Roman"/>
                      <w:color w:val="000000"/>
                    </w:rPr>
                    <w:t>6</w:t>
                  </w:r>
                  <w:r>
                    <w:rPr>
                      <w:rFonts w:hint="eastAsia" w:ascii="Times New Roman" w:hAnsi="Times New Roman" w:cs="Times New Roman"/>
                      <w:color w:val="000000"/>
                      <w:lang w:val="en-US" w:eastAsia="zh-CN"/>
                    </w:rPr>
                    <w:t>5</w:t>
                  </w:r>
                </w:p>
              </w:tc>
              <w:tc>
                <w:tcPr>
                  <w:tcW w:w="1997" w:type="dxa"/>
                  <w:noWrap w:val="0"/>
                  <w:vAlign w:val="center"/>
                </w:tcPr>
                <w:p w14:paraId="3BB9E20F">
                  <w:pPr>
                    <w:spacing w:line="0" w:lineRule="atLeast"/>
                    <w:jc w:val="center"/>
                    <w:rPr>
                      <w:rFonts w:hint="default" w:ascii="Times New Roman" w:hAnsi="Times New Roman" w:eastAsia="宋体" w:cs="Times New Roman"/>
                      <w:color w:val="000000"/>
                      <w:lang w:val="en-US" w:eastAsia="zh-CN"/>
                    </w:rPr>
                  </w:pPr>
                  <w:r>
                    <w:rPr>
                      <w:rFonts w:hint="eastAsia" w:ascii="Times New Roman" w:hAnsi="Times New Roman" w:cs="Times New Roman"/>
                      <w:color w:val="000000"/>
                      <w:lang w:val="en-US" w:eastAsia="zh-CN"/>
                    </w:rPr>
                    <w:t>55</w:t>
                  </w:r>
                </w:p>
              </w:tc>
              <w:tc>
                <w:tcPr>
                  <w:tcW w:w="3895" w:type="dxa"/>
                  <w:noWrap w:val="0"/>
                  <w:vAlign w:val="center"/>
                </w:tcPr>
                <w:p w14:paraId="47E29763">
                  <w:pPr>
                    <w:spacing w:line="0" w:lineRule="atLeast"/>
                    <w:jc w:val="center"/>
                    <w:rPr>
                      <w:rFonts w:hint="default" w:ascii="Times New Roman" w:hAnsi="Times New Roman" w:cs="Times New Roman"/>
                      <w:color w:val="000000"/>
                    </w:rPr>
                  </w:pPr>
                  <w:r>
                    <w:rPr>
                      <w:rFonts w:hint="default" w:ascii="Times New Roman" w:hAnsi="Times New Roman" w:cs="Times New Roman"/>
                      <w:color w:val="000000"/>
                    </w:rPr>
                    <w:t>（GB12348－2008）</w:t>
                  </w:r>
                  <w:r>
                    <w:rPr>
                      <w:rFonts w:hint="eastAsia" w:ascii="Times New Roman" w:hAnsi="Times New Roman" w:cs="Times New Roman"/>
                      <w:color w:val="000000"/>
                      <w:lang w:val="en-US" w:eastAsia="zh-CN"/>
                    </w:rPr>
                    <w:t>3</w:t>
                  </w:r>
                  <w:r>
                    <w:rPr>
                      <w:rFonts w:hint="default" w:ascii="Times New Roman" w:hAnsi="Times New Roman" w:cs="Times New Roman"/>
                      <w:color w:val="000000"/>
                    </w:rPr>
                    <w:t>类</w:t>
                  </w:r>
                </w:p>
              </w:tc>
            </w:tr>
          </w:tbl>
          <w:p w14:paraId="511A0349">
            <w:pPr>
              <w:spacing w:before="120" w:beforeLines="50" w:line="360" w:lineRule="auto"/>
              <w:ind w:firstLine="482" w:firstLineChars="200"/>
              <w:rPr>
                <w:rFonts w:hint="default" w:ascii="Times New Roman" w:hAnsi="Times New Roman" w:cs="Times New Roman"/>
                <w:b/>
                <w:bCs/>
                <w:color w:val="000000"/>
                <w:sz w:val="24"/>
              </w:rPr>
            </w:pPr>
            <w:r>
              <w:rPr>
                <w:rFonts w:hint="eastAsia" w:ascii="Times New Roman" w:hAnsi="Times New Roman" w:cs="Times New Roman"/>
                <w:b/>
                <w:bCs/>
                <w:color w:val="000000"/>
                <w:sz w:val="24"/>
                <w:lang w:eastAsia="zh-CN"/>
              </w:rPr>
              <w:t>4.</w:t>
            </w:r>
            <w:r>
              <w:rPr>
                <w:rFonts w:hint="default" w:ascii="Times New Roman" w:hAnsi="Times New Roman" w:cs="Times New Roman"/>
                <w:b/>
                <w:bCs/>
                <w:color w:val="000000"/>
                <w:sz w:val="24"/>
              </w:rPr>
              <w:t>固体废弃物</w:t>
            </w:r>
          </w:p>
          <w:p w14:paraId="5F3E31B2">
            <w:pPr>
              <w:spacing w:line="360" w:lineRule="auto"/>
              <w:ind w:firstLine="480" w:firstLineChars="200"/>
              <w:rPr>
                <w:rFonts w:hint="default" w:ascii="Times New Roman" w:hAnsi="Times New Roman" w:cs="Times New Roman"/>
                <w:color w:val="000000"/>
              </w:rPr>
            </w:pPr>
            <w:r>
              <w:rPr>
                <w:rFonts w:hint="default" w:ascii="Times New Roman" w:hAnsi="Times New Roman" w:cs="Times New Roman"/>
                <w:color w:val="000000"/>
                <w:sz w:val="24"/>
                <w:lang w:eastAsia="zh-CN"/>
              </w:rPr>
              <w:t>一般工业固体废物贮存过程中按照《中华人民共和国固体废物污染环境防治法》相关要求满足防渗漏、防雨淋、防扬尘等环境保护要求，参照《一般工业固体废物贮存和填埋污染控制标准》（GB18599-2020）标准，其贮存过程应满足相应防渗漏、防雨淋、防扬尘等环境保护要求；危险废物执行《危险废物贮存污染控制标准》</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lang w:eastAsia="zh-CN"/>
              </w:rPr>
              <w:t>GB18597-2023</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lang w:eastAsia="zh-CN"/>
              </w:rPr>
              <w:t>。</w:t>
            </w:r>
          </w:p>
        </w:tc>
      </w:tr>
      <w:tr w14:paraId="5D5B14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6" w:hRule="atLeast"/>
          <w:jc w:val="center"/>
        </w:trPr>
        <w:tc>
          <w:tcPr>
            <w:tcW w:w="406" w:type="dxa"/>
            <w:noWrap w:val="0"/>
            <w:vAlign w:val="center"/>
          </w:tcPr>
          <w:p w14:paraId="03961240">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总量</w:t>
            </w:r>
          </w:p>
          <w:p w14:paraId="151F67D1">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控制</w:t>
            </w:r>
          </w:p>
          <w:p w14:paraId="6C7648A9">
            <w:pPr>
              <w:adjustRightInd w:val="0"/>
              <w:snapToGrid w:val="0"/>
              <w:spacing w:line="36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指标</w:t>
            </w:r>
          </w:p>
        </w:tc>
        <w:tc>
          <w:tcPr>
            <w:tcW w:w="9095" w:type="dxa"/>
            <w:noWrap w:val="0"/>
            <w:vAlign w:val="top"/>
          </w:tcPr>
          <w:p w14:paraId="6F63349E">
            <w:pPr>
              <w:pStyle w:val="63"/>
              <w:keepNext w:val="0"/>
              <w:keepLines w:val="0"/>
              <w:pageBreakBefore w:val="0"/>
              <w:shd w:val="clear" w:color="auto" w:fill="auto"/>
              <w:kinsoku/>
              <w:wordWrap/>
              <w:overflowPunct/>
              <w:topLinePunct w:val="0"/>
              <w:bidi w:val="0"/>
              <w:spacing w:line="360" w:lineRule="auto"/>
              <w:ind w:firstLine="482" w:firstLineChars="200"/>
              <w:jc w:val="both"/>
              <w:textAlignment w:val="auto"/>
              <w:rPr>
                <w:rFonts w:hint="default" w:ascii="Times New Roman" w:hAnsi="Times New Roman" w:eastAsia="宋体" w:cs="Times New Roman"/>
                <w:color w:val="000000"/>
                <w:sz w:val="24"/>
                <w:szCs w:val="24"/>
              </w:rPr>
            </w:pPr>
            <w:r>
              <w:rPr>
                <w:rFonts w:hint="eastAsia" w:ascii="Times New Roman" w:hAnsi="Times New Roman" w:eastAsia="宋体" w:cs="Times New Roman"/>
                <w:b/>
                <w:bCs/>
                <w:color w:val="000000"/>
                <w:sz w:val="24"/>
                <w:szCs w:val="24"/>
                <w:lang w:val="en-US" w:eastAsia="zh-CN"/>
              </w:rPr>
              <w:t>1.</w:t>
            </w:r>
            <w:r>
              <w:rPr>
                <w:rFonts w:hint="default" w:ascii="Times New Roman" w:hAnsi="Times New Roman" w:eastAsia="宋体" w:cs="Times New Roman"/>
                <w:b/>
                <w:bCs/>
                <w:color w:val="000000"/>
                <w:sz w:val="24"/>
                <w:szCs w:val="24"/>
              </w:rPr>
              <w:t>总量控制主要因</w:t>
            </w:r>
            <w:r>
              <w:rPr>
                <w:rFonts w:hint="default" w:ascii="Times New Roman" w:hAnsi="Times New Roman" w:eastAsia="宋体" w:cs="Times New Roman"/>
                <w:color w:val="000000"/>
                <w:sz w:val="24"/>
                <w:szCs w:val="24"/>
              </w:rPr>
              <w:t>子</w:t>
            </w:r>
          </w:p>
          <w:p w14:paraId="360A7A00">
            <w:pPr>
              <w:pStyle w:val="63"/>
              <w:keepNext w:val="0"/>
              <w:keepLines w:val="0"/>
              <w:pageBreakBefore w:val="0"/>
              <w:shd w:val="clear" w:color="auto" w:fill="auto"/>
              <w:kinsoku/>
              <w:wordWrap/>
              <w:overflowPunct/>
              <w:topLinePunct w:val="0"/>
              <w:bidi w:val="0"/>
              <w:spacing w:line="360" w:lineRule="auto"/>
              <w:ind w:firstLine="480" w:firstLineChars="200"/>
              <w:jc w:val="both"/>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rPr>
              <w:t>废水总量控制指标：COD、NH</w:t>
            </w:r>
            <w:r>
              <w:rPr>
                <w:rFonts w:hint="default" w:ascii="Times New Roman" w:hAnsi="Times New Roman" w:eastAsia="宋体" w:cs="Times New Roman"/>
                <w:color w:val="000000"/>
                <w:sz w:val="24"/>
                <w:szCs w:val="24"/>
                <w:vertAlign w:val="subscript"/>
              </w:rPr>
              <w:t>3</w:t>
            </w:r>
            <w:r>
              <w:rPr>
                <w:rFonts w:hint="default" w:ascii="Times New Roman" w:hAnsi="Times New Roman" w:eastAsia="宋体" w:cs="Times New Roman"/>
                <w:color w:val="000000"/>
                <w:sz w:val="24"/>
                <w:szCs w:val="24"/>
              </w:rPr>
              <w:t>-N</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TP</w:t>
            </w:r>
          </w:p>
          <w:p w14:paraId="13DE4B74">
            <w:pPr>
              <w:pStyle w:val="63"/>
              <w:keepNext w:val="0"/>
              <w:keepLines w:val="0"/>
              <w:pageBreakBefore w:val="0"/>
              <w:shd w:val="clear" w:color="auto" w:fill="auto"/>
              <w:kinsoku/>
              <w:wordWrap/>
              <w:overflowPunct/>
              <w:topLinePunct w:val="0"/>
              <w:bidi w:val="0"/>
              <w:spacing w:line="360" w:lineRule="auto"/>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废气总量控制指标：</w:t>
            </w:r>
            <w:r>
              <w:rPr>
                <w:rFonts w:hint="eastAsia" w:ascii="Times New Roman" w:hAnsi="Times New Roman" w:eastAsia="宋体" w:cs="Times New Roman"/>
                <w:color w:val="000000"/>
                <w:sz w:val="24"/>
                <w:szCs w:val="24"/>
                <w:lang w:val="en-US" w:eastAsia="zh-CN"/>
              </w:rPr>
              <w:t>VOCs、</w:t>
            </w:r>
            <w:r>
              <w:rPr>
                <w:rFonts w:hint="default" w:ascii="Times New Roman" w:hAnsi="Times New Roman" w:eastAsia="宋体" w:cs="Times New Roman"/>
                <w:color w:val="000000"/>
                <w:sz w:val="24"/>
                <w:szCs w:val="24"/>
              </w:rPr>
              <w:t>SO</w:t>
            </w:r>
            <w:r>
              <w:rPr>
                <w:rFonts w:hint="default" w:ascii="Times New Roman" w:hAnsi="Times New Roman" w:eastAsia="宋体" w:cs="Times New Roman"/>
                <w:color w:val="000000"/>
                <w:sz w:val="24"/>
                <w:szCs w:val="24"/>
                <w:vertAlign w:val="subscript"/>
              </w:rPr>
              <w:t>2</w:t>
            </w:r>
            <w:r>
              <w:rPr>
                <w:rFonts w:hint="eastAsia" w:ascii="Times New Roman" w:hAnsi="Times New Roman" w:eastAsia="宋体" w:cs="Times New Roman"/>
                <w:color w:val="000000"/>
                <w:sz w:val="24"/>
                <w:szCs w:val="24"/>
                <w:vertAlign w:val="baseline"/>
                <w:lang w:eastAsia="zh-CN"/>
              </w:rPr>
              <w:t>、颗粒物</w:t>
            </w:r>
            <w:r>
              <w:rPr>
                <w:rFonts w:hint="default" w:ascii="Times New Roman" w:hAnsi="Times New Roman" w:eastAsia="宋体" w:cs="Times New Roman"/>
                <w:color w:val="000000"/>
                <w:sz w:val="24"/>
                <w:szCs w:val="24"/>
              </w:rPr>
              <w:t>和NOx</w:t>
            </w:r>
          </w:p>
          <w:p w14:paraId="0080BF02">
            <w:pPr>
              <w:pStyle w:val="63"/>
              <w:keepNext w:val="0"/>
              <w:keepLines w:val="0"/>
              <w:pageBreakBefore w:val="0"/>
              <w:shd w:val="clear" w:color="auto" w:fill="auto"/>
              <w:kinsoku/>
              <w:wordWrap/>
              <w:overflowPunct/>
              <w:topLinePunct w:val="0"/>
              <w:bidi w:val="0"/>
              <w:spacing w:line="360" w:lineRule="auto"/>
              <w:ind w:firstLine="482" w:firstLineChars="200"/>
              <w:jc w:val="both"/>
              <w:textAlignment w:val="auto"/>
              <w:rPr>
                <w:rFonts w:hint="default"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lang w:val="en-US" w:eastAsia="zh-CN"/>
              </w:rPr>
              <w:t>2.</w:t>
            </w:r>
            <w:r>
              <w:rPr>
                <w:rFonts w:hint="default" w:ascii="Times New Roman" w:hAnsi="Times New Roman" w:eastAsia="宋体" w:cs="Times New Roman"/>
                <w:b/>
                <w:bCs/>
                <w:color w:val="000000"/>
                <w:sz w:val="24"/>
                <w:szCs w:val="24"/>
              </w:rPr>
              <w:t>废水总量控制</w:t>
            </w:r>
          </w:p>
          <w:p w14:paraId="4AF23EE4">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hint="default" w:ascii="Times New Roman" w:hAnsi="Times New Roman" w:eastAsia="宋体" w:cs="Times New Roman"/>
                <w:b w:val="0"/>
                <w:bCs w:val="0"/>
                <w:color w:val="000000"/>
                <w:sz w:val="24"/>
                <w:szCs w:val="24"/>
              </w:rPr>
              <w:t>本项目</w:t>
            </w:r>
            <w:r>
              <w:rPr>
                <w:rFonts w:hint="eastAsia" w:ascii="Times New Roman" w:hAnsi="Times New Roman" w:eastAsia="宋体" w:cs="Times New Roman"/>
                <w:b w:val="0"/>
                <w:bCs w:val="0"/>
                <w:color w:val="000000"/>
                <w:sz w:val="24"/>
                <w:szCs w:val="24"/>
                <w:lang w:eastAsia="zh-CN"/>
              </w:rPr>
              <w:t>废水</w:t>
            </w:r>
            <w:r>
              <w:rPr>
                <w:rFonts w:hint="default" w:ascii="Times New Roman" w:hAnsi="Times New Roman" w:cs="Times New Roman"/>
                <w:color w:val="000000"/>
                <w:sz w:val="24"/>
                <w:lang w:eastAsia="zh-CN"/>
              </w:rPr>
              <w:t>依托</w:t>
            </w:r>
            <w:r>
              <w:rPr>
                <w:rFonts w:hint="eastAsia" w:ascii="Times New Roman" w:hAnsi="Times New Roman" w:cs="Times New Roman"/>
                <w:color w:val="000000"/>
                <w:sz w:val="24"/>
                <w:lang w:eastAsia="zh-CN"/>
              </w:rPr>
              <w:t>已建</w:t>
            </w:r>
            <w:r>
              <w:rPr>
                <w:rFonts w:hint="default" w:ascii="Times New Roman" w:hAnsi="Times New Roman" w:cs="Times New Roman"/>
                <w:color w:val="000000"/>
                <w:sz w:val="24"/>
                <w:lang w:eastAsia="zh-CN"/>
              </w:rPr>
              <w:t>预处理池进行处理，</w:t>
            </w:r>
            <w:r>
              <w:rPr>
                <w:rFonts w:hint="default" w:ascii="Times New Roman" w:hAnsi="Times New Roman" w:cs="Times New Roman"/>
                <w:color w:val="000000"/>
                <w:sz w:val="24"/>
              </w:rPr>
              <w:t>执行《污水综合排放标准》（GB8978-1996）三级标准（氨氮</w:t>
            </w:r>
            <w:r>
              <w:rPr>
                <w:rFonts w:hint="default" w:ascii="Times New Roman" w:hAnsi="Times New Roman" w:cs="Times New Roman"/>
                <w:color w:val="000000"/>
                <w:sz w:val="24"/>
                <w:lang w:eastAsia="zh-CN"/>
              </w:rPr>
              <w:t>、总磷</w:t>
            </w:r>
            <w:r>
              <w:rPr>
                <w:rFonts w:hint="default" w:ascii="Times New Roman" w:hAnsi="Times New Roman" w:cs="Times New Roman"/>
                <w:color w:val="000000"/>
                <w:sz w:val="24"/>
              </w:rPr>
              <w:t>满足GB/T31962-2015 表1中B级标准）</w:t>
            </w:r>
            <w:r>
              <w:rPr>
                <w:rFonts w:hint="eastAsia" w:ascii="Times New Roman" w:hAnsi="Times New Roman" w:cs="Times New Roman"/>
                <w:color w:val="000000"/>
                <w:sz w:val="24"/>
                <w:lang w:eastAsia="zh-CN"/>
              </w:rPr>
              <w:t>，</w:t>
            </w:r>
            <w:r>
              <w:rPr>
                <w:rFonts w:hint="default" w:ascii="Times New Roman" w:hAnsi="Times New Roman" w:cs="Times New Roman"/>
                <w:b w:val="0"/>
                <w:bCs w:val="0"/>
                <w:color w:val="000000"/>
                <w:sz w:val="24"/>
                <w:szCs w:val="24"/>
                <w:lang w:val="en-US" w:eastAsia="zh-CN"/>
              </w:rPr>
              <w:t>分别</w:t>
            </w:r>
            <w:r>
              <w:rPr>
                <w:rFonts w:hint="default" w:ascii="Times New Roman" w:hAnsi="Times New Roman" w:eastAsia="宋体" w:cs="Times New Roman"/>
                <w:b w:val="0"/>
                <w:bCs w:val="0"/>
                <w:color w:val="000000"/>
                <w:sz w:val="24"/>
                <w:szCs w:val="24"/>
                <w:lang w:eastAsia="zh-CN"/>
              </w:rPr>
              <w:t>为</w:t>
            </w:r>
            <w:bookmarkStart w:id="24" w:name="OLE_LINK76"/>
            <w:r>
              <w:rPr>
                <w:rFonts w:hint="default" w:ascii="Times New Roman" w:hAnsi="Times New Roman" w:eastAsia="宋体" w:cs="Times New Roman"/>
                <w:b w:val="0"/>
                <w:bCs w:val="0"/>
                <w:color w:val="000000"/>
                <w:sz w:val="24"/>
                <w:szCs w:val="24"/>
                <w:lang w:val="en-US" w:eastAsia="zh-CN"/>
              </w:rPr>
              <w:t>500</w:t>
            </w:r>
            <w:r>
              <w:rPr>
                <w:rFonts w:hint="default" w:ascii="Times New Roman" w:hAnsi="Times New Roman" w:eastAsia="宋体" w:cs="Times New Roman"/>
                <w:b w:val="0"/>
                <w:bCs w:val="0"/>
                <w:color w:val="000000"/>
                <w:sz w:val="24"/>
                <w:szCs w:val="24"/>
              </w:rPr>
              <w:t>mg/L</w:t>
            </w:r>
            <w:r>
              <w:rPr>
                <w:rFonts w:hint="default" w:ascii="Times New Roman" w:hAnsi="Times New Roman" w:eastAsia="宋体" w:cs="Times New Roman"/>
                <w:b w:val="0"/>
                <w:bCs w:val="0"/>
                <w:color w:val="000000"/>
                <w:sz w:val="24"/>
                <w:szCs w:val="24"/>
                <w:lang w:eastAsia="zh-CN"/>
              </w:rPr>
              <w:t>、</w:t>
            </w:r>
            <w:r>
              <w:rPr>
                <w:rFonts w:hint="default" w:ascii="Times New Roman" w:hAnsi="Times New Roman" w:cs="Times New Roman"/>
                <w:b w:val="0"/>
                <w:bCs w:val="0"/>
                <w:color w:val="000000"/>
                <w:sz w:val="24"/>
                <w:szCs w:val="24"/>
                <w:lang w:val="en-US" w:eastAsia="zh-CN"/>
              </w:rPr>
              <w:t>45mg/L、8mg/L。</w:t>
            </w:r>
            <w:r>
              <w:rPr>
                <w:rFonts w:hint="eastAsia" w:ascii="Times New Roman" w:hAnsi="Times New Roman" w:cs="Times New Roman"/>
                <w:b w:val="0"/>
                <w:bCs w:val="0"/>
                <w:color w:val="000000"/>
                <w:sz w:val="24"/>
                <w:szCs w:val="24"/>
                <w:lang w:val="en-US" w:eastAsia="zh-CN"/>
              </w:rPr>
              <w:t>星光工业园区污水处理厂</w:t>
            </w:r>
            <w:r>
              <w:rPr>
                <w:rFonts w:hint="default" w:ascii="Times New Roman" w:hAnsi="Times New Roman" w:cs="Times New Roman"/>
                <w:b w:val="0"/>
                <w:bCs w:val="0"/>
                <w:color w:val="000000"/>
                <w:sz w:val="24"/>
                <w:szCs w:val="24"/>
                <w:lang w:val="en-US" w:eastAsia="zh-CN"/>
              </w:rPr>
              <w:t>排口按照</w:t>
            </w:r>
            <w:bookmarkEnd w:id="24"/>
            <w:bookmarkStart w:id="25" w:name="OLE_LINK77"/>
            <w:r>
              <w:rPr>
                <w:rFonts w:hint="default" w:ascii="Times New Roman" w:hAnsi="Times New Roman" w:cs="Times New Roman"/>
                <w:b w:val="0"/>
                <w:bCs w:val="0"/>
                <w:color w:val="000000"/>
                <w:sz w:val="24"/>
                <w:szCs w:val="24"/>
                <w:lang w:val="en-US" w:eastAsia="zh-CN"/>
              </w:rPr>
              <w:t>《城镇污水处理厂污染物排放标准》（GB 18918－2002）一级A标准，</w:t>
            </w:r>
            <w:r>
              <w:rPr>
                <w:rFonts w:hint="default" w:ascii="Times New Roman" w:hAnsi="Times New Roman" w:eastAsia="宋体" w:cs="Times New Roman"/>
                <w:b w:val="0"/>
                <w:bCs w:val="0"/>
                <w:color w:val="000000"/>
                <w:sz w:val="24"/>
                <w:szCs w:val="24"/>
                <w:lang w:val="en-US" w:eastAsia="zh-CN"/>
              </w:rPr>
              <w:t>COD</w:t>
            </w:r>
            <w:r>
              <w:rPr>
                <w:rFonts w:hint="default" w:ascii="Times New Roman" w:hAnsi="Times New Roman" w:cs="Times New Roman"/>
                <w:b w:val="0"/>
                <w:bCs w:val="0"/>
                <w:color w:val="000000"/>
                <w:sz w:val="24"/>
                <w:szCs w:val="24"/>
                <w:lang w:val="en-US" w:eastAsia="zh-CN"/>
              </w:rPr>
              <w:t xml:space="preserve"> 、NH</w:t>
            </w:r>
            <w:r>
              <w:rPr>
                <w:rFonts w:hint="default" w:ascii="Times New Roman" w:hAnsi="Times New Roman" w:cs="Times New Roman"/>
                <w:b w:val="0"/>
                <w:bCs w:val="0"/>
                <w:color w:val="000000"/>
                <w:sz w:val="24"/>
                <w:szCs w:val="24"/>
                <w:vertAlign w:val="subscript"/>
                <w:lang w:val="en-US" w:eastAsia="zh-CN"/>
              </w:rPr>
              <w:t>3</w:t>
            </w:r>
            <w:r>
              <w:rPr>
                <w:rFonts w:hint="default" w:ascii="Times New Roman" w:hAnsi="Times New Roman" w:cs="Times New Roman"/>
                <w:b w:val="0"/>
                <w:bCs w:val="0"/>
                <w:color w:val="000000"/>
                <w:sz w:val="24"/>
                <w:szCs w:val="24"/>
                <w:lang w:val="en-US" w:eastAsia="zh-CN"/>
              </w:rPr>
              <w:t>-N、TP分别</w:t>
            </w:r>
            <w:r>
              <w:rPr>
                <w:rFonts w:hint="eastAsia" w:ascii="Times New Roman" w:hAnsi="Times New Roman" w:cs="Times New Roman"/>
                <w:b w:val="0"/>
                <w:bCs w:val="0"/>
                <w:color w:val="000000"/>
                <w:sz w:val="24"/>
                <w:szCs w:val="24"/>
                <w:lang w:val="en-US" w:eastAsia="zh-CN"/>
              </w:rPr>
              <w:t>5</w:t>
            </w:r>
            <w:r>
              <w:rPr>
                <w:rFonts w:hint="default" w:ascii="Times New Roman" w:hAnsi="Times New Roman" w:cs="Times New Roman"/>
                <w:b w:val="0"/>
                <w:bCs w:val="0"/>
                <w:color w:val="000000"/>
                <w:sz w:val="24"/>
                <w:szCs w:val="24"/>
                <w:lang w:val="en-US" w:eastAsia="zh-CN"/>
              </w:rPr>
              <w:t>0mg/L、</w:t>
            </w:r>
            <w:r>
              <w:rPr>
                <w:rFonts w:hint="eastAsia" w:ascii="Times New Roman" w:hAnsi="Times New Roman" w:cs="Times New Roman"/>
                <w:b w:val="0"/>
                <w:bCs w:val="0"/>
                <w:color w:val="000000"/>
                <w:sz w:val="24"/>
                <w:szCs w:val="24"/>
                <w:lang w:val="en-US" w:eastAsia="zh-CN"/>
              </w:rPr>
              <w:t>5</w:t>
            </w:r>
            <w:r>
              <w:rPr>
                <w:rFonts w:hint="default" w:ascii="Times New Roman" w:hAnsi="Times New Roman" w:cs="Times New Roman"/>
                <w:b w:val="0"/>
                <w:bCs w:val="0"/>
                <w:color w:val="000000"/>
                <w:sz w:val="24"/>
                <w:szCs w:val="24"/>
                <w:lang w:val="en-US" w:eastAsia="zh-CN"/>
              </w:rPr>
              <w:t>mg/L、0.</w:t>
            </w:r>
            <w:r>
              <w:rPr>
                <w:rFonts w:hint="eastAsia" w:ascii="Times New Roman" w:hAnsi="Times New Roman" w:cs="Times New Roman"/>
                <w:b w:val="0"/>
                <w:bCs w:val="0"/>
                <w:color w:val="000000"/>
                <w:sz w:val="24"/>
                <w:szCs w:val="24"/>
                <w:lang w:val="en-US" w:eastAsia="zh-CN"/>
              </w:rPr>
              <w:t>5</w:t>
            </w:r>
            <w:r>
              <w:rPr>
                <w:rFonts w:hint="default" w:ascii="Times New Roman" w:hAnsi="Times New Roman" w:cs="Times New Roman"/>
                <w:b w:val="0"/>
                <w:bCs w:val="0"/>
                <w:color w:val="000000"/>
                <w:sz w:val="24"/>
                <w:szCs w:val="24"/>
                <w:lang w:val="en-US" w:eastAsia="zh-CN"/>
              </w:rPr>
              <w:t>mg/L。</w:t>
            </w:r>
          </w:p>
          <w:bookmarkEnd w:id="25"/>
          <w:p w14:paraId="5AA5CF5B">
            <w:pPr>
              <w:pStyle w:val="5"/>
              <w:spacing w:line="360" w:lineRule="auto"/>
              <w:ind w:firstLine="482" w:firstLineChars="200"/>
              <w:rPr>
                <w:rFonts w:hint="eastAsia" w:ascii="宋体" w:hAnsi="宋体" w:cs="宋体"/>
                <w:b/>
                <w:bCs/>
                <w:color w:val="000000"/>
              </w:rPr>
            </w:pPr>
            <w:r>
              <w:rPr>
                <w:rFonts w:hint="eastAsia" w:ascii="宋体" w:hAnsi="宋体" w:cs="宋体"/>
                <w:b/>
                <w:bCs/>
                <w:color w:val="000000"/>
              </w:rPr>
              <w:t>●本项目废水排入</w:t>
            </w:r>
            <w:r>
              <w:rPr>
                <w:rFonts w:hint="eastAsia" w:ascii="宋体" w:hAnsi="宋体" w:cs="宋体"/>
                <w:b/>
                <w:bCs/>
                <w:color w:val="000000"/>
                <w:lang w:eastAsia="zh-CN"/>
              </w:rPr>
              <w:t>星光工业园区污水处理厂</w:t>
            </w:r>
            <w:r>
              <w:rPr>
                <w:rFonts w:hint="eastAsia" w:ascii="宋体" w:hAnsi="宋体" w:cs="宋体"/>
                <w:b/>
                <w:bCs/>
                <w:color w:val="000000"/>
              </w:rPr>
              <w:t>总量：</w:t>
            </w:r>
          </w:p>
          <w:p w14:paraId="062A92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cs="Times New Roman"/>
                <w:color w:val="000000"/>
                <w:sz w:val="24"/>
              </w:rPr>
              <w:t>COD</w:t>
            </w:r>
            <w:r>
              <w:rPr>
                <w:rFonts w:hint="eastAsia" w:ascii="Times New Roman" w:hAnsi="Times New Roman" w:cs="Times New Roman"/>
                <w:color w:val="000000"/>
                <w:sz w:val="24"/>
                <w:lang w:eastAsia="zh-CN"/>
              </w:rPr>
              <w:t>:</w:t>
            </w:r>
            <w:r>
              <w:rPr>
                <w:rFonts w:hint="eastAsia" w:ascii="Times New Roman" w:hAnsi="Times New Roman" w:eastAsia="宋体" w:cs="Times New Roman"/>
                <w:color w:val="000000"/>
                <w:sz w:val="24"/>
                <w:szCs w:val="24"/>
                <w:lang w:val="en-US" w:eastAsia="zh-CN"/>
              </w:rPr>
              <w:t>359.04</w:t>
            </w:r>
            <w:r>
              <w:rPr>
                <w:rFonts w:hint="default" w:ascii="Times New Roman" w:hAnsi="Times New Roman" w:eastAsia="宋体" w:cs="Times New Roman"/>
                <w:color w:val="000000"/>
                <w:sz w:val="24"/>
                <w:szCs w:val="24"/>
              </w:rPr>
              <w:t>m</w:t>
            </w:r>
            <w:r>
              <w:rPr>
                <w:rFonts w:hint="default" w:ascii="Times New Roman" w:hAnsi="Times New Roman" w:eastAsia="宋体" w:cs="Times New Roman"/>
                <w:color w:val="000000"/>
                <w:sz w:val="24"/>
                <w:szCs w:val="24"/>
                <w:vertAlign w:val="superscript"/>
              </w:rPr>
              <w:t>3</w:t>
            </w:r>
            <w:r>
              <w:rPr>
                <w:rFonts w:hint="default" w:ascii="Times New Roman" w:hAnsi="Times New Roman" w:eastAsia="宋体" w:cs="Times New Roman"/>
                <w:color w:val="000000"/>
                <w:sz w:val="24"/>
                <w:szCs w:val="24"/>
              </w:rPr>
              <w:t>/a×</w:t>
            </w:r>
            <w:r>
              <w:rPr>
                <w:rFonts w:hint="default" w:ascii="Times New Roman" w:hAnsi="Times New Roman" w:eastAsia="宋体" w:cs="Times New Roman"/>
                <w:color w:val="000000"/>
                <w:sz w:val="24"/>
                <w:szCs w:val="24"/>
                <w:lang w:val="en-US" w:eastAsia="zh-CN"/>
              </w:rPr>
              <w:t>500</w:t>
            </w:r>
            <w:r>
              <w:rPr>
                <w:rFonts w:hint="default" w:ascii="Times New Roman" w:hAnsi="Times New Roman" w:eastAsia="宋体" w:cs="Times New Roman"/>
                <w:color w:val="000000"/>
                <w:sz w:val="24"/>
                <w:szCs w:val="24"/>
              </w:rPr>
              <w:t>mg/L×10</w:t>
            </w:r>
            <w:r>
              <w:rPr>
                <w:rFonts w:hint="default" w:ascii="Times New Roman" w:hAnsi="Times New Roman" w:eastAsia="宋体" w:cs="Times New Roman"/>
                <w:color w:val="000000"/>
                <w:sz w:val="24"/>
                <w:szCs w:val="24"/>
                <w:vertAlign w:val="superscript"/>
              </w:rPr>
              <w:t>-6</w:t>
            </w:r>
            <w:r>
              <w:rPr>
                <w:rFonts w:hint="default"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val="en-US" w:eastAsia="zh-CN"/>
              </w:rPr>
              <w:t>0.180</w:t>
            </w:r>
            <w:r>
              <w:rPr>
                <w:rFonts w:hint="default" w:ascii="Times New Roman" w:hAnsi="Times New Roman" w:eastAsia="宋体" w:cs="Times New Roman"/>
                <w:color w:val="000000"/>
                <w:sz w:val="24"/>
                <w:szCs w:val="24"/>
              </w:rPr>
              <w:t>t/a</w:t>
            </w:r>
          </w:p>
          <w:p w14:paraId="4D36A5EB">
            <w:pPr>
              <w:spacing w:line="360" w:lineRule="auto"/>
              <w:ind w:firstLine="480" w:firstLineChars="200"/>
              <w:rPr>
                <w:rFonts w:hint="eastAsia"/>
                <w:color w:val="000000"/>
                <w:sz w:val="24"/>
              </w:rPr>
            </w:pPr>
            <w:r>
              <w:rPr>
                <w:color w:val="000000"/>
                <w:sz w:val="24"/>
              </w:rPr>
              <w:t>NH</w:t>
            </w:r>
            <w:r>
              <w:rPr>
                <w:color w:val="000000"/>
                <w:sz w:val="24"/>
                <w:vertAlign w:val="subscript"/>
              </w:rPr>
              <w:t>3</w:t>
            </w:r>
            <w:r>
              <w:rPr>
                <w:color w:val="000000"/>
                <w:sz w:val="24"/>
              </w:rPr>
              <w:t>-N</w:t>
            </w:r>
            <w:r>
              <w:rPr>
                <w:rFonts w:hint="eastAsia"/>
                <w:color w:val="000000"/>
                <w:sz w:val="24"/>
                <w:lang w:eastAsia="zh-CN"/>
              </w:rPr>
              <w:t>:</w:t>
            </w:r>
            <w:r>
              <w:rPr>
                <w:rFonts w:hint="eastAsia" w:ascii="Times New Roman" w:hAnsi="Times New Roman" w:eastAsia="宋体" w:cs="Times New Roman"/>
                <w:color w:val="000000"/>
                <w:sz w:val="24"/>
                <w:szCs w:val="24"/>
                <w:lang w:val="en-US" w:eastAsia="zh-CN"/>
              </w:rPr>
              <w:t>359.04</w:t>
            </w:r>
            <w:r>
              <w:rPr>
                <w:rFonts w:hint="eastAsia"/>
                <w:color w:val="000000"/>
                <w:sz w:val="24"/>
              </w:rPr>
              <w:t>m</w:t>
            </w:r>
            <w:r>
              <w:rPr>
                <w:rFonts w:hint="eastAsia"/>
                <w:color w:val="000000"/>
                <w:sz w:val="24"/>
                <w:vertAlign w:val="superscript"/>
              </w:rPr>
              <w:t>3</w:t>
            </w:r>
            <w:r>
              <w:rPr>
                <w:rFonts w:hint="eastAsia"/>
                <w:color w:val="000000"/>
                <w:sz w:val="24"/>
              </w:rPr>
              <w:t>/a×</w:t>
            </w:r>
            <w:r>
              <w:rPr>
                <w:rFonts w:hint="eastAsia"/>
                <w:color w:val="000000"/>
                <w:sz w:val="24"/>
                <w:lang w:val="en-US" w:eastAsia="zh-CN"/>
              </w:rPr>
              <w:t>4</w:t>
            </w:r>
            <w:r>
              <w:rPr>
                <w:rFonts w:hint="eastAsia"/>
                <w:color w:val="000000"/>
                <w:sz w:val="24"/>
              </w:rPr>
              <w:t>5mg/L×10</w:t>
            </w:r>
            <w:r>
              <w:rPr>
                <w:rFonts w:hint="eastAsia"/>
                <w:color w:val="000000"/>
                <w:sz w:val="24"/>
                <w:vertAlign w:val="superscript"/>
              </w:rPr>
              <w:t>-6</w:t>
            </w:r>
            <w:r>
              <w:rPr>
                <w:rFonts w:hint="eastAsia"/>
                <w:color w:val="000000"/>
                <w:sz w:val="24"/>
              </w:rPr>
              <w:t>=</w:t>
            </w:r>
            <w:r>
              <w:rPr>
                <w:rFonts w:hint="eastAsia"/>
                <w:color w:val="000000"/>
                <w:sz w:val="24"/>
                <w:lang w:val="en-US" w:eastAsia="zh-CN"/>
              </w:rPr>
              <w:t>0.0162</w:t>
            </w:r>
            <w:r>
              <w:rPr>
                <w:rFonts w:hint="eastAsia"/>
                <w:color w:val="000000"/>
                <w:sz w:val="24"/>
              </w:rPr>
              <w:t>t/a</w:t>
            </w:r>
          </w:p>
          <w:p w14:paraId="3E1760DD">
            <w:pPr>
              <w:spacing w:line="360" w:lineRule="auto"/>
              <w:ind w:firstLine="480" w:firstLineChars="200"/>
              <w:rPr>
                <w:color w:val="000000"/>
                <w:sz w:val="24"/>
              </w:rPr>
            </w:pPr>
            <w:r>
              <w:rPr>
                <w:color w:val="000000"/>
                <w:sz w:val="24"/>
              </w:rPr>
              <w:t>TP</w:t>
            </w:r>
            <w:r>
              <w:rPr>
                <w:rFonts w:hint="eastAsia"/>
                <w:color w:val="000000"/>
                <w:sz w:val="24"/>
                <w:lang w:eastAsia="zh-CN"/>
              </w:rPr>
              <w:t>:</w:t>
            </w:r>
            <w:r>
              <w:rPr>
                <w:rFonts w:hint="eastAsia" w:ascii="Times New Roman" w:hAnsi="Times New Roman" w:eastAsia="宋体" w:cs="Times New Roman"/>
                <w:color w:val="000000"/>
                <w:sz w:val="24"/>
                <w:szCs w:val="24"/>
                <w:lang w:val="en-US" w:eastAsia="zh-CN"/>
              </w:rPr>
              <w:t>359.04</w:t>
            </w:r>
            <w:r>
              <w:rPr>
                <w:rFonts w:hint="eastAsia"/>
                <w:color w:val="000000"/>
                <w:sz w:val="24"/>
              </w:rPr>
              <w:t>m</w:t>
            </w:r>
            <w:r>
              <w:rPr>
                <w:rFonts w:hint="eastAsia"/>
                <w:color w:val="000000"/>
                <w:sz w:val="24"/>
                <w:vertAlign w:val="superscript"/>
              </w:rPr>
              <w:t>3</w:t>
            </w:r>
            <w:r>
              <w:rPr>
                <w:rFonts w:hint="eastAsia"/>
                <w:color w:val="000000"/>
                <w:sz w:val="24"/>
              </w:rPr>
              <w:t>/a×</w:t>
            </w:r>
            <w:r>
              <w:rPr>
                <w:rFonts w:hint="eastAsia"/>
                <w:color w:val="000000"/>
                <w:sz w:val="24"/>
                <w:lang w:val="en-US" w:eastAsia="zh-CN"/>
              </w:rPr>
              <w:t>8.0</w:t>
            </w:r>
            <w:r>
              <w:rPr>
                <w:rFonts w:hint="eastAsia"/>
                <w:color w:val="000000"/>
                <w:sz w:val="24"/>
              </w:rPr>
              <w:t>mg/L×10</w:t>
            </w:r>
            <w:r>
              <w:rPr>
                <w:rFonts w:hint="eastAsia"/>
                <w:color w:val="000000"/>
                <w:sz w:val="24"/>
                <w:vertAlign w:val="superscript"/>
              </w:rPr>
              <w:t>-6</w:t>
            </w:r>
            <w:r>
              <w:rPr>
                <w:rFonts w:hint="eastAsia"/>
                <w:color w:val="000000"/>
                <w:sz w:val="24"/>
              </w:rPr>
              <w:t>=</w:t>
            </w:r>
            <w:r>
              <w:rPr>
                <w:rFonts w:hint="eastAsia"/>
                <w:color w:val="000000"/>
                <w:sz w:val="24"/>
                <w:lang w:val="en-US" w:eastAsia="zh-CN"/>
              </w:rPr>
              <w:t>0.0029</w:t>
            </w:r>
            <w:r>
              <w:rPr>
                <w:rFonts w:hint="eastAsia"/>
                <w:color w:val="000000"/>
                <w:sz w:val="24"/>
              </w:rPr>
              <w:t>t/a</w:t>
            </w:r>
          </w:p>
          <w:p w14:paraId="7A5DAAF8">
            <w:pPr>
              <w:spacing w:line="360" w:lineRule="auto"/>
              <w:ind w:firstLine="482" w:firstLineChars="200"/>
              <w:rPr>
                <w:rFonts w:hint="eastAsia"/>
                <w:b/>
                <w:bCs/>
                <w:color w:val="000000"/>
                <w:sz w:val="24"/>
              </w:rPr>
            </w:pPr>
            <w:r>
              <w:rPr>
                <w:rFonts w:hint="eastAsia" w:ascii="宋体" w:hAnsi="宋体" w:cs="宋体"/>
                <w:b/>
                <w:bCs/>
                <w:color w:val="000000"/>
                <w:sz w:val="24"/>
              </w:rPr>
              <w:t>●</w:t>
            </w:r>
            <w:r>
              <w:rPr>
                <w:rFonts w:hint="eastAsia"/>
                <w:b/>
                <w:bCs/>
                <w:color w:val="000000"/>
                <w:sz w:val="24"/>
              </w:rPr>
              <w:t>经</w:t>
            </w:r>
            <w:r>
              <w:rPr>
                <w:rFonts w:hint="eastAsia"/>
                <w:b/>
                <w:bCs/>
                <w:color w:val="000000"/>
                <w:sz w:val="24"/>
                <w:lang w:eastAsia="zh-CN"/>
              </w:rPr>
              <w:t>星光工业园区污水处理厂</w:t>
            </w:r>
            <w:r>
              <w:rPr>
                <w:rFonts w:hint="eastAsia"/>
                <w:b/>
                <w:bCs/>
                <w:color w:val="000000"/>
                <w:sz w:val="24"/>
              </w:rPr>
              <w:t>排入环境总量</w:t>
            </w:r>
          </w:p>
          <w:p w14:paraId="3C723C98">
            <w:pPr>
              <w:spacing w:line="360" w:lineRule="auto"/>
              <w:ind w:firstLine="480" w:firstLineChars="200"/>
              <w:rPr>
                <w:color w:val="000000"/>
                <w:sz w:val="24"/>
              </w:rPr>
            </w:pPr>
            <w:r>
              <w:rPr>
                <w:color w:val="000000"/>
                <w:sz w:val="24"/>
              </w:rPr>
              <w:t>COD</w:t>
            </w:r>
            <w:r>
              <w:rPr>
                <w:rFonts w:hint="eastAsia"/>
                <w:color w:val="000000"/>
                <w:sz w:val="24"/>
                <w:lang w:eastAsia="zh-CN"/>
              </w:rPr>
              <w:t>:</w:t>
            </w:r>
            <w:r>
              <w:rPr>
                <w:rFonts w:hint="eastAsia" w:ascii="Times New Roman" w:hAnsi="Times New Roman" w:eastAsia="宋体" w:cs="Times New Roman"/>
                <w:color w:val="000000"/>
                <w:sz w:val="24"/>
                <w:szCs w:val="24"/>
                <w:lang w:val="en-US" w:eastAsia="zh-CN"/>
              </w:rPr>
              <w:t>359.04</w:t>
            </w:r>
            <w:r>
              <w:rPr>
                <w:color w:val="000000"/>
                <w:sz w:val="24"/>
              </w:rPr>
              <w:t>m</w:t>
            </w:r>
            <w:r>
              <w:rPr>
                <w:color w:val="000000"/>
                <w:sz w:val="24"/>
                <w:vertAlign w:val="superscript"/>
              </w:rPr>
              <w:t>3</w:t>
            </w:r>
            <w:r>
              <w:rPr>
                <w:color w:val="000000"/>
                <w:sz w:val="24"/>
              </w:rPr>
              <w:t>/a×</w:t>
            </w:r>
            <w:r>
              <w:rPr>
                <w:rFonts w:hint="eastAsia"/>
                <w:color w:val="000000"/>
                <w:sz w:val="24"/>
                <w:lang w:val="en-US" w:eastAsia="zh-CN"/>
              </w:rPr>
              <w:t>5</w:t>
            </w:r>
            <w:r>
              <w:rPr>
                <w:color w:val="000000"/>
                <w:sz w:val="24"/>
              </w:rPr>
              <w:t>0mg/L÷10</w:t>
            </w:r>
            <w:r>
              <w:rPr>
                <w:color w:val="000000"/>
                <w:sz w:val="24"/>
                <w:vertAlign w:val="superscript"/>
              </w:rPr>
              <w:t>6</w:t>
            </w:r>
            <w:r>
              <w:rPr>
                <w:color w:val="000000"/>
                <w:sz w:val="24"/>
              </w:rPr>
              <w:t>=</w:t>
            </w:r>
            <w:r>
              <w:rPr>
                <w:rFonts w:hint="eastAsia"/>
                <w:color w:val="000000"/>
                <w:sz w:val="24"/>
                <w:lang w:val="en-US" w:eastAsia="zh-CN"/>
              </w:rPr>
              <w:t>0.018</w:t>
            </w:r>
            <w:r>
              <w:rPr>
                <w:color w:val="000000"/>
                <w:sz w:val="24"/>
              </w:rPr>
              <w:t>t/a</w:t>
            </w:r>
          </w:p>
          <w:p w14:paraId="21D8AF3A">
            <w:pPr>
              <w:spacing w:line="360" w:lineRule="auto"/>
              <w:ind w:firstLine="480" w:firstLineChars="200"/>
              <w:rPr>
                <w:color w:val="000000"/>
                <w:sz w:val="24"/>
              </w:rPr>
            </w:pPr>
            <w:r>
              <w:rPr>
                <w:color w:val="000000"/>
                <w:sz w:val="24"/>
              </w:rPr>
              <w:t>NH</w:t>
            </w:r>
            <w:r>
              <w:rPr>
                <w:color w:val="000000"/>
                <w:sz w:val="24"/>
                <w:vertAlign w:val="subscript"/>
              </w:rPr>
              <w:t>3</w:t>
            </w:r>
            <w:r>
              <w:rPr>
                <w:color w:val="000000"/>
                <w:sz w:val="24"/>
              </w:rPr>
              <w:t>-N</w:t>
            </w:r>
            <w:r>
              <w:rPr>
                <w:rFonts w:hint="eastAsia"/>
                <w:color w:val="000000"/>
                <w:sz w:val="24"/>
                <w:lang w:eastAsia="zh-CN"/>
              </w:rPr>
              <w:t>:</w:t>
            </w:r>
            <w:r>
              <w:rPr>
                <w:rFonts w:hint="eastAsia" w:ascii="Times New Roman" w:hAnsi="Times New Roman" w:eastAsia="宋体" w:cs="Times New Roman"/>
                <w:color w:val="000000"/>
                <w:sz w:val="24"/>
                <w:szCs w:val="24"/>
                <w:lang w:val="en-US" w:eastAsia="zh-CN"/>
              </w:rPr>
              <w:t>359.04</w:t>
            </w:r>
            <w:r>
              <w:rPr>
                <w:color w:val="000000"/>
                <w:sz w:val="24"/>
              </w:rPr>
              <w:t>m</w:t>
            </w:r>
            <w:r>
              <w:rPr>
                <w:color w:val="000000"/>
                <w:sz w:val="24"/>
                <w:vertAlign w:val="superscript"/>
              </w:rPr>
              <w:t>3</w:t>
            </w:r>
            <w:r>
              <w:rPr>
                <w:color w:val="000000"/>
                <w:sz w:val="24"/>
              </w:rPr>
              <w:t>/a</w:t>
            </w:r>
            <w:r>
              <w:rPr>
                <w:bCs/>
                <w:color w:val="000000"/>
                <w:sz w:val="24"/>
              </w:rPr>
              <w:t>×</w:t>
            </w:r>
            <w:r>
              <w:rPr>
                <w:rFonts w:hint="eastAsia"/>
                <w:color w:val="000000"/>
                <w:sz w:val="24"/>
                <w:lang w:val="en-US" w:eastAsia="zh-CN"/>
              </w:rPr>
              <w:t>5</w:t>
            </w:r>
            <w:r>
              <w:rPr>
                <w:color w:val="000000"/>
                <w:sz w:val="24"/>
              </w:rPr>
              <w:t>mg/L÷10</w:t>
            </w:r>
            <w:r>
              <w:rPr>
                <w:color w:val="000000"/>
                <w:sz w:val="24"/>
                <w:vertAlign w:val="superscript"/>
              </w:rPr>
              <w:t>6</w:t>
            </w:r>
            <w:r>
              <w:rPr>
                <w:color w:val="000000"/>
                <w:sz w:val="24"/>
              </w:rPr>
              <w:t>=0</w:t>
            </w:r>
            <w:r>
              <w:rPr>
                <w:rFonts w:hint="eastAsia"/>
                <w:color w:val="000000"/>
                <w:sz w:val="24"/>
                <w:lang w:val="en-US" w:eastAsia="zh-CN"/>
              </w:rPr>
              <w:t>.0018</w:t>
            </w:r>
            <w:r>
              <w:rPr>
                <w:color w:val="000000"/>
                <w:sz w:val="24"/>
              </w:rPr>
              <w:t>t/a</w:t>
            </w:r>
          </w:p>
          <w:p w14:paraId="0C3C490C">
            <w:pPr>
              <w:spacing w:line="360" w:lineRule="auto"/>
              <w:ind w:firstLine="480" w:firstLineChars="200"/>
              <w:rPr>
                <w:rFonts w:hint="default" w:ascii="Times New Roman" w:hAnsi="Times New Roman" w:eastAsia="宋体" w:cs="Times New Roman"/>
                <w:color w:val="000000"/>
                <w:sz w:val="24"/>
                <w:szCs w:val="24"/>
              </w:rPr>
            </w:pPr>
            <w:r>
              <w:rPr>
                <w:color w:val="000000"/>
                <w:sz w:val="24"/>
              </w:rPr>
              <w:t>总磷：</w:t>
            </w:r>
            <w:r>
              <w:rPr>
                <w:rFonts w:hint="eastAsia" w:ascii="Times New Roman" w:hAnsi="Times New Roman" w:eastAsia="宋体" w:cs="Times New Roman"/>
                <w:color w:val="000000"/>
                <w:sz w:val="24"/>
                <w:szCs w:val="24"/>
                <w:lang w:val="en-US" w:eastAsia="zh-CN"/>
              </w:rPr>
              <w:t>359.04</w:t>
            </w:r>
            <w:r>
              <w:rPr>
                <w:color w:val="000000"/>
                <w:sz w:val="24"/>
              </w:rPr>
              <w:t>m</w:t>
            </w:r>
            <w:r>
              <w:rPr>
                <w:color w:val="000000"/>
                <w:sz w:val="24"/>
                <w:vertAlign w:val="superscript"/>
              </w:rPr>
              <w:t>3</w:t>
            </w:r>
            <w:r>
              <w:rPr>
                <w:color w:val="000000"/>
                <w:sz w:val="24"/>
              </w:rPr>
              <w:t>/a×0.</w:t>
            </w:r>
            <w:r>
              <w:rPr>
                <w:rFonts w:hint="eastAsia"/>
                <w:color w:val="000000"/>
                <w:sz w:val="24"/>
                <w:lang w:val="en-US" w:eastAsia="zh-CN"/>
              </w:rPr>
              <w:t>5</w:t>
            </w:r>
            <w:r>
              <w:rPr>
                <w:color w:val="000000"/>
                <w:sz w:val="24"/>
              </w:rPr>
              <w:t>mg/L÷10</w:t>
            </w:r>
            <w:r>
              <w:rPr>
                <w:color w:val="000000"/>
                <w:sz w:val="24"/>
                <w:vertAlign w:val="superscript"/>
              </w:rPr>
              <w:t>6</w:t>
            </w:r>
            <w:r>
              <w:rPr>
                <w:color w:val="000000"/>
                <w:sz w:val="24"/>
              </w:rPr>
              <w:t>=</w:t>
            </w:r>
            <w:r>
              <w:rPr>
                <w:rFonts w:hint="eastAsia"/>
                <w:color w:val="000000"/>
                <w:sz w:val="24"/>
                <w:lang w:val="en-US" w:eastAsia="zh-CN"/>
              </w:rPr>
              <w:t>0.0002</w:t>
            </w:r>
            <w:r>
              <w:rPr>
                <w:color w:val="000000"/>
                <w:sz w:val="24"/>
              </w:rPr>
              <w:t>t/a</w:t>
            </w:r>
          </w:p>
          <w:p w14:paraId="13184E25">
            <w:pPr>
              <w:pStyle w:val="63"/>
              <w:keepNext w:val="0"/>
              <w:keepLines w:val="0"/>
              <w:pageBreakBefore w:val="0"/>
              <w:widowControl w:val="0"/>
              <w:shd w:val="clear" w:color="auto" w:fill="auto"/>
              <w:kinsoku/>
              <w:wordWrap/>
              <w:overflowPunct/>
              <w:topLinePunct w:val="0"/>
              <w:bidi w:val="0"/>
              <w:snapToGrid/>
              <w:spacing w:line="360" w:lineRule="auto"/>
              <w:ind w:firstLine="482" w:firstLineChars="200"/>
              <w:jc w:val="both"/>
              <w:textAlignment w:val="auto"/>
              <w:rPr>
                <w:rFonts w:hint="default" w:ascii="Times New Roman" w:hAnsi="Times New Roman" w:eastAsia="宋体" w:cs="Times New Roman"/>
                <w:color w:val="000000"/>
                <w:sz w:val="24"/>
                <w:szCs w:val="24"/>
                <w:vertAlign w:val="baseline"/>
                <w:lang w:val="en-US" w:eastAsia="zh-CN"/>
              </w:rPr>
            </w:pPr>
            <w:r>
              <w:rPr>
                <w:rFonts w:hint="eastAsia" w:ascii="Times New Roman" w:hAnsi="Times New Roman" w:eastAsia="宋体" w:cs="Times New Roman"/>
                <w:b/>
                <w:bCs/>
                <w:color w:val="000000"/>
                <w:sz w:val="24"/>
                <w:szCs w:val="24"/>
                <w:lang w:val="en-US" w:eastAsia="zh-CN"/>
              </w:rPr>
              <w:t>3.</w:t>
            </w:r>
            <w:r>
              <w:rPr>
                <w:rFonts w:hint="default" w:ascii="Times New Roman" w:hAnsi="Times New Roman" w:eastAsia="宋体" w:cs="Times New Roman"/>
                <w:b/>
                <w:bCs/>
                <w:color w:val="000000"/>
                <w:sz w:val="24"/>
                <w:szCs w:val="24"/>
              </w:rPr>
              <w:t>废气污染物总量控制指标</w:t>
            </w:r>
          </w:p>
          <w:p w14:paraId="53A82FE9">
            <w:pPr>
              <w:pStyle w:val="10"/>
              <w:keepNext w:val="0"/>
              <w:keepLines w:val="0"/>
              <w:pageBreakBefore w:val="0"/>
              <w:kinsoku/>
              <w:wordWrap/>
              <w:overflowPunct/>
              <w:topLinePunct w:val="0"/>
              <w:bidi w:val="0"/>
              <w:spacing w:before="0" w:after="0" w:line="360" w:lineRule="auto"/>
              <w:ind w:right="0"/>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 xml:space="preserve">   根据工程分析，本项目污染物排放量为：</w:t>
            </w:r>
          </w:p>
          <w:p w14:paraId="56DB5282">
            <w:pPr>
              <w:pStyle w:val="10"/>
              <w:keepNext w:val="0"/>
              <w:keepLines w:val="0"/>
              <w:pageBreakBefore w:val="0"/>
              <w:kinsoku/>
              <w:wordWrap/>
              <w:overflowPunct/>
              <w:topLinePunct w:val="0"/>
              <w:bidi w:val="0"/>
              <w:spacing w:before="0" w:after="0" w:line="360" w:lineRule="auto"/>
              <w:ind w:right="0" w:firstLine="480" w:firstLineChars="200"/>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颗粒物：1.134t/a</w:t>
            </w:r>
          </w:p>
          <w:p w14:paraId="006515B1">
            <w:pPr>
              <w:pStyle w:val="10"/>
              <w:keepNext w:val="0"/>
              <w:keepLines w:val="0"/>
              <w:pageBreakBefore w:val="0"/>
              <w:kinsoku/>
              <w:wordWrap/>
              <w:overflowPunct/>
              <w:topLinePunct w:val="0"/>
              <w:bidi w:val="0"/>
              <w:spacing w:before="0" w:after="0" w:line="360" w:lineRule="auto"/>
              <w:ind w:right="0" w:firstLine="480" w:firstLineChars="200"/>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highlight w:val="none"/>
                <w:lang w:eastAsia="zh-CN"/>
              </w:rPr>
              <w:t>SO</w:t>
            </w:r>
            <w:r>
              <w:rPr>
                <w:rFonts w:hint="default" w:ascii="Times New Roman" w:hAnsi="Times New Roman" w:eastAsia="宋体" w:cs="Times New Roman"/>
                <w:color w:val="000000"/>
                <w:sz w:val="24"/>
                <w:szCs w:val="24"/>
                <w:highlight w:val="none"/>
                <w:vertAlign w:val="subscript"/>
                <w:lang w:eastAsia="zh-CN"/>
              </w:rPr>
              <w:t>2</w:t>
            </w:r>
            <w:r>
              <w:rPr>
                <w:rFonts w:hint="eastAsia" w:ascii="Times New Roman" w:hAnsi="Times New Roman" w:eastAsia="宋体" w:cs="Times New Roman"/>
                <w:color w:val="000000"/>
                <w:sz w:val="24"/>
                <w:szCs w:val="24"/>
                <w:highlight w:val="none"/>
                <w:vertAlign w:val="baseline"/>
                <w:lang w:eastAsia="zh-CN"/>
              </w:rPr>
              <w:t>：</w:t>
            </w:r>
            <w:r>
              <w:rPr>
                <w:rFonts w:hint="eastAsia" w:cs="Times New Roman"/>
                <w:snapToGrid/>
                <w:color w:val="000000"/>
                <w:sz w:val="24"/>
                <w:szCs w:val="24"/>
                <w:lang w:val="en-US" w:eastAsia="zh-CN"/>
              </w:rPr>
              <w:t>0.72</w:t>
            </w:r>
            <w:r>
              <w:rPr>
                <w:rFonts w:hint="default" w:ascii="Times New Roman" w:hAnsi="Times New Roman" w:cs="Times New Roman"/>
                <w:snapToGrid w:val="0"/>
                <w:color w:val="000000"/>
                <w:sz w:val="24"/>
                <w:szCs w:val="24"/>
                <w:lang w:val="en-US" w:eastAsia="zh-CN"/>
              </w:rPr>
              <w:t>t/a</w:t>
            </w:r>
          </w:p>
          <w:p w14:paraId="7251C5B9">
            <w:pPr>
              <w:pStyle w:val="10"/>
              <w:keepNext w:val="0"/>
              <w:keepLines w:val="0"/>
              <w:pageBreakBefore w:val="0"/>
              <w:kinsoku/>
              <w:wordWrap/>
              <w:overflowPunct/>
              <w:topLinePunct w:val="0"/>
              <w:bidi w:val="0"/>
              <w:spacing w:before="0" w:after="0" w:line="360" w:lineRule="auto"/>
              <w:ind w:right="0" w:firstLine="480" w:firstLineChars="200"/>
              <w:textAlignment w:val="auto"/>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eastAsia="zh-CN"/>
              </w:rPr>
              <w:t>NOx</w:t>
            </w:r>
            <w:r>
              <w:rPr>
                <w:rFonts w:hint="eastAsia" w:ascii="Times New Roman" w:hAnsi="Times New Roman" w:eastAsia="宋体" w:cs="Times New Roman"/>
                <w:color w:val="000000"/>
                <w:sz w:val="24"/>
                <w:szCs w:val="24"/>
                <w:highlight w:val="none"/>
                <w:lang w:eastAsia="zh-CN"/>
              </w:rPr>
              <w:t>：</w:t>
            </w:r>
            <w:r>
              <w:rPr>
                <w:rFonts w:hint="eastAsia" w:eastAsia="宋体"/>
                <w:snapToGrid w:val="0"/>
                <w:color w:val="000000"/>
                <w:sz w:val="24"/>
                <w:szCs w:val="24"/>
                <w:lang w:val="en-US" w:eastAsia="zh-CN"/>
              </w:rPr>
              <w:t>7.0</w:t>
            </w:r>
            <w:r>
              <w:rPr>
                <w:rFonts w:hint="default" w:ascii="Times New Roman" w:hAnsi="Times New Roman" w:cs="Times New Roman"/>
                <w:snapToGrid w:val="0"/>
                <w:color w:val="000000"/>
                <w:sz w:val="24"/>
                <w:szCs w:val="24"/>
                <w:lang w:val="en-US" w:eastAsia="zh-CN"/>
              </w:rPr>
              <w:t>t/a</w:t>
            </w:r>
          </w:p>
          <w:p w14:paraId="777A9CE8">
            <w:pPr>
              <w:pStyle w:val="10"/>
              <w:keepNext w:val="0"/>
              <w:keepLines w:val="0"/>
              <w:pageBreakBefore w:val="0"/>
              <w:kinsoku/>
              <w:wordWrap/>
              <w:overflowPunct/>
              <w:topLinePunct w:val="0"/>
              <w:bidi w:val="0"/>
              <w:spacing w:before="0" w:after="0" w:line="360" w:lineRule="auto"/>
              <w:ind w:right="0" w:firstLine="480" w:firstLineChars="200"/>
              <w:textAlignment w:val="auto"/>
              <w:rPr>
                <w:rFonts w:hint="eastAsia"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VOCs：</w:t>
            </w:r>
            <w:r>
              <w:rPr>
                <w:rFonts w:hint="default" w:cs="Times New Roman"/>
                <w:snapToGrid/>
                <w:color w:val="000000"/>
                <w:sz w:val="24"/>
                <w:szCs w:val="24"/>
                <w:lang w:val="en-US" w:eastAsia="zh-CN"/>
              </w:rPr>
              <w:t>0.72</w:t>
            </w:r>
            <w:r>
              <w:rPr>
                <w:rFonts w:hint="default" w:ascii="Times New Roman" w:hAnsi="Times New Roman" w:cs="Times New Roman"/>
                <w:snapToGrid w:val="0"/>
                <w:color w:val="000000"/>
                <w:sz w:val="24"/>
                <w:szCs w:val="24"/>
                <w:lang w:val="en-US" w:eastAsia="zh-CN"/>
              </w:rPr>
              <w:t>t/a</w:t>
            </w:r>
          </w:p>
          <w:p w14:paraId="00FB3B00">
            <w:pPr>
              <w:keepNext w:val="0"/>
              <w:keepLines w:val="0"/>
              <w:pageBreakBefore w:val="0"/>
              <w:widowControl w:val="0"/>
              <w:numPr>
                <w:ilvl w:val="0"/>
                <w:numId w:val="23"/>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 xml:space="preserve"> 建设项目污染物排放量汇总表</w:t>
            </w:r>
          </w:p>
          <w:tbl>
            <w:tblPr>
              <w:tblStyle w:val="31"/>
              <w:tblW w:w="86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1117"/>
              <w:gridCol w:w="1333"/>
              <w:gridCol w:w="1183"/>
              <w:gridCol w:w="1300"/>
              <w:gridCol w:w="1211"/>
              <w:gridCol w:w="1211"/>
            </w:tblGrid>
            <w:tr w14:paraId="5F9254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258" w:type="dxa"/>
                  <w:noWrap w:val="0"/>
                  <w:tcMar>
                    <w:left w:w="28" w:type="dxa"/>
                    <w:right w:w="28" w:type="dxa"/>
                  </w:tcMar>
                  <w:vAlign w:val="center"/>
                </w:tcPr>
                <w:p w14:paraId="6F17FDCF">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snapToGrid w:val="0"/>
                      <w:color w:val="000000"/>
                      <w:spacing w:val="-6"/>
                      <w:kern w:val="21"/>
                      <w:sz w:val="21"/>
                      <w:szCs w:val="21"/>
                      <w:lang w:eastAsia="zh-CN"/>
                    </w:rPr>
                  </w:pPr>
                  <w:r>
                    <w:rPr>
                      <w:rFonts w:hint="eastAsia" w:ascii="Times New Roman" w:hAnsi="Times New Roman" w:eastAsia="宋体" w:cs="Times New Roman"/>
                      <w:snapToGrid w:val="0"/>
                      <w:color w:val="000000"/>
                      <w:spacing w:val="-6"/>
                      <w:kern w:val="21"/>
                      <w:sz w:val="21"/>
                      <w:szCs w:val="21"/>
                      <w:lang w:val="en-US" w:eastAsia="zh-CN"/>
                    </w:rPr>
                    <w:t>类别</w:t>
                  </w:r>
                </w:p>
              </w:tc>
              <w:tc>
                <w:tcPr>
                  <w:tcW w:w="1117" w:type="dxa"/>
                  <w:noWrap w:val="0"/>
                  <w:tcMar>
                    <w:left w:w="28" w:type="dxa"/>
                    <w:right w:w="28" w:type="dxa"/>
                  </w:tcMar>
                  <w:vAlign w:val="center"/>
                </w:tcPr>
                <w:p w14:paraId="7FB36476">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spacing w:val="-6"/>
                      <w:kern w:val="21"/>
                      <w:sz w:val="21"/>
                      <w:szCs w:val="21"/>
                    </w:rPr>
                  </w:pPr>
                  <w:r>
                    <w:rPr>
                      <w:rFonts w:hint="default" w:ascii="Times New Roman" w:hAnsi="Times New Roman" w:eastAsia="宋体" w:cs="Times New Roman"/>
                      <w:snapToGrid w:val="0"/>
                      <w:color w:val="000000"/>
                      <w:spacing w:val="-6"/>
                      <w:kern w:val="21"/>
                      <w:sz w:val="21"/>
                      <w:szCs w:val="21"/>
                    </w:rPr>
                    <w:t>污染物名称</w:t>
                  </w:r>
                </w:p>
              </w:tc>
              <w:tc>
                <w:tcPr>
                  <w:tcW w:w="1333" w:type="dxa"/>
                  <w:noWrap w:val="0"/>
                  <w:tcMar>
                    <w:left w:w="28" w:type="dxa"/>
                    <w:right w:w="28" w:type="dxa"/>
                  </w:tcMar>
                  <w:vAlign w:val="center"/>
                </w:tcPr>
                <w:p w14:paraId="277FB4B6">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spacing w:val="-6"/>
                      <w:kern w:val="21"/>
                      <w:sz w:val="21"/>
                      <w:szCs w:val="21"/>
                    </w:rPr>
                  </w:pPr>
                  <w:r>
                    <w:rPr>
                      <w:rFonts w:hint="default" w:ascii="Times New Roman" w:hAnsi="Times New Roman" w:eastAsia="宋体" w:cs="Times New Roman"/>
                      <w:snapToGrid w:val="0"/>
                      <w:color w:val="000000"/>
                      <w:spacing w:val="-6"/>
                      <w:kern w:val="21"/>
                      <w:sz w:val="21"/>
                      <w:szCs w:val="21"/>
                    </w:rPr>
                    <w:t>现有工程</w:t>
                  </w:r>
                  <w:r>
                    <w:rPr>
                      <w:rFonts w:hint="eastAsia" w:ascii="Times New Roman" w:hAnsi="Times New Roman" w:eastAsia="宋体" w:cs="Times New Roman"/>
                      <w:snapToGrid w:val="0"/>
                      <w:color w:val="000000"/>
                      <w:spacing w:val="-6"/>
                      <w:kern w:val="21"/>
                      <w:sz w:val="21"/>
                      <w:szCs w:val="21"/>
                      <w:lang w:val="en-US" w:eastAsia="zh-CN"/>
                    </w:rPr>
                    <w:t>批复</w:t>
                  </w:r>
                  <w:r>
                    <w:rPr>
                      <w:rFonts w:hint="default" w:ascii="Times New Roman" w:hAnsi="Times New Roman" w:eastAsia="宋体" w:cs="Times New Roman"/>
                      <w:snapToGrid w:val="0"/>
                      <w:color w:val="000000"/>
                      <w:spacing w:val="-6"/>
                      <w:kern w:val="21"/>
                      <w:sz w:val="21"/>
                      <w:szCs w:val="21"/>
                    </w:rPr>
                    <w:t>排放量</w:t>
                  </w:r>
                  <w:r>
                    <w:rPr>
                      <w:rFonts w:hint="default" w:ascii="Times New Roman" w:hAnsi="Times New Roman" w:eastAsia="宋体" w:cs="Times New Roman"/>
                      <w:snapToGrid w:val="0"/>
                      <w:color w:val="000000"/>
                      <w:spacing w:val="-16"/>
                      <w:kern w:val="21"/>
                      <w:sz w:val="21"/>
                      <w:szCs w:val="21"/>
                      <w:lang w:val="en-US" w:eastAsia="zh-CN"/>
                    </w:rPr>
                    <w:t>（</w:t>
                  </w:r>
                  <w:r>
                    <w:rPr>
                      <w:rFonts w:hint="default" w:ascii="Times New Roman" w:hAnsi="Times New Roman" w:eastAsia="宋体" w:cs="Times New Roman"/>
                      <w:snapToGrid w:val="0"/>
                      <w:color w:val="000000"/>
                      <w:sz w:val="21"/>
                      <w:szCs w:val="21"/>
                      <w:lang w:val="en-US" w:eastAsia="zh-CN"/>
                    </w:rPr>
                    <w:t>t/a</w:t>
                  </w:r>
                  <w:r>
                    <w:rPr>
                      <w:rFonts w:hint="default" w:ascii="Times New Roman" w:hAnsi="Times New Roman" w:eastAsia="宋体" w:cs="Times New Roman"/>
                      <w:snapToGrid w:val="0"/>
                      <w:color w:val="000000"/>
                      <w:spacing w:val="-16"/>
                      <w:kern w:val="21"/>
                      <w:sz w:val="21"/>
                      <w:szCs w:val="21"/>
                      <w:lang w:val="en-US" w:eastAsia="zh-CN"/>
                    </w:rPr>
                    <w:t>）</w:t>
                  </w:r>
                </w:p>
              </w:tc>
              <w:tc>
                <w:tcPr>
                  <w:tcW w:w="1183" w:type="dxa"/>
                  <w:noWrap w:val="0"/>
                  <w:tcMar>
                    <w:left w:w="28" w:type="dxa"/>
                    <w:right w:w="28" w:type="dxa"/>
                  </w:tcMar>
                  <w:vAlign w:val="center"/>
                </w:tcPr>
                <w:p w14:paraId="3C658AC5">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spacing w:val="-16"/>
                      <w:kern w:val="21"/>
                      <w:sz w:val="21"/>
                      <w:szCs w:val="21"/>
                    </w:rPr>
                  </w:pPr>
                  <w:r>
                    <w:rPr>
                      <w:rFonts w:hint="default" w:ascii="Times New Roman" w:hAnsi="Times New Roman" w:eastAsia="宋体" w:cs="Times New Roman"/>
                      <w:snapToGrid w:val="0"/>
                      <w:color w:val="000000"/>
                      <w:spacing w:val="-6"/>
                      <w:kern w:val="21"/>
                      <w:sz w:val="21"/>
                      <w:szCs w:val="21"/>
                    </w:rPr>
                    <w:t>本项目排放量</w:t>
                  </w:r>
                  <w:r>
                    <w:rPr>
                      <w:rFonts w:hint="default" w:ascii="Times New Roman" w:hAnsi="Times New Roman" w:eastAsia="宋体" w:cs="Times New Roman"/>
                      <w:snapToGrid w:val="0"/>
                      <w:color w:val="000000"/>
                      <w:spacing w:val="-16"/>
                      <w:kern w:val="21"/>
                      <w:sz w:val="21"/>
                      <w:szCs w:val="21"/>
                      <w:lang w:val="en-US" w:eastAsia="zh-CN"/>
                    </w:rPr>
                    <w:t>（</w:t>
                  </w:r>
                  <w:r>
                    <w:rPr>
                      <w:rFonts w:hint="default" w:ascii="Times New Roman" w:hAnsi="Times New Roman" w:eastAsia="宋体" w:cs="Times New Roman"/>
                      <w:snapToGrid w:val="0"/>
                      <w:color w:val="000000"/>
                      <w:sz w:val="21"/>
                      <w:szCs w:val="21"/>
                      <w:lang w:val="en-US" w:eastAsia="zh-CN"/>
                    </w:rPr>
                    <w:t>t/a</w:t>
                  </w:r>
                  <w:r>
                    <w:rPr>
                      <w:rFonts w:hint="default" w:ascii="Times New Roman" w:hAnsi="Times New Roman" w:eastAsia="宋体" w:cs="Times New Roman"/>
                      <w:snapToGrid w:val="0"/>
                      <w:color w:val="000000"/>
                      <w:spacing w:val="-16"/>
                      <w:kern w:val="21"/>
                      <w:sz w:val="21"/>
                      <w:szCs w:val="21"/>
                      <w:lang w:val="en-US" w:eastAsia="zh-CN"/>
                    </w:rPr>
                    <w:t>）</w:t>
                  </w:r>
                </w:p>
              </w:tc>
              <w:tc>
                <w:tcPr>
                  <w:tcW w:w="1300" w:type="dxa"/>
                  <w:noWrap w:val="0"/>
                  <w:tcMar>
                    <w:left w:w="28" w:type="dxa"/>
                    <w:right w:w="28" w:type="dxa"/>
                  </w:tcMar>
                  <w:vAlign w:val="center"/>
                </w:tcPr>
                <w:p w14:paraId="7FD5C5DD">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spacing w:val="-16"/>
                      <w:kern w:val="21"/>
                      <w:sz w:val="21"/>
                      <w:szCs w:val="21"/>
                    </w:rPr>
                  </w:pPr>
                  <w:r>
                    <w:rPr>
                      <w:rFonts w:hint="default" w:ascii="Times New Roman" w:hAnsi="Times New Roman" w:eastAsia="宋体" w:cs="Times New Roman"/>
                      <w:snapToGrid w:val="0"/>
                      <w:color w:val="000000"/>
                      <w:spacing w:val="-16"/>
                      <w:kern w:val="21"/>
                      <w:sz w:val="21"/>
                      <w:szCs w:val="21"/>
                    </w:rPr>
                    <w:t>以新带老削减量</w:t>
                  </w:r>
                  <w:r>
                    <w:rPr>
                      <w:rFonts w:hint="default" w:ascii="Times New Roman" w:hAnsi="Times New Roman" w:eastAsia="宋体" w:cs="Times New Roman"/>
                      <w:snapToGrid w:val="0"/>
                      <w:color w:val="000000"/>
                      <w:spacing w:val="-16"/>
                      <w:kern w:val="21"/>
                      <w:sz w:val="21"/>
                      <w:szCs w:val="21"/>
                      <w:lang w:val="en-US" w:eastAsia="zh-CN"/>
                    </w:rPr>
                    <w:t>（</w:t>
                  </w:r>
                  <w:r>
                    <w:rPr>
                      <w:rFonts w:hint="default" w:ascii="Times New Roman" w:hAnsi="Times New Roman" w:eastAsia="宋体" w:cs="Times New Roman"/>
                      <w:snapToGrid w:val="0"/>
                      <w:color w:val="000000"/>
                      <w:sz w:val="21"/>
                      <w:szCs w:val="21"/>
                      <w:lang w:val="en-US" w:eastAsia="zh-CN"/>
                    </w:rPr>
                    <w:t>t/a</w:t>
                  </w:r>
                  <w:r>
                    <w:rPr>
                      <w:rFonts w:hint="default" w:ascii="Times New Roman" w:hAnsi="Times New Roman" w:eastAsia="宋体" w:cs="Times New Roman"/>
                      <w:snapToGrid w:val="0"/>
                      <w:color w:val="000000"/>
                      <w:spacing w:val="-16"/>
                      <w:kern w:val="21"/>
                      <w:sz w:val="21"/>
                      <w:szCs w:val="21"/>
                      <w:lang w:val="en-US" w:eastAsia="zh-CN"/>
                    </w:rPr>
                    <w:t>）</w:t>
                  </w:r>
                </w:p>
              </w:tc>
              <w:tc>
                <w:tcPr>
                  <w:tcW w:w="1211" w:type="dxa"/>
                  <w:noWrap w:val="0"/>
                  <w:tcMar>
                    <w:left w:w="28" w:type="dxa"/>
                    <w:right w:w="28" w:type="dxa"/>
                  </w:tcMar>
                  <w:vAlign w:val="center"/>
                </w:tcPr>
                <w:p w14:paraId="1B6879CB">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spacing w:val="-16"/>
                      <w:kern w:val="21"/>
                      <w:sz w:val="21"/>
                      <w:szCs w:val="21"/>
                      <w:lang w:val="en-US" w:eastAsia="zh-CN"/>
                    </w:rPr>
                  </w:pPr>
                  <w:r>
                    <w:rPr>
                      <w:rFonts w:hint="default" w:ascii="Times New Roman" w:hAnsi="Times New Roman" w:eastAsia="宋体" w:cs="Times New Roman"/>
                      <w:snapToGrid w:val="0"/>
                      <w:color w:val="000000"/>
                      <w:spacing w:val="-16"/>
                      <w:kern w:val="21"/>
                      <w:sz w:val="21"/>
                      <w:szCs w:val="21"/>
                    </w:rPr>
                    <w:t>本项目建成后全厂排放量</w:t>
                  </w:r>
                  <w:r>
                    <w:rPr>
                      <w:rFonts w:hint="default" w:ascii="Times New Roman" w:hAnsi="Times New Roman" w:eastAsia="宋体" w:cs="Times New Roman"/>
                      <w:snapToGrid w:val="0"/>
                      <w:color w:val="000000"/>
                      <w:spacing w:val="-16"/>
                      <w:kern w:val="21"/>
                      <w:sz w:val="21"/>
                      <w:szCs w:val="21"/>
                      <w:lang w:val="en-US" w:eastAsia="zh-CN"/>
                    </w:rPr>
                    <w:t>（</w:t>
                  </w:r>
                  <w:r>
                    <w:rPr>
                      <w:rFonts w:hint="default" w:ascii="Times New Roman" w:hAnsi="Times New Roman" w:eastAsia="宋体" w:cs="Times New Roman"/>
                      <w:snapToGrid w:val="0"/>
                      <w:color w:val="000000"/>
                      <w:sz w:val="21"/>
                      <w:szCs w:val="21"/>
                      <w:lang w:val="en-US" w:eastAsia="zh-CN"/>
                    </w:rPr>
                    <w:t>t/a</w:t>
                  </w:r>
                  <w:r>
                    <w:rPr>
                      <w:rFonts w:hint="default" w:ascii="Times New Roman" w:hAnsi="Times New Roman" w:eastAsia="宋体" w:cs="Times New Roman"/>
                      <w:snapToGrid w:val="0"/>
                      <w:color w:val="000000"/>
                      <w:spacing w:val="-16"/>
                      <w:kern w:val="21"/>
                      <w:sz w:val="21"/>
                      <w:szCs w:val="21"/>
                      <w:lang w:val="en-US" w:eastAsia="zh-CN"/>
                    </w:rPr>
                    <w:t>）</w:t>
                  </w:r>
                </w:p>
              </w:tc>
              <w:tc>
                <w:tcPr>
                  <w:tcW w:w="1211" w:type="dxa"/>
                  <w:noWrap w:val="0"/>
                  <w:tcMar>
                    <w:left w:w="28" w:type="dxa"/>
                    <w:right w:w="28" w:type="dxa"/>
                  </w:tcMar>
                  <w:vAlign w:val="center"/>
                </w:tcPr>
                <w:p w14:paraId="363C59AC">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spacing w:val="-16"/>
                      <w:kern w:val="21"/>
                      <w:sz w:val="21"/>
                      <w:szCs w:val="21"/>
                      <w:lang w:val="en-US" w:eastAsia="zh-CN"/>
                    </w:rPr>
                  </w:pPr>
                  <w:r>
                    <w:rPr>
                      <w:rFonts w:hint="default" w:ascii="Times New Roman" w:hAnsi="Times New Roman" w:eastAsia="宋体" w:cs="Times New Roman"/>
                      <w:snapToGrid w:val="0"/>
                      <w:color w:val="000000"/>
                      <w:spacing w:val="-16"/>
                      <w:kern w:val="21"/>
                      <w:sz w:val="21"/>
                      <w:szCs w:val="21"/>
                      <w:lang w:val="en-US" w:eastAsia="zh-CN"/>
                    </w:rPr>
                    <w:t>变化量（</w:t>
                  </w:r>
                  <w:r>
                    <w:rPr>
                      <w:rFonts w:hint="default" w:ascii="Times New Roman" w:hAnsi="Times New Roman" w:eastAsia="宋体" w:cs="Times New Roman"/>
                      <w:snapToGrid w:val="0"/>
                      <w:color w:val="000000"/>
                      <w:sz w:val="21"/>
                      <w:szCs w:val="21"/>
                      <w:lang w:val="en-US" w:eastAsia="zh-CN"/>
                    </w:rPr>
                    <w:t>t/a</w:t>
                  </w:r>
                  <w:r>
                    <w:rPr>
                      <w:rFonts w:hint="default" w:ascii="Times New Roman" w:hAnsi="Times New Roman" w:eastAsia="宋体" w:cs="Times New Roman"/>
                      <w:snapToGrid w:val="0"/>
                      <w:color w:val="000000"/>
                      <w:spacing w:val="-16"/>
                      <w:kern w:val="21"/>
                      <w:sz w:val="21"/>
                      <w:szCs w:val="21"/>
                      <w:lang w:val="en-US" w:eastAsia="zh-CN"/>
                    </w:rPr>
                    <w:t>）</w:t>
                  </w:r>
                </w:p>
              </w:tc>
            </w:tr>
            <w:tr w14:paraId="280845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258" w:type="dxa"/>
                  <w:vMerge w:val="restart"/>
                  <w:noWrap w:val="0"/>
                  <w:vAlign w:val="center"/>
                </w:tcPr>
                <w:p w14:paraId="45139206">
                  <w:pPr>
                    <w:pStyle w:val="94"/>
                    <w:ind w:firstLine="0" w:firstLineChars="0"/>
                    <w:rPr>
                      <w:rFonts w:hint="default" w:ascii="Times New Roman" w:hAnsi="Times New Roman" w:eastAsia="宋体" w:cs="Times New Roman"/>
                      <w:snapToGrid w:val="0"/>
                      <w:color w:val="000000"/>
                      <w:kern w:val="21"/>
                      <w:sz w:val="21"/>
                      <w:szCs w:val="21"/>
                      <w:lang w:val="en-US" w:eastAsia="zh-CN"/>
                    </w:rPr>
                  </w:pPr>
                  <w:r>
                    <w:rPr>
                      <w:rFonts w:hint="eastAsia" w:ascii="Times New Roman" w:hAnsi="Times New Roman" w:eastAsia="宋体" w:cs="Times New Roman"/>
                      <w:snapToGrid w:val="0"/>
                      <w:color w:val="000000"/>
                      <w:kern w:val="21"/>
                      <w:sz w:val="21"/>
                      <w:szCs w:val="21"/>
                      <w:lang w:val="en-US" w:eastAsia="zh-CN"/>
                    </w:rPr>
                    <w:t>废气</w:t>
                  </w:r>
                </w:p>
              </w:tc>
              <w:tc>
                <w:tcPr>
                  <w:tcW w:w="1117" w:type="dxa"/>
                  <w:noWrap w:val="0"/>
                  <w:vAlign w:val="center"/>
                </w:tcPr>
                <w:p w14:paraId="137814E6">
                  <w:pPr>
                    <w:pStyle w:val="94"/>
                    <w:ind w:firstLine="0" w:firstLineChars="0"/>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eastAsia="宋体" w:cs="Times New Roman"/>
                      <w:color w:val="000000"/>
                      <w:sz w:val="21"/>
                      <w:szCs w:val="21"/>
                    </w:rPr>
                    <w:t>SO</w:t>
                  </w:r>
                  <w:r>
                    <w:rPr>
                      <w:rFonts w:hint="default" w:ascii="Times New Roman" w:hAnsi="Times New Roman" w:eastAsia="宋体" w:cs="Times New Roman"/>
                      <w:color w:val="000000"/>
                      <w:sz w:val="21"/>
                      <w:szCs w:val="21"/>
                      <w:vertAlign w:val="subscript"/>
                    </w:rPr>
                    <w:t>2</w:t>
                  </w:r>
                </w:p>
              </w:tc>
              <w:tc>
                <w:tcPr>
                  <w:tcW w:w="1333" w:type="dxa"/>
                  <w:noWrap w:val="0"/>
                  <w:vAlign w:val="center"/>
                </w:tcPr>
                <w:p w14:paraId="10A7AF59">
                  <w:pPr>
                    <w:widowControl/>
                    <w:jc w:val="center"/>
                    <w:textAlignment w:val="center"/>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eastAsia="宋体" w:cs="Times New Roman"/>
                      <w:color w:val="000000"/>
                      <w:kern w:val="0"/>
                      <w:sz w:val="21"/>
                      <w:szCs w:val="21"/>
                      <w:lang w:val="en-US" w:eastAsia="zh-CN" w:bidi="ar"/>
                    </w:rPr>
                    <w:t>2.0244</w:t>
                  </w:r>
                </w:p>
              </w:tc>
              <w:tc>
                <w:tcPr>
                  <w:tcW w:w="1183" w:type="dxa"/>
                  <w:noWrap w:val="0"/>
                  <w:vAlign w:val="center"/>
                </w:tcPr>
                <w:p w14:paraId="03F7121D">
                  <w:pPr>
                    <w:widowControl/>
                    <w:jc w:val="center"/>
                    <w:textAlignment w:val="center"/>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eastAsia="宋体" w:cs="Times New Roman"/>
                      <w:snapToGrid/>
                      <w:color w:val="000000"/>
                      <w:sz w:val="21"/>
                      <w:szCs w:val="21"/>
                      <w:lang w:val="en-US" w:eastAsia="zh-CN"/>
                    </w:rPr>
                    <w:t>0.72</w:t>
                  </w:r>
                </w:p>
              </w:tc>
              <w:tc>
                <w:tcPr>
                  <w:tcW w:w="1300" w:type="dxa"/>
                  <w:noWrap w:val="0"/>
                  <w:vAlign w:val="center"/>
                </w:tcPr>
                <w:p w14:paraId="36B84BA1">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2.0228</w:t>
                  </w:r>
                </w:p>
              </w:tc>
              <w:tc>
                <w:tcPr>
                  <w:tcW w:w="1211" w:type="dxa"/>
                  <w:noWrap w:val="0"/>
                  <w:vAlign w:val="center"/>
                </w:tcPr>
                <w:p w14:paraId="4CB461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0.7216</w:t>
                  </w:r>
                </w:p>
              </w:tc>
              <w:tc>
                <w:tcPr>
                  <w:tcW w:w="1211" w:type="dxa"/>
                  <w:noWrap w:val="0"/>
                  <w:vAlign w:val="center"/>
                </w:tcPr>
                <w:p w14:paraId="024C67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-1.3028</w:t>
                  </w:r>
                </w:p>
              </w:tc>
            </w:tr>
            <w:tr w14:paraId="49DA6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58" w:type="dxa"/>
                  <w:vMerge w:val="continue"/>
                  <w:noWrap w:val="0"/>
                  <w:vAlign w:val="center"/>
                </w:tcPr>
                <w:p w14:paraId="3B12E837">
                  <w:pPr>
                    <w:pStyle w:val="94"/>
                    <w:ind w:firstLine="0" w:firstLineChars="0"/>
                    <w:rPr>
                      <w:rFonts w:hint="default" w:ascii="Times New Roman" w:hAnsi="Times New Roman" w:cs="Times New Roman"/>
                      <w:snapToGrid w:val="0"/>
                      <w:color w:val="000000"/>
                      <w:kern w:val="21"/>
                      <w:sz w:val="21"/>
                      <w:szCs w:val="21"/>
                      <w:lang w:eastAsia="zh-CN"/>
                    </w:rPr>
                  </w:pPr>
                </w:p>
              </w:tc>
              <w:tc>
                <w:tcPr>
                  <w:tcW w:w="1117" w:type="dxa"/>
                  <w:noWrap w:val="0"/>
                  <w:vAlign w:val="center"/>
                </w:tcPr>
                <w:p w14:paraId="019E6602">
                  <w:pPr>
                    <w:pStyle w:val="94"/>
                    <w:ind w:firstLine="0" w:firstLineChars="0"/>
                    <w:rPr>
                      <w:rFonts w:hint="default" w:ascii="Times New Roman" w:hAnsi="Times New Roman" w:cs="Times New Roman"/>
                      <w:snapToGrid w:val="0"/>
                      <w:color w:val="000000"/>
                      <w:kern w:val="21"/>
                      <w:sz w:val="21"/>
                      <w:szCs w:val="21"/>
                      <w:lang w:val="en-US" w:eastAsia="zh-CN"/>
                    </w:rPr>
                  </w:pPr>
                  <w:r>
                    <w:rPr>
                      <w:rFonts w:hint="eastAsia"/>
                      <w:color w:val="000000"/>
                      <w:sz w:val="21"/>
                      <w:szCs w:val="21"/>
                    </w:rPr>
                    <w:t>NOx</w:t>
                  </w:r>
                </w:p>
              </w:tc>
              <w:tc>
                <w:tcPr>
                  <w:tcW w:w="1333" w:type="dxa"/>
                  <w:noWrap w:val="0"/>
                  <w:vAlign w:val="center"/>
                </w:tcPr>
                <w:p w14:paraId="34651D7F">
                  <w:pPr>
                    <w:widowControl/>
                    <w:jc w:val="center"/>
                    <w:textAlignment w:val="center"/>
                    <w:rPr>
                      <w:rFonts w:hint="default" w:ascii="Times New Roman" w:hAnsi="Times New Roman" w:cs="Times New Roman"/>
                      <w:color w:val="000000"/>
                      <w:sz w:val="21"/>
                      <w:szCs w:val="21"/>
                      <w:lang w:val="en-US" w:eastAsia="zh-CN"/>
                    </w:rPr>
                  </w:pPr>
                  <w:r>
                    <w:rPr>
                      <w:rFonts w:hint="eastAsia"/>
                      <w:color w:val="000000"/>
                      <w:kern w:val="0"/>
                      <w:sz w:val="21"/>
                      <w:szCs w:val="21"/>
                      <w:lang w:val="en-US" w:eastAsia="zh-CN" w:bidi="ar"/>
                    </w:rPr>
                    <w:t>1.5697</w:t>
                  </w:r>
                </w:p>
              </w:tc>
              <w:tc>
                <w:tcPr>
                  <w:tcW w:w="1183" w:type="dxa"/>
                  <w:noWrap w:val="0"/>
                  <w:vAlign w:val="center"/>
                </w:tcPr>
                <w:p w14:paraId="19934EF6">
                  <w:pPr>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s="Times New Roman"/>
                      <w:snapToGrid w:val="0"/>
                      <w:color w:val="000000"/>
                      <w:kern w:val="21"/>
                      <w:sz w:val="21"/>
                      <w:szCs w:val="21"/>
                      <w:lang w:val="en-US" w:eastAsia="zh-CN"/>
                    </w:rPr>
                  </w:pPr>
                  <w:r>
                    <w:rPr>
                      <w:rFonts w:hint="eastAsia" w:eastAsia="宋体"/>
                      <w:snapToGrid w:val="0"/>
                      <w:color w:val="000000"/>
                      <w:sz w:val="21"/>
                      <w:szCs w:val="21"/>
                      <w:lang w:val="en-US" w:eastAsia="zh-CN"/>
                    </w:rPr>
                    <w:t>7.0</w:t>
                  </w:r>
                </w:p>
              </w:tc>
              <w:tc>
                <w:tcPr>
                  <w:tcW w:w="1300" w:type="dxa"/>
                  <w:noWrap w:val="0"/>
                  <w:vAlign w:val="center"/>
                </w:tcPr>
                <w:p w14:paraId="08BF36BE">
                  <w:pPr>
                    <w:keepNext w:val="0"/>
                    <w:keepLines w:val="0"/>
                    <w:widowControl/>
                    <w:suppressLineNumbers w:val="0"/>
                    <w:jc w:val="center"/>
                    <w:textAlignment w:val="center"/>
                    <w:rPr>
                      <w:rFonts w:hint="default" w:ascii="Times New Roman" w:hAnsi="Times New Roman" w:cs="Times New Roman"/>
                      <w:color w:val="00000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1.3183</w:t>
                  </w:r>
                </w:p>
              </w:tc>
              <w:tc>
                <w:tcPr>
                  <w:tcW w:w="1211" w:type="dxa"/>
                  <w:noWrap w:val="0"/>
                  <w:vAlign w:val="center"/>
                </w:tcPr>
                <w:p w14:paraId="54AF17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7.2514</w:t>
                  </w:r>
                </w:p>
              </w:tc>
              <w:tc>
                <w:tcPr>
                  <w:tcW w:w="1211" w:type="dxa"/>
                  <w:noWrap w:val="0"/>
                  <w:vAlign w:val="center"/>
                </w:tcPr>
                <w:p w14:paraId="3A819D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5.6817</w:t>
                  </w:r>
                </w:p>
              </w:tc>
            </w:tr>
            <w:tr w14:paraId="69317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58" w:type="dxa"/>
                  <w:vMerge w:val="continue"/>
                  <w:noWrap w:val="0"/>
                  <w:vAlign w:val="center"/>
                </w:tcPr>
                <w:p w14:paraId="05DD6C7B">
                  <w:pPr>
                    <w:pStyle w:val="94"/>
                    <w:ind w:firstLine="0" w:firstLineChars="0"/>
                    <w:rPr>
                      <w:rFonts w:hint="default" w:ascii="Times New Roman" w:hAnsi="Times New Roman" w:cs="Times New Roman"/>
                      <w:snapToGrid w:val="0"/>
                      <w:color w:val="000000"/>
                      <w:kern w:val="21"/>
                      <w:sz w:val="21"/>
                      <w:szCs w:val="21"/>
                      <w:lang w:eastAsia="zh-CN"/>
                    </w:rPr>
                  </w:pPr>
                </w:p>
              </w:tc>
              <w:tc>
                <w:tcPr>
                  <w:tcW w:w="1117" w:type="dxa"/>
                  <w:noWrap w:val="0"/>
                  <w:vAlign w:val="center"/>
                </w:tcPr>
                <w:p w14:paraId="349EECB9">
                  <w:pPr>
                    <w:pStyle w:val="94"/>
                    <w:ind w:firstLine="0" w:firstLineChars="0"/>
                    <w:rPr>
                      <w:rFonts w:hint="default" w:ascii="Times New Roman" w:hAnsi="Times New Roman" w:cs="Times New Roman"/>
                      <w:snapToGrid w:val="0"/>
                      <w:color w:val="000000"/>
                      <w:kern w:val="21"/>
                      <w:sz w:val="21"/>
                      <w:szCs w:val="21"/>
                      <w:lang w:val="en-US" w:eastAsia="zh-CN"/>
                    </w:rPr>
                  </w:pPr>
                  <w:r>
                    <w:rPr>
                      <w:color w:val="000000"/>
                      <w:sz w:val="21"/>
                      <w:szCs w:val="21"/>
                    </w:rPr>
                    <w:t>颗粒物</w:t>
                  </w:r>
                </w:p>
              </w:tc>
              <w:tc>
                <w:tcPr>
                  <w:tcW w:w="1333" w:type="dxa"/>
                  <w:noWrap w:val="0"/>
                  <w:vAlign w:val="center"/>
                </w:tcPr>
                <w:p w14:paraId="306AA1E7">
                  <w:pPr>
                    <w:pStyle w:val="94"/>
                    <w:ind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sz w:val="21"/>
                      <w:szCs w:val="21"/>
                      <w:lang w:val="en-US" w:eastAsia="zh-CN"/>
                    </w:rPr>
                    <w:t>0.6006</w:t>
                  </w:r>
                </w:p>
              </w:tc>
              <w:tc>
                <w:tcPr>
                  <w:tcW w:w="1183" w:type="dxa"/>
                  <w:noWrap w:val="0"/>
                  <w:vAlign w:val="center"/>
                </w:tcPr>
                <w:p w14:paraId="7ABC87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1.491</w:t>
                  </w:r>
                </w:p>
              </w:tc>
              <w:tc>
                <w:tcPr>
                  <w:tcW w:w="1300" w:type="dxa"/>
                  <w:noWrap w:val="0"/>
                  <w:vAlign w:val="center"/>
                </w:tcPr>
                <w:p w14:paraId="3493C1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0.4253</w:t>
                  </w:r>
                </w:p>
              </w:tc>
              <w:tc>
                <w:tcPr>
                  <w:tcW w:w="1211" w:type="dxa"/>
                  <w:noWrap w:val="0"/>
                  <w:vAlign w:val="center"/>
                </w:tcPr>
                <w:p w14:paraId="4DAD6C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1.6663</w:t>
                  </w:r>
                </w:p>
              </w:tc>
              <w:tc>
                <w:tcPr>
                  <w:tcW w:w="1211" w:type="dxa"/>
                  <w:noWrap w:val="0"/>
                  <w:vAlign w:val="center"/>
                </w:tcPr>
                <w:p w14:paraId="7DADDF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1.0657</w:t>
                  </w:r>
                </w:p>
              </w:tc>
            </w:tr>
            <w:tr w14:paraId="50880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58" w:type="dxa"/>
                  <w:vMerge w:val="continue"/>
                  <w:noWrap w:val="0"/>
                  <w:vAlign w:val="center"/>
                </w:tcPr>
                <w:p w14:paraId="626B3D8D">
                  <w:pPr>
                    <w:pStyle w:val="94"/>
                    <w:ind w:firstLine="0" w:firstLineChars="0"/>
                    <w:rPr>
                      <w:rFonts w:hint="default" w:ascii="Times New Roman" w:hAnsi="Times New Roman" w:cs="Times New Roman"/>
                      <w:snapToGrid w:val="0"/>
                      <w:color w:val="000000"/>
                      <w:kern w:val="21"/>
                      <w:sz w:val="21"/>
                      <w:szCs w:val="21"/>
                      <w:lang w:eastAsia="zh-CN"/>
                    </w:rPr>
                  </w:pPr>
                </w:p>
              </w:tc>
              <w:tc>
                <w:tcPr>
                  <w:tcW w:w="1117" w:type="dxa"/>
                  <w:noWrap w:val="0"/>
                  <w:vAlign w:val="center"/>
                </w:tcPr>
                <w:p w14:paraId="0A6C889C">
                  <w:pPr>
                    <w:pStyle w:val="94"/>
                    <w:ind w:firstLine="0" w:firstLineChars="0"/>
                    <w:rPr>
                      <w:rFonts w:hint="default" w:ascii="Times New Roman" w:hAnsi="Times New Roman" w:cs="Times New Roman"/>
                      <w:snapToGrid w:val="0"/>
                      <w:color w:val="000000"/>
                      <w:kern w:val="21"/>
                      <w:sz w:val="21"/>
                      <w:szCs w:val="21"/>
                      <w:lang w:val="en-US" w:eastAsia="zh-CN"/>
                    </w:rPr>
                  </w:pPr>
                  <w:r>
                    <w:rPr>
                      <w:rFonts w:hint="eastAsia"/>
                      <w:color w:val="000000"/>
                      <w:sz w:val="21"/>
                      <w:szCs w:val="21"/>
                    </w:rPr>
                    <w:t>挥发性有机物</w:t>
                  </w:r>
                </w:p>
              </w:tc>
              <w:tc>
                <w:tcPr>
                  <w:tcW w:w="1333" w:type="dxa"/>
                  <w:noWrap w:val="0"/>
                  <w:vAlign w:val="center"/>
                </w:tcPr>
                <w:p w14:paraId="6A40C7A2">
                  <w:pPr>
                    <w:pStyle w:val="94"/>
                    <w:ind w:firstLine="0" w:firstLineChars="0"/>
                    <w:jc w:val="center"/>
                    <w:rPr>
                      <w:rFonts w:hint="default" w:ascii="Times New Roman" w:hAnsi="Times New Roman" w:eastAsia="宋体" w:cs="Times New Roman"/>
                      <w:color w:val="000000"/>
                      <w:sz w:val="21"/>
                      <w:szCs w:val="21"/>
                      <w:lang w:val="en-US" w:eastAsia="zh-CN"/>
                    </w:rPr>
                  </w:pPr>
                  <w:r>
                    <w:rPr>
                      <w:rFonts w:hint="eastAsia"/>
                      <w:color w:val="000000"/>
                      <w:sz w:val="21"/>
                      <w:szCs w:val="21"/>
                      <w:lang w:val="en-US" w:eastAsia="zh-CN"/>
                    </w:rPr>
                    <w:t>1.652</w:t>
                  </w:r>
                  <w:r>
                    <w:rPr>
                      <w:rFonts w:hint="default" w:ascii="Times New Roman" w:hAnsi="Times New Roman" w:cs="Times New Roman"/>
                      <w:snapToGrid w:val="0"/>
                      <w:color w:val="000000"/>
                      <w:sz w:val="21"/>
                      <w:szCs w:val="21"/>
                      <w:lang w:val="en-US" w:eastAsia="zh-CN"/>
                    </w:rPr>
                    <w:t>t/a</w:t>
                  </w:r>
                </w:p>
              </w:tc>
              <w:tc>
                <w:tcPr>
                  <w:tcW w:w="1183" w:type="dxa"/>
                  <w:noWrap w:val="0"/>
                  <w:vAlign w:val="center"/>
                </w:tcPr>
                <w:p w14:paraId="61613F91">
                  <w:pPr>
                    <w:pStyle w:val="94"/>
                    <w:ind w:firstLine="0" w:firstLineChars="0"/>
                    <w:rPr>
                      <w:rFonts w:hint="default" w:ascii="Times New Roman" w:hAnsi="Times New Roman" w:cs="Times New Roman"/>
                      <w:snapToGrid w:val="0"/>
                      <w:color w:val="000000"/>
                      <w:kern w:val="21"/>
                      <w:sz w:val="21"/>
                      <w:szCs w:val="21"/>
                      <w:lang w:val="en-US" w:eastAsia="zh-CN"/>
                    </w:rPr>
                  </w:pPr>
                  <w:r>
                    <w:rPr>
                      <w:rFonts w:hint="default" w:cs="Times New Roman"/>
                      <w:snapToGrid/>
                      <w:color w:val="000000"/>
                      <w:sz w:val="21"/>
                      <w:szCs w:val="21"/>
                      <w:lang w:val="en-US" w:eastAsia="zh-CN"/>
                    </w:rPr>
                    <w:t>0.</w:t>
                  </w:r>
                  <w:r>
                    <w:rPr>
                      <w:rFonts w:hint="eastAsia" w:cs="Times New Roman"/>
                      <w:snapToGrid/>
                      <w:color w:val="000000"/>
                      <w:sz w:val="21"/>
                      <w:szCs w:val="21"/>
                      <w:lang w:val="en-US" w:eastAsia="zh-CN"/>
                    </w:rPr>
                    <w:t>792</w:t>
                  </w:r>
                </w:p>
              </w:tc>
              <w:tc>
                <w:tcPr>
                  <w:tcW w:w="1300" w:type="dxa"/>
                  <w:noWrap w:val="0"/>
                  <w:vAlign w:val="center"/>
                </w:tcPr>
                <w:p w14:paraId="4991A80E">
                  <w:pPr>
                    <w:keepNext w:val="0"/>
                    <w:keepLines w:val="0"/>
                    <w:widowControl/>
                    <w:suppressLineNumbers w:val="0"/>
                    <w:jc w:val="center"/>
                    <w:textAlignment w:val="center"/>
                    <w:rPr>
                      <w:rFonts w:hint="default" w:ascii="Times New Roman" w:hAnsi="Times New Roman" w:cs="Times New Roman"/>
                      <w:color w:val="00000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0.826</w:t>
                  </w:r>
                </w:p>
              </w:tc>
              <w:tc>
                <w:tcPr>
                  <w:tcW w:w="1211" w:type="dxa"/>
                  <w:noWrap w:val="0"/>
                  <w:vAlign w:val="center"/>
                </w:tcPr>
                <w:p w14:paraId="4AE9DB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1.618</w:t>
                  </w:r>
                </w:p>
              </w:tc>
              <w:tc>
                <w:tcPr>
                  <w:tcW w:w="1211" w:type="dxa"/>
                  <w:noWrap w:val="0"/>
                  <w:vAlign w:val="center"/>
                </w:tcPr>
                <w:p w14:paraId="6077A5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034</w:t>
                  </w:r>
                </w:p>
              </w:tc>
            </w:tr>
            <w:tr w14:paraId="52605F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258" w:type="dxa"/>
                  <w:vMerge w:val="restart"/>
                  <w:noWrap w:val="0"/>
                  <w:vAlign w:val="center"/>
                </w:tcPr>
                <w:p w14:paraId="0D71E436">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snapToGrid w:val="0"/>
                      <w:color w:val="000000"/>
                      <w:kern w:val="21"/>
                      <w:sz w:val="21"/>
                      <w:szCs w:val="21"/>
                      <w:lang w:val="en-US" w:eastAsia="zh-CN"/>
                    </w:rPr>
                  </w:pPr>
                  <w:r>
                    <w:rPr>
                      <w:rFonts w:hint="eastAsia" w:ascii="Times New Roman" w:hAnsi="Times New Roman" w:cs="Times New Roman"/>
                      <w:snapToGrid w:val="0"/>
                      <w:color w:val="000000"/>
                      <w:kern w:val="21"/>
                      <w:sz w:val="21"/>
                      <w:szCs w:val="21"/>
                      <w:lang w:val="en-US" w:eastAsia="zh-CN"/>
                    </w:rPr>
                    <w:t>废水</w:t>
                  </w:r>
                </w:p>
              </w:tc>
              <w:tc>
                <w:tcPr>
                  <w:tcW w:w="1117" w:type="dxa"/>
                  <w:noWrap w:val="0"/>
                  <w:vAlign w:val="center"/>
                </w:tcPr>
                <w:p w14:paraId="64B7C719">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COD</w:t>
                  </w:r>
                </w:p>
              </w:tc>
              <w:tc>
                <w:tcPr>
                  <w:tcW w:w="1333" w:type="dxa"/>
                  <w:noWrap w:val="0"/>
                  <w:vAlign w:val="center"/>
                </w:tcPr>
                <w:p w14:paraId="7ABFE815">
                  <w:pPr>
                    <w:pStyle w:val="94"/>
                    <w:ind w:firstLine="0" w:firstLineChars="0"/>
                    <w:jc w:val="center"/>
                    <w:rPr>
                      <w:rFonts w:hint="default" w:ascii="Times New Roman" w:hAnsi="Times New Roman" w:eastAsia="宋体" w:cs="Times New Roman"/>
                      <w:snapToGrid w:val="0"/>
                      <w:color w:val="000000"/>
                      <w:kern w:val="21"/>
                      <w:sz w:val="21"/>
                      <w:szCs w:val="21"/>
                      <w:lang w:val="en-US" w:eastAsia="zh-CN" w:bidi="ar-SA"/>
                    </w:rPr>
                  </w:pPr>
                  <w:r>
                    <w:rPr>
                      <w:rFonts w:hint="default" w:ascii="Times New Roman" w:hAnsi="Times New Roman" w:cs="Times New Roman"/>
                      <w:color w:val="000000"/>
                      <w:sz w:val="21"/>
                      <w:szCs w:val="21"/>
                      <w:lang w:val="en-US" w:eastAsia="zh-CN"/>
                    </w:rPr>
                    <w:t>0.7013</w:t>
                  </w:r>
                </w:p>
              </w:tc>
              <w:tc>
                <w:tcPr>
                  <w:tcW w:w="1183" w:type="dxa"/>
                  <w:noWrap w:val="0"/>
                  <w:vAlign w:val="center"/>
                </w:tcPr>
                <w:p w14:paraId="263ED170">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eastAsia="宋体" w:cs="Times New Roman"/>
                      <w:snapToGrid w:val="0"/>
                      <w:color w:val="000000"/>
                      <w:kern w:val="21"/>
                      <w:sz w:val="21"/>
                      <w:szCs w:val="21"/>
                      <w:lang w:val="en-US" w:eastAsia="zh-CN"/>
                    </w:rPr>
                    <w:t>0.180</w:t>
                  </w:r>
                </w:p>
              </w:tc>
              <w:tc>
                <w:tcPr>
                  <w:tcW w:w="1300" w:type="dxa"/>
                  <w:noWrap w:val="0"/>
                  <w:vAlign w:val="center"/>
                </w:tcPr>
                <w:p w14:paraId="36AE308F">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1"/>
                      <w:szCs w:val="21"/>
                      <w:lang w:eastAsia="zh-CN"/>
                    </w:rPr>
                  </w:pPr>
                  <w:r>
                    <w:rPr>
                      <w:rFonts w:hint="default" w:ascii="Times New Roman" w:hAnsi="Times New Roman" w:eastAsia="宋体" w:cs="Times New Roman"/>
                      <w:snapToGrid w:val="0"/>
                      <w:color w:val="000000"/>
                      <w:kern w:val="21"/>
                      <w:sz w:val="21"/>
                      <w:szCs w:val="21"/>
                      <w:lang w:val="en-US" w:eastAsia="zh-CN"/>
                    </w:rPr>
                    <w:t>0</w:t>
                  </w:r>
                </w:p>
              </w:tc>
              <w:tc>
                <w:tcPr>
                  <w:tcW w:w="1211" w:type="dxa"/>
                  <w:noWrap w:val="0"/>
                  <w:vAlign w:val="center"/>
                </w:tcPr>
                <w:p w14:paraId="4A7757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0.8813</w:t>
                  </w:r>
                </w:p>
              </w:tc>
              <w:tc>
                <w:tcPr>
                  <w:tcW w:w="1211" w:type="dxa"/>
                  <w:noWrap w:val="0"/>
                  <w:vAlign w:val="center"/>
                </w:tcPr>
                <w:p w14:paraId="1E9E57C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0.18</w:t>
                  </w:r>
                </w:p>
              </w:tc>
            </w:tr>
            <w:tr w14:paraId="21DA6D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58" w:type="dxa"/>
                  <w:vMerge w:val="continue"/>
                  <w:noWrap w:val="0"/>
                  <w:vAlign w:val="center"/>
                </w:tcPr>
                <w:p w14:paraId="3EB2DA8E">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1"/>
                      <w:szCs w:val="21"/>
                    </w:rPr>
                  </w:pPr>
                </w:p>
              </w:tc>
              <w:tc>
                <w:tcPr>
                  <w:tcW w:w="1117" w:type="dxa"/>
                  <w:noWrap w:val="0"/>
                  <w:vAlign w:val="center"/>
                </w:tcPr>
                <w:p w14:paraId="0DB57B38">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NH</w:t>
                  </w:r>
                  <w:r>
                    <w:rPr>
                      <w:rFonts w:hint="default" w:ascii="Times New Roman" w:hAnsi="Times New Roman" w:cs="Times New Roman"/>
                      <w:snapToGrid w:val="0"/>
                      <w:color w:val="000000"/>
                      <w:kern w:val="21"/>
                      <w:sz w:val="21"/>
                      <w:szCs w:val="21"/>
                      <w:vertAlign w:val="subscript"/>
                    </w:rPr>
                    <w:t>3</w:t>
                  </w:r>
                  <w:r>
                    <w:rPr>
                      <w:rFonts w:hint="default" w:ascii="Times New Roman" w:hAnsi="Times New Roman" w:cs="Times New Roman"/>
                      <w:snapToGrid w:val="0"/>
                      <w:color w:val="000000"/>
                      <w:kern w:val="21"/>
                      <w:sz w:val="21"/>
                      <w:szCs w:val="21"/>
                    </w:rPr>
                    <w:t>-N</w:t>
                  </w:r>
                </w:p>
              </w:tc>
              <w:tc>
                <w:tcPr>
                  <w:tcW w:w="1333" w:type="dxa"/>
                  <w:noWrap w:val="0"/>
                  <w:vAlign w:val="center"/>
                </w:tcPr>
                <w:p w14:paraId="20D6C71D">
                  <w:pPr>
                    <w:pStyle w:val="94"/>
                    <w:ind w:firstLine="0" w:firstLineChars="0"/>
                    <w:jc w:val="center"/>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cs="Times New Roman"/>
                      <w:color w:val="000000"/>
                      <w:sz w:val="21"/>
                      <w:szCs w:val="21"/>
                      <w:lang w:val="en-US" w:eastAsia="zh-CN"/>
                    </w:rPr>
                    <w:t>0.0631</w:t>
                  </w:r>
                </w:p>
              </w:tc>
              <w:tc>
                <w:tcPr>
                  <w:tcW w:w="1183" w:type="dxa"/>
                  <w:noWrap w:val="0"/>
                  <w:vAlign w:val="center"/>
                </w:tcPr>
                <w:p w14:paraId="1D20A16A">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eastAsia="宋体" w:cs="Times New Roman"/>
                      <w:snapToGrid w:val="0"/>
                      <w:color w:val="000000"/>
                      <w:kern w:val="21"/>
                      <w:sz w:val="21"/>
                      <w:szCs w:val="21"/>
                      <w:lang w:val="en-US" w:eastAsia="zh-CN"/>
                    </w:rPr>
                    <w:t>0.0162</w:t>
                  </w:r>
                </w:p>
              </w:tc>
              <w:tc>
                <w:tcPr>
                  <w:tcW w:w="1300" w:type="dxa"/>
                  <w:noWrap w:val="0"/>
                  <w:vAlign w:val="center"/>
                </w:tcPr>
                <w:p w14:paraId="76CBACAB">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1"/>
                      <w:szCs w:val="21"/>
                      <w:lang w:eastAsia="zh-CN"/>
                    </w:rPr>
                  </w:pPr>
                  <w:r>
                    <w:rPr>
                      <w:rFonts w:hint="default" w:ascii="Times New Roman" w:hAnsi="Times New Roman" w:eastAsia="宋体" w:cs="Times New Roman"/>
                      <w:snapToGrid w:val="0"/>
                      <w:color w:val="000000"/>
                      <w:kern w:val="21"/>
                      <w:sz w:val="21"/>
                      <w:szCs w:val="21"/>
                      <w:lang w:val="en-US" w:eastAsia="zh-CN"/>
                    </w:rPr>
                    <w:t>0</w:t>
                  </w:r>
                </w:p>
              </w:tc>
              <w:tc>
                <w:tcPr>
                  <w:tcW w:w="1211" w:type="dxa"/>
                  <w:noWrap w:val="0"/>
                  <w:vAlign w:val="center"/>
                </w:tcPr>
                <w:p w14:paraId="38045F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0.0793</w:t>
                  </w:r>
                </w:p>
              </w:tc>
              <w:tc>
                <w:tcPr>
                  <w:tcW w:w="1211" w:type="dxa"/>
                  <w:noWrap w:val="0"/>
                  <w:vAlign w:val="center"/>
                </w:tcPr>
                <w:p w14:paraId="230036FF">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0.0162</w:t>
                  </w:r>
                </w:p>
              </w:tc>
            </w:tr>
            <w:tr w14:paraId="03672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58" w:type="dxa"/>
                  <w:vMerge w:val="continue"/>
                  <w:noWrap w:val="0"/>
                  <w:vAlign w:val="center"/>
                </w:tcPr>
                <w:p w14:paraId="107F238A">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1"/>
                      <w:szCs w:val="21"/>
                      <w:lang w:val="en-US" w:eastAsia="zh-CN"/>
                    </w:rPr>
                  </w:pPr>
                </w:p>
              </w:tc>
              <w:tc>
                <w:tcPr>
                  <w:tcW w:w="1117" w:type="dxa"/>
                  <w:noWrap w:val="0"/>
                  <w:vAlign w:val="center"/>
                </w:tcPr>
                <w:p w14:paraId="01388366">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cs="Times New Roman"/>
                      <w:snapToGrid w:val="0"/>
                      <w:color w:val="000000"/>
                      <w:kern w:val="21"/>
                      <w:sz w:val="21"/>
                      <w:szCs w:val="21"/>
                      <w:lang w:val="en-US" w:eastAsia="zh-CN"/>
                    </w:rPr>
                    <w:t>TP</w:t>
                  </w:r>
                </w:p>
              </w:tc>
              <w:tc>
                <w:tcPr>
                  <w:tcW w:w="1333" w:type="dxa"/>
                  <w:noWrap w:val="0"/>
                  <w:vAlign w:val="center"/>
                </w:tcPr>
                <w:p w14:paraId="62B45C53">
                  <w:pPr>
                    <w:pStyle w:val="94"/>
                    <w:ind w:firstLine="0" w:firstLineChars="0"/>
                    <w:jc w:val="center"/>
                    <w:rPr>
                      <w:rFonts w:hint="default" w:ascii="Times New Roman" w:hAnsi="Times New Roman" w:cs="Times New Roman"/>
                      <w:snapToGrid w:val="0"/>
                      <w:color w:val="000000"/>
                      <w:kern w:val="21"/>
                      <w:sz w:val="21"/>
                      <w:szCs w:val="21"/>
                      <w:lang w:val="en-US" w:eastAsia="zh-CN"/>
                    </w:rPr>
                  </w:pPr>
                  <w:r>
                    <w:rPr>
                      <w:rFonts w:hint="default" w:ascii="Times New Roman" w:hAnsi="Times New Roman" w:cs="Times New Roman"/>
                      <w:color w:val="000000"/>
                      <w:sz w:val="21"/>
                      <w:szCs w:val="21"/>
                      <w:lang w:val="en-US" w:eastAsia="zh-CN"/>
                    </w:rPr>
                    <w:t>0.0112</w:t>
                  </w:r>
                </w:p>
              </w:tc>
              <w:tc>
                <w:tcPr>
                  <w:tcW w:w="1183" w:type="dxa"/>
                  <w:noWrap w:val="0"/>
                  <w:vAlign w:val="center"/>
                </w:tcPr>
                <w:p w14:paraId="0EE2BF62">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1"/>
                      <w:szCs w:val="21"/>
                      <w:lang w:val="en-US" w:eastAsia="zh-CN"/>
                    </w:rPr>
                  </w:pPr>
                  <w:r>
                    <w:rPr>
                      <w:rFonts w:hint="default" w:ascii="Times New Roman" w:hAnsi="Times New Roman" w:eastAsia="宋体" w:cs="Times New Roman"/>
                      <w:snapToGrid w:val="0"/>
                      <w:color w:val="000000"/>
                      <w:kern w:val="21"/>
                      <w:sz w:val="21"/>
                      <w:szCs w:val="21"/>
                      <w:lang w:val="en-US" w:eastAsia="zh-CN"/>
                    </w:rPr>
                    <w:t>0.0029</w:t>
                  </w:r>
                </w:p>
              </w:tc>
              <w:tc>
                <w:tcPr>
                  <w:tcW w:w="1300" w:type="dxa"/>
                  <w:noWrap w:val="0"/>
                  <w:vAlign w:val="center"/>
                </w:tcPr>
                <w:p w14:paraId="539E7620">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1"/>
                      <w:szCs w:val="21"/>
                      <w:lang w:val="en-US" w:eastAsia="zh-CN"/>
                    </w:rPr>
                  </w:pPr>
                  <w:r>
                    <w:rPr>
                      <w:rFonts w:hint="default" w:ascii="Times New Roman" w:hAnsi="Times New Roman" w:cs="Times New Roman"/>
                      <w:snapToGrid w:val="0"/>
                      <w:color w:val="000000"/>
                      <w:kern w:val="21"/>
                      <w:sz w:val="21"/>
                      <w:szCs w:val="21"/>
                      <w:lang w:val="en-US" w:eastAsia="zh-CN"/>
                    </w:rPr>
                    <w:t>0</w:t>
                  </w:r>
                </w:p>
              </w:tc>
              <w:tc>
                <w:tcPr>
                  <w:tcW w:w="1211" w:type="dxa"/>
                  <w:noWrap w:val="0"/>
                  <w:vAlign w:val="center"/>
                </w:tcPr>
                <w:p w14:paraId="786658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0.0141</w:t>
                  </w:r>
                </w:p>
              </w:tc>
              <w:tc>
                <w:tcPr>
                  <w:tcW w:w="1211" w:type="dxa"/>
                  <w:noWrap w:val="0"/>
                  <w:vAlign w:val="center"/>
                </w:tcPr>
                <w:p w14:paraId="613D394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0.0029</w:t>
                  </w:r>
                </w:p>
              </w:tc>
            </w:tr>
          </w:tbl>
          <w:p w14:paraId="5A265FA6">
            <w:pPr>
              <w:pStyle w:val="10"/>
              <w:keepNext w:val="0"/>
              <w:keepLines w:val="0"/>
              <w:pageBreakBefore w:val="0"/>
              <w:kinsoku/>
              <w:wordWrap/>
              <w:overflowPunct/>
              <w:topLinePunct w:val="0"/>
              <w:bidi w:val="0"/>
              <w:spacing w:before="0" w:after="0" w:line="360" w:lineRule="auto"/>
              <w:ind w:right="0" w:firstLine="480" w:firstLineChars="200"/>
              <w:textAlignment w:val="auto"/>
              <w:rPr>
                <w:rFonts w:hint="default" w:ascii="Times New Roman" w:hAnsi="Times New Roman" w:eastAsia="宋体" w:cs="Times New Roman"/>
                <w:color w:val="000000"/>
                <w:sz w:val="24"/>
                <w:szCs w:val="24"/>
                <w:highlight w:val="none"/>
                <w:lang w:val="en-US" w:eastAsia="zh-CN"/>
              </w:rPr>
            </w:pPr>
          </w:p>
        </w:tc>
      </w:tr>
    </w:tbl>
    <w:p w14:paraId="0966FF45">
      <w:pPr>
        <w:pStyle w:val="27"/>
        <w:jc w:val="both"/>
        <w:outlineLvl w:val="0"/>
        <w:rPr>
          <w:rFonts w:hint="eastAsia" w:ascii="黑体" w:hAnsi="黑体" w:eastAsia="黑体"/>
          <w:snapToGrid w:val="0"/>
          <w:color w:val="FF0000"/>
          <w:sz w:val="30"/>
          <w:szCs w:val="30"/>
        </w:rPr>
      </w:pPr>
    </w:p>
    <w:p w14:paraId="61D27049">
      <w:pPr>
        <w:pStyle w:val="27"/>
        <w:jc w:val="center"/>
        <w:outlineLvl w:val="0"/>
        <w:rPr>
          <w:rFonts w:hint="eastAsia" w:ascii="宋体" w:hAnsi="宋体" w:eastAsia="宋体" w:cs="宋体"/>
          <w:b/>
          <w:bCs/>
          <w:snapToGrid w:val="0"/>
          <w:color w:val="000000"/>
          <w:sz w:val="30"/>
          <w:szCs w:val="30"/>
        </w:rPr>
        <w:sectPr>
          <w:pgSz w:w="11905" w:h="16838"/>
          <w:pgMar w:top="1644" w:right="1531" w:bottom="1644" w:left="1531" w:header="851" w:footer="1077" w:gutter="0"/>
          <w:pgNumType w:fmt="decimal"/>
          <w:cols w:space="720" w:num="1"/>
          <w:rtlGutter w:val="0"/>
          <w:docGrid w:linePitch="312" w:charSpace="0"/>
        </w:sectPr>
      </w:pPr>
    </w:p>
    <w:p w14:paraId="17212BE3">
      <w:pPr>
        <w:pStyle w:val="27"/>
        <w:jc w:val="center"/>
        <w:outlineLvl w:val="0"/>
        <w:rPr>
          <w:rFonts w:hint="eastAsia" w:ascii="宋体" w:hAnsi="宋体" w:eastAsia="宋体" w:cs="宋体"/>
          <w:b/>
          <w:bCs/>
          <w:snapToGrid w:val="0"/>
          <w:color w:val="000000"/>
          <w:sz w:val="30"/>
          <w:szCs w:val="30"/>
        </w:rPr>
      </w:pPr>
      <w:bookmarkStart w:id="26" w:name="_Toc20206"/>
      <w:r>
        <w:rPr>
          <w:rFonts w:hint="eastAsia" w:ascii="宋体" w:hAnsi="宋体" w:eastAsia="宋体" w:cs="宋体"/>
          <w:b/>
          <w:bCs/>
          <w:snapToGrid w:val="0"/>
          <w:color w:val="000000"/>
          <w:sz w:val="30"/>
          <w:szCs w:val="30"/>
        </w:rPr>
        <w:t>四、主要环境影响和保护措施</w:t>
      </w:r>
      <w:bookmarkEnd w:id="26"/>
    </w:p>
    <w:tbl>
      <w:tblPr>
        <w:tblStyle w:val="31"/>
        <w:tblW w:w="9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8862"/>
      </w:tblGrid>
      <w:tr w14:paraId="4BA2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5" w:hRule="atLeast"/>
          <w:jc w:val="center"/>
        </w:trPr>
        <w:tc>
          <w:tcPr>
            <w:tcW w:w="405" w:type="dxa"/>
            <w:shd w:val="clear" w:color="auto" w:fill="FEFEFE"/>
            <w:noWrap w:val="0"/>
            <w:tcMar>
              <w:left w:w="28" w:type="dxa"/>
              <w:right w:w="28" w:type="dxa"/>
            </w:tcMar>
            <w:vAlign w:val="center"/>
          </w:tcPr>
          <w:p w14:paraId="5A99D97F">
            <w:pPr>
              <w:pStyle w:val="27"/>
              <w:adjustRightInd w:val="0"/>
              <w:snapToGrid w:val="0"/>
              <w:spacing w:before="0" w:beforeAutospacing="0" w:after="0" w:afterAutospacing="0"/>
              <w:jc w:val="center"/>
              <w:rPr>
                <w:rFonts w:hint="default" w:ascii="Times New Roman" w:hAnsi="Times New Roman" w:eastAsia="宋体" w:cs="Times New Roman"/>
                <w:color w:val="000000"/>
                <w:kern w:val="2"/>
                <w:szCs w:val="24"/>
              </w:rPr>
            </w:pPr>
            <w:r>
              <w:rPr>
                <w:rFonts w:hint="default" w:ascii="Times New Roman" w:hAnsi="Times New Roman" w:eastAsia="宋体" w:cs="Times New Roman"/>
                <w:color w:val="000000"/>
                <w:kern w:val="2"/>
                <w:szCs w:val="24"/>
              </w:rPr>
              <w:t>施工</w:t>
            </w:r>
          </w:p>
          <w:p w14:paraId="55E970C7">
            <w:pPr>
              <w:pStyle w:val="27"/>
              <w:adjustRightInd w:val="0"/>
              <w:snapToGrid w:val="0"/>
              <w:spacing w:before="0" w:beforeAutospacing="0" w:after="0" w:afterAutospacing="0"/>
              <w:jc w:val="center"/>
              <w:rPr>
                <w:rFonts w:hint="default" w:ascii="Times New Roman" w:hAnsi="Times New Roman" w:eastAsia="宋体" w:cs="Times New Roman"/>
                <w:color w:val="000000"/>
                <w:kern w:val="2"/>
                <w:szCs w:val="24"/>
              </w:rPr>
            </w:pPr>
            <w:r>
              <w:rPr>
                <w:rFonts w:hint="default" w:ascii="Times New Roman" w:hAnsi="Times New Roman" w:eastAsia="宋体" w:cs="Times New Roman"/>
                <w:color w:val="000000"/>
                <w:kern w:val="2"/>
                <w:szCs w:val="24"/>
              </w:rPr>
              <w:t>期环</w:t>
            </w:r>
          </w:p>
          <w:p w14:paraId="72FBFEE4">
            <w:pPr>
              <w:pStyle w:val="27"/>
              <w:adjustRightInd w:val="0"/>
              <w:snapToGrid w:val="0"/>
              <w:spacing w:before="0" w:beforeAutospacing="0" w:after="0" w:afterAutospacing="0"/>
              <w:jc w:val="center"/>
              <w:rPr>
                <w:rFonts w:hint="default" w:ascii="Times New Roman" w:hAnsi="Times New Roman" w:eastAsia="宋体" w:cs="Times New Roman"/>
                <w:color w:val="000000"/>
                <w:kern w:val="2"/>
                <w:szCs w:val="24"/>
              </w:rPr>
            </w:pPr>
            <w:r>
              <w:rPr>
                <w:rFonts w:hint="default" w:ascii="Times New Roman" w:hAnsi="Times New Roman" w:eastAsia="宋体" w:cs="Times New Roman"/>
                <w:color w:val="000000"/>
                <w:kern w:val="2"/>
                <w:szCs w:val="24"/>
              </w:rPr>
              <w:t>境保</w:t>
            </w:r>
          </w:p>
          <w:p w14:paraId="3446040B">
            <w:pPr>
              <w:pStyle w:val="27"/>
              <w:adjustRightInd w:val="0"/>
              <w:snapToGrid w:val="0"/>
              <w:spacing w:before="0" w:beforeAutospacing="0" w:after="0" w:afterAutospacing="0"/>
              <w:jc w:val="center"/>
              <w:rPr>
                <w:rFonts w:hint="default" w:ascii="Times New Roman" w:hAnsi="Times New Roman" w:eastAsia="宋体" w:cs="Times New Roman"/>
                <w:color w:val="000000"/>
                <w:kern w:val="2"/>
                <w:szCs w:val="24"/>
              </w:rPr>
            </w:pPr>
            <w:r>
              <w:rPr>
                <w:rFonts w:hint="default" w:ascii="Times New Roman" w:hAnsi="Times New Roman" w:eastAsia="宋体" w:cs="Times New Roman"/>
                <w:color w:val="000000"/>
                <w:kern w:val="2"/>
                <w:szCs w:val="24"/>
              </w:rPr>
              <w:t>护措</w:t>
            </w:r>
          </w:p>
          <w:p w14:paraId="1F9646FA">
            <w:pPr>
              <w:pStyle w:val="27"/>
              <w:adjustRightInd w:val="0"/>
              <w:snapToGrid w:val="0"/>
              <w:spacing w:before="0" w:beforeAutospacing="0" w:after="0" w:afterAutospacing="0"/>
              <w:jc w:val="center"/>
              <w:rPr>
                <w:rFonts w:hint="default" w:ascii="Times New Roman" w:hAnsi="Times New Roman" w:eastAsia="宋体" w:cs="Times New Roman"/>
                <w:bCs/>
                <w:color w:val="000000"/>
                <w:kern w:val="2"/>
                <w:szCs w:val="24"/>
              </w:rPr>
            </w:pPr>
            <w:r>
              <w:rPr>
                <w:rFonts w:hint="default" w:ascii="Times New Roman" w:hAnsi="Times New Roman" w:eastAsia="宋体" w:cs="Times New Roman"/>
                <w:color w:val="000000"/>
                <w:kern w:val="2"/>
                <w:szCs w:val="24"/>
              </w:rPr>
              <w:t>施</w:t>
            </w:r>
          </w:p>
        </w:tc>
        <w:tc>
          <w:tcPr>
            <w:tcW w:w="8862" w:type="dxa"/>
            <w:shd w:val="clear" w:color="auto" w:fill="FEFEFE"/>
            <w:noWrap w:val="0"/>
            <w:vAlign w:val="center"/>
          </w:tcPr>
          <w:p w14:paraId="49FD53BF">
            <w:pPr>
              <w:pStyle w:val="21"/>
              <w:keepNext w:val="0"/>
              <w:keepLines w:val="0"/>
              <w:pageBreakBefore w:val="0"/>
              <w:widowControl w:val="0"/>
              <w:kinsoku/>
              <w:wordWrap/>
              <w:overflowPunct/>
              <w:topLinePunct w:val="0"/>
              <w:autoSpaceDE/>
              <w:autoSpaceDN/>
              <w:bidi w:val="0"/>
              <w:snapToGrid/>
              <w:spacing w:line="360" w:lineRule="auto"/>
              <w:jc w:val="both"/>
              <w:textAlignment w:val="auto"/>
              <w:rPr>
                <w:rFonts w:hint="eastAsia" w:ascii="宋体" w:hAnsi="宋体" w:eastAsia="宋体" w:cs="宋体"/>
                <w:b/>
                <w:bCs/>
                <w:color w:val="000000"/>
              </w:rPr>
            </w:pPr>
            <w:r>
              <w:rPr>
                <w:rFonts w:hint="eastAsia" w:ascii="宋体" w:hAnsi="宋体" w:eastAsia="宋体" w:cs="宋体"/>
                <w:b/>
                <w:bCs/>
                <w:color w:val="000000"/>
              </w:rPr>
              <w:t>一、施工期废气防治措施</w:t>
            </w:r>
          </w:p>
          <w:p w14:paraId="49233FEE">
            <w:pPr>
              <w:pStyle w:val="21"/>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rPr>
                <w:rFonts w:hint="eastAsia" w:ascii="宋体" w:hAnsi="宋体" w:eastAsia="宋体" w:cs="宋体"/>
                <w:color w:val="000000"/>
              </w:rPr>
            </w:pPr>
            <w:r>
              <w:rPr>
                <w:rFonts w:hint="eastAsia" w:ascii="宋体" w:hAnsi="宋体" w:eastAsia="宋体" w:cs="宋体"/>
                <w:color w:val="000000"/>
              </w:rPr>
              <w:t>施工扬尘主要</w:t>
            </w:r>
            <w:r>
              <w:rPr>
                <w:rFonts w:hint="eastAsia" w:ascii="宋体" w:hAnsi="宋体" w:eastAsia="宋体" w:cs="宋体"/>
                <w:color w:val="000000"/>
                <w:lang w:eastAsia="zh-CN"/>
              </w:rPr>
              <w:t>来自</w:t>
            </w:r>
            <w:r>
              <w:rPr>
                <w:rFonts w:hint="eastAsia" w:ascii="宋体" w:hAnsi="宋体" w:eastAsia="宋体" w:cs="宋体"/>
                <w:color w:val="000000"/>
              </w:rPr>
              <w:t>钻孔等施工过程、厂房清扫、设备运输及设备安装。产生扬尘作业点位于室内且相对集中，扩散性较差，若不采取有效控制措施，会对周围环境产生一定影响。</w:t>
            </w:r>
          </w:p>
          <w:p w14:paraId="76BA85F6">
            <w:pPr>
              <w:pStyle w:val="21"/>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rPr>
                <w:rFonts w:hint="eastAsia" w:ascii="宋体" w:hAnsi="宋体" w:eastAsia="宋体" w:cs="宋体"/>
                <w:color w:val="000000"/>
              </w:rPr>
            </w:pPr>
            <w:r>
              <w:rPr>
                <w:rFonts w:hint="eastAsia" w:ascii="宋体" w:hAnsi="宋体" w:eastAsia="宋体" w:cs="宋体"/>
                <w:color w:val="000000"/>
              </w:rPr>
              <w:t>环评要求施工单位应制定严格的污染防治措施控制扬尘，如洒水降尘、定期</w:t>
            </w:r>
          </w:p>
          <w:p w14:paraId="79022FE6">
            <w:pPr>
              <w:pStyle w:val="21"/>
              <w:keepNext w:val="0"/>
              <w:keepLines w:val="0"/>
              <w:pageBreakBefore w:val="0"/>
              <w:widowControl w:val="0"/>
              <w:kinsoku/>
              <w:wordWrap/>
              <w:overflowPunct/>
              <w:topLinePunct w:val="0"/>
              <w:autoSpaceDE/>
              <w:autoSpaceDN/>
              <w:bidi w:val="0"/>
              <w:snapToGrid/>
              <w:spacing w:line="360" w:lineRule="auto"/>
              <w:jc w:val="both"/>
              <w:textAlignment w:val="auto"/>
              <w:rPr>
                <w:rFonts w:hint="eastAsia" w:ascii="宋体" w:hAnsi="宋体" w:eastAsia="宋体" w:cs="宋体"/>
                <w:color w:val="000000"/>
              </w:rPr>
            </w:pPr>
            <w:r>
              <w:rPr>
                <w:rFonts w:hint="eastAsia" w:ascii="宋体" w:hAnsi="宋体" w:eastAsia="宋体" w:cs="宋体"/>
                <w:color w:val="000000"/>
                <w:lang w:eastAsia="zh-CN"/>
              </w:rPr>
              <w:t>清</w:t>
            </w:r>
            <w:r>
              <w:rPr>
                <w:rFonts w:hint="eastAsia" w:ascii="宋体" w:hAnsi="宋体" w:eastAsia="宋体" w:cs="宋体"/>
                <w:color w:val="000000"/>
              </w:rPr>
              <w:t>扫地面</w:t>
            </w:r>
            <w:r>
              <w:rPr>
                <w:rFonts w:hint="eastAsia" w:ascii="宋体" w:hAnsi="宋体" w:eastAsia="宋体" w:cs="宋体"/>
                <w:color w:val="000000"/>
                <w:lang w:eastAsia="zh-CN"/>
              </w:rPr>
              <w:t>灰尘</w:t>
            </w:r>
            <w:r>
              <w:rPr>
                <w:rFonts w:hint="eastAsia" w:ascii="宋体" w:hAnsi="宋体" w:eastAsia="宋体" w:cs="宋体"/>
                <w:color w:val="000000"/>
              </w:rPr>
              <w:t>等措施，严格按照《关于印发四川省建筑工程扬尘污染防治技术导则（试行）的通知》（川建发〔2019〕16 号）</w:t>
            </w:r>
            <w:r>
              <w:rPr>
                <w:rFonts w:hint="eastAsia" w:ascii="宋体" w:hAnsi="宋体" w:eastAsia="宋体" w:cs="宋体"/>
                <w:color w:val="000000"/>
                <w:lang w:eastAsia="zh-CN"/>
              </w:rPr>
              <w:t>、《</w:t>
            </w:r>
            <w:r>
              <w:rPr>
                <w:rFonts w:hint="eastAsia" w:ascii="宋体" w:hAnsi="宋体" w:eastAsia="宋体" w:cs="宋体"/>
                <w:color w:val="000000"/>
              </w:rPr>
              <w:t>四川省人民政府办公厅关于加强灰霾污染防治的通知》（川办发</w:t>
            </w:r>
            <w:r>
              <w:rPr>
                <w:rFonts w:hint="eastAsia" w:ascii="宋体" w:hAnsi="宋体" w:eastAsia="宋体" w:cs="宋体"/>
                <w:color w:val="000000"/>
                <w:lang w:eastAsia="zh-CN"/>
              </w:rPr>
              <w:t>〔</w:t>
            </w:r>
            <w:r>
              <w:rPr>
                <w:rFonts w:hint="eastAsia" w:ascii="宋体" w:hAnsi="宋体" w:eastAsia="宋体" w:cs="宋体"/>
                <w:color w:val="000000"/>
              </w:rPr>
              <w:t>2013</w:t>
            </w:r>
            <w:r>
              <w:rPr>
                <w:rFonts w:hint="eastAsia" w:ascii="宋体" w:hAnsi="宋体" w:eastAsia="宋体" w:cs="宋体"/>
                <w:color w:val="000000"/>
                <w:lang w:eastAsia="zh-CN"/>
              </w:rPr>
              <w:t>〕</w:t>
            </w:r>
            <w:r>
              <w:rPr>
                <w:rFonts w:hint="eastAsia" w:ascii="宋体" w:hAnsi="宋体" w:eastAsia="宋体" w:cs="宋体"/>
                <w:color w:val="000000"/>
              </w:rPr>
              <w:t>32号）、《四川省灰霾污染防治实施方案</w:t>
            </w:r>
            <w:r>
              <w:rPr>
                <w:rFonts w:hint="eastAsia" w:ascii="宋体" w:hAnsi="宋体" w:eastAsia="宋体" w:cs="宋体"/>
                <w:color w:val="000000"/>
                <w:lang w:eastAsia="zh-CN"/>
              </w:rPr>
              <w:t>》《</w:t>
            </w:r>
            <w:r>
              <w:rPr>
                <w:rFonts w:hint="eastAsia" w:ascii="宋体" w:hAnsi="宋体" w:eastAsia="宋体" w:cs="宋体"/>
                <w:color w:val="000000"/>
              </w:rPr>
              <w:t>四川省灰霾污染防治办法》的要求防治扬尘污染。按照要求加强施工场地扬尘控制后，由于本项目的施工范围较小、施工期较短，且均位于项目厂区内，施工扬尘影响较小，扬尘能满足《四川省施工场地扬尘排放标准》表1中相关浓度限值要求。</w:t>
            </w:r>
          </w:p>
          <w:p w14:paraId="09C285C9">
            <w:pPr>
              <w:pStyle w:val="21"/>
              <w:keepNext w:val="0"/>
              <w:keepLines w:val="0"/>
              <w:pageBreakBefore w:val="0"/>
              <w:widowControl w:val="0"/>
              <w:kinsoku/>
              <w:wordWrap/>
              <w:overflowPunct/>
              <w:topLinePunct w:val="0"/>
              <w:autoSpaceDE/>
              <w:autoSpaceDN/>
              <w:bidi w:val="0"/>
              <w:snapToGrid/>
              <w:spacing w:line="360" w:lineRule="auto"/>
              <w:jc w:val="both"/>
              <w:textAlignment w:val="auto"/>
              <w:rPr>
                <w:rFonts w:hint="eastAsia" w:ascii="宋体" w:hAnsi="宋体" w:eastAsia="宋体" w:cs="宋体"/>
                <w:b/>
                <w:bCs/>
                <w:color w:val="000000"/>
              </w:rPr>
            </w:pPr>
            <w:r>
              <w:rPr>
                <w:rFonts w:hint="eastAsia" w:ascii="宋体" w:hAnsi="宋体" w:eastAsia="宋体" w:cs="宋体"/>
                <w:b/>
                <w:bCs/>
                <w:color w:val="000000"/>
              </w:rPr>
              <w:t>二、施工期废水防治措施</w:t>
            </w:r>
          </w:p>
          <w:p w14:paraId="665B7C30">
            <w:pPr>
              <w:keepNext w:val="0"/>
              <w:keepLines w:val="0"/>
              <w:pageBreakBefore w:val="0"/>
              <w:kinsoku/>
              <w:wordWrap/>
              <w:overflowPunct/>
              <w:topLinePunct w:val="0"/>
              <w:bidi w:val="0"/>
              <w:spacing w:line="360" w:lineRule="auto"/>
              <w:ind w:left="0" w:leftChars="0" w:right="0" w:firstLine="480" w:firstLineChars="200"/>
              <w:textAlignment w:val="auto"/>
              <w:rPr>
                <w:rFonts w:hint="eastAsia"/>
                <w:b/>
                <w:bCs/>
                <w:color w:val="000000"/>
                <w:sz w:val="24"/>
                <w:szCs w:val="24"/>
              </w:rPr>
            </w:pPr>
            <w:r>
              <w:rPr>
                <w:rFonts w:hint="default" w:ascii="Times New Roman" w:hAnsi="Times New Roman" w:eastAsia="宋体" w:cs="Times New Roman"/>
                <w:color w:val="000000"/>
                <w:sz w:val="24"/>
                <w:szCs w:val="24"/>
              </w:rPr>
              <w:t>本项目不涉及土建工程，施工期废水主要为施工人员生活污水，施工人员最大预计约10人，施工期生活用水量以50L/人·d计，本项目施工人员用水量为0.50m</w:t>
            </w:r>
            <w:r>
              <w:rPr>
                <w:rFonts w:hint="default" w:ascii="Times New Roman" w:hAnsi="Times New Roman" w:eastAsia="宋体" w:cs="Times New Roman"/>
                <w:color w:val="000000"/>
                <w:sz w:val="24"/>
                <w:szCs w:val="24"/>
                <w:vertAlign w:val="superscript"/>
              </w:rPr>
              <w:t>3</w:t>
            </w:r>
            <w:r>
              <w:rPr>
                <w:rFonts w:hint="default" w:ascii="Times New Roman" w:hAnsi="Times New Roman" w:eastAsia="宋体" w:cs="Times New Roman"/>
                <w:color w:val="000000"/>
                <w:sz w:val="24"/>
                <w:szCs w:val="24"/>
              </w:rPr>
              <w:t>/d，生活污水产生系数取0.85，则施工期生活污水产生量为0.425m</w:t>
            </w:r>
            <w:r>
              <w:rPr>
                <w:rFonts w:hint="default" w:ascii="Times New Roman" w:hAnsi="Times New Roman" w:eastAsia="宋体" w:cs="Times New Roman"/>
                <w:color w:val="000000"/>
                <w:sz w:val="24"/>
                <w:szCs w:val="24"/>
                <w:vertAlign w:val="superscript"/>
              </w:rPr>
              <w:t>3</w:t>
            </w:r>
            <w:r>
              <w:rPr>
                <w:rFonts w:hint="default" w:ascii="Times New Roman" w:hAnsi="Times New Roman" w:eastAsia="宋体" w:cs="Times New Roman"/>
                <w:color w:val="000000"/>
                <w:sz w:val="24"/>
                <w:szCs w:val="24"/>
              </w:rPr>
              <w:t>/d，废水中主要污染物初始浓度COD：3</w:t>
            </w:r>
            <w:r>
              <w:rPr>
                <w:rFonts w:hint="default" w:ascii="Times New Roman" w:hAnsi="Times New Roman" w:eastAsia="宋体" w:cs="Times New Roman"/>
                <w:color w:val="000000"/>
                <w:sz w:val="24"/>
                <w:szCs w:val="24"/>
                <w:lang w:val="en-US" w:eastAsia="zh-CN"/>
              </w:rPr>
              <w:t>25</w:t>
            </w:r>
            <w:r>
              <w:rPr>
                <w:rFonts w:hint="default" w:ascii="Times New Roman" w:hAnsi="Times New Roman" w:eastAsia="宋体" w:cs="Times New Roman"/>
                <w:color w:val="000000"/>
                <w:sz w:val="24"/>
                <w:szCs w:val="24"/>
              </w:rPr>
              <w:t>mg/L、BOD</w:t>
            </w:r>
            <w:r>
              <w:rPr>
                <w:rFonts w:hint="default" w:ascii="Times New Roman" w:hAnsi="Times New Roman" w:eastAsia="宋体" w:cs="Times New Roman"/>
                <w:color w:val="000000"/>
                <w:sz w:val="24"/>
                <w:szCs w:val="24"/>
                <w:vertAlign w:val="subscript"/>
              </w:rPr>
              <w:t>5</w:t>
            </w:r>
            <w:r>
              <w:rPr>
                <w:rFonts w:hint="eastAsia" w:ascii="Times New Roman" w:hAnsi="Times New Roman" w:eastAsia="宋体" w:cs="Times New Roman"/>
                <w:color w:val="000000"/>
                <w:sz w:val="24"/>
                <w:szCs w:val="24"/>
                <w:vertAlign w:val="baseline"/>
                <w:lang w:eastAsia="zh-CN"/>
              </w:rPr>
              <w:t>：</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00mg/L、SS：300mg/L、NH</w:t>
            </w:r>
            <w:r>
              <w:rPr>
                <w:rFonts w:hint="default" w:ascii="Times New Roman" w:hAnsi="Times New Roman" w:eastAsia="宋体" w:cs="Times New Roman"/>
                <w:color w:val="000000"/>
                <w:sz w:val="24"/>
                <w:szCs w:val="24"/>
                <w:vertAlign w:val="subscript"/>
              </w:rPr>
              <w:t>3</w:t>
            </w:r>
            <w:r>
              <w:rPr>
                <w:rFonts w:hint="eastAsia" w:ascii="Times New Roman" w:hAnsi="Times New Roman" w:eastAsia="宋体" w:cs="Times New Roman"/>
                <w:color w:val="000000"/>
                <w:sz w:val="24"/>
                <w:szCs w:val="24"/>
                <w:vertAlign w:val="baseline"/>
                <w:lang w:eastAsia="zh-CN"/>
              </w:rPr>
              <w:t>：</w:t>
            </w:r>
            <w:r>
              <w:rPr>
                <w:rFonts w:hint="default" w:ascii="Times New Roman" w:hAnsi="Times New Roman" w:eastAsia="宋体" w:cs="Times New Roman"/>
                <w:color w:val="000000"/>
                <w:sz w:val="24"/>
                <w:szCs w:val="24"/>
                <w:lang w:val="en-US" w:eastAsia="zh-CN"/>
              </w:rPr>
              <w:t>37.7</w:t>
            </w:r>
            <w:r>
              <w:rPr>
                <w:rFonts w:hint="default" w:ascii="Times New Roman" w:hAnsi="Times New Roman" w:eastAsia="宋体" w:cs="Times New Roman"/>
                <w:color w:val="000000"/>
                <w:sz w:val="24"/>
                <w:szCs w:val="24"/>
              </w:rPr>
              <w:t>mg/L</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总氮</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49.8mg</w:t>
            </w:r>
            <w:r>
              <w:rPr>
                <w:rFonts w:hint="default" w:ascii="Times New Roman" w:hAnsi="Times New Roman" w:eastAsia="宋体" w:cs="Times New Roman"/>
                <w:color w:val="000000"/>
                <w:sz w:val="24"/>
                <w:szCs w:val="24"/>
                <w:lang w:val="en-US" w:eastAsia="zh-CN"/>
              </w:rPr>
              <w:t>/</w:t>
            </w:r>
            <w:r>
              <w:rPr>
                <w:rFonts w:hint="default" w:ascii="Times New Roman" w:hAnsi="Times New Roman" w:eastAsia="宋体" w:cs="Times New Roman"/>
                <w:color w:val="000000"/>
                <w:sz w:val="24"/>
                <w:szCs w:val="24"/>
              </w:rPr>
              <w:t>L，总磷</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4.28mg/</w:t>
            </w:r>
            <w:r>
              <w:rPr>
                <w:rFonts w:hint="default" w:ascii="Times New Roman" w:hAnsi="Times New Roman" w:eastAsia="宋体" w:cs="Times New Roman"/>
                <w:color w:val="000000"/>
                <w:sz w:val="24"/>
                <w:szCs w:val="24"/>
                <w:lang w:val="en-US" w:eastAsia="zh-CN"/>
              </w:rPr>
              <w:t>L</w:t>
            </w:r>
            <w:r>
              <w:rPr>
                <w:rFonts w:hint="default" w:ascii="Times New Roman" w:hAnsi="Times New Roman" w:eastAsia="宋体" w:cs="Times New Roman"/>
                <w:color w:val="000000"/>
                <w:sz w:val="24"/>
                <w:szCs w:val="24"/>
              </w:rPr>
              <w:t>。本项目施工期产生的生活</w:t>
            </w:r>
            <w:r>
              <w:rPr>
                <w:rFonts w:hint="eastAsia" w:ascii="Times New Roman" w:hAnsi="Times New Roman" w:eastAsia="宋体" w:cs="Times New Roman"/>
                <w:color w:val="000000"/>
                <w:sz w:val="24"/>
                <w:szCs w:val="24"/>
                <w:lang w:eastAsia="zh-CN"/>
              </w:rPr>
              <w:t>污水</w:t>
            </w:r>
            <w:r>
              <w:rPr>
                <w:rFonts w:hint="default" w:ascii="Times New Roman" w:hAnsi="Times New Roman" w:eastAsia="宋体" w:cs="Times New Roman"/>
                <w:color w:val="000000"/>
                <w:sz w:val="24"/>
                <w:szCs w:val="24"/>
                <w:lang w:eastAsia="zh-CN"/>
              </w:rPr>
              <w:t>依托</w:t>
            </w:r>
            <w:r>
              <w:rPr>
                <w:rFonts w:hint="eastAsia" w:ascii="Times New Roman" w:hAnsi="Times New Roman" w:eastAsia="宋体" w:cs="Times New Roman"/>
                <w:color w:val="000000"/>
                <w:sz w:val="24"/>
                <w:szCs w:val="24"/>
                <w:lang w:val="en-US" w:eastAsia="zh-CN"/>
              </w:rPr>
              <w:t>厂区</w:t>
            </w:r>
            <w:r>
              <w:rPr>
                <w:rFonts w:hint="default" w:ascii="Times New Roman" w:hAnsi="Times New Roman" w:eastAsia="宋体" w:cs="Times New Roman"/>
                <w:color w:val="000000"/>
                <w:sz w:val="24"/>
                <w:szCs w:val="24"/>
                <w:lang w:eastAsia="zh-CN"/>
              </w:rPr>
              <w:t>已建</w:t>
            </w:r>
            <w:r>
              <w:rPr>
                <w:rFonts w:hint="default" w:ascii="Times New Roman" w:hAnsi="Times New Roman" w:eastAsia="宋体" w:cs="Times New Roman"/>
                <w:color w:val="000000"/>
                <w:sz w:val="24"/>
                <w:szCs w:val="24"/>
              </w:rPr>
              <w:t>预处理池处理达标后排入市政污水管网，再由</w:t>
            </w:r>
            <w:r>
              <w:rPr>
                <w:rFonts w:hint="eastAsia" w:ascii="Times New Roman" w:hAnsi="Times New Roman" w:eastAsia="宋体" w:cs="Times New Roman"/>
                <w:color w:val="000000"/>
                <w:sz w:val="24"/>
                <w:szCs w:val="24"/>
                <w:lang w:eastAsia="zh-CN"/>
              </w:rPr>
              <w:t>星光工业园区污水处理厂</w:t>
            </w:r>
            <w:r>
              <w:rPr>
                <w:rFonts w:hint="default" w:ascii="Times New Roman" w:hAnsi="Times New Roman" w:eastAsia="宋体" w:cs="Times New Roman"/>
                <w:color w:val="000000"/>
                <w:sz w:val="24"/>
                <w:szCs w:val="24"/>
              </w:rPr>
              <w:t>处理达标后排入</w:t>
            </w:r>
            <w:r>
              <w:rPr>
                <w:rFonts w:hint="eastAsia" w:ascii="Times New Roman" w:hAnsi="Times New Roman" w:eastAsia="宋体" w:cs="Times New Roman"/>
                <w:color w:val="000000"/>
                <w:sz w:val="24"/>
                <w:szCs w:val="24"/>
                <w:lang w:eastAsia="zh-CN"/>
              </w:rPr>
              <w:t>巴河</w:t>
            </w:r>
            <w:r>
              <w:rPr>
                <w:rFonts w:hint="default" w:ascii="Times New Roman" w:hAnsi="Times New Roman" w:eastAsia="宋体" w:cs="Times New Roman"/>
                <w:color w:val="000000"/>
                <w:sz w:val="24"/>
                <w:szCs w:val="24"/>
              </w:rPr>
              <w:t>。</w:t>
            </w:r>
          </w:p>
          <w:p w14:paraId="20E33D03">
            <w:pPr>
              <w:pStyle w:val="21"/>
              <w:keepNext w:val="0"/>
              <w:keepLines w:val="0"/>
              <w:pageBreakBefore w:val="0"/>
              <w:widowControl w:val="0"/>
              <w:kinsoku/>
              <w:wordWrap/>
              <w:overflowPunct/>
              <w:topLinePunct w:val="0"/>
              <w:autoSpaceDE/>
              <w:autoSpaceDN/>
              <w:bidi w:val="0"/>
              <w:snapToGrid/>
              <w:spacing w:line="360" w:lineRule="auto"/>
              <w:jc w:val="both"/>
              <w:textAlignment w:val="auto"/>
              <w:rPr>
                <w:rFonts w:hint="eastAsia" w:ascii="宋体" w:hAnsi="宋体" w:eastAsia="宋体" w:cs="宋体"/>
                <w:b/>
                <w:bCs/>
                <w:color w:val="000000"/>
              </w:rPr>
            </w:pPr>
            <w:r>
              <w:rPr>
                <w:rFonts w:hint="eastAsia" w:ascii="宋体" w:hAnsi="宋体" w:eastAsia="宋体" w:cs="宋体"/>
                <w:b/>
                <w:bCs/>
                <w:color w:val="000000"/>
              </w:rPr>
              <w:t>三、施工期噪声防治措施</w:t>
            </w:r>
          </w:p>
          <w:p w14:paraId="3D8BCAF5">
            <w:pPr>
              <w:pStyle w:val="21"/>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rPr>
                <w:rFonts w:hint="eastAsia" w:ascii="宋体" w:hAnsi="宋体" w:eastAsia="宋体" w:cs="宋体"/>
                <w:color w:val="000000"/>
              </w:rPr>
            </w:pPr>
            <w:r>
              <w:rPr>
                <w:rFonts w:hint="eastAsia" w:ascii="宋体" w:hAnsi="宋体" w:eastAsia="宋体" w:cs="宋体"/>
                <w:color w:val="000000"/>
              </w:rPr>
              <w:t>施工期装修过</w:t>
            </w:r>
            <w:r>
              <w:rPr>
                <w:rFonts w:hint="eastAsia" w:ascii="宋体" w:hAnsi="宋体" w:eastAsia="宋体" w:cs="宋体"/>
                <w:color w:val="000000"/>
                <w:lang w:eastAsia="zh-CN"/>
              </w:rPr>
              <w:t>程中</w:t>
            </w:r>
            <w:r>
              <w:rPr>
                <w:rFonts w:hint="eastAsia" w:ascii="宋体" w:hAnsi="宋体" w:eastAsia="宋体" w:cs="宋体"/>
                <w:color w:val="000000"/>
              </w:rPr>
              <w:t>使用的机械（如电钻、手工钻等）噪声值在75dB(A</w:t>
            </w:r>
            <w:r>
              <w:rPr>
                <w:rFonts w:hint="eastAsia" w:ascii="宋体" w:hAnsi="宋体" w:eastAsia="宋体" w:cs="宋体"/>
                <w:color w:val="000000"/>
                <w:lang w:eastAsia="zh-CN"/>
              </w:rPr>
              <w:t>））</w:t>
            </w:r>
            <w:r>
              <w:rPr>
                <w:rFonts w:hint="eastAsia" w:ascii="宋体" w:hAnsi="宋体" w:eastAsia="宋体" w:cs="宋体"/>
                <w:color w:val="000000"/>
              </w:rPr>
              <w:t>以上。施工过程中的噪声会对外环境带来一定的影响。施工噪声影响是暂时的，将随施工期的结束而消失，施工噪声对周边环境影响较小。为实现噪声达标排放，本次评价建议施工期采取以下噪声防治措施，进一步减轻施工噪声对周边环境的影响，具体如下：</w:t>
            </w:r>
          </w:p>
          <w:p w14:paraId="5BBF2AF5">
            <w:pPr>
              <w:pStyle w:val="78"/>
              <w:keepNext w:val="0"/>
              <w:keepLines w:val="0"/>
              <w:pageBreakBefore w:val="0"/>
              <w:widowControl w:val="0"/>
              <w:kinsoku/>
              <w:wordWrap/>
              <w:overflowPunct/>
              <w:topLinePunct w:val="0"/>
              <w:autoSpaceDE/>
              <w:autoSpaceDN/>
              <w:bidi w:val="0"/>
              <w:snapToGrid/>
              <w:ind w:firstLine="480"/>
              <w:textAlignment w:val="auto"/>
              <w:rPr>
                <w:rFonts w:hint="eastAsia" w:cs="Times New Roman"/>
                <w:color w:val="000000"/>
              </w:rPr>
            </w:pPr>
            <w:r>
              <w:rPr>
                <w:rFonts w:hint="eastAsia" w:ascii="宋体" w:hAnsi="宋体" w:cs="宋体"/>
                <w:color w:val="000000"/>
                <w:szCs w:val="24"/>
              </w:rPr>
              <w:t>①</w:t>
            </w:r>
            <w:r>
              <w:rPr>
                <w:rFonts w:hint="eastAsia" w:cs="Times New Roman"/>
                <w:color w:val="000000"/>
              </w:rPr>
              <w:t>合理安排施工时间，建设工程项目严禁在22时至次日6时进行产生环境噪声污染的施工作业，因工艺要求或者特殊需要确需进行夜间施工的必须办理《夜间施工许可证》。夜间施工严禁</w:t>
            </w:r>
            <w:r>
              <w:rPr>
                <w:rFonts w:hint="eastAsia" w:cs="Times New Roman"/>
                <w:color w:val="000000"/>
                <w:lang w:eastAsia="zh-CN"/>
              </w:rPr>
              <w:t>锤打</w:t>
            </w:r>
            <w:r>
              <w:rPr>
                <w:rFonts w:hint="eastAsia" w:cs="Times New Roman"/>
                <w:color w:val="000000"/>
              </w:rPr>
              <w:t>、敲击和金属切割、装卸钢管钢筋等易产生高噪声的作业。施工单位要合理安排施工工序，尽可能减少夜间施工作业时间。因施工需要确需进行夜间施工的，应尽可能安排在周末时段，并在高噪声点位设置</w:t>
            </w:r>
            <w:r>
              <w:rPr>
                <w:rFonts w:hint="eastAsia" w:cs="Times New Roman"/>
                <w:color w:val="000000"/>
                <w:lang w:eastAsia="zh-CN"/>
              </w:rPr>
              <w:t>吸声</w:t>
            </w:r>
            <w:r>
              <w:rPr>
                <w:rFonts w:hint="eastAsia" w:cs="Times New Roman"/>
                <w:color w:val="000000"/>
              </w:rPr>
              <w:t>措施。</w:t>
            </w:r>
          </w:p>
          <w:p w14:paraId="336BBDFE">
            <w:pPr>
              <w:pStyle w:val="78"/>
              <w:keepNext w:val="0"/>
              <w:keepLines w:val="0"/>
              <w:pageBreakBefore w:val="0"/>
              <w:widowControl w:val="0"/>
              <w:kinsoku/>
              <w:wordWrap/>
              <w:overflowPunct/>
              <w:topLinePunct w:val="0"/>
              <w:autoSpaceDE/>
              <w:autoSpaceDN/>
              <w:bidi w:val="0"/>
              <w:snapToGrid/>
              <w:ind w:firstLine="480"/>
              <w:textAlignment w:val="auto"/>
              <w:rPr>
                <w:rFonts w:cs="Times New Roman"/>
                <w:color w:val="000000"/>
              </w:rPr>
            </w:pPr>
            <w:r>
              <w:rPr>
                <w:rFonts w:cs="Times New Roman"/>
                <w:color w:val="000000"/>
              </w:rPr>
              <w:t>②材料装卸设备，以及产生噪声的机具，安排在白天作业，并尽量选用低噪设备。</w:t>
            </w:r>
          </w:p>
          <w:p w14:paraId="4DDDF159">
            <w:pPr>
              <w:pStyle w:val="78"/>
              <w:keepNext w:val="0"/>
              <w:keepLines w:val="0"/>
              <w:pageBreakBefore w:val="0"/>
              <w:widowControl w:val="0"/>
              <w:kinsoku/>
              <w:wordWrap/>
              <w:overflowPunct/>
              <w:topLinePunct w:val="0"/>
              <w:autoSpaceDE/>
              <w:autoSpaceDN/>
              <w:bidi w:val="0"/>
              <w:snapToGrid/>
              <w:ind w:firstLine="480"/>
              <w:textAlignment w:val="auto"/>
              <w:rPr>
                <w:rFonts w:cs="Times New Roman"/>
                <w:color w:val="000000"/>
              </w:rPr>
            </w:pPr>
            <w:r>
              <w:rPr>
                <w:rFonts w:cs="Times New Roman"/>
                <w:color w:val="000000"/>
              </w:rPr>
              <w:t>施工期噪声经过采取上述措施治理后，其施工期间的场界噪声可以满足</w:t>
            </w:r>
            <w:r>
              <w:rPr>
                <w:rFonts w:hint="eastAsia" w:cs="Times New Roman"/>
                <w:color w:val="000000"/>
                <w:lang w:eastAsia="zh-CN"/>
              </w:rPr>
              <w:t>《建筑施工噪声排放标准》(GB12523-2025)</w:t>
            </w:r>
            <w:r>
              <w:rPr>
                <w:rFonts w:cs="Times New Roman"/>
                <w:color w:val="000000"/>
              </w:rPr>
              <w:t>标准的要求，实现达标排放，不会对周围声学环境产生不利影响。</w:t>
            </w:r>
          </w:p>
          <w:p w14:paraId="1E276F54">
            <w:pPr>
              <w:keepNext w:val="0"/>
              <w:keepLines w:val="0"/>
              <w:pageBreakBefore w:val="0"/>
              <w:widowControl w:val="0"/>
              <w:kinsoku/>
              <w:wordWrap/>
              <w:overflowPunct/>
              <w:topLinePunct w:val="0"/>
              <w:autoSpaceDE/>
              <w:autoSpaceDN/>
              <w:bidi w:val="0"/>
              <w:snapToGrid/>
              <w:spacing w:line="360" w:lineRule="auto"/>
              <w:textAlignment w:val="auto"/>
              <w:rPr>
                <w:rFonts w:hint="eastAsia" w:ascii="宋体" w:hAnsi="宋体" w:cs="宋体"/>
                <w:b/>
                <w:bCs/>
                <w:color w:val="000000"/>
                <w:sz w:val="24"/>
              </w:rPr>
            </w:pPr>
            <w:r>
              <w:rPr>
                <w:rFonts w:hint="eastAsia" w:ascii="宋体" w:hAnsi="宋体" w:cs="宋体"/>
                <w:b/>
                <w:bCs/>
                <w:color w:val="000000"/>
                <w:sz w:val="24"/>
              </w:rPr>
              <w:t>四、固体废物</w:t>
            </w:r>
          </w:p>
          <w:p w14:paraId="2A674750">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lang w:eastAsia="zh-CN"/>
              </w:rPr>
              <w:t>1.</w:t>
            </w:r>
            <w:r>
              <w:rPr>
                <w:rFonts w:hint="eastAsia" w:ascii="宋体" w:hAnsi="宋体" w:cs="宋体"/>
                <w:color w:val="000000"/>
                <w:sz w:val="24"/>
              </w:rPr>
              <w:t>建筑垃圾、废装修材料、包装材料</w:t>
            </w:r>
          </w:p>
          <w:p w14:paraId="5FAC80E6">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施工期</w:t>
            </w:r>
            <w:r>
              <w:rPr>
                <w:rFonts w:hint="eastAsia" w:ascii="宋体" w:hAnsi="宋体" w:cs="宋体"/>
                <w:color w:val="000000"/>
                <w:sz w:val="24"/>
                <w:lang w:val="en-US" w:eastAsia="zh-CN"/>
              </w:rPr>
              <w:t>主体工程施工、</w:t>
            </w:r>
            <w:r>
              <w:rPr>
                <w:rFonts w:hint="eastAsia" w:ascii="宋体" w:hAnsi="宋体" w:cs="宋体"/>
                <w:color w:val="000000"/>
                <w:sz w:val="24"/>
              </w:rPr>
              <w:t>设备安装、厂内电路改造、</w:t>
            </w:r>
            <w:r>
              <w:rPr>
                <w:rFonts w:hint="default" w:ascii="Times New Roman" w:hAnsi="Times New Roman" w:cs="Times New Roman"/>
                <w:color w:val="000000"/>
                <w:sz w:val="24"/>
              </w:rPr>
              <w:t>场地清扫等将产生少量钻孔废渣、装修边角料、设备外包装材料等固体废物，预计产生量约0.3t。项目产生的</w:t>
            </w:r>
            <w:r>
              <w:rPr>
                <w:rFonts w:hint="eastAsia" w:ascii="Times New Roman" w:hAnsi="Times New Roman" w:cs="Times New Roman"/>
                <w:color w:val="000000"/>
                <w:sz w:val="24"/>
                <w:lang w:val="en-US" w:eastAsia="zh-CN"/>
              </w:rPr>
              <w:t>建筑废渣</w:t>
            </w:r>
            <w:r>
              <w:rPr>
                <w:rFonts w:hint="default" w:ascii="Times New Roman" w:hAnsi="Times New Roman" w:cs="Times New Roman"/>
                <w:color w:val="000000"/>
                <w:sz w:val="24"/>
              </w:rPr>
              <w:t>经集中收集后，统一转运至政府指定的建筑垃圾消纳场地规范堆放处置；将装修边角料、废包装材料外售给废品站；施工期的固体</w:t>
            </w:r>
            <w:r>
              <w:rPr>
                <w:rFonts w:hint="eastAsia" w:ascii="宋体" w:hAnsi="宋体" w:cs="宋体"/>
                <w:color w:val="000000"/>
                <w:sz w:val="24"/>
              </w:rPr>
              <w:t>废弃物可实现清洁处理和处置，不致造成二次污染。</w:t>
            </w:r>
          </w:p>
          <w:p w14:paraId="0CF1B09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lang w:eastAsia="zh-CN"/>
              </w:rPr>
              <w:t>2.</w:t>
            </w:r>
            <w:r>
              <w:rPr>
                <w:rFonts w:hint="eastAsia" w:ascii="宋体" w:hAnsi="宋体" w:cs="宋体"/>
                <w:color w:val="000000"/>
                <w:sz w:val="24"/>
              </w:rPr>
              <w:t>生活垃圾</w:t>
            </w:r>
          </w:p>
          <w:p w14:paraId="34B6DF2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本项目施工人员约10人，生活垃圾产生量按0.5kg/人·d，预计产生总量为5.0kg/d，经袋装收集后，由环卫部门统一清运处理。</w:t>
            </w:r>
          </w:p>
          <w:p w14:paraId="7DA3218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color w:val="000000"/>
              </w:rPr>
            </w:pPr>
            <w:r>
              <w:rPr>
                <w:rFonts w:hint="eastAsia" w:ascii="宋体" w:hAnsi="宋体" w:cs="宋体"/>
                <w:color w:val="000000"/>
                <w:sz w:val="24"/>
              </w:rPr>
              <w:t>综上分析，本项目在施工过程中，由于施工点规模不大，工程量较小，且施工时间较短，且大量物料均为外购，对周围环境的影响较小。待施工完全结束后，施工期大气、水、噪声污染将消失，建筑垃圾、装修废料等可得到合理的</w:t>
            </w:r>
            <w:r>
              <w:rPr>
                <w:rFonts w:hint="eastAsia" w:ascii="宋体" w:hAnsi="宋体" w:cs="宋体"/>
                <w:color w:val="000000"/>
                <w:sz w:val="24"/>
                <w:lang w:eastAsia="zh-CN"/>
              </w:rPr>
              <w:t>处</w:t>
            </w:r>
            <w:r>
              <w:rPr>
                <w:rFonts w:hint="eastAsia" w:ascii="宋体" w:hAnsi="宋体" w:cs="宋体"/>
                <w:color w:val="000000"/>
                <w:sz w:val="24"/>
              </w:rPr>
              <w:t>置，不会造成二次污染。</w:t>
            </w:r>
          </w:p>
          <w:p w14:paraId="75E1F441">
            <w:pPr>
              <w:keepNext w:val="0"/>
              <w:keepLines w:val="0"/>
              <w:pageBreakBefore w:val="0"/>
              <w:widowControl w:val="0"/>
              <w:kinsoku/>
              <w:wordWrap/>
              <w:overflowPunct/>
              <w:topLinePunct w:val="0"/>
              <w:autoSpaceDE/>
              <w:autoSpaceDN/>
              <w:bidi w:val="0"/>
              <w:spacing w:line="360" w:lineRule="auto"/>
              <w:ind w:left="0" w:right="0" w:firstLine="420" w:firstLineChars="200"/>
              <w:textAlignment w:val="auto"/>
              <w:rPr>
                <w:rFonts w:hint="default" w:ascii="Times New Roman" w:hAnsi="Times New Roman" w:eastAsia="宋体" w:cs="Times New Roman"/>
                <w:color w:val="000000"/>
              </w:rPr>
            </w:pPr>
          </w:p>
        </w:tc>
      </w:tr>
      <w:tr w14:paraId="055D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5" w:hRule="atLeast"/>
          <w:jc w:val="center"/>
        </w:trPr>
        <w:tc>
          <w:tcPr>
            <w:tcW w:w="405" w:type="dxa"/>
            <w:noWrap w:val="0"/>
            <w:tcMar>
              <w:left w:w="28" w:type="dxa"/>
              <w:right w:w="28" w:type="dxa"/>
            </w:tcMar>
            <w:vAlign w:val="center"/>
          </w:tcPr>
          <w:p w14:paraId="58361045">
            <w:pPr>
              <w:adjustRightInd w:val="0"/>
              <w:snapToGrid w:val="0"/>
              <w:jc w:val="center"/>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运营</w:t>
            </w:r>
          </w:p>
          <w:p w14:paraId="7BB2493F">
            <w:pPr>
              <w:adjustRightInd w:val="0"/>
              <w:snapToGrid w:val="0"/>
              <w:jc w:val="center"/>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期环</w:t>
            </w:r>
          </w:p>
          <w:p w14:paraId="34723A15">
            <w:pPr>
              <w:adjustRightInd w:val="0"/>
              <w:snapToGrid w:val="0"/>
              <w:jc w:val="center"/>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境影</w:t>
            </w:r>
          </w:p>
          <w:p w14:paraId="1969A970">
            <w:pPr>
              <w:adjustRightInd w:val="0"/>
              <w:snapToGrid w:val="0"/>
              <w:jc w:val="center"/>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响和</w:t>
            </w:r>
          </w:p>
          <w:p w14:paraId="6260FCA8">
            <w:pPr>
              <w:adjustRightInd w:val="0"/>
              <w:snapToGrid w:val="0"/>
              <w:jc w:val="center"/>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保护</w:t>
            </w:r>
          </w:p>
          <w:p w14:paraId="5292E6E1">
            <w:pPr>
              <w:adjustRightInd w:val="0"/>
              <w:snapToGrid w:val="0"/>
              <w:jc w:val="center"/>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措施</w:t>
            </w:r>
          </w:p>
        </w:tc>
        <w:tc>
          <w:tcPr>
            <w:tcW w:w="8862" w:type="dxa"/>
            <w:noWrap w:val="0"/>
            <w:vAlign w:val="center"/>
          </w:tcPr>
          <w:p w14:paraId="225C547F">
            <w:pPr>
              <w:pStyle w:val="10"/>
              <w:keepNext w:val="0"/>
              <w:keepLines w:val="0"/>
              <w:pageBreakBefore w:val="0"/>
              <w:widowControl/>
              <w:kinsoku/>
              <w:wordWrap/>
              <w:overflowPunct/>
              <w:topLinePunct w:val="0"/>
              <w:autoSpaceDE/>
              <w:autoSpaceDN/>
              <w:bidi w:val="0"/>
              <w:adjustRightInd/>
              <w:snapToGrid w:val="0"/>
              <w:spacing w:before="0" w:after="0" w:line="360" w:lineRule="auto"/>
              <w:ind w:left="0" w:right="0"/>
              <w:textAlignment w:val="auto"/>
              <w:rPr>
                <w:rFonts w:hint="default" w:ascii="Times New Roman" w:hAnsi="Times New Roman" w:eastAsia="宋体" w:cs="Times New Roman"/>
                <w:b/>
                <w:bCs/>
                <w:color w:val="000000"/>
                <w:sz w:val="28"/>
                <w:szCs w:val="28"/>
                <w:highlight w:val="none"/>
              </w:rPr>
            </w:pPr>
            <w:r>
              <w:rPr>
                <w:rFonts w:hint="default" w:ascii="Times New Roman" w:hAnsi="Times New Roman" w:eastAsia="宋体" w:cs="Times New Roman"/>
                <w:b/>
                <w:bCs/>
                <w:color w:val="000000"/>
                <w:sz w:val="28"/>
                <w:szCs w:val="28"/>
                <w:highlight w:val="none"/>
              </w:rPr>
              <w:t>一、废水</w:t>
            </w:r>
          </w:p>
          <w:p w14:paraId="6C10DF45">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eastAsia" w:ascii="Times New Roman" w:hAnsi="Times New Roman" w:eastAsia="宋体" w:cs="Times New Roman"/>
                <w:color w:val="000000"/>
                <w:sz w:val="24"/>
                <w:highlight w:val="none"/>
                <w:lang w:eastAsia="zh-CN"/>
              </w:rPr>
            </w:pPr>
            <w:r>
              <w:rPr>
                <w:rFonts w:hint="eastAsia" w:ascii="Times New Roman" w:hAnsi="Times New Roman" w:eastAsia="宋体" w:cs="Times New Roman"/>
                <w:color w:val="000000"/>
                <w:sz w:val="24"/>
                <w:highlight w:val="none"/>
                <w:lang w:eastAsia="zh-CN"/>
              </w:rPr>
              <w:t>本项目运输车辆不需要冲洗，地面采用干式清扫，不冲洗，不涉及地面清洁废水和车辆冲洗废水，项目废水主要是生活污水、冷却塔定期排污水、脱硫塔废水、初期雨水。</w:t>
            </w:r>
          </w:p>
          <w:p w14:paraId="52D8A802">
            <w:pPr>
              <w:keepNext w:val="0"/>
              <w:keepLines w:val="0"/>
              <w:pageBreakBefore w:val="0"/>
              <w:numPr>
                <w:ilvl w:val="0"/>
                <w:numId w:val="24"/>
              </w:numPr>
              <w:kinsoku/>
              <w:wordWrap/>
              <w:overflowPunct/>
              <w:topLinePunct w:val="0"/>
              <w:autoSpaceDE/>
              <w:autoSpaceDN/>
              <w:bidi w:val="0"/>
              <w:adjustRightInd/>
              <w:spacing w:line="360" w:lineRule="auto"/>
              <w:ind w:left="0" w:firstLine="482"/>
              <w:textAlignment w:val="auto"/>
              <w:rPr>
                <w:rFonts w:hint="default" w:ascii="Times New Roman" w:hAnsi="Times New Roman" w:eastAsia="宋体" w:cs="Times New Roman"/>
                <w:b/>
                <w:bCs/>
                <w:color w:val="000000"/>
                <w:sz w:val="24"/>
                <w:highlight w:val="none"/>
              </w:rPr>
            </w:pPr>
            <w:r>
              <w:rPr>
                <w:rFonts w:hint="default" w:ascii="Times New Roman" w:hAnsi="Times New Roman" w:eastAsia="宋体" w:cs="Times New Roman"/>
                <w:b/>
                <w:bCs/>
                <w:color w:val="000000"/>
                <w:sz w:val="24"/>
                <w:highlight w:val="none"/>
              </w:rPr>
              <w:t>废水污染源强及治理措施</w:t>
            </w:r>
          </w:p>
          <w:p w14:paraId="3669AA63">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宋体" w:cs="Times New Roman"/>
                <w:b/>
                <w:bCs/>
                <w:color w:val="000000"/>
                <w:sz w:val="24"/>
                <w:highlight w:val="none"/>
                <w:lang w:eastAsia="zh-CN"/>
              </w:rPr>
            </w:pPr>
            <w:r>
              <w:rPr>
                <w:rFonts w:hint="default" w:ascii="Times New Roman" w:hAnsi="Times New Roman" w:eastAsia="宋体" w:cs="Times New Roman"/>
                <w:b/>
                <w:bCs/>
                <w:color w:val="000000"/>
                <w:sz w:val="24"/>
                <w:highlight w:val="none"/>
              </w:rPr>
              <w:t>（1）</w:t>
            </w:r>
            <w:r>
              <w:rPr>
                <w:rFonts w:hint="eastAsia" w:ascii="Times New Roman" w:hAnsi="Times New Roman" w:eastAsia="宋体" w:cs="Times New Roman"/>
                <w:b/>
                <w:bCs/>
                <w:color w:val="000000"/>
                <w:sz w:val="24"/>
                <w:highlight w:val="none"/>
                <w:lang w:eastAsia="zh-CN"/>
              </w:rPr>
              <w:t>生活污水</w:t>
            </w:r>
          </w:p>
          <w:p w14:paraId="483371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eastAsia="zh-CN"/>
              </w:rPr>
              <w:t>根据前文水平衡分析，项目</w:t>
            </w:r>
            <w:r>
              <w:rPr>
                <w:rFonts w:hint="eastAsia" w:ascii="Times New Roman" w:hAnsi="Times New Roman" w:eastAsia="宋体" w:cs="Times New Roman"/>
                <w:color w:val="000000"/>
                <w:sz w:val="24"/>
                <w:szCs w:val="24"/>
                <w:highlight w:val="none"/>
                <w:lang w:val="en-US" w:eastAsia="zh-CN"/>
              </w:rPr>
              <w:t>新增</w:t>
            </w:r>
            <w:r>
              <w:rPr>
                <w:rFonts w:hint="default" w:ascii="Times New Roman" w:hAnsi="Times New Roman" w:eastAsia="宋体" w:cs="Times New Roman"/>
                <w:color w:val="000000"/>
                <w:sz w:val="24"/>
                <w:szCs w:val="24"/>
                <w:highlight w:val="none"/>
                <w:lang w:eastAsia="zh-CN"/>
              </w:rPr>
              <w:t>生活污水量为</w:t>
            </w:r>
            <w:r>
              <w:rPr>
                <w:rFonts w:hint="eastAsia" w:ascii="Times New Roman" w:hAnsi="Times New Roman" w:eastAsia="宋体" w:cs="Times New Roman"/>
                <w:color w:val="000000"/>
                <w:sz w:val="24"/>
                <w:szCs w:val="24"/>
                <w:highlight w:val="none"/>
                <w:lang w:val="en-US" w:eastAsia="zh-CN"/>
              </w:rPr>
              <w:t>0.816</w:t>
            </w:r>
            <w:r>
              <w:rPr>
                <w:rFonts w:hint="default" w:ascii="Times New Roman" w:hAnsi="Times New Roman" w:cs="Times New Roman"/>
                <w:color w:val="000000"/>
                <w:sz w:val="24"/>
                <w:highlight w:val="none"/>
              </w:rPr>
              <w:t>m</w:t>
            </w:r>
            <w:r>
              <w:rPr>
                <w:rFonts w:hint="default" w:ascii="Times New Roman" w:hAnsi="Times New Roman" w:cs="Times New Roman"/>
                <w:color w:val="000000"/>
                <w:sz w:val="24"/>
                <w:highlight w:val="none"/>
                <w:vertAlign w:val="superscript"/>
              </w:rPr>
              <w:t>3</w:t>
            </w:r>
            <w:r>
              <w:rPr>
                <w:rFonts w:hint="default" w:ascii="Times New Roman" w:hAnsi="Times New Roman" w:cs="Times New Roman"/>
                <w:color w:val="000000"/>
                <w:sz w:val="24"/>
                <w:highlight w:val="none"/>
              </w:rPr>
              <w:t>/d（折合</w:t>
            </w:r>
            <w:r>
              <w:rPr>
                <w:rFonts w:hint="eastAsia" w:ascii="Times New Roman" w:hAnsi="Times New Roman" w:eastAsia="宋体" w:cs="Times New Roman"/>
                <w:b w:val="0"/>
                <w:bCs w:val="0"/>
                <w:color w:val="000000"/>
                <w:sz w:val="24"/>
                <w:szCs w:val="22"/>
                <w:highlight w:val="none"/>
                <w:lang w:val="en-US" w:eastAsia="zh-CN"/>
              </w:rPr>
              <w:t>269.28</w:t>
            </w:r>
            <w:r>
              <w:rPr>
                <w:rFonts w:hint="default" w:ascii="Times New Roman" w:hAnsi="Times New Roman" w:cs="Times New Roman"/>
                <w:color w:val="000000"/>
                <w:sz w:val="24"/>
                <w:highlight w:val="none"/>
              </w:rPr>
              <w:t>m</w:t>
            </w:r>
            <w:r>
              <w:rPr>
                <w:rFonts w:hint="default" w:ascii="Times New Roman" w:hAnsi="Times New Roman" w:cs="Times New Roman"/>
                <w:color w:val="000000"/>
                <w:sz w:val="24"/>
                <w:highlight w:val="none"/>
                <w:vertAlign w:val="superscript"/>
              </w:rPr>
              <w:t>3</w:t>
            </w:r>
            <w:r>
              <w:rPr>
                <w:rFonts w:hint="default" w:ascii="Times New Roman" w:hAnsi="Times New Roman" w:cs="Times New Roman"/>
                <w:color w:val="000000"/>
                <w:sz w:val="24"/>
                <w:highlight w:val="none"/>
              </w:rPr>
              <w:t>/a）</w:t>
            </w:r>
            <w:r>
              <w:rPr>
                <w:rFonts w:hint="eastAsia" w:ascii="宋体" w:hAnsi="宋体" w:cs="宋体"/>
                <w:color w:val="000000"/>
                <w:sz w:val="24"/>
                <w:highlight w:val="none"/>
                <w:lang w:eastAsia="zh-CN"/>
              </w:rPr>
              <w:t>，食堂废水</w:t>
            </w:r>
            <w:r>
              <w:rPr>
                <w:rFonts w:hint="default" w:ascii="Times New Roman" w:hAnsi="Times New Roman" w:cs="Times New Roman"/>
                <w:color w:val="000000"/>
                <w:sz w:val="24"/>
                <w:szCs w:val="24"/>
                <w:lang w:eastAsia="zh-CN"/>
              </w:rPr>
              <w:t>量</w:t>
            </w:r>
            <w:r>
              <w:rPr>
                <w:rFonts w:hint="eastAsia" w:ascii="宋体" w:hAnsi="宋体" w:cs="宋体"/>
                <w:color w:val="000000"/>
                <w:sz w:val="24"/>
                <w:highlight w:val="none"/>
                <w:lang w:val="en-US" w:eastAsia="zh-CN"/>
              </w:rPr>
              <w:t>新增</w:t>
            </w:r>
            <w:r>
              <w:rPr>
                <w:rFonts w:hint="default" w:ascii="Times New Roman" w:hAnsi="Times New Roman" w:cs="Times New Roman"/>
                <w:color w:val="000000"/>
                <w:sz w:val="24"/>
                <w:szCs w:val="24"/>
                <w:lang w:eastAsia="zh-CN"/>
              </w:rPr>
              <w:t>约</w:t>
            </w:r>
            <w:r>
              <w:rPr>
                <w:rFonts w:hint="eastAsia" w:ascii="Times New Roman" w:hAnsi="Times New Roman" w:cs="Times New Roman"/>
                <w:color w:val="000000"/>
                <w:sz w:val="24"/>
                <w:szCs w:val="24"/>
                <w:lang w:val="en-US" w:eastAsia="zh-CN"/>
              </w:rPr>
              <w:t>0.272</w:t>
            </w:r>
            <w:r>
              <w:rPr>
                <w:rFonts w:hint="default" w:ascii="Times New Roman" w:hAnsi="Times New Roman" w:cs="Times New Roman"/>
                <w:color w:val="000000"/>
                <w:sz w:val="24"/>
                <w:szCs w:val="24"/>
                <w:lang w:eastAsia="zh-CN"/>
              </w:rPr>
              <w:t>m</w:t>
            </w:r>
            <w:r>
              <w:rPr>
                <w:rFonts w:hint="default" w:ascii="Times New Roman" w:hAnsi="Times New Roman" w:cs="Times New Roman"/>
                <w:color w:val="000000"/>
                <w:sz w:val="24"/>
                <w:szCs w:val="24"/>
                <w:vertAlign w:val="superscript"/>
                <w:lang w:eastAsia="zh-CN"/>
              </w:rPr>
              <w:t>3</w:t>
            </w:r>
            <w:r>
              <w:rPr>
                <w:rFonts w:hint="default" w:ascii="Times New Roman" w:hAnsi="Times New Roman" w:cs="Times New Roman"/>
                <w:color w:val="000000"/>
                <w:sz w:val="24"/>
                <w:szCs w:val="24"/>
                <w:lang w:eastAsia="zh-CN"/>
              </w:rPr>
              <w:t>/d、</w:t>
            </w:r>
            <w:r>
              <w:rPr>
                <w:rFonts w:hint="eastAsia" w:ascii="Times New Roman" w:hAnsi="Times New Roman" w:cs="Times New Roman"/>
                <w:color w:val="000000"/>
                <w:sz w:val="24"/>
                <w:szCs w:val="24"/>
                <w:lang w:val="en-US" w:eastAsia="zh-CN"/>
              </w:rPr>
              <w:t>89.76</w:t>
            </w:r>
            <w:r>
              <w:rPr>
                <w:rFonts w:hint="default" w:ascii="Times New Roman" w:hAnsi="Times New Roman" w:cs="Times New Roman"/>
                <w:color w:val="000000"/>
                <w:sz w:val="24"/>
                <w:szCs w:val="24"/>
                <w:lang w:eastAsia="zh-CN"/>
              </w:rPr>
              <w:t>m</w:t>
            </w:r>
            <w:r>
              <w:rPr>
                <w:rFonts w:hint="default" w:ascii="Times New Roman" w:hAnsi="Times New Roman" w:cs="Times New Roman"/>
                <w:color w:val="000000"/>
                <w:sz w:val="24"/>
                <w:szCs w:val="24"/>
                <w:vertAlign w:val="superscript"/>
                <w:lang w:eastAsia="zh-CN"/>
              </w:rPr>
              <w:t>3</w:t>
            </w:r>
            <w:r>
              <w:rPr>
                <w:rFonts w:hint="default" w:ascii="Times New Roman" w:hAnsi="Times New Roman" w:cs="Times New Roman"/>
                <w:color w:val="000000"/>
                <w:sz w:val="24"/>
                <w:szCs w:val="24"/>
                <w:lang w:eastAsia="zh-CN"/>
              </w:rPr>
              <w:t>/a，</w:t>
            </w:r>
            <w:r>
              <w:rPr>
                <w:rFonts w:hint="eastAsia" w:ascii="宋体" w:hAnsi="宋体" w:cs="宋体"/>
                <w:color w:val="000000"/>
                <w:sz w:val="24"/>
                <w:highlight w:val="none"/>
                <w:lang w:eastAsia="zh-CN"/>
              </w:rPr>
              <w:t>根据《生活源产排污核算系数手册》，</w:t>
            </w:r>
            <w:r>
              <w:rPr>
                <w:rFonts w:ascii="Times New Roman" w:hAnsi="Times New Roman"/>
                <w:color w:val="000000"/>
                <w:sz w:val="24"/>
                <w:szCs w:val="24"/>
                <w:highlight w:val="none"/>
                <w:lang w:val="en-US" w:eastAsia="zh-CN"/>
              </w:rPr>
              <w:t>主要污染物为COD、</w:t>
            </w:r>
            <w:r>
              <w:rPr>
                <w:rFonts w:hint="eastAsia" w:ascii="Times New Roman" w:hAnsi="Times New Roman"/>
                <w:color w:val="000000"/>
                <w:sz w:val="24"/>
                <w:szCs w:val="24"/>
                <w:highlight w:val="none"/>
                <w:lang w:val="en-US" w:eastAsia="zh-CN"/>
              </w:rPr>
              <w:t>BOD</w:t>
            </w:r>
            <w:r>
              <w:rPr>
                <w:rFonts w:hint="eastAsia" w:ascii="Times New Roman" w:hAnsi="Times New Roman"/>
                <w:color w:val="000000"/>
                <w:sz w:val="24"/>
                <w:szCs w:val="24"/>
                <w:highlight w:val="none"/>
                <w:vertAlign w:val="subscript"/>
                <w:lang w:val="en-US" w:eastAsia="zh-CN"/>
              </w:rPr>
              <w:t>5</w:t>
            </w:r>
            <w:r>
              <w:rPr>
                <w:rFonts w:hint="eastAsia" w:ascii="Times New Roman" w:hAnsi="Times New Roman"/>
                <w:color w:val="000000"/>
                <w:sz w:val="24"/>
                <w:szCs w:val="24"/>
                <w:highlight w:val="none"/>
                <w:lang w:val="en-US" w:eastAsia="zh-CN"/>
              </w:rPr>
              <w:t>、</w:t>
            </w:r>
            <w:r>
              <w:rPr>
                <w:rFonts w:ascii="Times New Roman" w:hAnsi="Times New Roman"/>
                <w:color w:val="000000"/>
                <w:sz w:val="24"/>
                <w:szCs w:val="24"/>
                <w:highlight w:val="none"/>
                <w:lang w:val="en-US" w:eastAsia="zh-CN"/>
              </w:rPr>
              <w:t>SS</w:t>
            </w:r>
            <w:r>
              <w:rPr>
                <w:rFonts w:hint="eastAsia" w:ascii="Times New Roman" w:hAnsi="Times New Roman"/>
                <w:color w:val="000000"/>
                <w:sz w:val="24"/>
                <w:szCs w:val="24"/>
                <w:highlight w:val="none"/>
                <w:lang w:val="en-US" w:eastAsia="zh-CN"/>
              </w:rPr>
              <w:t>、</w:t>
            </w:r>
            <w:r>
              <w:rPr>
                <w:rFonts w:ascii="Times New Roman" w:hAnsi="Times New Roman"/>
                <w:color w:val="000000"/>
                <w:sz w:val="24"/>
                <w:szCs w:val="24"/>
                <w:highlight w:val="none"/>
                <w:lang w:val="en-US" w:eastAsia="zh-CN"/>
              </w:rPr>
              <w:t>氨氮</w:t>
            </w:r>
            <w:r>
              <w:rPr>
                <w:rFonts w:hint="eastAsia" w:ascii="Times New Roman" w:hAnsi="Times New Roman"/>
                <w:color w:val="000000"/>
                <w:sz w:val="24"/>
                <w:szCs w:val="24"/>
                <w:highlight w:val="none"/>
                <w:lang w:val="en-US" w:eastAsia="zh-CN"/>
              </w:rPr>
              <w:t>、总磷，其污染物产生浓度分别为</w:t>
            </w:r>
            <w:r>
              <w:rPr>
                <w:rFonts w:hint="default" w:ascii="Times New Roman" w:hAnsi="Times New Roman" w:cs="Times New Roman"/>
                <w:color w:val="000000"/>
                <w:sz w:val="24"/>
                <w:szCs w:val="24"/>
                <w:highlight w:val="none"/>
                <w:lang w:val="en-US" w:eastAsia="zh-CN"/>
              </w:rPr>
              <w:t>3</w:t>
            </w:r>
            <w:r>
              <w:rPr>
                <w:rFonts w:hint="eastAsia" w:ascii="Times New Roman" w:hAnsi="Times New Roman" w:cs="Times New Roman"/>
                <w:color w:val="000000"/>
                <w:sz w:val="24"/>
                <w:szCs w:val="24"/>
                <w:highlight w:val="none"/>
                <w:lang w:val="en-US" w:eastAsia="zh-CN"/>
              </w:rPr>
              <w:t>25</w:t>
            </w:r>
            <w:r>
              <w:rPr>
                <w:rFonts w:hint="default" w:ascii="Times New Roman" w:hAnsi="Times New Roman" w:cs="Times New Roman"/>
                <w:color w:val="000000"/>
                <w:sz w:val="24"/>
                <w:szCs w:val="24"/>
                <w:highlight w:val="none"/>
                <w:lang w:val="en-US" w:eastAsia="zh-CN"/>
              </w:rPr>
              <w:t>mg/L、</w:t>
            </w:r>
            <w:r>
              <w:rPr>
                <w:rFonts w:hint="eastAsia" w:ascii="Times New Roman" w:hAnsi="Times New Roman" w:cs="Times New Roman"/>
                <w:color w:val="000000"/>
                <w:sz w:val="24"/>
                <w:szCs w:val="24"/>
                <w:highlight w:val="none"/>
                <w:lang w:val="en-US" w:eastAsia="zh-CN"/>
              </w:rPr>
              <w:t>20</w:t>
            </w:r>
            <w:r>
              <w:rPr>
                <w:rFonts w:hint="default" w:ascii="Times New Roman" w:hAnsi="Times New Roman" w:cs="Times New Roman"/>
                <w:color w:val="000000"/>
                <w:sz w:val="24"/>
                <w:szCs w:val="24"/>
                <w:highlight w:val="none"/>
                <w:lang w:val="en-US" w:eastAsia="zh-CN"/>
              </w:rPr>
              <w:t>0mg/L、300mg/L、</w:t>
            </w:r>
            <w:r>
              <w:rPr>
                <w:rFonts w:hint="eastAsia" w:ascii="Times New Roman" w:hAnsi="Times New Roman" w:cs="Times New Roman"/>
                <w:color w:val="000000"/>
                <w:sz w:val="24"/>
                <w:szCs w:val="24"/>
                <w:highlight w:val="none"/>
                <w:lang w:val="en-US" w:eastAsia="zh-CN"/>
              </w:rPr>
              <w:t>37.7</w:t>
            </w:r>
            <w:r>
              <w:rPr>
                <w:rFonts w:hint="default" w:ascii="Times New Roman" w:hAnsi="Times New Roman" w:cs="Times New Roman"/>
                <w:color w:val="000000"/>
                <w:sz w:val="24"/>
                <w:szCs w:val="24"/>
                <w:highlight w:val="none"/>
                <w:lang w:val="en-US" w:eastAsia="zh-CN"/>
              </w:rPr>
              <w:t>mg/L、</w:t>
            </w:r>
            <w:r>
              <w:rPr>
                <w:rFonts w:hint="eastAsia" w:ascii="Times New Roman" w:hAnsi="Times New Roman" w:cs="Times New Roman"/>
                <w:color w:val="000000"/>
                <w:sz w:val="24"/>
                <w:szCs w:val="24"/>
                <w:highlight w:val="none"/>
                <w:lang w:val="en-US" w:eastAsia="zh-CN"/>
              </w:rPr>
              <w:t>4.28</w:t>
            </w:r>
            <w:r>
              <w:rPr>
                <w:rFonts w:hint="default" w:ascii="Times New Roman" w:hAnsi="Times New Roman" w:cs="Times New Roman"/>
                <w:color w:val="000000"/>
                <w:sz w:val="24"/>
                <w:szCs w:val="24"/>
                <w:highlight w:val="none"/>
                <w:lang w:val="en-US" w:eastAsia="zh-CN"/>
              </w:rPr>
              <w:t>mg/L</w:t>
            </w:r>
            <w:r>
              <w:rPr>
                <w:rFonts w:hint="eastAsia" w:ascii="Times New Roman" w:hAnsi="Times New Roman"/>
                <w:color w:val="000000"/>
                <w:sz w:val="24"/>
                <w:szCs w:val="24"/>
                <w:highlight w:val="none"/>
                <w:lang w:val="en-US" w:eastAsia="zh-CN"/>
              </w:rPr>
              <w:t>。</w:t>
            </w:r>
          </w:p>
          <w:p w14:paraId="5CF8DF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Times New Roman" w:hAnsi="Times New Roman" w:eastAsia="宋体" w:cs="Times New Roman"/>
                <w:b/>
                <w:bCs/>
                <w:color w:val="000000"/>
                <w:sz w:val="24"/>
                <w:szCs w:val="24"/>
                <w:highlight w:val="none"/>
                <w:lang w:eastAsia="zh-CN"/>
              </w:rPr>
            </w:pPr>
            <w:r>
              <w:rPr>
                <w:rFonts w:hint="eastAsia" w:ascii="Times New Roman" w:hAnsi="Times New Roman" w:eastAsia="宋体" w:cs="Times New Roman"/>
                <w:b/>
                <w:bCs/>
                <w:color w:val="000000"/>
                <w:sz w:val="24"/>
                <w:szCs w:val="24"/>
                <w:highlight w:val="none"/>
                <w:lang w:eastAsia="zh-CN"/>
              </w:rPr>
              <w:t>（</w:t>
            </w:r>
            <w:r>
              <w:rPr>
                <w:rFonts w:hint="eastAsia" w:ascii="Times New Roman" w:hAnsi="Times New Roman" w:eastAsia="宋体" w:cs="Times New Roman"/>
                <w:b/>
                <w:bCs/>
                <w:color w:val="000000"/>
                <w:sz w:val="24"/>
                <w:szCs w:val="24"/>
                <w:highlight w:val="none"/>
                <w:lang w:val="en-US" w:eastAsia="zh-CN"/>
              </w:rPr>
              <w:t>2</w:t>
            </w:r>
            <w:r>
              <w:rPr>
                <w:rFonts w:hint="eastAsia" w:ascii="Times New Roman" w:hAnsi="Times New Roman" w:eastAsia="宋体" w:cs="Times New Roman"/>
                <w:b/>
                <w:bCs/>
                <w:color w:val="000000"/>
                <w:sz w:val="24"/>
                <w:szCs w:val="24"/>
                <w:highlight w:val="none"/>
                <w:lang w:eastAsia="zh-CN"/>
              </w:rPr>
              <w:t>）生产废水</w:t>
            </w:r>
          </w:p>
          <w:p w14:paraId="363B72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eastAsia="zh-CN"/>
              </w:rPr>
            </w:pPr>
            <w:r>
              <w:rPr>
                <w:rFonts w:hint="eastAsia" w:ascii="Times New Roman" w:hAnsi="Times New Roman" w:eastAsia="宋体" w:cs="Times New Roman"/>
                <w:color w:val="000000"/>
                <w:sz w:val="24"/>
                <w:szCs w:val="24"/>
                <w:highlight w:val="none"/>
                <w:lang w:eastAsia="zh-CN"/>
              </w:rPr>
              <w:t>经计算，冷却塔系统水量总损失为</w:t>
            </w:r>
            <w:r>
              <w:rPr>
                <w:rFonts w:hint="eastAsia" w:ascii="Times New Roman" w:hAnsi="Times New Roman" w:eastAsia="宋体" w:cs="Times New Roman"/>
                <w:color w:val="000000"/>
                <w:sz w:val="24"/>
                <w:szCs w:val="24"/>
                <w:highlight w:val="none"/>
                <w:lang w:val="en-US" w:eastAsia="zh-CN"/>
              </w:rPr>
              <w:t>25</w:t>
            </w:r>
            <w:r>
              <w:rPr>
                <w:rFonts w:hint="default" w:ascii="Times New Roman" w:hAnsi="Times New Roman" w:cs="Times New Roman"/>
                <w:color w:val="000000"/>
                <w:sz w:val="24"/>
                <w:highlight w:val="none"/>
              </w:rPr>
              <w:t>m</w:t>
            </w:r>
            <w:r>
              <w:rPr>
                <w:rFonts w:hint="eastAsia" w:ascii="Times New Roman" w:hAnsi="Times New Roman" w:cs="Times New Roman"/>
                <w:color w:val="000000"/>
                <w:sz w:val="24"/>
                <w:highlight w:val="none"/>
                <w:vertAlign w:val="superscript"/>
                <w:lang w:val="en-US" w:eastAsia="zh-CN"/>
              </w:rPr>
              <w:t>3</w:t>
            </w:r>
            <w:r>
              <w:rPr>
                <w:rFonts w:hint="eastAsia" w:ascii="Times New Roman" w:hAnsi="Times New Roman" w:eastAsia="宋体" w:cs="Times New Roman"/>
                <w:color w:val="000000"/>
                <w:sz w:val="24"/>
                <w:szCs w:val="24"/>
                <w:highlight w:val="none"/>
                <w:lang w:eastAsia="zh-CN"/>
              </w:rPr>
              <w:t>/d（</w:t>
            </w:r>
            <w:r>
              <w:rPr>
                <w:rFonts w:hint="eastAsia" w:ascii="Times New Roman" w:hAnsi="Times New Roman" w:eastAsia="宋体" w:cs="Times New Roman"/>
                <w:color w:val="000000"/>
                <w:sz w:val="24"/>
                <w:szCs w:val="24"/>
                <w:highlight w:val="none"/>
                <w:lang w:val="en-US" w:eastAsia="zh-CN"/>
              </w:rPr>
              <w:t>8250</w:t>
            </w:r>
            <w:r>
              <w:rPr>
                <w:rFonts w:hint="default" w:ascii="Times New Roman" w:hAnsi="Times New Roman" w:cs="Times New Roman"/>
                <w:color w:val="000000"/>
                <w:sz w:val="24"/>
                <w:highlight w:val="none"/>
              </w:rPr>
              <w:t>m</w:t>
            </w:r>
            <w:r>
              <w:rPr>
                <w:rFonts w:hint="eastAsia" w:ascii="Times New Roman" w:hAnsi="Times New Roman" w:cs="Times New Roman"/>
                <w:color w:val="000000"/>
                <w:sz w:val="24"/>
                <w:highlight w:val="none"/>
                <w:vertAlign w:val="superscript"/>
                <w:lang w:val="en-US" w:eastAsia="zh-CN"/>
              </w:rPr>
              <w:t>3</w:t>
            </w:r>
            <w:r>
              <w:rPr>
                <w:rFonts w:hint="eastAsia" w:ascii="Times New Roman" w:hAnsi="Times New Roman" w:eastAsia="宋体" w:cs="Times New Roman"/>
                <w:color w:val="000000"/>
                <w:sz w:val="24"/>
                <w:szCs w:val="24"/>
                <w:highlight w:val="none"/>
                <w:lang w:eastAsia="zh-CN"/>
              </w:rPr>
              <w:t>/a）。其中，冷却塔排污量约为</w:t>
            </w:r>
            <w:r>
              <w:rPr>
                <w:rFonts w:hint="eastAsia" w:ascii="Times New Roman" w:hAnsi="Times New Roman" w:eastAsia="宋体" w:cs="Times New Roman"/>
                <w:color w:val="000000"/>
                <w:sz w:val="24"/>
                <w:szCs w:val="24"/>
                <w:highlight w:val="none"/>
                <w:lang w:val="en-US" w:eastAsia="zh-CN"/>
              </w:rPr>
              <w:t>2.5</w:t>
            </w:r>
            <w:r>
              <w:rPr>
                <w:rFonts w:hint="default" w:ascii="Times New Roman" w:hAnsi="Times New Roman" w:cs="Times New Roman"/>
                <w:color w:val="000000"/>
                <w:sz w:val="24"/>
                <w:highlight w:val="none"/>
              </w:rPr>
              <w:t>m</w:t>
            </w:r>
            <w:r>
              <w:rPr>
                <w:rFonts w:hint="eastAsia" w:ascii="Times New Roman" w:hAnsi="Times New Roman" w:cs="Times New Roman"/>
                <w:color w:val="000000"/>
                <w:sz w:val="24"/>
                <w:highlight w:val="none"/>
                <w:vertAlign w:val="superscript"/>
                <w:lang w:val="en-US" w:eastAsia="zh-CN"/>
              </w:rPr>
              <w:t>3</w:t>
            </w:r>
            <w:r>
              <w:rPr>
                <w:rFonts w:hint="eastAsia" w:ascii="Times New Roman" w:hAnsi="Times New Roman" w:eastAsia="宋体" w:cs="Times New Roman"/>
                <w:color w:val="000000"/>
                <w:sz w:val="24"/>
                <w:szCs w:val="24"/>
                <w:highlight w:val="none"/>
                <w:lang w:eastAsia="zh-CN"/>
              </w:rPr>
              <w:t>/d（</w:t>
            </w:r>
            <w:r>
              <w:rPr>
                <w:rFonts w:hint="eastAsia" w:ascii="Times New Roman" w:hAnsi="Times New Roman" w:eastAsia="宋体" w:cs="Times New Roman"/>
                <w:color w:val="000000"/>
                <w:sz w:val="24"/>
                <w:szCs w:val="24"/>
                <w:highlight w:val="none"/>
                <w:lang w:val="en-US" w:eastAsia="zh-CN"/>
              </w:rPr>
              <w:t>825</w:t>
            </w:r>
            <w:r>
              <w:rPr>
                <w:rFonts w:hint="default" w:ascii="Times New Roman" w:hAnsi="Times New Roman" w:cs="Times New Roman"/>
                <w:color w:val="000000"/>
                <w:sz w:val="24"/>
                <w:highlight w:val="none"/>
              </w:rPr>
              <w:t>m</w:t>
            </w:r>
            <w:r>
              <w:rPr>
                <w:rFonts w:hint="eastAsia" w:ascii="Times New Roman" w:hAnsi="Times New Roman" w:cs="Times New Roman"/>
                <w:color w:val="000000"/>
                <w:sz w:val="24"/>
                <w:highlight w:val="none"/>
                <w:vertAlign w:val="superscript"/>
                <w:lang w:val="en-US" w:eastAsia="zh-CN"/>
              </w:rPr>
              <w:t>3</w:t>
            </w:r>
            <w:r>
              <w:rPr>
                <w:rFonts w:hint="eastAsia" w:ascii="Times New Roman" w:hAnsi="Times New Roman" w:eastAsia="宋体" w:cs="Times New Roman"/>
                <w:color w:val="000000"/>
                <w:sz w:val="24"/>
                <w:szCs w:val="24"/>
                <w:highlight w:val="none"/>
                <w:lang w:eastAsia="zh-CN"/>
              </w:rPr>
              <w:t>/a），冷却塔定期排水主要含少量的盐类、SS，经类比分析，冷却塔排水中主要污染物浓度SS 约为50～150mg/L。冷却塔排污水经沉淀池处理回用于脱硫塔补充用水，不外排。</w:t>
            </w:r>
          </w:p>
          <w:p w14:paraId="7264CE28">
            <w:pPr>
              <w:pStyle w:val="17"/>
              <w:rPr>
                <w:rFonts w:hint="eastAsia" w:ascii="Times New Roman" w:hAnsi="Times New Roman" w:eastAsia="宋体" w:cs="Times New Roman"/>
                <w:color w:val="000000"/>
                <w:sz w:val="24"/>
                <w:szCs w:val="24"/>
                <w:highlight w:val="none"/>
                <w:lang w:eastAsia="zh-CN"/>
              </w:rPr>
            </w:pPr>
            <w:r>
              <w:rPr>
                <w:rFonts w:hint="eastAsia" w:ascii="Times New Roman" w:hAnsi="Times New Roman" w:eastAsia="宋体" w:cs="Times New Roman"/>
                <w:color w:val="000000"/>
                <w:sz w:val="24"/>
                <w:szCs w:val="24"/>
                <w:highlight w:val="none"/>
                <w:lang w:eastAsia="zh-CN"/>
              </w:rPr>
              <w:t>（</w:t>
            </w:r>
            <w:r>
              <w:rPr>
                <w:rFonts w:hint="eastAsia" w:ascii="Times New Roman" w:hAnsi="Times New Roman" w:eastAsia="宋体" w:cs="Times New Roman"/>
                <w:color w:val="000000"/>
                <w:sz w:val="24"/>
                <w:szCs w:val="24"/>
                <w:highlight w:val="none"/>
                <w:lang w:val="en-US" w:eastAsia="zh-CN"/>
              </w:rPr>
              <w:t>3</w:t>
            </w:r>
            <w:r>
              <w:rPr>
                <w:rFonts w:hint="eastAsia" w:ascii="Times New Roman" w:hAnsi="Times New Roman" w:eastAsia="宋体" w:cs="Times New Roman"/>
                <w:color w:val="000000"/>
                <w:sz w:val="24"/>
                <w:szCs w:val="24"/>
                <w:highlight w:val="none"/>
                <w:lang w:eastAsia="zh-CN"/>
              </w:rPr>
              <w:t>）初期雨水</w:t>
            </w:r>
          </w:p>
          <w:p w14:paraId="66B0F017">
            <w:pPr>
              <w:adjustRightInd w:val="0"/>
              <w:snapToGrid w:val="0"/>
              <w:spacing w:line="360" w:lineRule="auto"/>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本项目</w:t>
            </w:r>
            <w:r>
              <w:rPr>
                <w:rFonts w:hint="eastAsia" w:ascii="Times New Roman" w:hAnsi="Times New Roman" w:cs="Times New Roman"/>
                <w:color w:val="000000"/>
                <w:sz w:val="24"/>
                <w:szCs w:val="24"/>
                <w:highlight w:val="none"/>
                <w:lang w:val="en-US" w:eastAsia="zh-CN"/>
              </w:rPr>
              <w:t>暴雨强度公式</w:t>
            </w:r>
            <w:r>
              <w:rPr>
                <w:rFonts w:hint="default" w:ascii="Times New Roman" w:hAnsi="Times New Roman" w:cs="Times New Roman"/>
                <w:color w:val="000000"/>
                <w:sz w:val="24"/>
                <w:szCs w:val="24"/>
                <w:highlight w:val="none"/>
              </w:rPr>
              <w:t>参照</w:t>
            </w:r>
            <w:r>
              <w:rPr>
                <w:rFonts w:hint="eastAsia"/>
                <w:color w:val="000000"/>
                <w:sz w:val="24"/>
                <w:szCs w:val="24"/>
                <w:lang w:eastAsia="zh-CN"/>
              </w:rPr>
              <w:t>《巴中市住房和城乡建设局巴中市气象局关于公布巴中市中心城区暴雨强度公式及设计雨型的通告》</w:t>
            </w:r>
            <w:r>
              <w:rPr>
                <w:rFonts w:hint="default" w:ascii="Times New Roman" w:hAnsi="Times New Roman" w:cs="Times New Roman"/>
                <w:color w:val="000000"/>
                <w:sz w:val="24"/>
                <w:szCs w:val="24"/>
                <w:highlight w:val="none"/>
              </w:rPr>
              <w:t>，计算</w:t>
            </w:r>
            <w:r>
              <w:rPr>
                <w:rFonts w:hint="eastAsia" w:ascii="Times New Roman" w:hAnsi="Times New Roman" w:cs="Times New Roman"/>
                <w:color w:val="000000"/>
                <w:sz w:val="24"/>
                <w:szCs w:val="24"/>
                <w:highlight w:val="none"/>
                <w:lang w:eastAsia="zh-CN"/>
              </w:rPr>
              <w:t>公式</w:t>
            </w:r>
            <w:r>
              <w:rPr>
                <w:rFonts w:hint="default" w:ascii="Times New Roman" w:hAnsi="Times New Roman" w:cs="Times New Roman"/>
                <w:color w:val="000000"/>
                <w:sz w:val="24"/>
                <w:szCs w:val="24"/>
                <w:highlight w:val="none"/>
              </w:rPr>
              <w:t>如下：</w:t>
            </w:r>
          </w:p>
          <w:p w14:paraId="0271CB3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color w:val="000000"/>
                <w:highlight w:val="none"/>
              </w:rPr>
            </w:pPr>
            <w:r>
              <w:rPr>
                <w:color w:val="000000"/>
              </w:rPr>
              <w:drawing>
                <wp:inline distT="0" distB="0" distL="114300" distR="114300">
                  <wp:extent cx="1450975" cy="427355"/>
                  <wp:effectExtent l="0" t="0" r="15875" b="10795"/>
                  <wp:docPr id="20"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2"/>
                          <pic:cNvPicPr>
                            <a:picLocks noChangeAspect="1"/>
                          </pic:cNvPicPr>
                        </pic:nvPicPr>
                        <pic:blipFill>
                          <a:blip r:embed="rId39"/>
                          <a:stretch>
                            <a:fillRect/>
                          </a:stretch>
                        </pic:blipFill>
                        <pic:spPr>
                          <a:xfrm>
                            <a:off x="0" y="0"/>
                            <a:ext cx="1450975" cy="427355"/>
                          </a:xfrm>
                          <a:prstGeom prst="rect">
                            <a:avLst/>
                          </a:prstGeom>
                          <a:noFill/>
                          <a:ln>
                            <a:noFill/>
                          </a:ln>
                        </pic:spPr>
                      </pic:pic>
                    </a:graphicData>
                  </a:graphic>
                </wp:inline>
              </w:drawing>
            </w:r>
          </w:p>
          <w:p w14:paraId="64D823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000000"/>
                <w:sz w:val="24"/>
                <w:szCs w:val="24"/>
                <w:lang w:val="en-US" w:eastAsia="zh-CN"/>
              </w:rPr>
            </w:pPr>
            <w:r>
              <w:rPr>
                <w:rFonts w:hint="eastAsia"/>
                <w:color w:val="000000"/>
                <w:sz w:val="24"/>
                <w:szCs w:val="24"/>
                <w:lang w:val="en-US" w:eastAsia="zh-CN"/>
              </w:rPr>
              <w:t>式中：</w:t>
            </w:r>
          </w:p>
          <w:p w14:paraId="1BC027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default"/>
                <w:color w:val="000000"/>
                <w:sz w:val="24"/>
                <w:szCs w:val="24"/>
                <w:lang w:val="en-US" w:eastAsia="zh-CN"/>
              </w:rPr>
              <w:t>q—</w:t>
            </w:r>
            <w:r>
              <w:rPr>
                <w:rFonts w:hint="eastAsia"/>
                <w:color w:val="000000"/>
                <w:sz w:val="24"/>
                <w:szCs w:val="24"/>
                <w:lang w:val="en-US" w:eastAsia="zh-CN"/>
              </w:rPr>
              <w:t>设计暴雨强度，</w:t>
            </w:r>
            <w:r>
              <w:rPr>
                <w:rFonts w:hint="default"/>
                <w:color w:val="000000"/>
                <w:sz w:val="24"/>
                <w:szCs w:val="24"/>
                <w:lang w:val="en-US" w:eastAsia="zh-CN"/>
              </w:rPr>
              <w:t>L/s·hm</w:t>
            </w:r>
            <w:r>
              <w:rPr>
                <w:rFonts w:hint="default"/>
                <w:color w:val="000000"/>
                <w:sz w:val="24"/>
                <w:szCs w:val="24"/>
                <w:vertAlign w:val="superscript"/>
                <w:lang w:val="en-US" w:eastAsia="zh-CN"/>
              </w:rPr>
              <w:t>2</w:t>
            </w:r>
            <w:r>
              <w:rPr>
                <w:rFonts w:hint="eastAsia"/>
                <w:color w:val="000000"/>
                <w:sz w:val="24"/>
                <w:szCs w:val="24"/>
                <w:lang w:val="en-US" w:eastAsia="zh-CN"/>
              </w:rPr>
              <w:t>；</w:t>
            </w:r>
          </w:p>
          <w:p w14:paraId="6F094A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000000"/>
                <w:sz w:val="24"/>
                <w:szCs w:val="24"/>
                <w:lang w:val="en-US"/>
              </w:rPr>
            </w:pPr>
            <w:r>
              <w:rPr>
                <w:rFonts w:hint="default"/>
                <w:color w:val="000000"/>
                <w:sz w:val="24"/>
                <w:szCs w:val="24"/>
                <w:lang w:val="en-US" w:eastAsia="zh-CN"/>
              </w:rPr>
              <w:t>P—</w:t>
            </w:r>
            <w:r>
              <w:rPr>
                <w:rFonts w:hint="eastAsia"/>
                <w:color w:val="000000"/>
                <w:sz w:val="24"/>
                <w:szCs w:val="24"/>
                <w:lang w:val="en-US" w:eastAsia="zh-CN"/>
              </w:rPr>
              <w:t>设计降雨重现期（</w:t>
            </w:r>
            <w:r>
              <w:rPr>
                <w:rFonts w:hint="default"/>
                <w:color w:val="000000"/>
                <w:sz w:val="24"/>
                <w:szCs w:val="24"/>
                <w:lang w:val="en-US" w:eastAsia="zh-CN"/>
              </w:rPr>
              <w:t>a</w:t>
            </w:r>
            <w:r>
              <w:rPr>
                <w:rFonts w:hint="eastAsia"/>
                <w:color w:val="000000"/>
                <w:sz w:val="24"/>
                <w:szCs w:val="24"/>
                <w:lang w:val="en-US" w:eastAsia="zh-CN"/>
              </w:rPr>
              <w:t>）；取5a，</w:t>
            </w:r>
          </w:p>
          <w:p w14:paraId="3B8BD4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000000"/>
                <w:sz w:val="24"/>
                <w:szCs w:val="24"/>
                <w:lang w:val="en-US"/>
              </w:rPr>
            </w:pPr>
            <w:r>
              <w:rPr>
                <w:rFonts w:hint="default"/>
                <w:color w:val="000000"/>
                <w:sz w:val="24"/>
                <w:szCs w:val="24"/>
                <w:lang w:val="en-US" w:eastAsia="zh-CN"/>
              </w:rPr>
              <w:t>t—</w:t>
            </w:r>
            <w:r>
              <w:rPr>
                <w:rFonts w:hint="eastAsia"/>
                <w:color w:val="000000"/>
                <w:sz w:val="24"/>
                <w:szCs w:val="24"/>
                <w:lang w:val="en-US" w:eastAsia="zh-CN"/>
              </w:rPr>
              <w:t>降雨历时（</w:t>
            </w:r>
            <w:r>
              <w:rPr>
                <w:rFonts w:hint="default"/>
                <w:color w:val="000000"/>
                <w:sz w:val="24"/>
                <w:szCs w:val="24"/>
                <w:lang w:val="en-US" w:eastAsia="zh-CN"/>
              </w:rPr>
              <w:t>min</w:t>
            </w:r>
            <w:r>
              <w:rPr>
                <w:rFonts w:hint="eastAsia"/>
                <w:color w:val="000000"/>
                <w:sz w:val="24"/>
                <w:szCs w:val="24"/>
                <w:lang w:val="en-US" w:eastAsia="zh-CN"/>
              </w:rPr>
              <w:t>）；取15min。</w:t>
            </w:r>
          </w:p>
          <w:p w14:paraId="78F245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eastAsia"/>
                <w:color w:val="000000"/>
                <w:sz w:val="24"/>
                <w:szCs w:val="24"/>
                <w:lang w:val="en-US" w:eastAsia="zh-CN"/>
              </w:rPr>
              <w:t>根据上式计算的暴雨强度为：</w:t>
            </w:r>
            <w:r>
              <w:rPr>
                <w:rFonts w:hint="default"/>
                <w:color w:val="000000"/>
                <w:sz w:val="24"/>
                <w:szCs w:val="24"/>
                <w:lang w:val="en-US" w:eastAsia="zh-CN"/>
              </w:rPr>
              <w:t>q=</w:t>
            </w:r>
            <w:r>
              <w:rPr>
                <w:rFonts w:hint="eastAsia"/>
                <w:color w:val="000000"/>
                <w:sz w:val="24"/>
                <w:szCs w:val="24"/>
                <w:lang w:val="en-US" w:eastAsia="zh-CN"/>
              </w:rPr>
              <w:t>252.5</w:t>
            </w:r>
            <w:r>
              <w:rPr>
                <w:rFonts w:hint="default"/>
                <w:color w:val="000000"/>
                <w:sz w:val="24"/>
                <w:szCs w:val="24"/>
                <w:lang w:val="en-US" w:eastAsia="zh-CN"/>
              </w:rPr>
              <w:t>L/s•hm</w:t>
            </w:r>
            <w:r>
              <w:rPr>
                <w:rFonts w:hint="default"/>
                <w:color w:val="000000"/>
                <w:sz w:val="24"/>
                <w:szCs w:val="24"/>
                <w:vertAlign w:val="superscript"/>
                <w:lang w:val="en-US" w:eastAsia="zh-CN"/>
              </w:rPr>
              <w:t>2</w:t>
            </w:r>
            <w:r>
              <w:rPr>
                <w:rFonts w:hint="eastAsia"/>
                <w:color w:val="000000"/>
                <w:sz w:val="24"/>
                <w:szCs w:val="24"/>
                <w:lang w:val="en-US" w:eastAsia="zh-CN"/>
              </w:rPr>
              <w:t>。</w:t>
            </w:r>
          </w:p>
          <w:p w14:paraId="5DF392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eastAsia"/>
                <w:color w:val="000000"/>
                <w:sz w:val="24"/>
                <w:szCs w:val="24"/>
                <w:lang w:val="en-US" w:eastAsia="zh-CN"/>
              </w:rPr>
              <w:t>根据国家给排水设计规范要求，暴雨设计流量应按下列公式计算：</w:t>
            </w:r>
          </w:p>
          <w:p w14:paraId="508018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default"/>
                <w:color w:val="000000"/>
                <w:sz w:val="24"/>
                <w:szCs w:val="24"/>
                <w:lang w:val="en-US" w:eastAsia="zh-CN"/>
              </w:rPr>
              <w:t>Qs=ΨqF</w:t>
            </w:r>
          </w:p>
          <w:p w14:paraId="6BE0CE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eastAsia"/>
                <w:color w:val="000000"/>
                <w:sz w:val="24"/>
                <w:szCs w:val="24"/>
                <w:lang w:val="en-US" w:eastAsia="zh-CN"/>
              </w:rPr>
              <w:t>式中：</w:t>
            </w:r>
          </w:p>
          <w:p w14:paraId="36739F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default"/>
                <w:color w:val="000000"/>
                <w:sz w:val="24"/>
                <w:szCs w:val="24"/>
                <w:lang w:val="en-US" w:eastAsia="zh-CN"/>
              </w:rPr>
              <w:t>Q—</w:t>
            </w:r>
            <w:r>
              <w:rPr>
                <w:rFonts w:hint="eastAsia"/>
                <w:color w:val="000000"/>
                <w:sz w:val="24"/>
                <w:szCs w:val="24"/>
                <w:lang w:val="en-US" w:eastAsia="zh-CN"/>
              </w:rPr>
              <w:t>雨水流量，</w:t>
            </w:r>
            <w:r>
              <w:rPr>
                <w:rFonts w:hint="default"/>
                <w:color w:val="000000"/>
                <w:sz w:val="24"/>
                <w:szCs w:val="24"/>
                <w:lang w:val="en-US" w:eastAsia="zh-CN"/>
              </w:rPr>
              <w:t>L/s</w:t>
            </w:r>
            <w:r>
              <w:rPr>
                <w:rFonts w:hint="eastAsia"/>
                <w:color w:val="000000"/>
                <w:sz w:val="24"/>
                <w:szCs w:val="24"/>
                <w:lang w:val="en-US" w:eastAsia="zh-CN"/>
              </w:rPr>
              <w:t>；</w:t>
            </w:r>
          </w:p>
          <w:p w14:paraId="0F28DB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default"/>
                <w:color w:val="000000"/>
                <w:sz w:val="24"/>
                <w:szCs w:val="24"/>
                <w:lang w:val="en-US" w:eastAsia="zh-CN"/>
              </w:rPr>
              <w:t>Ψ—径流系数，一般取0.3（一般旧城区取0.7-0.8，新城区取0.6-0.7，工业区取0.3-0.4；本项目取0.3）</w:t>
            </w:r>
            <w:r>
              <w:rPr>
                <w:rFonts w:hint="eastAsia"/>
                <w:color w:val="000000"/>
                <w:sz w:val="24"/>
                <w:szCs w:val="24"/>
                <w:lang w:val="en-US" w:eastAsia="zh-CN"/>
              </w:rPr>
              <w:t>；</w:t>
            </w:r>
          </w:p>
          <w:p w14:paraId="5E1255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default"/>
                <w:color w:val="000000"/>
                <w:sz w:val="24"/>
                <w:szCs w:val="24"/>
                <w:lang w:val="en-US" w:eastAsia="zh-CN"/>
              </w:rPr>
              <w:t>q—</w:t>
            </w:r>
            <w:r>
              <w:rPr>
                <w:rFonts w:hint="eastAsia"/>
                <w:color w:val="000000"/>
                <w:sz w:val="24"/>
                <w:szCs w:val="24"/>
                <w:lang w:val="en-US" w:eastAsia="zh-CN"/>
              </w:rPr>
              <w:t>设计暴雨强度，</w:t>
            </w:r>
            <w:r>
              <w:rPr>
                <w:rFonts w:hint="default"/>
                <w:color w:val="000000"/>
                <w:sz w:val="24"/>
                <w:szCs w:val="24"/>
                <w:lang w:val="en-US" w:eastAsia="zh-CN"/>
              </w:rPr>
              <w:t>L/s·hm</w:t>
            </w:r>
            <w:r>
              <w:rPr>
                <w:rFonts w:hint="default"/>
                <w:color w:val="000000"/>
                <w:sz w:val="24"/>
                <w:szCs w:val="24"/>
                <w:vertAlign w:val="superscript"/>
                <w:lang w:val="en-US" w:eastAsia="zh-CN"/>
              </w:rPr>
              <w:t>2</w:t>
            </w:r>
            <w:r>
              <w:rPr>
                <w:rFonts w:hint="eastAsia"/>
                <w:color w:val="000000"/>
                <w:sz w:val="24"/>
                <w:szCs w:val="24"/>
                <w:lang w:val="en-US" w:eastAsia="zh-CN"/>
              </w:rPr>
              <w:t>；</w:t>
            </w:r>
          </w:p>
          <w:p w14:paraId="095109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sz w:val="24"/>
                <w:szCs w:val="24"/>
              </w:rPr>
            </w:pPr>
            <w:r>
              <w:rPr>
                <w:rFonts w:hint="default"/>
                <w:color w:val="000000"/>
                <w:sz w:val="24"/>
                <w:szCs w:val="24"/>
                <w:lang w:val="en-US" w:eastAsia="zh-CN"/>
              </w:rPr>
              <w:t>F—</w:t>
            </w:r>
            <w:r>
              <w:rPr>
                <w:rFonts w:hint="eastAsia"/>
                <w:color w:val="000000"/>
                <w:sz w:val="24"/>
                <w:szCs w:val="24"/>
                <w:lang w:val="en-US" w:eastAsia="zh-CN"/>
              </w:rPr>
              <w:t>汇水面积，</w:t>
            </w:r>
            <w:r>
              <w:rPr>
                <w:rFonts w:hint="default"/>
                <w:color w:val="000000"/>
                <w:sz w:val="24"/>
                <w:szCs w:val="24"/>
                <w:lang w:val="en-US" w:eastAsia="zh-CN"/>
              </w:rPr>
              <w:t>hm</w:t>
            </w:r>
            <w:r>
              <w:rPr>
                <w:rFonts w:hint="default"/>
                <w:color w:val="000000"/>
                <w:sz w:val="24"/>
                <w:szCs w:val="24"/>
                <w:vertAlign w:val="superscript"/>
                <w:lang w:val="en-US" w:eastAsia="zh-CN"/>
              </w:rPr>
              <w:t>2</w:t>
            </w:r>
          </w:p>
          <w:p w14:paraId="69916C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eastAsia="zh-CN"/>
              </w:rPr>
            </w:pPr>
            <w:r>
              <w:rPr>
                <w:rFonts w:hint="eastAsia"/>
                <w:color w:val="000000"/>
                <w:sz w:val="24"/>
                <w:szCs w:val="24"/>
                <w:lang w:val="en-US" w:eastAsia="zh-CN"/>
              </w:rPr>
              <w:t>项目场地汇水面积约为3.4</w:t>
            </w:r>
            <w:r>
              <w:rPr>
                <w:rFonts w:hint="default"/>
                <w:color w:val="000000"/>
                <w:sz w:val="24"/>
                <w:szCs w:val="24"/>
                <w:lang w:val="en-US" w:eastAsia="zh-CN"/>
              </w:rPr>
              <w:t>hm</w:t>
            </w:r>
            <w:r>
              <w:rPr>
                <w:rFonts w:hint="default"/>
                <w:color w:val="000000"/>
                <w:sz w:val="24"/>
                <w:szCs w:val="24"/>
                <w:vertAlign w:val="superscript"/>
                <w:lang w:val="en-US" w:eastAsia="zh-CN"/>
              </w:rPr>
              <w:t>2</w:t>
            </w:r>
            <w:r>
              <w:rPr>
                <w:rFonts w:hint="eastAsia"/>
                <w:color w:val="000000"/>
                <w:sz w:val="24"/>
                <w:szCs w:val="24"/>
                <w:lang w:val="en-US" w:eastAsia="zh-CN"/>
              </w:rPr>
              <w:t>，计算得出雨水设计流量为：</w:t>
            </w:r>
            <w:r>
              <w:rPr>
                <w:rFonts w:hint="default"/>
                <w:color w:val="000000"/>
                <w:sz w:val="24"/>
                <w:szCs w:val="24"/>
                <w:lang w:val="en-US" w:eastAsia="zh-CN"/>
              </w:rPr>
              <w:t>Qs=</w:t>
            </w:r>
            <w:r>
              <w:rPr>
                <w:rFonts w:hint="eastAsia"/>
                <w:color w:val="000000"/>
                <w:sz w:val="24"/>
                <w:szCs w:val="24"/>
                <w:lang w:val="en-US" w:eastAsia="zh-CN"/>
              </w:rPr>
              <w:t>257.244</w:t>
            </w:r>
            <w:r>
              <w:rPr>
                <w:rFonts w:hint="default"/>
                <w:color w:val="000000"/>
                <w:sz w:val="24"/>
                <w:szCs w:val="24"/>
                <w:lang w:val="en-US" w:eastAsia="zh-CN"/>
              </w:rPr>
              <w:t>L/s</w:t>
            </w:r>
            <w:r>
              <w:rPr>
                <w:rFonts w:hint="eastAsia"/>
                <w:color w:val="000000"/>
                <w:sz w:val="24"/>
                <w:szCs w:val="24"/>
                <w:lang w:val="en-US" w:eastAsia="zh-CN"/>
              </w:rPr>
              <w:t>。初期雨水量按照降雨前</w:t>
            </w:r>
            <w:r>
              <w:rPr>
                <w:rFonts w:hint="default"/>
                <w:color w:val="000000"/>
                <w:sz w:val="24"/>
                <w:szCs w:val="24"/>
                <w:lang w:val="en-US" w:eastAsia="zh-CN"/>
              </w:rPr>
              <w:t>15min</w:t>
            </w:r>
            <w:r>
              <w:rPr>
                <w:rFonts w:hint="eastAsia"/>
                <w:color w:val="000000"/>
                <w:sz w:val="24"/>
                <w:szCs w:val="24"/>
                <w:lang w:val="en-US" w:eastAsia="zh-CN"/>
              </w:rPr>
              <w:t>雨量计算，则初期雨水量约为231.5</w:t>
            </w:r>
            <w:r>
              <w:rPr>
                <w:rFonts w:hint="default"/>
                <w:color w:val="000000"/>
                <w:sz w:val="24"/>
                <w:szCs w:val="24"/>
                <w:lang w:val="en-US" w:eastAsia="zh-CN"/>
              </w:rPr>
              <w:t>m</w:t>
            </w:r>
            <w:r>
              <w:rPr>
                <w:rFonts w:hint="default"/>
                <w:color w:val="000000"/>
                <w:sz w:val="24"/>
                <w:szCs w:val="24"/>
                <w:vertAlign w:val="superscript"/>
                <w:lang w:val="en-US" w:eastAsia="zh-CN"/>
              </w:rPr>
              <w:t>3</w:t>
            </w:r>
            <w:r>
              <w:rPr>
                <w:rFonts w:hint="default"/>
                <w:color w:val="000000"/>
                <w:sz w:val="24"/>
                <w:szCs w:val="24"/>
                <w:lang w:val="en-US" w:eastAsia="zh-CN"/>
              </w:rPr>
              <w:t>/</w:t>
            </w:r>
            <w:r>
              <w:rPr>
                <w:rFonts w:hint="eastAsia"/>
                <w:color w:val="000000"/>
                <w:sz w:val="24"/>
                <w:szCs w:val="24"/>
                <w:lang w:val="en-US" w:eastAsia="zh-CN"/>
              </w:rPr>
              <w:t>次；</w:t>
            </w:r>
            <w:r>
              <w:rPr>
                <w:rFonts w:hint="default" w:ascii="Times New Roman" w:hAnsi="Times New Roman" w:cs="Times New Roman"/>
                <w:color w:val="000000"/>
                <w:sz w:val="24"/>
                <w:szCs w:val="24"/>
                <w:highlight w:val="none"/>
              </w:rPr>
              <w:t>后期未污染雨水经阀门切换排入雨水系统</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初期雨水</w:t>
            </w:r>
            <w:r>
              <w:rPr>
                <w:rFonts w:hint="eastAsia" w:ascii="Times New Roman" w:hAnsi="Times New Roman" w:cs="Times New Roman"/>
                <w:color w:val="000000"/>
                <w:sz w:val="24"/>
                <w:szCs w:val="24"/>
                <w:highlight w:val="none"/>
                <w:lang w:val="en-US" w:eastAsia="zh-CN"/>
              </w:rPr>
              <w:t>主要污染物为SS、COD，不涉及苯并[a]芘，初期雨水</w:t>
            </w:r>
            <w:r>
              <w:rPr>
                <w:rFonts w:hint="default" w:ascii="Times New Roman" w:hAnsi="Times New Roman" w:cs="Times New Roman"/>
                <w:color w:val="000000"/>
                <w:sz w:val="24"/>
                <w:szCs w:val="24"/>
                <w:highlight w:val="none"/>
                <w:lang w:val="en-US" w:eastAsia="zh-CN"/>
              </w:rPr>
              <w:t>收集至</w:t>
            </w:r>
            <w:r>
              <w:rPr>
                <w:rFonts w:hint="eastAsia" w:ascii="Times New Roman" w:hAnsi="Times New Roman" w:cs="Times New Roman"/>
                <w:color w:val="000000"/>
                <w:sz w:val="24"/>
                <w:szCs w:val="24"/>
                <w:highlight w:val="none"/>
                <w:lang w:val="en-US" w:eastAsia="zh-CN"/>
              </w:rPr>
              <w:t>初期雨水池</w:t>
            </w:r>
            <w:r>
              <w:rPr>
                <w:rFonts w:hint="default" w:ascii="Times New Roman" w:hAnsi="Times New Roman" w:cs="Times New Roman"/>
                <w:color w:val="000000"/>
                <w:sz w:val="24"/>
                <w:szCs w:val="24"/>
                <w:highlight w:val="none"/>
                <w:lang w:val="en-US" w:eastAsia="zh-CN"/>
              </w:rPr>
              <w:t>沉淀</w:t>
            </w:r>
            <w:r>
              <w:rPr>
                <w:rFonts w:hint="eastAsia" w:ascii="Times New Roman" w:hAnsi="Times New Roman" w:cs="Times New Roman"/>
                <w:color w:val="000000"/>
                <w:sz w:val="24"/>
                <w:szCs w:val="24"/>
                <w:highlight w:val="none"/>
                <w:lang w:val="en-US" w:eastAsia="zh-CN"/>
              </w:rPr>
              <w:t>处理</w:t>
            </w:r>
            <w:r>
              <w:rPr>
                <w:rFonts w:hint="default" w:ascii="Times New Roman" w:hAnsi="Times New Roman" w:cs="Times New Roman"/>
                <w:color w:val="000000"/>
                <w:sz w:val="24"/>
                <w:szCs w:val="24"/>
                <w:highlight w:val="none"/>
                <w:lang w:val="en-US" w:eastAsia="zh-CN"/>
              </w:rPr>
              <w:t>后</w:t>
            </w:r>
            <w:r>
              <w:rPr>
                <w:rFonts w:hint="eastAsia" w:ascii="Times New Roman" w:hAnsi="Times New Roman" w:eastAsia="宋体" w:cs="Times New Roman"/>
                <w:color w:val="000000"/>
                <w:sz w:val="24"/>
                <w:szCs w:val="24"/>
                <w:highlight w:val="none"/>
                <w:lang w:eastAsia="zh-CN"/>
              </w:rPr>
              <w:t>回用于脱硫塔补充用水，不外排。</w:t>
            </w:r>
            <w:r>
              <w:rPr>
                <w:rFonts w:hint="default" w:ascii="Times New Roman" w:hAnsi="Times New Roman" w:cs="Times New Roman"/>
                <w:color w:val="000000"/>
                <w:sz w:val="24"/>
                <w:szCs w:val="24"/>
                <w:highlight w:val="none"/>
              </w:rPr>
              <w:t>考虑到厂区地势，初期雨水设置在厂区</w:t>
            </w:r>
            <w:r>
              <w:rPr>
                <w:rFonts w:hint="eastAsia" w:ascii="Times New Roman" w:hAnsi="Times New Roman" w:cs="Times New Roman"/>
                <w:color w:val="000000"/>
                <w:sz w:val="24"/>
                <w:szCs w:val="24"/>
                <w:highlight w:val="none"/>
                <w:lang w:val="en-US" w:eastAsia="zh-CN"/>
              </w:rPr>
              <w:t>北侧</w:t>
            </w:r>
            <w:r>
              <w:rPr>
                <w:rFonts w:hint="default" w:ascii="Times New Roman" w:hAnsi="Times New Roman" w:cs="Times New Roman"/>
                <w:color w:val="000000"/>
                <w:sz w:val="24"/>
                <w:szCs w:val="24"/>
                <w:highlight w:val="none"/>
              </w:rPr>
              <w:t>地势最低</w:t>
            </w:r>
            <w:r>
              <w:rPr>
                <w:rFonts w:hint="eastAsia" w:ascii="Times New Roman" w:hAnsi="Times New Roman" w:cs="Times New Roman"/>
                <w:color w:val="000000"/>
                <w:sz w:val="24"/>
                <w:szCs w:val="24"/>
                <w:highlight w:val="none"/>
                <w:lang w:val="en-US" w:eastAsia="zh-CN"/>
              </w:rPr>
              <w:t>初</w:t>
            </w:r>
            <w:r>
              <w:rPr>
                <w:rFonts w:hint="default" w:ascii="Times New Roman" w:hAnsi="Times New Roman" w:cs="Times New Roman"/>
                <w:color w:val="000000"/>
                <w:sz w:val="24"/>
                <w:szCs w:val="24"/>
                <w:highlight w:val="none"/>
              </w:rPr>
              <w:t>，</w:t>
            </w:r>
            <w:r>
              <w:rPr>
                <w:rFonts w:hint="eastAsia" w:ascii="Times New Roman" w:hAnsi="Times New Roman" w:cs="Times New Roman"/>
                <w:color w:val="000000"/>
                <w:sz w:val="24"/>
                <w:szCs w:val="24"/>
                <w:highlight w:val="none"/>
                <w:lang w:eastAsia="zh-CN"/>
              </w:rPr>
              <w:t>容积为</w:t>
            </w:r>
            <w:r>
              <w:rPr>
                <w:rFonts w:hint="eastAsia" w:ascii="Times New Roman" w:hAnsi="Times New Roman" w:cs="Times New Roman"/>
                <w:color w:val="000000"/>
                <w:sz w:val="24"/>
                <w:szCs w:val="24"/>
                <w:highlight w:val="none"/>
                <w:lang w:val="en-US" w:eastAsia="zh-CN"/>
              </w:rPr>
              <w:t>240</w:t>
            </w:r>
            <w:r>
              <w:rPr>
                <w:rFonts w:hint="default"/>
                <w:color w:val="000000"/>
                <w:sz w:val="24"/>
                <w:szCs w:val="24"/>
                <w:lang w:val="en-US" w:eastAsia="zh-CN"/>
              </w:rPr>
              <w:t>m</w:t>
            </w:r>
            <w:r>
              <w:rPr>
                <w:rFonts w:hint="default"/>
                <w:color w:val="000000"/>
                <w:sz w:val="24"/>
                <w:szCs w:val="24"/>
                <w:vertAlign w:val="superscript"/>
                <w:lang w:val="en-US" w:eastAsia="zh-CN"/>
              </w:rPr>
              <w:t>3</w:t>
            </w:r>
            <w:r>
              <w:rPr>
                <w:rFonts w:hint="eastAsia"/>
                <w:color w:val="000000"/>
                <w:sz w:val="24"/>
                <w:szCs w:val="24"/>
                <w:vertAlign w:val="baseline"/>
                <w:lang w:val="en-US" w:eastAsia="zh-CN"/>
              </w:rPr>
              <w:t>，</w:t>
            </w:r>
            <w:r>
              <w:rPr>
                <w:rFonts w:hint="default" w:ascii="Times New Roman" w:hAnsi="Times New Roman" w:cs="Times New Roman"/>
                <w:color w:val="000000"/>
                <w:sz w:val="24"/>
                <w:szCs w:val="24"/>
                <w:highlight w:val="none"/>
              </w:rPr>
              <w:t>同时初期雨水池</w:t>
            </w:r>
            <w:r>
              <w:rPr>
                <w:rFonts w:hint="eastAsia" w:ascii="Times New Roman" w:hAnsi="Times New Roman" w:cs="Times New Roman"/>
                <w:color w:val="000000"/>
                <w:sz w:val="24"/>
                <w:szCs w:val="24"/>
                <w:highlight w:val="none"/>
                <w:lang w:eastAsia="zh-CN"/>
              </w:rPr>
              <w:t>采取</w:t>
            </w:r>
            <w:r>
              <w:rPr>
                <w:rFonts w:hint="default" w:ascii="Times New Roman" w:hAnsi="Times New Roman" w:cs="Times New Roman"/>
                <w:color w:val="000000"/>
                <w:sz w:val="24"/>
                <w:szCs w:val="24"/>
                <w:highlight w:val="none"/>
              </w:rPr>
              <w:t>防渗混凝土进行防渗。</w:t>
            </w:r>
          </w:p>
          <w:p w14:paraId="6A309ADC">
            <w:pPr>
              <w:pStyle w:val="10"/>
              <w:keepNext w:val="0"/>
              <w:keepLines w:val="0"/>
              <w:pageBreakBefore w:val="0"/>
              <w:kinsoku/>
              <w:wordWrap/>
              <w:overflowPunct/>
              <w:topLinePunct w:val="0"/>
              <w:autoSpaceDE/>
              <w:autoSpaceDN/>
              <w:bidi w:val="0"/>
              <w:adjustRightInd/>
              <w:spacing w:before="0" w:after="0" w:line="360" w:lineRule="auto"/>
              <w:ind w:right="0" w:firstLine="482" w:firstLineChars="200"/>
              <w:textAlignment w:val="auto"/>
              <w:rPr>
                <w:rFonts w:hint="default" w:eastAsia="宋体"/>
                <w:b/>
                <w:bCs/>
                <w:color w:val="000000"/>
                <w:sz w:val="24"/>
                <w:szCs w:val="24"/>
                <w:highlight w:val="none"/>
                <w:lang w:val="en-US" w:eastAsia="zh-CN"/>
              </w:rPr>
            </w:pPr>
            <w:r>
              <w:rPr>
                <w:rFonts w:hint="eastAsia"/>
                <w:b/>
                <w:bCs/>
                <w:color w:val="000000"/>
                <w:sz w:val="24"/>
                <w:szCs w:val="24"/>
                <w:highlight w:val="none"/>
                <w:lang w:val="en-US" w:eastAsia="zh-CN"/>
              </w:rPr>
              <w:t>（3）项目排放废水情况汇总</w:t>
            </w:r>
          </w:p>
          <w:p w14:paraId="68B6E485">
            <w:pPr>
              <w:pStyle w:val="10"/>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eastAsia" w:ascii="Times New Roman" w:hAnsi="Times New Roman" w:eastAsia="宋体" w:cs="Times New Roman"/>
                <w:color w:val="000000"/>
                <w:sz w:val="24"/>
                <w:szCs w:val="24"/>
                <w:highlight w:val="none"/>
                <w:lang w:val="en-US" w:eastAsia="zh-CN"/>
              </w:rPr>
            </w:pPr>
            <w:r>
              <w:rPr>
                <w:rFonts w:hint="eastAsia"/>
                <w:color w:val="000000"/>
                <w:sz w:val="24"/>
                <w:szCs w:val="24"/>
                <w:highlight w:val="none"/>
                <w:lang w:val="en-US" w:eastAsia="zh-CN"/>
              </w:rPr>
              <w:t>综上，项目外排废水主要为生活污水，产生量为1.088</w:t>
            </w:r>
            <w:r>
              <w:rPr>
                <w:rFonts w:hint="eastAsia" w:ascii="Times New Roman" w:hAnsi="Times New Roman"/>
                <w:color w:val="000000"/>
                <w:sz w:val="24"/>
                <w:szCs w:val="24"/>
                <w:highlight w:val="none"/>
                <w:lang w:val="en-US" w:eastAsia="zh-CN"/>
              </w:rPr>
              <w:t>m</w:t>
            </w:r>
            <w:r>
              <w:rPr>
                <w:rFonts w:hint="eastAsia" w:ascii="Times New Roman" w:hAnsi="Times New Roman"/>
                <w:color w:val="000000"/>
                <w:sz w:val="24"/>
                <w:szCs w:val="24"/>
                <w:highlight w:val="none"/>
                <w:vertAlign w:val="superscript"/>
                <w:lang w:val="en-US" w:eastAsia="zh-CN"/>
              </w:rPr>
              <w:t>3</w:t>
            </w:r>
            <w:r>
              <w:rPr>
                <w:rFonts w:hint="eastAsia" w:ascii="Times New Roman" w:hAnsi="Times New Roman"/>
                <w:color w:val="000000"/>
                <w:sz w:val="24"/>
                <w:szCs w:val="24"/>
                <w:highlight w:val="none"/>
                <w:lang w:val="en-US" w:eastAsia="zh-CN"/>
              </w:rPr>
              <w:t>/d，359.04m</w:t>
            </w:r>
            <w:r>
              <w:rPr>
                <w:rFonts w:hint="eastAsia" w:ascii="Times New Roman" w:hAnsi="Times New Roman"/>
                <w:color w:val="000000"/>
                <w:sz w:val="24"/>
                <w:szCs w:val="24"/>
                <w:highlight w:val="none"/>
                <w:vertAlign w:val="superscript"/>
                <w:lang w:val="en-US" w:eastAsia="zh-CN"/>
              </w:rPr>
              <w:t>3</w:t>
            </w:r>
            <w:r>
              <w:rPr>
                <w:rFonts w:hint="eastAsia" w:ascii="Times New Roman" w:hAnsi="Times New Roman"/>
                <w:color w:val="000000"/>
                <w:sz w:val="24"/>
                <w:szCs w:val="24"/>
                <w:highlight w:val="none"/>
                <w:lang w:val="en-US" w:eastAsia="zh-CN"/>
              </w:rPr>
              <w:t>/a。</w:t>
            </w:r>
            <w:r>
              <w:rPr>
                <w:rFonts w:hint="eastAsia" w:ascii="Times New Roman" w:hAnsi="Times New Roman" w:eastAsia="宋体" w:cs="Times New Roman"/>
                <w:color w:val="000000"/>
                <w:sz w:val="24"/>
                <w:szCs w:val="24"/>
                <w:highlight w:val="none"/>
                <w:lang w:val="en-US" w:eastAsia="zh-CN"/>
              </w:rPr>
              <w:t>项目废水污染</w:t>
            </w:r>
            <w:r>
              <w:rPr>
                <w:rFonts w:hint="eastAsia" w:cs="Times New Roman"/>
                <w:color w:val="000000"/>
                <w:sz w:val="24"/>
                <w:szCs w:val="24"/>
                <w:highlight w:val="none"/>
                <w:lang w:val="en-US" w:eastAsia="zh-CN"/>
              </w:rPr>
              <w:t>排放情况</w:t>
            </w:r>
            <w:r>
              <w:rPr>
                <w:rFonts w:hint="eastAsia" w:ascii="Times New Roman" w:hAnsi="Times New Roman" w:eastAsia="宋体" w:cs="Times New Roman"/>
                <w:color w:val="000000"/>
                <w:sz w:val="24"/>
                <w:szCs w:val="24"/>
                <w:highlight w:val="none"/>
                <w:lang w:val="en-US" w:eastAsia="zh-CN"/>
              </w:rPr>
              <w:t>见表4-1，废水排放口基本信息见表4-2。</w:t>
            </w:r>
          </w:p>
          <w:p w14:paraId="7B9DDFC6">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default" w:ascii="Times New Roman" w:hAnsi="Times New Roman" w:eastAsia="宋体" w:cs="Times New Roman"/>
                <w:b/>
                <w:bCs/>
                <w:color w:val="000000"/>
                <w:spacing w:val="7"/>
                <w:sz w:val="24"/>
                <w:szCs w:val="24"/>
                <w:lang w:val="en-US" w:eastAsia="zh-CN"/>
              </w:rPr>
              <w:t xml:space="preserve"> 项目废水</w:t>
            </w:r>
            <w:r>
              <w:rPr>
                <w:rFonts w:hint="eastAsia" w:ascii="Times New Roman" w:hAnsi="Times New Roman" w:eastAsia="宋体" w:cs="Times New Roman"/>
                <w:b/>
                <w:bCs/>
                <w:color w:val="000000"/>
                <w:spacing w:val="7"/>
                <w:sz w:val="24"/>
                <w:szCs w:val="24"/>
                <w:lang w:val="en-US" w:eastAsia="zh-CN"/>
              </w:rPr>
              <w:t>污染</w:t>
            </w:r>
            <w:r>
              <w:rPr>
                <w:rFonts w:hint="eastAsia" w:cs="Times New Roman"/>
                <w:b/>
                <w:bCs/>
                <w:color w:val="000000"/>
                <w:spacing w:val="7"/>
                <w:sz w:val="24"/>
                <w:szCs w:val="24"/>
                <w:lang w:val="en-US" w:eastAsia="zh-CN"/>
              </w:rPr>
              <w:t>排放</w:t>
            </w:r>
            <w:r>
              <w:rPr>
                <w:rFonts w:hint="eastAsia" w:ascii="Times New Roman" w:hAnsi="Times New Roman" w:eastAsia="宋体" w:cs="Times New Roman"/>
                <w:b/>
                <w:bCs/>
                <w:color w:val="000000"/>
                <w:spacing w:val="7"/>
                <w:sz w:val="24"/>
                <w:szCs w:val="24"/>
                <w:lang w:val="en-US" w:eastAsia="zh-CN"/>
              </w:rPr>
              <w:t>情况</w:t>
            </w:r>
            <w:r>
              <w:rPr>
                <w:rFonts w:hint="default" w:ascii="Times New Roman" w:hAnsi="Times New Roman" w:eastAsia="宋体" w:cs="Times New Roman"/>
                <w:b/>
                <w:bCs/>
                <w:color w:val="000000"/>
                <w:spacing w:val="7"/>
                <w:sz w:val="24"/>
                <w:szCs w:val="24"/>
                <w:lang w:val="en-US" w:eastAsia="zh-CN"/>
              </w:rPr>
              <w:t>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737"/>
              <w:gridCol w:w="723"/>
              <w:gridCol w:w="1157"/>
              <w:gridCol w:w="885"/>
              <w:gridCol w:w="852"/>
              <w:gridCol w:w="913"/>
              <w:gridCol w:w="886"/>
              <w:gridCol w:w="969"/>
              <w:gridCol w:w="923"/>
            </w:tblGrid>
            <w:tr w14:paraId="6C5A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11" w:type="dxa"/>
                  <w:noWrap w:val="0"/>
                  <w:vAlign w:val="center"/>
                </w:tcPr>
                <w:p w14:paraId="013928AE">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eastAsia="zh-CN"/>
                    </w:rPr>
                    <w:t>污染源</w:t>
                  </w:r>
                </w:p>
              </w:tc>
              <w:tc>
                <w:tcPr>
                  <w:tcW w:w="737" w:type="dxa"/>
                  <w:noWrap w:val="0"/>
                  <w:vAlign w:val="center"/>
                </w:tcPr>
                <w:p w14:paraId="49270297">
                  <w:pPr>
                    <w:widowControl/>
                    <w:jc w:val="center"/>
                    <w:rPr>
                      <w:rFonts w:hint="default" w:ascii="Times New Roman" w:hAnsi="Times New Roman" w:eastAsia="宋体" w:cs="Times New Roman"/>
                      <w:color w:val="000000"/>
                      <w:sz w:val="21"/>
                      <w:szCs w:val="21"/>
                      <w:lang w:eastAsia="zh-CN"/>
                    </w:rPr>
                  </w:pPr>
                  <w:r>
                    <w:rPr>
                      <w:rFonts w:hint="default" w:ascii="Times New Roman" w:hAnsi="Times New Roman" w:cs="Times New Roman"/>
                      <w:color w:val="000000"/>
                      <w:sz w:val="21"/>
                      <w:szCs w:val="21"/>
                      <w:lang w:eastAsia="zh-CN"/>
                    </w:rPr>
                    <w:t>处理措施</w:t>
                  </w:r>
                </w:p>
              </w:tc>
              <w:tc>
                <w:tcPr>
                  <w:tcW w:w="723" w:type="dxa"/>
                  <w:noWrap w:val="0"/>
                  <w:vAlign w:val="center"/>
                </w:tcPr>
                <w:p w14:paraId="72C90025">
                  <w:pPr>
                    <w:widowControl/>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排放量</w:t>
                  </w:r>
                  <w:r>
                    <w:rPr>
                      <w:rFonts w:hint="default" w:ascii="Times New Roman" w:hAnsi="Times New Roman" w:cs="Times New Roman"/>
                      <w:color w:val="000000"/>
                      <w:sz w:val="21"/>
                      <w:szCs w:val="21"/>
                      <w:lang w:val="en-US" w:eastAsia="zh-CN"/>
                    </w:rPr>
                    <w:t>m</w:t>
                  </w:r>
                  <w:r>
                    <w:rPr>
                      <w:rFonts w:hint="default" w:ascii="Times New Roman" w:hAnsi="Times New Roman" w:cs="Times New Roman"/>
                      <w:color w:val="000000"/>
                      <w:sz w:val="21"/>
                      <w:szCs w:val="21"/>
                      <w:vertAlign w:val="superscript"/>
                      <w:lang w:val="en-US" w:eastAsia="zh-CN"/>
                    </w:rPr>
                    <w:t>3</w:t>
                  </w:r>
                  <w:r>
                    <w:rPr>
                      <w:rFonts w:hint="default" w:ascii="Times New Roman" w:hAnsi="Times New Roman" w:cs="Times New Roman"/>
                      <w:color w:val="000000"/>
                      <w:sz w:val="21"/>
                      <w:szCs w:val="21"/>
                      <w:lang w:val="en-US" w:eastAsia="zh-CN"/>
                    </w:rPr>
                    <w:t>/a</w:t>
                  </w:r>
                </w:p>
              </w:tc>
              <w:tc>
                <w:tcPr>
                  <w:tcW w:w="1157" w:type="dxa"/>
                  <w:noWrap w:val="0"/>
                  <w:vAlign w:val="center"/>
                </w:tcPr>
                <w:p w14:paraId="24B86666">
                  <w:pPr>
                    <w:widowControl/>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主要污染物处理情况</w:t>
                  </w:r>
                </w:p>
              </w:tc>
              <w:tc>
                <w:tcPr>
                  <w:tcW w:w="885" w:type="dxa"/>
                  <w:noWrap w:val="0"/>
                  <w:vAlign w:val="center"/>
                </w:tcPr>
                <w:p w14:paraId="44BEA99B">
                  <w:pPr>
                    <w:widowControl/>
                    <w:jc w:val="center"/>
                    <w:rPr>
                      <w:rFonts w:ascii="Times New Roman" w:hAnsi="Times New Roman" w:cs="Times New Roman"/>
                      <w:color w:val="000000"/>
                      <w:sz w:val="21"/>
                      <w:szCs w:val="21"/>
                    </w:rPr>
                  </w:pPr>
                  <w:r>
                    <w:rPr>
                      <w:rFonts w:ascii="Times New Roman" w:hAnsi="Times New Roman" w:cs="Times New Roman"/>
                      <w:color w:val="000000"/>
                      <w:sz w:val="21"/>
                      <w:szCs w:val="21"/>
                    </w:rPr>
                    <w:t>SS</w:t>
                  </w:r>
                </w:p>
              </w:tc>
              <w:tc>
                <w:tcPr>
                  <w:tcW w:w="852" w:type="dxa"/>
                  <w:noWrap w:val="0"/>
                  <w:vAlign w:val="center"/>
                </w:tcPr>
                <w:p w14:paraId="6AC31350">
                  <w:pPr>
                    <w:widowControl/>
                    <w:jc w:val="center"/>
                    <w:rPr>
                      <w:rFonts w:ascii="Times New Roman" w:hAnsi="Times New Roman" w:cs="Times New Roman"/>
                      <w:color w:val="000000"/>
                      <w:sz w:val="21"/>
                      <w:szCs w:val="21"/>
                    </w:rPr>
                  </w:pPr>
                  <w:r>
                    <w:rPr>
                      <w:rFonts w:ascii="Times New Roman" w:hAnsi="Times New Roman" w:cs="Times New Roman"/>
                      <w:color w:val="000000"/>
                      <w:sz w:val="21"/>
                      <w:szCs w:val="21"/>
                    </w:rPr>
                    <w:t>COD</w:t>
                  </w:r>
                  <w:r>
                    <w:rPr>
                      <w:rFonts w:ascii="Times New Roman" w:hAnsi="Times New Roman" w:cs="Times New Roman"/>
                      <w:color w:val="000000"/>
                      <w:sz w:val="21"/>
                      <w:szCs w:val="21"/>
                      <w:vertAlign w:val="subscript"/>
                    </w:rPr>
                    <w:t>Cr</w:t>
                  </w:r>
                </w:p>
              </w:tc>
              <w:tc>
                <w:tcPr>
                  <w:tcW w:w="913" w:type="dxa"/>
                  <w:noWrap w:val="0"/>
                  <w:vAlign w:val="center"/>
                </w:tcPr>
                <w:p w14:paraId="5F41BDF1">
                  <w:pPr>
                    <w:widowControl/>
                    <w:jc w:val="center"/>
                    <w:rPr>
                      <w:rFonts w:ascii="Times New Roman" w:hAnsi="Times New Roman" w:cs="Times New Roman"/>
                      <w:color w:val="000000"/>
                      <w:sz w:val="21"/>
                      <w:szCs w:val="21"/>
                    </w:rPr>
                  </w:pPr>
                  <w:r>
                    <w:rPr>
                      <w:rFonts w:ascii="Times New Roman" w:hAnsi="Times New Roman" w:cs="Times New Roman"/>
                      <w:color w:val="000000"/>
                      <w:sz w:val="21"/>
                      <w:szCs w:val="21"/>
                    </w:rPr>
                    <w:t>NH</w:t>
                  </w:r>
                  <w:r>
                    <w:rPr>
                      <w:rFonts w:ascii="Times New Roman" w:hAnsi="Times New Roman" w:cs="Times New Roman"/>
                      <w:color w:val="000000"/>
                      <w:sz w:val="21"/>
                      <w:szCs w:val="21"/>
                      <w:vertAlign w:val="subscript"/>
                    </w:rPr>
                    <w:t>3</w:t>
                  </w:r>
                  <w:r>
                    <w:rPr>
                      <w:rFonts w:ascii="Times New Roman" w:hAnsi="Times New Roman" w:cs="Times New Roman"/>
                      <w:color w:val="000000"/>
                      <w:sz w:val="21"/>
                      <w:szCs w:val="21"/>
                    </w:rPr>
                    <w:t>-N</w:t>
                  </w:r>
                </w:p>
              </w:tc>
              <w:tc>
                <w:tcPr>
                  <w:tcW w:w="886" w:type="dxa"/>
                  <w:noWrap w:val="0"/>
                  <w:vAlign w:val="center"/>
                </w:tcPr>
                <w:p w14:paraId="21F48231">
                  <w:pPr>
                    <w:widowControl/>
                    <w:jc w:val="center"/>
                    <w:rPr>
                      <w:rFonts w:ascii="Times New Roman" w:hAnsi="Times New Roman" w:cs="Times New Roman"/>
                      <w:color w:val="000000"/>
                      <w:sz w:val="21"/>
                      <w:szCs w:val="21"/>
                    </w:rPr>
                  </w:pPr>
                  <w:r>
                    <w:rPr>
                      <w:rFonts w:ascii="Times New Roman" w:hAnsi="Times New Roman" w:cs="Times New Roman"/>
                      <w:color w:val="000000"/>
                      <w:sz w:val="21"/>
                      <w:szCs w:val="21"/>
                    </w:rPr>
                    <w:t>BOD</w:t>
                  </w:r>
                  <w:r>
                    <w:rPr>
                      <w:rFonts w:ascii="Times New Roman" w:hAnsi="Times New Roman" w:cs="Times New Roman"/>
                      <w:color w:val="000000"/>
                      <w:sz w:val="21"/>
                      <w:szCs w:val="21"/>
                      <w:vertAlign w:val="subscript"/>
                    </w:rPr>
                    <w:t>5</w:t>
                  </w:r>
                </w:p>
              </w:tc>
              <w:tc>
                <w:tcPr>
                  <w:tcW w:w="969" w:type="dxa"/>
                  <w:noWrap w:val="0"/>
                  <w:vAlign w:val="center"/>
                </w:tcPr>
                <w:p w14:paraId="349C9EF9">
                  <w:pPr>
                    <w:widowControl/>
                    <w:jc w:val="center"/>
                    <w:rPr>
                      <w:rFonts w:ascii="Times New Roman" w:hAnsi="Times New Roman" w:cs="Times New Roman"/>
                      <w:color w:val="000000"/>
                      <w:sz w:val="21"/>
                      <w:szCs w:val="21"/>
                    </w:rPr>
                  </w:pPr>
                  <w:r>
                    <w:rPr>
                      <w:rFonts w:hint="default" w:ascii="Times New Roman" w:hAnsi="Times New Roman" w:cs="Times New Roman"/>
                      <w:color w:val="000000"/>
                      <w:sz w:val="21"/>
                      <w:szCs w:val="21"/>
                    </w:rPr>
                    <w:t>总磷</w:t>
                  </w:r>
                </w:p>
              </w:tc>
              <w:tc>
                <w:tcPr>
                  <w:tcW w:w="923" w:type="dxa"/>
                  <w:noWrap w:val="0"/>
                  <w:vAlign w:val="center"/>
                </w:tcPr>
                <w:p w14:paraId="26058FFA">
                  <w:pPr>
                    <w:widowControl/>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动植</w:t>
                  </w:r>
                </w:p>
                <w:p w14:paraId="5A2CD69B">
                  <w:pPr>
                    <w:widowControl/>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物油</w:t>
                  </w:r>
                </w:p>
              </w:tc>
            </w:tr>
            <w:tr w14:paraId="08C7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11" w:type="dxa"/>
                  <w:vMerge w:val="restart"/>
                  <w:noWrap w:val="0"/>
                  <w:vAlign w:val="center"/>
                </w:tcPr>
                <w:p w14:paraId="275422FE">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eastAsia="zh-CN"/>
                    </w:rPr>
                    <w:t>生活污水</w:t>
                  </w:r>
                </w:p>
              </w:tc>
              <w:tc>
                <w:tcPr>
                  <w:tcW w:w="737" w:type="dxa"/>
                  <w:vMerge w:val="restart"/>
                  <w:noWrap w:val="0"/>
                  <w:vAlign w:val="center"/>
                </w:tcPr>
                <w:p w14:paraId="4C30E85F">
                  <w:pPr>
                    <w:widowControl/>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lang w:eastAsia="zh-CN"/>
                    </w:rPr>
                    <w:t>隔油池</w:t>
                  </w:r>
                  <w:r>
                    <w:rPr>
                      <w:rFonts w:hint="default" w:ascii="Times New Roman" w:hAnsi="Times New Roman" w:cs="Times New Roman"/>
                      <w:color w:val="000000"/>
                      <w:sz w:val="21"/>
                      <w:szCs w:val="21"/>
                      <w:lang w:val="en-US" w:eastAsia="zh-CN"/>
                    </w:rPr>
                    <w:t>+</w:t>
                  </w:r>
                  <w:r>
                    <w:rPr>
                      <w:rFonts w:hint="default" w:ascii="Times New Roman" w:hAnsi="Times New Roman" w:cs="Times New Roman"/>
                      <w:color w:val="000000"/>
                      <w:sz w:val="21"/>
                      <w:szCs w:val="21"/>
                    </w:rPr>
                    <w:t>预处理池</w:t>
                  </w:r>
                </w:p>
                <w:p w14:paraId="6E8102E5">
                  <w:pPr>
                    <w:widowControl/>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（依托）</w:t>
                  </w:r>
                </w:p>
              </w:tc>
              <w:tc>
                <w:tcPr>
                  <w:tcW w:w="723" w:type="dxa"/>
                  <w:vMerge w:val="restart"/>
                  <w:noWrap w:val="0"/>
                  <w:vAlign w:val="center"/>
                </w:tcPr>
                <w:p w14:paraId="0D1E179E">
                  <w:pPr>
                    <w:widowControl/>
                    <w:jc w:val="center"/>
                    <w:rPr>
                      <w:rFonts w:hint="default" w:ascii="Times New Roman" w:hAnsi="Times New Roman" w:cs="Times New Roman"/>
                      <w:color w:val="000000"/>
                      <w:sz w:val="21"/>
                      <w:szCs w:val="21"/>
                      <w:lang w:val="en-US" w:eastAsia="zh-CN"/>
                    </w:rPr>
                  </w:pPr>
                  <w:r>
                    <w:rPr>
                      <w:rFonts w:hint="eastAsia"/>
                      <w:color w:val="000000"/>
                      <w:sz w:val="21"/>
                      <w:szCs w:val="21"/>
                      <w:highlight w:val="none"/>
                      <w:lang w:val="en-US" w:eastAsia="zh-CN"/>
                    </w:rPr>
                    <w:t>359.04</w:t>
                  </w:r>
                </w:p>
              </w:tc>
              <w:tc>
                <w:tcPr>
                  <w:tcW w:w="1157" w:type="dxa"/>
                  <w:noWrap w:val="0"/>
                  <w:vAlign w:val="center"/>
                </w:tcPr>
                <w:p w14:paraId="1AFFEBF0">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产生浓度</w:t>
                  </w:r>
                  <w:r>
                    <w:rPr>
                      <w:rFonts w:hint="default" w:ascii="Times New Roman" w:hAnsi="Times New Roman" w:cs="Times New Roman"/>
                      <w:color w:val="000000"/>
                      <w:sz w:val="21"/>
                      <w:szCs w:val="21"/>
                    </w:rPr>
                    <w:t>mg</w:t>
                  </w:r>
                  <w:r>
                    <w:rPr>
                      <w:rFonts w:hint="default" w:ascii="Times New Roman" w:hAnsi="Times New Roman" w:cs="Times New Roman"/>
                      <w:color w:val="000000"/>
                      <w:sz w:val="21"/>
                      <w:szCs w:val="21"/>
                      <w:lang w:val="en-US" w:eastAsia="zh-CN"/>
                    </w:rPr>
                    <w:t>/</w:t>
                  </w:r>
                  <w:r>
                    <w:rPr>
                      <w:rFonts w:hint="default" w:ascii="Times New Roman" w:hAnsi="Times New Roman" w:cs="Times New Roman"/>
                      <w:color w:val="000000"/>
                      <w:sz w:val="21"/>
                      <w:szCs w:val="21"/>
                    </w:rPr>
                    <w:t>L</w:t>
                  </w:r>
                </w:p>
              </w:tc>
              <w:tc>
                <w:tcPr>
                  <w:tcW w:w="885" w:type="dxa"/>
                  <w:noWrap w:val="0"/>
                  <w:vAlign w:val="center"/>
                </w:tcPr>
                <w:p w14:paraId="32891726">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300</w:t>
                  </w:r>
                </w:p>
              </w:tc>
              <w:tc>
                <w:tcPr>
                  <w:tcW w:w="852" w:type="dxa"/>
                  <w:noWrap w:val="0"/>
                  <w:vAlign w:val="center"/>
                </w:tcPr>
                <w:p w14:paraId="00F438F5">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325</w:t>
                  </w:r>
                </w:p>
              </w:tc>
              <w:tc>
                <w:tcPr>
                  <w:tcW w:w="913" w:type="dxa"/>
                  <w:noWrap w:val="0"/>
                  <w:vAlign w:val="center"/>
                </w:tcPr>
                <w:p w14:paraId="0417CC4D">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37.7</w:t>
                  </w:r>
                </w:p>
              </w:tc>
              <w:tc>
                <w:tcPr>
                  <w:tcW w:w="886" w:type="dxa"/>
                  <w:noWrap w:val="0"/>
                  <w:vAlign w:val="center"/>
                </w:tcPr>
                <w:p w14:paraId="5BEC3F12">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200</w:t>
                  </w:r>
                </w:p>
              </w:tc>
              <w:tc>
                <w:tcPr>
                  <w:tcW w:w="969" w:type="dxa"/>
                  <w:noWrap w:val="0"/>
                  <w:vAlign w:val="center"/>
                </w:tcPr>
                <w:p w14:paraId="007D7AF1">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4.28</w:t>
                  </w:r>
                </w:p>
              </w:tc>
              <w:tc>
                <w:tcPr>
                  <w:tcW w:w="923" w:type="dxa"/>
                  <w:noWrap w:val="0"/>
                  <w:vAlign w:val="center"/>
                </w:tcPr>
                <w:p w14:paraId="3EBF2221">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50</w:t>
                  </w:r>
                </w:p>
              </w:tc>
            </w:tr>
            <w:tr w14:paraId="0B77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11" w:type="dxa"/>
                  <w:vMerge w:val="continue"/>
                  <w:noWrap w:val="0"/>
                  <w:vAlign w:val="center"/>
                </w:tcPr>
                <w:p w14:paraId="65DE03D9">
                  <w:pPr>
                    <w:widowControl/>
                    <w:jc w:val="center"/>
                    <w:rPr>
                      <w:rFonts w:hint="default" w:ascii="Times New Roman" w:hAnsi="Times New Roman" w:cs="Times New Roman"/>
                      <w:color w:val="000000"/>
                      <w:sz w:val="21"/>
                      <w:szCs w:val="21"/>
                      <w:lang w:val="en-US" w:eastAsia="zh-CN"/>
                    </w:rPr>
                  </w:pPr>
                </w:p>
              </w:tc>
              <w:tc>
                <w:tcPr>
                  <w:tcW w:w="737" w:type="dxa"/>
                  <w:vMerge w:val="continue"/>
                  <w:noWrap w:val="0"/>
                  <w:vAlign w:val="center"/>
                </w:tcPr>
                <w:p w14:paraId="50ECDF7D">
                  <w:pPr>
                    <w:widowControl/>
                    <w:jc w:val="center"/>
                    <w:rPr>
                      <w:rFonts w:hint="default" w:ascii="Times New Roman" w:hAnsi="Times New Roman" w:cs="Times New Roman"/>
                      <w:color w:val="000000"/>
                      <w:sz w:val="21"/>
                      <w:szCs w:val="21"/>
                    </w:rPr>
                  </w:pPr>
                </w:p>
              </w:tc>
              <w:tc>
                <w:tcPr>
                  <w:tcW w:w="723" w:type="dxa"/>
                  <w:vMerge w:val="continue"/>
                  <w:noWrap w:val="0"/>
                  <w:vAlign w:val="center"/>
                </w:tcPr>
                <w:p w14:paraId="5B78A7CE">
                  <w:pPr>
                    <w:widowControl/>
                    <w:jc w:val="both"/>
                    <w:rPr>
                      <w:rFonts w:hint="default" w:ascii="Times New Roman" w:hAnsi="Times New Roman" w:cs="Times New Roman"/>
                      <w:color w:val="000000"/>
                      <w:sz w:val="21"/>
                      <w:szCs w:val="21"/>
                      <w:lang w:val="en-US" w:eastAsia="zh-CN"/>
                    </w:rPr>
                  </w:pPr>
                </w:p>
              </w:tc>
              <w:tc>
                <w:tcPr>
                  <w:tcW w:w="1157" w:type="dxa"/>
                  <w:noWrap w:val="0"/>
                  <w:vAlign w:val="center"/>
                </w:tcPr>
                <w:p w14:paraId="69C76F9C">
                  <w:pPr>
                    <w:widowControl/>
                    <w:jc w:val="center"/>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产生量</w:t>
                  </w:r>
                  <w:r>
                    <w:rPr>
                      <w:rFonts w:hint="eastAsia" w:ascii="Times New Roman" w:hAnsi="Times New Roman" w:cs="Times New Roman"/>
                      <w:color w:val="000000"/>
                      <w:sz w:val="21"/>
                      <w:szCs w:val="21"/>
                      <w:lang w:val="en-US" w:eastAsia="zh-CN"/>
                    </w:rPr>
                    <w:t>t/a</w:t>
                  </w:r>
                </w:p>
              </w:tc>
              <w:tc>
                <w:tcPr>
                  <w:tcW w:w="885" w:type="dxa"/>
                  <w:noWrap w:val="0"/>
                  <w:vAlign w:val="center"/>
                </w:tcPr>
                <w:p w14:paraId="5362D221">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0.1077 </w:t>
                  </w:r>
                </w:p>
              </w:tc>
              <w:tc>
                <w:tcPr>
                  <w:tcW w:w="852" w:type="dxa"/>
                  <w:noWrap w:val="0"/>
                  <w:vAlign w:val="center"/>
                </w:tcPr>
                <w:p w14:paraId="1C32C337">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0.1167 </w:t>
                  </w:r>
                </w:p>
              </w:tc>
              <w:tc>
                <w:tcPr>
                  <w:tcW w:w="913" w:type="dxa"/>
                  <w:noWrap w:val="0"/>
                  <w:vAlign w:val="center"/>
                </w:tcPr>
                <w:p w14:paraId="6FA86655">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0.0135 </w:t>
                  </w:r>
                </w:p>
              </w:tc>
              <w:tc>
                <w:tcPr>
                  <w:tcW w:w="886" w:type="dxa"/>
                  <w:noWrap w:val="0"/>
                  <w:vAlign w:val="center"/>
                </w:tcPr>
                <w:p w14:paraId="01401362">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0.0718 </w:t>
                  </w:r>
                </w:p>
              </w:tc>
              <w:tc>
                <w:tcPr>
                  <w:tcW w:w="969" w:type="dxa"/>
                  <w:noWrap w:val="0"/>
                  <w:vAlign w:val="center"/>
                </w:tcPr>
                <w:p w14:paraId="32421148">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0.0015 </w:t>
                  </w:r>
                </w:p>
              </w:tc>
              <w:tc>
                <w:tcPr>
                  <w:tcW w:w="923" w:type="dxa"/>
                  <w:noWrap w:val="0"/>
                  <w:vAlign w:val="center"/>
                </w:tcPr>
                <w:p w14:paraId="15277E7E">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0.0180 </w:t>
                  </w:r>
                </w:p>
              </w:tc>
            </w:tr>
            <w:tr w14:paraId="6A98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11" w:type="dxa"/>
                  <w:vMerge w:val="continue"/>
                  <w:noWrap w:val="0"/>
                  <w:vAlign w:val="center"/>
                </w:tcPr>
                <w:p w14:paraId="0198109E">
                  <w:pPr>
                    <w:widowControl/>
                    <w:jc w:val="center"/>
                    <w:rPr>
                      <w:rFonts w:hint="default" w:ascii="Times New Roman" w:hAnsi="Times New Roman" w:cs="Times New Roman"/>
                      <w:color w:val="000000"/>
                      <w:sz w:val="21"/>
                      <w:szCs w:val="21"/>
                      <w:lang w:val="en-US" w:eastAsia="zh-CN"/>
                    </w:rPr>
                  </w:pPr>
                </w:p>
              </w:tc>
              <w:tc>
                <w:tcPr>
                  <w:tcW w:w="737" w:type="dxa"/>
                  <w:vMerge w:val="continue"/>
                  <w:noWrap w:val="0"/>
                  <w:vAlign w:val="center"/>
                </w:tcPr>
                <w:p w14:paraId="30290A56">
                  <w:pPr>
                    <w:widowControl/>
                    <w:jc w:val="center"/>
                    <w:rPr>
                      <w:rFonts w:hint="default" w:ascii="Times New Roman" w:hAnsi="Times New Roman" w:cs="Times New Roman"/>
                      <w:color w:val="000000"/>
                      <w:sz w:val="21"/>
                      <w:szCs w:val="21"/>
                    </w:rPr>
                  </w:pPr>
                </w:p>
              </w:tc>
              <w:tc>
                <w:tcPr>
                  <w:tcW w:w="723" w:type="dxa"/>
                  <w:vMerge w:val="continue"/>
                  <w:noWrap w:val="0"/>
                  <w:vAlign w:val="center"/>
                </w:tcPr>
                <w:p w14:paraId="1F24574A">
                  <w:pPr>
                    <w:widowControl/>
                    <w:jc w:val="both"/>
                    <w:rPr>
                      <w:rFonts w:hint="default" w:ascii="Times New Roman" w:hAnsi="Times New Roman" w:cs="Times New Roman"/>
                      <w:color w:val="000000"/>
                      <w:sz w:val="21"/>
                      <w:szCs w:val="21"/>
                      <w:lang w:val="en-US" w:eastAsia="zh-CN"/>
                    </w:rPr>
                  </w:pPr>
                </w:p>
              </w:tc>
              <w:tc>
                <w:tcPr>
                  <w:tcW w:w="1157" w:type="dxa"/>
                  <w:noWrap w:val="0"/>
                  <w:vAlign w:val="center"/>
                </w:tcPr>
                <w:p w14:paraId="35C17A9D">
                  <w:pPr>
                    <w:widowControl/>
                    <w:jc w:val="center"/>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排放浓度</w:t>
                  </w:r>
                  <w:r>
                    <w:rPr>
                      <w:rFonts w:hint="default" w:ascii="Times New Roman" w:hAnsi="Times New Roman" w:cs="Times New Roman"/>
                      <w:color w:val="000000"/>
                      <w:sz w:val="21"/>
                      <w:szCs w:val="21"/>
                    </w:rPr>
                    <w:t>mg</w:t>
                  </w:r>
                  <w:r>
                    <w:rPr>
                      <w:rFonts w:hint="default" w:ascii="Times New Roman" w:hAnsi="Times New Roman" w:cs="Times New Roman"/>
                      <w:color w:val="000000"/>
                      <w:sz w:val="21"/>
                      <w:szCs w:val="21"/>
                      <w:lang w:val="en-US" w:eastAsia="zh-CN"/>
                    </w:rPr>
                    <w:t>/</w:t>
                  </w:r>
                  <w:r>
                    <w:rPr>
                      <w:rFonts w:hint="default" w:ascii="Times New Roman" w:hAnsi="Times New Roman" w:cs="Times New Roman"/>
                      <w:color w:val="000000"/>
                      <w:sz w:val="21"/>
                      <w:szCs w:val="21"/>
                    </w:rPr>
                    <w:t>L</w:t>
                  </w:r>
                </w:p>
              </w:tc>
              <w:tc>
                <w:tcPr>
                  <w:tcW w:w="885" w:type="dxa"/>
                  <w:noWrap w:val="0"/>
                  <w:vAlign w:val="center"/>
                </w:tcPr>
                <w:p w14:paraId="617EB1E4">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210</w:t>
                  </w:r>
                </w:p>
              </w:tc>
              <w:tc>
                <w:tcPr>
                  <w:tcW w:w="852" w:type="dxa"/>
                  <w:noWrap w:val="0"/>
                  <w:vAlign w:val="center"/>
                </w:tcPr>
                <w:p w14:paraId="5B5E77C1">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276.3</w:t>
                  </w:r>
                </w:p>
              </w:tc>
              <w:tc>
                <w:tcPr>
                  <w:tcW w:w="913" w:type="dxa"/>
                  <w:noWrap w:val="0"/>
                  <w:vAlign w:val="center"/>
                </w:tcPr>
                <w:p w14:paraId="230C4DA2">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37.7</w:t>
                  </w:r>
                </w:p>
              </w:tc>
              <w:tc>
                <w:tcPr>
                  <w:tcW w:w="886" w:type="dxa"/>
                  <w:noWrap w:val="0"/>
                  <w:vAlign w:val="center"/>
                </w:tcPr>
                <w:p w14:paraId="7D849C47">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180</w:t>
                  </w:r>
                </w:p>
              </w:tc>
              <w:tc>
                <w:tcPr>
                  <w:tcW w:w="969" w:type="dxa"/>
                  <w:noWrap w:val="0"/>
                  <w:vAlign w:val="center"/>
                </w:tcPr>
                <w:p w14:paraId="454ADBE9">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4.28</w:t>
                  </w:r>
                </w:p>
              </w:tc>
              <w:tc>
                <w:tcPr>
                  <w:tcW w:w="923" w:type="dxa"/>
                  <w:noWrap w:val="0"/>
                  <w:vAlign w:val="center"/>
                </w:tcPr>
                <w:p w14:paraId="12CA2BD2">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20</w:t>
                  </w:r>
                </w:p>
              </w:tc>
            </w:tr>
            <w:tr w14:paraId="43A3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11" w:type="dxa"/>
                  <w:vMerge w:val="continue"/>
                  <w:noWrap w:val="0"/>
                  <w:vAlign w:val="center"/>
                </w:tcPr>
                <w:p w14:paraId="34570654">
                  <w:pPr>
                    <w:widowControl/>
                    <w:jc w:val="center"/>
                    <w:rPr>
                      <w:rFonts w:hint="default" w:ascii="Times New Roman" w:hAnsi="Times New Roman" w:cs="Times New Roman"/>
                      <w:color w:val="000000"/>
                      <w:sz w:val="21"/>
                      <w:szCs w:val="21"/>
                      <w:lang w:val="en-US" w:eastAsia="zh-CN"/>
                    </w:rPr>
                  </w:pPr>
                </w:p>
              </w:tc>
              <w:tc>
                <w:tcPr>
                  <w:tcW w:w="737" w:type="dxa"/>
                  <w:vMerge w:val="continue"/>
                  <w:noWrap w:val="0"/>
                  <w:vAlign w:val="center"/>
                </w:tcPr>
                <w:p w14:paraId="41DE3512">
                  <w:pPr>
                    <w:widowControl/>
                    <w:jc w:val="center"/>
                    <w:rPr>
                      <w:rFonts w:hint="default" w:ascii="Times New Roman" w:hAnsi="Times New Roman" w:cs="Times New Roman"/>
                      <w:color w:val="000000"/>
                      <w:sz w:val="21"/>
                      <w:szCs w:val="21"/>
                    </w:rPr>
                  </w:pPr>
                </w:p>
              </w:tc>
              <w:tc>
                <w:tcPr>
                  <w:tcW w:w="723" w:type="dxa"/>
                  <w:vMerge w:val="continue"/>
                  <w:noWrap w:val="0"/>
                  <w:vAlign w:val="center"/>
                </w:tcPr>
                <w:p w14:paraId="6FBC897C">
                  <w:pPr>
                    <w:widowControl/>
                    <w:jc w:val="both"/>
                    <w:rPr>
                      <w:rFonts w:hint="default" w:ascii="Times New Roman" w:hAnsi="Times New Roman" w:cs="Times New Roman"/>
                      <w:color w:val="000000"/>
                      <w:sz w:val="21"/>
                      <w:szCs w:val="21"/>
                      <w:lang w:val="en-US" w:eastAsia="zh-CN"/>
                    </w:rPr>
                  </w:pPr>
                </w:p>
              </w:tc>
              <w:tc>
                <w:tcPr>
                  <w:tcW w:w="1157" w:type="dxa"/>
                  <w:noWrap w:val="0"/>
                  <w:vAlign w:val="center"/>
                </w:tcPr>
                <w:p w14:paraId="122BEC6E">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排放量</w:t>
                  </w:r>
                  <w:r>
                    <w:rPr>
                      <w:rFonts w:hint="eastAsia" w:ascii="Times New Roman" w:hAnsi="Times New Roman" w:cs="Times New Roman"/>
                      <w:color w:val="000000"/>
                      <w:sz w:val="21"/>
                      <w:szCs w:val="21"/>
                      <w:lang w:val="en-US" w:eastAsia="zh-CN"/>
                    </w:rPr>
                    <w:t>t/a</w:t>
                  </w:r>
                </w:p>
              </w:tc>
              <w:tc>
                <w:tcPr>
                  <w:tcW w:w="885" w:type="dxa"/>
                  <w:noWrap w:val="0"/>
                  <w:vAlign w:val="center"/>
                </w:tcPr>
                <w:p w14:paraId="27D3CCC1">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0.0754 </w:t>
                  </w:r>
                </w:p>
              </w:tc>
              <w:tc>
                <w:tcPr>
                  <w:tcW w:w="852" w:type="dxa"/>
                  <w:noWrap w:val="0"/>
                  <w:vAlign w:val="center"/>
                </w:tcPr>
                <w:p w14:paraId="36B6C781">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0.0992 </w:t>
                  </w:r>
                </w:p>
              </w:tc>
              <w:tc>
                <w:tcPr>
                  <w:tcW w:w="913" w:type="dxa"/>
                  <w:noWrap w:val="0"/>
                  <w:vAlign w:val="center"/>
                </w:tcPr>
                <w:p w14:paraId="2645B7DA">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0.0135 </w:t>
                  </w:r>
                </w:p>
              </w:tc>
              <w:tc>
                <w:tcPr>
                  <w:tcW w:w="886" w:type="dxa"/>
                  <w:noWrap w:val="0"/>
                  <w:vAlign w:val="center"/>
                </w:tcPr>
                <w:p w14:paraId="2F1CED64">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0.0646 </w:t>
                  </w:r>
                </w:p>
              </w:tc>
              <w:tc>
                <w:tcPr>
                  <w:tcW w:w="969" w:type="dxa"/>
                  <w:noWrap w:val="0"/>
                  <w:vAlign w:val="center"/>
                </w:tcPr>
                <w:p w14:paraId="194D3537">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0.0015 </w:t>
                  </w:r>
                </w:p>
              </w:tc>
              <w:tc>
                <w:tcPr>
                  <w:tcW w:w="923" w:type="dxa"/>
                  <w:noWrap w:val="0"/>
                  <w:vAlign w:val="center"/>
                </w:tcPr>
                <w:p w14:paraId="59BA6681">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0.0072 </w:t>
                  </w:r>
                </w:p>
              </w:tc>
            </w:tr>
            <w:tr w14:paraId="2B65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11" w:type="dxa"/>
                  <w:vMerge w:val="restart"/>
                  <w:noWrap w:val="0"/>
                  <w:vAlign w:val="center"/>
                </w:tcPr>
                <w:p w14:paraId="507B47B7">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eastAsia="zh-CN"/>
                    </w:rPr>
                    <w:t>污水处理厂</w:t>
                  </w:r>
                </w:p>
              </w:tc>
              <w:tc>
                <w:tcPr>
                  <w:tcW w:w="737" w:type="dxa"/>
                  <w:vMerge w:val="restart"/>
                  <w:noWrap w:val="0"/>
                  <w:vAlign w:val="center"/>
                </w:tcPr>
                <w:p w14:paraId="552EDECD">
                  <w:pPr>
                    <w:widowControl/>
                    <w:jc w:val="both"/>
                    <w:rPr>
                      <w:rFonts w:hint="default" w:ascii="Times New Roman" w:hAnsi="Times New Roman" w:eastAsia="宋体" w:cs="Times New Roman"/>
                      <w:color w:val="000000"/>
                      <w:sz w:val="21"/>
                      <w:szCs w:val="21"/>
                      <w:lang w:eastAsia="zh-CN"/>
                    </w:rPr>
                  </w:pPr>
                  <w:r>
                    <w:rPr>
                      <w:rFonts w:hint="eastAsia" w:ascii="Times New Roman" w:hAnsi="Times New Roman" w:cs="Times New Roman"/>
                      <w:color w:val="000000"/>
                      <w:sz w:val="21"/>
                      <w:szCs w:val="21"/>
                      <w:lang w:eastAsia="zh-CN"/>
                    </w:rPr>
                    <w:t>星光工业园区污水处理厂</w:t>
                  </w:r>
                </w:p>
              </w:tc>
              <w:tc>
                <w:tcPr>
                  <w:tcW w:w="723" w:type="dxa"/>
                  <w:vMerge w:val="restart"/>
                  <w:noWrap w:val="0"/>
                  <w:vAlign w:val="center"/>
                </w:tcPr>
                <w:p w14:paraId="5F96FE53">
                  <w:pPr>
                    <w:widowControl/>
                    <w:jc w:val="center"/>
                    <w:rPr>
                      <w:rFonts w:hint="default" w:ascii="Times New Roman" w:hAnsi="Times New Roman" w:cs="Times New Roman"/>
                      <w:color w:val="000000"/>
                      <w:sz w:val="21"/>
                      <w:szCs w:val="21"/>
                      <w:lang w:val="en-US" w:eastAsia="zh-CN"/>
                    </w:rPr>
                  </w:pPr>
                  <w:r>
                    <w:rPr>
                      <w:rFonts w:hint="eastAsia"/>
                      <w:color w:val="000000"/>
                      <w:sz w:val="21"/>
                      <w:szCs w:val="21"/>
                      <w:highlight w:val="none"/>
                      <w:lang w:val="en-US" w:eastAsia="zh-CN"/>
                    </w:rPr>
                    <w:t>359.04</w:t>
                  </w:r>
                </w:p>
              </w:tc>
              <w:tc>
                <w:tcPr>
                  <w:tcW w:w="1157" w:type="dxa"/>
                  <w:noWrap w:val="0"/>
                  <w:vAlign w:val="center"/>
                </w:tcPr>
                <w:p w14:paraId="0358AE1A">
                  <w:pPr>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排放浓度</w:t>
                  </w:r>
                  <w:r>
                    <w:rPr>
                      <w:rFonts w:hint="default" w:ascii="Times New Roman" w:hAnsi="Times New Roman" w:cs="Times New Roman"/>
                      <w:color w:val="000000"/>
                      <w:sz w:val="21"/>
                      <w:szCs w:val="21"/>
                    </w:rPr>
                    <w:t>mg</w:t>
                  </w:r>
                  <w:r>
                    <w:rPr>
                      <w:rFonts w:hint="default" w:ascii="Times New Roman" w:hAnsi="Times New Roman" w:cs="Times New Roman"/>
                      <w:color w:val="000000"/>
                      <w:sz w:val="21"/>
                      <w:szCs w:val="21"/>
                      <w:lang w:val="en-US" w:eastAsia="zh-CN"/>
                    </w:rPr>
                    <w:t>/</w:t>
                  </w:r>
                  <w:r>
                    <w:rPr>
                      <w:rFonts w:hint="default" w:ascii="Times New Roman" w:hAnsi="Times New Roman" w:cs="Times New Roman"/>
                      <w:color w:val="000000"/>
                      <w:sz w:val="21"/>
                      <w:szCs w:val="21"/>
                    </w:rPr>
                    <w:t>L</w:t>
                  </w:r>
                </w:p>
              </w:tc>
              <w:tc>
                <w:tcPr>
                  <w:tcW w:w="885" w:type="dxa"/>
                  <w:noWrap w:val="0"/>
                  <w:vAlign w:val="center"/>
                </w:tcPr>
                <w:p w14:paraId="7D0B25A1">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10</w:t>
                  </w:r>
                </w:p>
              </w:tc>
              <w:tc>
                <w:tcPr>
                  <w:tcW w:w="852" w:type="dxa"/>
                  <w:noWrap w:val="0"/>
                  <w:vAlign w:val="center"/>
                </w:tcPr>
                <w:p w14:paraId="4D8CC1F8">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5</w:t>
                  </w:r>
                  <w:r>
                    <w:rPr>
                      <w:rFonts w:hint="default" w:ascii="Times New Roman" w:hAnsi="Times New Roman" w:eastAsia="宋体" w:cs="Times New Roman"/>
                      <w:color w:val="000000"/>
                      <w:sz w:val="21"/>
                      <w:szCs w:val="21"/>
                      <w:lang w:val="en-US" w:eastAsia="zh-CN"/>
                    </w:rPr>
                    <w:t>0</w:t>
                  </w:r>
                </w:p>
              </w:tc>
              <w:tc>
                <w:tcPr>
                  <w:tcW w:w="913" w:type="dxa"/>
                  <w:noWrap w:val="0"/>
                  <w:vAlign w:val="center"/>
                </w:tcPr>
                <w:p w14:paraId="42B98C56">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5</w:t>
                  </w:r>
                </w:p>
              </w:tc>
              <w:tc>
                <w:tcPr>
                  <w:tcW w:w="886" w:type="dxa"/>
                  <w:noWrap w:val="0"/>
                  <w:vAlign w:val="center"/>
                </w:tcPr>
                <w:p w14:paraId="6CA0DD6B">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w:t>
                  </w:r>
                </w:p>
              </w:tc>
              <w:tc>
                <w:tcPr>
                  <w:tcW w:w="969" w:type="dxa"/>
                  <w:noWrap w:val="0"/>
                  <w:vAlign w:val="center"/>
                </w:tcPr>
                <w:p w14:paraId="258F5457">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0.</w:t>
                  </w:r>
                  <w:r>
                    <w:rPr>
                      <w:rFonts w:hint="eastAsia" w:ascii="Times New Roman" w:hAnsi="Times New Roman" w:eastAsia="宋体" w:cs="Times New Roman"/>
                      <w:color w:val="000000"/>
                      <w:sz w:val="21"/>
                      <w:szCs w:val="21"/>
                      <w:lang w:val="en-US" w:eastAsia="zh-CN"/>
                    </w:rPr>
                    <w:t>5</w:t>
                  </w:r>
                </w:p>
              </w:tc>
              <w:tc>
                <w:tcPr>
                  <w:tcW w:w="923" w:type="dxa"/>
                  <w:noWrap w:val="0"/>
                  <w:vAlign w:val="center"/>
                </w:tcPr>
                <w:p w14:paraId="1CEAEB7A">
                  <w:pPr>
                    <w:widowControl/>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w:t>
                  </w:r>
                </w:p>
              </w:tc>
            </w:tr>
            <w:tr w14:paraId="3D9D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dxa"/>
                  <w:vMerge w:val="continue"/>
                  <w:noWrap w:val="0"/>
                  <w:vAlign w:val="center"/>
                </w:tcPr>
                <w:p w14:paraId="265FF1CC">
                  <w:pPr>
                    <w:widowControl/>
                    <w:jc w:val="center"/>
                    <w:rPr>
                      <w:rFonts w:hint="default" w:ascii="Times New Roman" w:hAnsi="Times New Roman" w:cs="Times New Roman"/>
                      <w:color w:val="000000"/>
                      <w:sz w:val="21"/>
                      <w:szCs w:val="21"/>
                      <w:lang w:val="en-US" w:eastAsia="zh-CN"/>
                    </w:rPr>
                  </w:pPr>
                </w:p>
              </w:tc>
              <w:tc>
                <w:tcPr>
                  <w:tcW w:w="737" w:type="dxa"/>
                  <w:vMerge w:val="continue"/>
                  <w:noWrap w:val="0"/>
                  <w:vAlign w:val="center"/>
                </w:tcPr>
                <w:p w14:paraId="4F2C98C8">
                  <w:pPr>
                    <w:widowControl/>
                    <w:jc w:val="center"/>
                    <w:rPr>
                      <w:rFonts w:hint="default" w:ascii="Times New Roman" w:hAnsi="Times New Roman" w:cs="Times New Roman"/>
                      <w:color w:val="000000"/>
                      <w:sz w:val="21"/>
                      <w:szCs w:val="21"/>
                    </w:rPr>
                  </w:pPr>
                </w:p>
              </w:tc>
              <w:tc>
                <w:tcPr>
                  <w:tcW w:w="723" w:type="dxa"/>
                  <w:vMerge w:val="continue"/>
                  <w:noWrap w:val="0"/>
                  <w:vAlign w:val="center"/>
                </w:tcPr>
                <w:p w14:paraId="3BA56E89">
                  <w:pPr>
                    <w:jc w:val="center"/>
                    <w:rPr>
                      <w:rFonts w:hint="default" w:ascii="Times New Roman" w:hAnsi="Times New Roman" w:cs="Times New Roman"/>
                      <w:color w:val="000000"/>
                      <w:sz w:val="21"/>
                      <w:szCs w:val="21"/>
                      <w:lang w:eastAsia="zh-CN"/>
                    </w:rPr>
                  </w:pPr>
                </w:p>
              </w:tc>
              <w:tc>
                <w:tcPr>
                  <w:tcW w:w="1157" w:type="dxa"/>
                  <w:noWrap w:val="0"/>
                  <w:vAlign w:val="center"/>
                </w:tcPr>
                <w:p w14:paraId="3CDA3A49">
                  <w:pPr>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排放量</w:t>
                  </w:r>
                  <w:r>
                    <w:rPr>
                      <w:rFonts w:hint="eastAsia" w:ascii="Times New Roman" w:hAnsi="Times New Roman" w:cs="Times New Roman"/>
                      <w:color w:val="000000"/>
                      <w:sz w:val="21"/>
                      <w:szCs w:val="21"/>
                      <w:lang w:val="en-US" w:eastAsia="zh-CN"/>
                    </w:rPr>
                    <w:t>t/a</w:t>
                  </w:r>
                </w:p>
              </w:tc>
              <w:tc>
                <w:tcPr>
                  <w:tcW w:w="885" w:type="dxa"/>
                  <w:noWrap w:val="0"/>
                  <w:vAlign w:val="center"/>
                </w:tcPr>
                <w:p w14:paraId="44E4BEFB">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0.0036 </w:t>
                  </w:r>
                </w:p>
              </w:tc>
              <w:tc>
                <w:tcPr>
                  <w:tcW w:w="852" w:type="dxa"/>
                  <w:noWrap w:val="0"/>
                  <w:vAlign w:val="center"/>
                </w:tcPr>
                <w:p w14:paraId="4E15EDB4">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0.0180 </w:t>
                  </w:r>
                </w:p>
              </w:tc>
              <w:tc>
                <w:tcPr>
                  <w:tcW w:w="913" w:type="dxa"/>
                  <w:noWrap w:val="0"/>
                  <w:vAlign w:val="center"/>
                </w:tcPr>
                <w:p w14:paraId="23833AEF">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0.0018 </w:t>
                  </w:r>
                </w:p>
              </w:tc>
              <w:tc>
                <w:tcPr>
                  <w:tcW w:w="886" w:type="dxa"/>
                  <w:noWrap w:val="0"/>
                  <w:vAlign w:val="center"/>
                </w:tcPr>
                <w:p w14:paraId="75170F25">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0.0036 </w:t>
                  </w:r>
                </w:p>
              </w:tc>
              <w:tc>
                <w:tcPr>
                  <w:tcW w:w="969" w:type="dxa"/>
                  <w:noWrap w:val="0"/>
                  <w:vAlign w:val="center"/>
                </w:tcPr>
                <w:p w14:paraId="642D4EE3">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0.0002 </w:t>
                  </w:r>
                </w:p>
              </w:tc>
              <w:tc>
                <w:tcPr>
                  <w:tcW w:w="923" w:type="dxa"/>
                  <w:noWrap w:val="0"/>
                  <w:vAlign w:val="center"/>
                </w:tcPr>
                <w:p w14:paraId="42DC60A0">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0.0004 </w:t>
                  </w:r>
                </w:p>
              </w:tc>
            </w:tr>
            <w:tr w14:paraId="5781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228" w:type="dxa"/>
                  <w:gridSpan w:val="4"/>
                  <w:noWrap w:val="0"/>
                  <w:vAlign w:val="center"/>
                </w:tcPr>
                <w:p w14:paraId="0BBC9DEE">
                  <w:pPr>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《污水综合排放标准》（GB8978-1996）三级标准</w:t>
                  </w:r>
                  <w:r>
                    <w:rPr>
                      <w:rFonts w:hint="eastAsia" w:ascii="Times New Roman" w:hAnsi="Times New Roman" w:cs="Times New Roman"/>
                      <w:color w:val="000000"/>
                      <w:sz w:val="21"/>
                      <w:szCs w:val="21"/>
                      <w:lang w:eastAsia="zh-CN"/>
                    </w:rPr>
                    <w:t>，</w:t>
                  </w:r>
                  <w:r>
                    <w:rPr>
                      <w:rFonts w:hint="eastAsia" w:ascii="Times New Roman" w:hAnsi="Times New Roman" w:cs="Times New Roman"/>
                      <w:color w:val="000000"/>
                      <w:sz w:val="21"/>
                      <w:szCs w:val="21"/>
                    </w:rPr>
                    <w:t>NH</w:t>
                  </w:r>
                  <w:r>
                    <w:rPr>
                      <w:rFonts w:hint="eastAsia" w:ascii="Times New Roman" w:hAnsi="Times New Roman" w:cs="Times New Roman"/>
                      <w:color w:val="000000"/>
                      <w:sz w:val="21"/>
                      <w:szCs w:val="21"/>
                      <w:vertAlign w:val="subscript"/>
                    </w:rPr>
                    <w:t>3</w:t>
                  </w:r>
                  <w:r>
                    <w:rPr>
                      <w:rFonts w:hint="eastAsia" w:ascii="Times New Roman" w:hAnsi="Times New Roman" w:cs="Times New Roman"/>
                      <w:color w:val="000000"/>
                      <w:sz w:val="21"/>
                      <w:szCs w:val="21"/>
                    </w:rPr>
                    <w:t>-N、TP、总氮参照执行《污水排入城镇下水道水质标准》（GB/T31962-2015）</w:t>
                  </w:r>
                </w:p>
              </w:tc>
              <w:tc>
                <w:tcPr>
                  <w:tcW w:w="885" w:type="dxa"/>
                  <w:noWrap w:val="0"/>
                  <w:vAlign w:val="center"/>
                </w:tcPr>
                <w:p w14:paraId="7B280D01">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400</w:t>
                  </w:r>
                </w:p>
              </w:tc>
              <w:tc>
                <w:tcPr>
                  <w:tcW w:w="852" w:type="dxa"/>
                  <w:noWrap w:val="0"/>
                  <w:vAlign w:val="center"/>
                </w:tcPr>
                <w:p w14:paraId="7E320FA8">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500</w:t>
                  </w:r>
                </w:p>
              </w:tc>
              <w:tc>
                <w:tcPr>
                  <w:tcW w:w="913" w:type="dxa"/>
                  <w:noWrap w:val="0"/>
                  <w:vAlign w:val="center"/>
                </w:tcPr>
                <w:p w14:paraId="45E15DC9">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45</w:t>
                  </w:r>
                </w:p>
              </w:tc>
              <w:tc>
                <w:tcPr>
                  <w:tcW w:w="886" w:type="dxa"/>
                  <w:noWrap w:val="0"/>
                  <w:vAlign w:val="center"/>
                </w:tcPr>
                <w:p w14:paraId="3899986D">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300</w:t>
                  </w:r>
                </w:p>
              </w:tc>
              <w:tc>
                <w:tcPr>
                  <w:tcW w:w="969" w:type="dxa"/>
                  <w:noWrap w:val="0"/>
                  <w:vAlign w:val="center"/>
                </w:tcPr>
                <w:p w14:paraId="200A61AF">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8</w:t>
                  </w:r>
                </w:p>
              </w:tc>
              <w:tc>
                <w:tcPr>
                  <w:tcW w:w="923" w:type="dxa"/>
                  <w:noWrap w:val="0"/>
                  <w:vAlign w:val="center"/>
                </w:tcPr>
                <w:p w14:paraId="35CD5B46">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100</w:t>
                  </w:r>
                </w:p>
              </w:tc>
            </w:tr>
            <w:tr w14:paraId="51FB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228" w:type="dxa"/>
                  <w:gridSpan w:val="4"/>
                  <w:noWrap w:val="0"/>
                  <w:vAlign w:val="center"/>
                </w:tcPr>
                <w:p w14:paraId="7FC63997">
                  <w:pPr>
                    <w:jc w:val="center"/>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eastAsia="zh-CN"/>
                    </w:rPr>
                    <w:t>《城镇污水处理厂污染物排放标准》（GB18918-2002）一级A标</w:t>
                  </w:r>
                </w:p>
              </w:tc>
              <w:tc>
                <w:tcPr>
                  <w:tcW w:w="885" w:type="dxa"/>
                  <w:noWrap w:val="0"/>
                  <w:vAlign w:val="center"/>
                </w:tcPr>
                <w:p w14:paraId="1BF6D84E">
                  <w:pPr>
                    <w:widowControl/>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10</w:t>
                  </w:r>
                </w:p>
              </w:tc>
              <w:tc>
                <w:tcPr>
                  <w:tcW w:w="852" w:type="dxa"/>
                  <w:noWrap w:val="0"/>
                  <w:vAlign w:val="center"/>
                </w:tcPr>
                <w:p w14:paraId="07C4A34C">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5</w:t>
                  </w:r>
                  <w:r>
                    <w:rPr>
                      <w:rFonts w:hint="default" w:ascii="Times New Roman" w:hAnsi="Times New Roman" w:cs="Times New Roman"/>
                      <w:color w:val="000000"/>
                      <w:sz w:val="21"/>
                      <w:szCs w:val="21"/>
                    </w:rPr>
                    <w:t>0</w:t>
                  </w:r>
                </w:p>
              </w:tc>
              <w:tc>
                <w:tcPr>
                  <w:tcW w:w="913" w:type="dxa"/>
                  <w:noWrap w:val="0"/>
                  <w:vAlign w:val="center"/>
                </w:tcPr>
                <w:p w14:paraId="656A4270">
                  <w:pPr>
                    <w:widowControl/>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b w:val="0"/>
                      <w:bCs w:val="0"/>
                      <w:color w:val="000000"/>
                      <w:sz w:val="21"/>
                      <w:szCs w:val="21"/>
                      <w:vertAlign w:val="baseline"/>
                      <w:lang w:val="en-US" w:eastAsia="zh-CN"/>
                    </w:rPr>
                    <w:t>5</w:t>
                  </w:r>
                </w:p>
              </w:tc>
              <w:tc>
                <w:tcPr>
                  <w:tcW w:w="886" w:type="dxa"/>
                  <w:noWrap w:val="0"/>
                  <w:vAlign w:val="center"/>
                </w:tcPr>
                <w:p w14:paraId="4BCC6027">
                  <w:pPr>
                    <w:widowControl/>
                    <w:jc w:val="center"/>
                    <w:rPr>
                      <w:rFonts w:hint="default" w:ascii="Times New Roman" w:hAnsi="Times New Roman" w:eastAsia="宋体" w:cs="Times New Roman"/>
                      <w:color w:val="000000"/>
                      <w:sz w:val="21"/>
                      <w:szCs w:val="21"/>
                      <w:lang w:eastAsia="zh-CN"/>
                    </w:rPr>
                  </w:pPr>
                  <w:r>
                    <w:rPr>
                      <w:rFonts w:hint="eastAsia" w:ascii="Times New Roman" w:hAnsi="Times New Roman" w:cs="Times New Roman"/>
                      <w:color w:val="000000"/>
                      <w:sz w:val="21"/>
                      <w:szCs w:val="21"/>
                      <w:lang w:val="en-US" w:eastAsia="zh-CN"/>
                    </w:rPr>
                    <w:t>10</w:t>
                  </w:r>
                </w:p>
              </w:tc>
              <w:tc>
                <w:tcPr>
                  <w:tcW w:w="969" w:type="dxa"/>
                  <w:noWrap w:val="0"/>
                  <w:vAlign w:val="center"/>
                </w:tcPr>
                <w:p w14:paraId="0A402DF8">
                  <w:pPr>
                    <w:widowControl/>
                    <w:jc w:val="center"/>
                    <w:rPr>
                      <w:rFonts w:hint="default" w:ascii="Times New Roman" w:hAnsi="Times New Roman" w:eastAsia="宋体" w:cs="Times New Roman"/>
                      <w:color w:val="000000"/>
                      <w:sz w:val="21"/>
                      <w:szCs w:val="21"/>
                      <w:lang w:eastAsia="zh-CN"/>
                    </w:rPr>
                  </w:pPr>
                  <w:r>
                    <w:rPr>
                      <w:rFonts w:hint="default" w:ascii="Times New Roman" w:hAnsi="Times New Roman" w:cs="Times New Roman"/>
                      <w:color w:val="000000"/>
                      <w:sz w:val="21"/>
                      <w:szCs w:val="21"/>
                    </w:rPr>
                    <w:t>0.</w:t>
                  </w:r>
                  <w:r>
                    <w:rPr>
                      <w:rFonts w:hint="eastAsia" w:ascii="Times New Roman" w:hAnsi="Times New Roman" w:cs="Times New Roman"/>
                      <w:color w:val="000000"/>
                      <w:sz w:val="21"/>
                      <w:szCs w:val="21"/>
                      <w:lang w:val="en-US" w:eastAsia="zh-CN"/>
                    </w:rPr>
                    <w:t>5</w:t>
                  </w:r>
                </w:p>
              </w:tc>
              <w:tc>
                <w:tcPr>
                  <w:tcW w:w="923" w:type="dxa"/>
                  <w:noWrap w:val="0"/>
                  <w:vAlign w:val="center"/>
                </w:tcPr>
                <w:p w14:paraId="27D1A474">
                  <w:pPr>
                    <w:widowControl/>
                    <w:jc w:val="center"/>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1</w:t>
                  </w:r>
                </w:p>
              </w:tc>
            </w:tr>
          </w:tbl>
          <w:p w14:paraId="627E77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8" w:firstLineChars="200"/>
              <w:jc w:val="both"/>
              <w:textAlignment w:val="auto"/>
              <w:rPr>
                <w:rFonts w:hint="eastAsia" w:ascii="Times New Roman" w:hAnsi="Times New Roman" w:eastAsia="宋体" w:cs="Times New Roman"/>
                <w:b w:val="0"/>
                <w:bCs w:val="0"/>
                <w:color w:val="000000"/>
                <w:spacing w:val="7"/>
                <w:sz w:val="24"/>
                <w:szCs w:val="24"/>
                <w:lang w:val="en-US" w:eastAsia="zh-CN"/>
              </w:rPr>
            </w:pPr>
            <w:r>
              <w:rPr>
                <w:rFonts w:hint="eastAsia" w:ascii="Times New Roman" w:hAnsi="Times New Roman" w:eastAsia="宋体" w:cs="Times New Roman"/>
                <w:b w:val="0"/>
                <w:bCs w:val="0"/>
                <w:color w:val="000000"/>
                <w:spacing w:val="7"/>
                <w:sz w:val="21"/>
                <w:szCs w:val="21"/>
                <w:lang w:val="en-US" w:eastAsia="zh-CN"/>
              </w:rPr>
              <w:t>备注：预处理池对COD</w:t>
            </w:r>
            <w:r>
              <w:rPr>
                <w:rFonts w:ascii="Times New Roman" w:hAnsi="Times New Roman" w:cs="Times New Roman"/>
                <w:color w:val="000000"/>
                <w:sz w:val="21"/>
                <w:szCs w:val="21"/>
                <w:vertAlign w:val="subscript"/>
              </w:rPr>
              <w:t>Cr</w:t>
            </w:r>
            <w:r>
              <w:rPr>
                <w:rFonts w:hint="eastAsia" w:ascii="Times New Roman" w:hAnsi="Times New Roman" w:eastAsia="宋体" w:cs="Times New Roman"/>
                <w:b w:val="0"/>
                <w:bCs w:val="0"/>
                <w:color w:val="000000"/>
                <w:spacing w:val="7"/>
                <w:sz w:val="21"/>
                <w:szCs w:val="21"/>
                <w:lang w:val="en-US" w:eastAsia="zh-CN"/>
              </w:rPr>
              <w:t>去除率在15%左右，BOD</w:t>
            </w:r>
            <w:r>
              <w:rPr>
                <w:rFonts w:hint="eastAsia" w:ascii="Times New Roman" w:hAnsi="Times New Roman" w:eastAsia="宋体" w:cs="Times New Roman"/>
                <w:b w:val="0"/>
                <w:bCs w:val="0"/>
                <w:color w:val="000000"/>
                <w:spacing w:val="7"/>
                <w:sz w:val="21"/>
                <w:szCs w:val="21"/>
                <w:vertAlign w:val="subscript"/>
                <w:lang w:val="en-US" w:eastAsia="zh-CN"/>
              </w:rPr>
              <w:t>5</w:t>
            </w:r>
            <w:r>
              <w:rPr>
                <w:rFonts w:hint="eastAsia" w:ascii="Times New Roman" w:hAnsi="Times New Roman" w:eastAsia="宋体" w:cs="Times New Roman"/>
                <w:b w:val="0"/>
                <w:bCs w:val="0"/>
                <w:color w:val="000000"/>
                <w:spacing w:val="7"/>
                <w:sz w:val="21"/>
                <w:szCs w:val="21"/>
                <w:lang w:val="en-US" w:eastAsia="zh-CN"/>
              </w:rPr>
              <w:t>的去除率在10%左右，SS去除率在30%左右。</w:t>
            </w:r>
          </w:p>
          <w:p w14:paraId="10F6889D">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w:t>
            </w:r>
            <w:r>
              <w:rPr>
                <w:rFonts w:hint="default" w:ascii="Times New Roman" w:hAnsi="Times New Roman" w:eastAsia="宋体" w:cs="Times New Roman"/>
                <w:b/>
                <w:bCs/>
                <w:color w:val="000000"/>
                <w:spacing w:val="7"/>
                <w:sz w:val="24"/>
                <w:szCs w:val="24"/>
                <w:lang w:val="en-US" w:eastAsia="zh-CN"/>
              </w:rPr>
              <w:t>项目废水</w:t>
            </w:r>
            <w:r>
              <w:rPr>
                <w:rFonts w:hint="eastAsia" w:ascii="Times New Roman" w:hAnsi="Times New Roman" w:eastAsia="宋体" w:cs="Times New Roman"/>
                <w:b/>
                <w:bCs/>
                <w:color w:val="000000"/>
                <w:spacing w:val="7"/>
                <w:sz w:val="24"/>
                <w:szCs w:val="24"/>
                <w:lang w:val="en-US" w:eastAsia="zh-CN"/>
              </w:rPr>
              <w:t>排放口基本情况</w:t>
            </w:r>
            <w:r>
              <w:rPr>
                <w:rFonts w:hint="default" w:ascii="Times New Roman" w:hAnsi="Times New Roman" w:eastAsia="宋体" w:cs="Times New Roman"/>
                <w:b/>
                <w:bCs/>
                <w:color w:val="000000"/>
                <w:spacing w:val="7"/>
                <w:sz w:val="24"/>
                <w:szCs w:val="24"/>
                <w:lang w:val="en-US" w:eastAsia="zh-CN"/>
              </w:rPr>
              <w:t>一览表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670"/>
              <w:gridCol w:w="690"/>
              <w:gridCol w:w="975"/>
              <w:gridCol w:w="1095"/>
              <w:gridCol w:w="2085"/>
              <w:gridCol w:w="810"/>
              <w:gridCol w:w="645"/>
              <w:gridCol w:w="945"/>
            </w:tblGrid>
            <w:tr w14:paraId="3964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643" w:type="dxa"/>
                  <w:vMerge w:val="restart"/>
                  <w:noWrap w:val="0"/>
                  <w:vAlign w:val="center"/>
                </w:tcPr>
                <w:p w14:paraId="404B1522">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编号</w:t>
                  </w:r>
                </w:p>
              </w:tc>
              <w:tc>
                <w:tcPr>
                  <w:tcW w:w="670" w:type="dxa"/>
                  <w:vMerge w:val="restart"/>
                  <w:noWrap w:val="0"/>
                  <w:vAlign w:val="center"/>
                </w:tcPr>
                <w:p w14:paraId="070A1AFE">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名称</w:t>
                  </w:r>
                </w:p>
              </w:tc>
              <w:tc>
                <w:tcPr>
                  <w:tcW w:w="690" w:type="dxa"/>
                  <w:vMerge w:val="restart"/>
                  <w:noWrap w:val="0"/>
                  <w:vAlign w:val="center"/>
                </w:tcPr>
                <w:p w14:paraId="2A1888E6">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类型</w:t>
                  </w:r>
                </w:p>
              </w:tc>
              <w:tc>
                <w:tcPr>
                  <w:tcW w:w="975" w:type="dxa"/>
                  <w:vMerge w:val="restart"/>
                  <w:noWrap w:val="0"/>
                  <w:vAlign w:val="center"/>
                </w:tcPr>
                <w:p w14:paraId="4A4EECE6">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坐标</w:t>
                  </w:r>
                </w:p>
              </w:tc>
              <w:tc>
                <w:tcPr>
                  <w:tcW w:w="3180" w:type="dxa"/>
                  <w:gridSpan w:val="2"/>
                  <w:noWrap w:val="0"/>
                  <w:vAlign w:val="center"/>
                </w:tcPr>
                <w:p w14:paraId="639E387A">
                  <w:pPr>
                    <w:jc w:val="center"/>
                    <w:rPr>
                      <w:rFonts w:hint="eastAsia"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排放标准</w:t>
                  </w:r>
                </w:p>
              </w:tc>
              <w:tc>
                <w:tcPr>
                  <w:tcW w:w="810" w:type="dxa"/>
                  <w:vMerge w:val="restart"/>
                  <w:noWrap w:val="0"/>
                  <w:vAlign w:val="center"/>
                </w:tcPr>
                <w:p w14:paraId="6F8593A4">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排放方式</w:t>
                  </w:r>
                </w:p>
              </w:tc>
              <w:tc>
                <w:tcPr>
                  <w:tcW w:w="645" w:type="dxa"/>
                  <w:vMerge w:val="restart"/>
                  <w:noWrap w:val="0"/>
                  <w:vAlign w:val="center"/>
                </w:tcPr>
                <w:p w14:paraId="7394A1B8">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排放规律</w:t>
                  </w:r>
                </w:p>
              </w:tc>
              <w:tc>
                <w:tcPr>
                  <w:tcW w:w="945" w:type="dxa"/>
                  <w:vMerge w:val="restart"/>
                  <w:noWrap w:val="0"/>
                  <w:vAlign w:val="center"/>
                </w:tcPr>
                <w:p w14:paraId="3F0E9CC1">
                  <w:pPr>
                    <w:jc w:val="center"/>
                    <w:rPr>
                      <w:rFonts w:hint="eastAsia"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排放去向</w:t>
                  </w:r>
                </w:p>
              </w:tc>
            </w:tr>
            <w:tr w14:paraId="2532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continue"/>
                  <w:noWrap w:val="0"/>
                  <w:vAlign w:val="center"/>
                </w:tcPr>
                <w:p w14:paraId="18497EF7">
                  <w:pPr>
                    <w:jc w:val="center"/>
                    <w:rPr>
                      <w:rFonts w:hint="default" w:ascii="Times New Roman" w:hAnsi="Times New Roman" w:eastAsia="宋体" w:cs="Times New Roman"/>
                      <w:b/>
                      <w:bCs/>
                      <w:color w:val="000000"/>
                      <w:sz w:val="21"/>
                      <w:szCs w:val="21"/>
                      <w:vertAlign w:val="baseline"/>
                      <w:lang w:val="en-US" w:eastAsia="zh-CN"/>
                    </w:rPr>
                  </w:pPr>
                </w:p>
              </w:tc>
              <w:tc>
                <w:tcPr>
                  <w:tcW w:w="670" w:type="dxa"/>
                  <w:vMerge w:val="continue"/>
                  <w:noWrap w:val="0"/>
                  <w:vAlign w:val="center"/>
                </w:tcPr>
                <w:p w14:paraId="5D766B07">
                  <w:pPr>
                    <w:jc w:val="center"/>
                    <w:rPr>
                      <w:rFonts w:hint="default" w:ascii="Times New Roman" w:hAnsi="Times New Roman" w:eastAsia="宋体" w:cs="Times New Roman"/>
                      <w:b/>
                      <w:bCs/>
                      <w:color w:val="000000"/>
                      <w:sz w:val="21"/>
                      <w:szCs w:val="21"/>
                      <w:vertAlign w:val="baseline"/>
                      <w:lang w:val="en-US" w:eastAsia="zh-CN"/>
                    </w:rPr>
                  </w:pPr>
                </w:p>
              </w:tc>
              <w:tc>
                <w:tcPr>
                  <w:tcW w:w="690" w:type="dxa"/>
                  <w:vMerge w:val="continue"/>
                  <w:noWrap w:val="0"/>
                  <w:vAlign w:val="center"/>
                </w:tcPr>
                <w:p w14:paraId="6A68A12B">
                  <w:pPr>
                    <w:jc w:val="center"/>
                    <w:rPr>
                      <w:rFonts w:hint="default" w:ascii="Times New Roman" w:hAnsi="Times New Roman" w:eastAsia="宋体" w:cs="Times New Roman"/>
                      <w:b/>
                      <w:bCs/>
                      <w:color w:val="000000"/>
                      <w:sz w:val="21"/>
                      <w:szCs w:val="21"/>
                      <w:vertAlign w:val="baseline"/>
                      <w:lang w:val="en-US" w:eastAsia="zh-CN"/>
                    </w:rPr>
                  </w:pPr>
                </w:p>
              </w:tc>
              <w:tc>
                <w:tcPr>
                  <w:tcW w:w="975" w:type="dxa"/>
                  <w:vMerge w:val="continue"/>
                  <w:noWrap w:val="0"/>
                  <w:vAlign w:val="center"/>
                </w:tcPr>
                <w:p w14:paraId="1623195B">
                  <w:pPr>
                    <w:jc w:val="center"/>
                    <w:rPr>
                      <w:rFonts w:hint="default" w:ascii="Times New Roman" w:hAnsi="Times New Roman" w:eastAsia="宋体" w:cs="Times New Roman"/>
                      <w:b/>
                      <w:bCs/>
                      <w:color w:val="000000"/>
                      <w:sz w:val="21"/>
                      <w:szCs w:val="21"/>
                      <w:vertAlign w:val="baseline"/>
                      <w:lang w:val="en-US" w:eastAsia="zh-CN"/>
                    </w:rPr>
                  </w:pPr>
                </w:p>
              </w:tc>
              <w:tc>
                <w:tcPr>
                  <w:tcW w:w="1095" w:type="dxa"/>
                  <w:noWrap w:val="0"/>
                  <w:vAlign w:val="center"/>
                </w:tcPr>
                <w:p w14:paraId="5330D4BE">
                  <w:pPr>
                    <w:jc w:val="center"/>
                    <w:rPr>
                      <w:rFonts w:hint="default" w:ascii="Times New Roman" w:hAnsi="Times New Roman" w:eastAsia="宋体" w:cs="Times New Roman"/>
                      <w:b/>
                      <w:bCs/>
                      <w:color w:val="000000"/>
                      <w:sz w:val="21"/>
                      <w:szCs w:val="21"/>
                      <w:vertAlign w:val="baseline"/>
                      <w:lang w:val="en-US" w:eastAsia="zh-CN"/>
                    </w:rPr>
                  </w:pPr>
                </w:p>
              </w:tc>
              <w:tc>
                <w:tcPr>
                  <w:tcW w:w="2085" w:type="dxa"/>
                  <w:noWrap w:val="0"/>
                  <w:vAlign w:val="center"/>
                </w:tcPr>
                <w:p w14:paraId="64E4032F">
                  <w:pPr>
                    <w:jc w:val="center"/>
                    <w:rPr>
                      <w:rFonts w:hint="default" w:ascii="Times New Roman" w:hAnsi="Times New Roman" w:eastAsia="宋体" w:cs="Times New Roman"/>
                      <w:b/>
                      <w:bCs/>
                      <w:color w:val="000000"/>
                      <w:sz w:val="21"/>
                      <w:szCs w:val="21"/>
                      <w:vertAlign w:val="baseline"/>
                      <w:lang w:val="en-US" w:eastAsia="zh-CN"/>
                    </w:rPr>
                  </w:pPr>
                  <w:r>
                    <w:rPr>
                      <w:rFonts w:hint="eastAsia" w:ascii="Times New Roman" w:hAnsi="Times New Roman" w:eastAsia="宋体" w:cs="Times New Roman"/>
                      <w:b/>
                      <w:bCs/>
                      <w:color w:val="000000"/>
                      <w:sz w:val="21"/>
                      <w:szCs w:val="21"/>
                      <w:vertAlign w:val="baseline"/>
                      <w:lang w:val="en-US" w:eastAsia="zh-CN"/>
                    </w:rPr>
                    <w:t>标准来源</w:t>
                  </w:r>
                </w:p>
              </w:tc>
              <w:tc>
                <w:tcPr>
                  <w:tcW w:w="810" w:type="dxa"/>
                  <w:vMerge w:val="continue"/>
                  <w:noWrap w:val="0"/>
                  <w:vAlign w:val="center"/>
                </w:tcPr>
                <w:p w14:paraId="2AFB7EC8">
                  <w:pPr>
                    <w:jc w:val="center"/>
                    <w:rPr>
                      <w:rFonts w:hint="eastAsia" w:ascii="Times New Roman" w:hAnsi="Times New Roman" w:eastAsia="宋体" w:cs="Times New Roman"/>
                      <w:b/>
                      <w:bCs/>
                      <w:color w:val="000000"/>
                      <w:sz w:val="21"/>
                      <w:szCs w:val="21"/>
                      <w:vertAlign w:val="baseline"/>
                      <w:lang w:val="en-US" w:eastAsia="zh-CN"/>
                    </w:rPr>
                  </w:pPr>
                </w:p>
              </w:tc>
              <w:tc>
                <w:tcPr>
                  <w:tcW w:w="645" w:type="dxa"/>
                  <w:vMerge w:val="continue"/>
                  <w:noWrap w:val="0"/>
                  <w:vAlign w:val="center"/>
                </w:tcPr>
                <w:p w14:paraId="14A2F5FF">
                  <w:pPr>
                    <w:jc w:val="center"/>
                    <w:rPr>
                      <w:rFonts w:hint="eastAsia" w:ascii="Times New Roman" w:hAnsi="Times New Roman" w:eastAsia="宋体" w:cs="Times New Roman"/>
                      <w:b/>
                      <w:bCs/>
                      <w:color w:val="000000"/>
                      <w:sz w:val="21"/>
                      <w:szCs w:val="21"/>
                      <w:vertAlign w:val="baseline"/>
                      <w:lang w:val="en-US" w:eastAsia="zh-CN"/>
                    </w:rPr>
                  </w:pPr>
                </w:p>
              </w:tc>
              <w:tc>
                <w:tcPr>
                  <w:tcW w:w="945" w:type="dxa"/>
                  <w:vMerge w:val="continue"/>
                  <w:noWrap w:val="0"/>
                  <w:vAlign w:val="center"/>
                </w:tcPr>
                <w:p w14:paraId="518DD3FE">
                  <w:pPr>
                    <w:jc w:val="center"/>
                    <w:rPr>
                      <w:rFonts w:hint="eastAsia" w:ascii="Times New Roman" w:hAnsi="Times New Roman" w:eastAsia="宋体" w:cs="Times New Roman"/>
                      <w:b/>
                      <w:bCs/>
                      <w:color w:val="000000"/>
                      <w:sz w:val="21"/>
                      <w:szCs w:val="21"/>
                      <w:vertAlign w:val="baseline"/>
                      <w:lang w:val="en-US" w:eastAsia="zh-CN"/>
                    </w:rPr>
                  </w:pPr>
                </w:p>
              </w:tc>
            </w:tr>
            <w:tr w14:paraId="2485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643" w:type="dxa"/>
                  <w:noWrap w:val="0"/>
                  <w:vAlign w:val="center"/>
                </w:tcPr>
                <w:p w14:paraId="2A15A450">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DW001</w:t>
                  </w:r>
                </w:p>
              </w:tc>
              <w:tc>
                <w:tcPr>
                  <w:tcW w:w="670" w:type="dxa"/>
                  <w:noWrap w:val="0"/>
                  <w:vAlign w:val="center"/>
                </w:tcPr>
                <w:p w14:paraId="6C016D40">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污水排放口</w:t>
                  </w:r>
                </w:p>
              </w:tc>
              <w:tc>
                <w:tcPr>
                  <w:tcW w:w="690" w:type="dxa"/>
                  <w:noWrap w:val="0"/>
                  <w:vAlign w:val="center"/>
                </w:tcPr>
                <w:p w14:paraId="68FD7D65">
                  <w:pPr>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一般排放口</w:t>
                  </w:r>
                </w:p>
              </w:tc>
              <w:tc>
                <w:tcPr>
                  <w:tcW w:w="975" w:type="dxa"/>
                  <w:noWrap w:val="0"/>
                  <w:vAlign w:val="center"/>
                </w:tcPr>
                <w:p w14:paraId="063D26DD">
                  <w:pPr>
                    <w:jc w:val="center"/>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107.1374</w:t>
                  </w:r>
                  <w:r>
                    <w:rPr>
                      <w:rFonts w:hint="eastAsia" w:ascii="Times New Roman" w:hAnsi="Times New Roman" w:eastAsia="宋体" w:cs="Times New Roman"/>
                      <w:b w:val="0"/>
                      <w:bCs w:val="0"/>
                      <w:color w:val="000000"/>
                      <w:sz w:val="21"/>
                      <w:szCs w:val="21"/>
                      <w:vertAlign w:val="baseline"/>
                      <w:lang w:val="en-US" w:eastAsia="zh-CN"/>
                    </w:rPr>
                    <w:t>20，</w:t>
                  </w:r>
                  <w:r>
                    <w:rPr>
                      <w:rFonts w:hint="default" w:ascii="Times New Roman" w:hAnsi="Times New Roman" w:eastAsia="宋体" w:cs="Times New Roman"/>
                      <w:b w:val="0"/>
                      <w:bCs w:val="0"/>
                      <w:color w:val="000000"/>
                      <w:sz w:val="21"/>
                      <w:szCs w:val="21"/>
                      <w:vertAlign w:val="baseline"/>
                      <w:lang w:val="en-US" w:eastAsia="zh-CN"/>
                    </w:rPr>
                    <w:t>31.52561</w:t>
                  </w:r>
                  <w:r>
                    <w:rPr>
                      <w:rFonts w:hint="eastAsia" w:ascii="Times New Roman" w:hAnsi="Times New Roman" w:eastAsia="宋体" w:cs="Times New Roman"/>
                      <w:b w:val="0"/>
                      <w:bCs w:val="0"/>
                      <w:color w:val="000000"/>
                      <w:sz w:val="21"/>
                      <w:szCs w:val="21"/>
                      <w:vertAlign w:val="baseline"/>
                      <w:lang w:val="en-US" w:eastAsia="zh-CN"/>
                    </w:rPr>
                    <w:t>1</w:t>
                  </w:r>
                </w:p>
              </w:tc>
              <w:tc>
                <w:tcPr>
                  <w:tcW w:w="1095" w:type="dxa"/>
                  <w:noWrap w:val="0"/>
                  <w:vAlign w:val="center"/>
                </w:tcPr>
                <w:p w14:paraId="55F2A6F0">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CODcr、</w:t>
                  </w:r>
                  <w:r>
                    <w:rPr>
                      <w:rFonts w:hint="eastAsia"/>
                      <w:b w:val="0"/>
                      <w:bCs w:val="0"/>
                      <w:color w:val="000000"/>
                      <w:szCs w:val="21"/>
                      <w:highlight w:val="none"/>
                    </w:rPr>
                    <w:t>BOD</w:t>
                  </w:r>
                  <w:r>
                    <w:rPr>
                      <w:rFonts w:hint="eastAsia"/>
                      <w:b w:val="0"/>
                      <w:bCs w:val="0"/>
                      <w:color w:val="000000"/>
                      <w:szCs w:val="21"/>
                      <w:highlight w:val="none"/>
                      <w:vertAlign w:val="subscript"/>
                    </w:rPr>
                    <w:t>5</w:t>
                  </w:r>
                  <w:r>
                    <w:rPr>
                      <w:rFonts w:hint="eastAsia" w:ascii="Times New Roman" w:hAnsi="Times New Roman" w:eastAsia="宋体" w:cs="Times New Roman"/>
                      <w:b w:val="0"/>
                      <w:bCs w:val="0"/>
                      <w:color w:val="000000"/>
                      <w:sz w:val="21"/>
                      <w:szCs w:val="21"/>
                      <w:vertAlign w:val="baseline"/>
                      <w:lang w:val="en-US" w:eastAsia="zh-CN"/>
                    </w:rPr>
                    <w:t>、</w:t>
                  </w:r>
                  <w:r>
                    <w:rPr>
                      <w:rFonts w:hint="eastAsia"/>
                      <w:b w:val="0"/>
                      <w:bCs w:val="0"/>
                      <w:color w:val="000000"/>
                      <w:szCs w:val="21"/>
                      <w:highlight w:val="none"/>
                    </w:rPr>
                    <w:t>SS</w:t>
                  </w:r>
                  <w:r>
                    <w:rPr>
                      <w:rFonts w:hint="eastAsia" w:ascii="Times New Roman" w:hAnsi="Times New Roman" w:eastAsia="宋体" w:cs="Times New Roman"/>
                      <w:b w:val="0"/>
                      <w:bCs w:val="0"/>
                      <w:color w:val="000000"/>
                      <w:sz w:val="21"/>
                      <w:szCs w:val="21"/>
                      <w:vertAlign w:val="baseline"/>
                      <w:lang w:val="en-US" w:eastAsia="zh-CN"/>
                    </w:rPr>
                    <w:t>、氨氮、</w:t>
                  </w:r>
                  <w:r>
                    <w:rPr>
                      <w:rFonts w:hint="eastAsia" w:cs="Times New Roman"/>
                      <w:b w:val="0"/>
                      <w:bCs w:val="0"/>
                      <w:color w:val="000000"/>
                      <w:sz w:val="21"/>
                      <w:szCs w:val="21"/>
                      <w:vertAlign w:val="baseline"/>
                      <w:lang w:val="en-US" w:eastAsia="zh-CN"/>
                    </w:rPr>
                    <w:t>总磷</w:t>
                  </w:r>
                </w:p>
              </w:tc>
              <w:tc>
                <w:tcPr>
                  <w:tcW w:w="2085" w:type="dxa"/>
                  <w:noWrap w:val="0"/>
                  <w:vAlign w:val="center"/>
                </w:tcPr>
                <w:p w14:paraId="72DCEDB1">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《污水综合排放标准》（GB8978-1996）三级标准、《污水排入城镇下水道水质标准》（GB/T31962-2015）表1B级标准</w:t>
                  </w:r>
                </w:p>
              </w:tc>
              <w:tc>
                <w:tcPr>
                  <w:tcW w:w="810" w:type="dxa"/>
                  <w:noWrap w:val="0"/>
                  <w:vAlign w:val="center"/>
                </w:tcPr>
                <w:p w14:paraId="406E5A3F">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间接排放</w:t>
                  </w:r>
                </w:p>
              </w:tc>
              <w:tc>
                <w:tcPr>
                  <w:tcW w:w="645" w:type="dxa"/>
                  <w:noWrap w:val="0"/>
                  <w:vAlign w:val="center"/>
                </w:tcPr>
                <w:p w14:paraId="4B606DCF">
                  <w:pPr>
                    <w:jc w:val="center"/>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间断排放</w:t>
                  </w:r>
                </w:p>
              </w:tc>
              <w:tc>
                <w:tcPr>
                  <w:tcW w:w="945" w:type="dxa"/>
                  <w:noWrap w:val="0"/>
                  <w:vAlign w:val="center"/>
                </w:tcPr>
                <w:p w14:paraId="1F89878B">
                  <w:pPr>
                    <w:jc w:val="center"/>
                    <w:rPr>
                      <w:rFonts w:hint="eastAsia"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园区污水处理厂，最终进入巴河</w:t>
                  </w:r>
                </w:p>
              </w:tc>
            </w:tr>
          </w:tbl>
          <w:p w14:paraId="48259100">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420"/>
              <w:textAlignment w:val="auto"/>
              <w:rPr>
                <w:rFonts w:hint="eastAsia"/>
                <w:b/>
                <w:bCs/>
                <w:color w:val="000000"/>
                <w:sz w:val="24"/>
                <w:szCs w:val="24"/>
                <w:highlight w:val="none"/>
                <w:lang w:val="en-US" w:eastAsia="zh-CN"/>
              </w:rPr>
            </w:pPr>
            <w:r>
              <w:rPr>
                <w:rFonts w:hint="eastAsia"/>
                <w:b/>
                <w:bCs/>
                <w:color w:val="000000"/>
                <w:sz w:val="24"/>
                <w:szCs w:val="24"/>
                <w:highlight w:val="none"/>
                <w:lang w:val="en-US" w:eastAsia="zh-CN"/>
              </w:rPr>
              <w:t>（4）治理措施</w:t>
            </w:r>
          </w:p>
          <w:p w14:paraId="4FB7AE2E">
            <w:pPr>
              <w:pStyle w:val="21"/>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食堂废水经隔油池</w:t>
            </w:r>
            <w:r>
              <w:rPr>
                <w:rFonts w:hint="eastAsia" w:ascii="Times New Roman" w:hAnsi="Times New Roman" w:eastAsia="宋体" w:cs="Times New Roman"/>
                <w:color w:val="000000"/>
                <w:sz w:val="24"/>
                <w:szCs w:val="24"/>
                <w:highlight w:val="none"/>
                <w:lang w:val="en-US" w:eastAsia="zh-CN"/>
              </w:rPr>
              <w:t>（已建，3m</w:t>
            </w:r>
            <w:r>
              <w:rPr>
                <w:rFonts w:hint="eastAsia" w:ascii="Times New Roman" w:hAnsi="Times New Roman" w:eastAsia="宋体" w:cs="Times New Roman"/>
                <w:color w:val="000000"/>
                <w:sz w:val="24"/>
                <w:szCs w:val="24"/>
                <w:highlight w:val="none"/>
                <w:vertAlign w:val="superscript"/>
                <w:lang w:val="en-US" w:eastAsia="zh-CN"/>
              </w:rPr>
              <w:t>3</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处理后与生活污水进入厂区预处理池</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已建</w:t>
            </w:r>
            <w:r>
              <w:rPr>
                <w:rFonts w:hint="eastAsia" w:ascii="Times New Roman" w:hAnsi="Times New Roman" w:eastAsia="宋体" w:cs="Times New Roman"/>
                <w:color w:val="000000"/>
                <w:sz w:val="24"/>
                <w:szCs w:val="24"/>
                <w:highlight w:val="none"/>
                <w:lang w:val="en-US" w:eastAsia="zh-CN"/>
              </w:rPr>
              <w:t>，100m</w:t>
            </w:r>
            <w:r>
              <w:rPr>
                <w:rFonts w:hint="eastAsia" w:ascii="Times New Roman" w:hAnsi="Times New Roman" w:eastAsia="宋体" w:cs="Times New Roman"/>
                <w:color w:val="000000"/>
                <w:sz w:val="24"/>
                <w:szCs w:val="24"/>
                <w:highlight w:val="none"/>
                <w:vertAlign w:val="superscript"/>
                <w:lang w:val="en-US" w:eastAsia="zh-CN"/>
              </w:rPr>
              <w:t>3</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，经处理达《污水综合排放标准》（GB8978-1996）三级标准）限值后进入市政管网，然后经星光工业园区污水处理厂达《城镇污水处理厂污染物排放标准》（GB18918-2002）一级A标准后排入巴河。</w:t>
            </w:r>
          </w:p>
          <w:p w14:paraId="750447DE">
            <w:pPr>
              <w:spacing w:line="360" w:lineRule="auto"/>
              <w:ind w:firstLine="482" w:firstLineChars="200"/>
              <w:rPr>
                <w:rFonts w:hint="eastAsia" w:ascii="宋体" w:hAnsi="宋体" w:cs="宋体"/>
                <w:b/>
                <w:bCs/>
                <w:color w:val="000000"/>
                <w:sz w:val="24"/>
                <w:highlight w:val="none"/>
              </w:rPr>
            </w:pPr>
            <w:r>
              <w:rPr>
                <w:rFonts w:hint="eastAsia" w:ascii="宋体" w:hAnsi="宋体" w:cs="宋体"/>
                <w:b/>
                <w:bCs/>
                <w:color w:val="000000"/>
                <w:sz w:val="24"/>
                <w:highlight w:val="none"/>
                <w:lang w:eastAsia="zh-CN"/>
              </w:rPr>
              <w:t>2.</w:t>
            </w:r>
            <w:r>
              <w:rPr>
                <w:rFonts w:hint="eastAsia" w:ascii="宋体" w:hAnsi="宋体" w:cs="宋体"/>
                <w:b/>
                <w:bCs/>
                <w:color w:val="000000"/>
                <w:sz w:val="24"/>
                <w:highlight w:val="none"/>
              </w:rPr>
              <w:t>废水治理措施可行性分析</w:t>
            </w:r>
          </w:p>
          <w:p w14:paraId="2CD0AA4A">
            <w:pPr>
              <w:keepNext w:val="0"/>
              <w:keepLines w:val="0"/>
              <w:widowControl/>
              <w:suppressLineNumbers w:val="0"/>
              <w:spacing w:line="360" w:lineRule="auto"/>
              <w:ind w:firstLine="482" w:firstLineChars="200"/>
              <w:jc w:val="left"/>
              <w:rPr>
                <w:rFonts w:hint="default" w:ascii="Times New Roman" w:hAnsi="Times New Roman" w:eastAsia="宋体" w:cs="Times New Roman"/>
                <w:b/>
                <w:bCs/>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w:t>
            </w:r>
            <w:r>
              <w:rPr>
                <w:rFonts w:hint="eastAsia" w:cs="Times New Roman"/>
                <w:b/>
                <w:bCs/>
                <w:color w:val="000000"/>
                <w:sz w:val="24"/>
                <w:szCs w:val="24"/>
                <w:highlight w:val="none"/>
                <w:lang w:val="en-US" w:eastAsia="zh-CN"/>
              </w:rPr>
              <w:t>1</w:t>
            </w:r>
            <w:r>
              <w:rPr>
                <w:rFonts w:hint="default" w:ascii="Times New Roman" w:hAnsi="Times New Roman" w:eastAsia="宋体" w:cs="Times New Roman"/>
                <w:b/>
                <w:bCs/>
                <w:color w:val="000000"/>
                <w:sz w:val="24"/>
                <w:szCs w:val="24"/>
                <w:highlight w:val="none"/>
                <w:lang w:val="en-US" w:eastAsia="zh-CN"/>
              </w:rPr>
              <w:t>）</w:t>
            </w:r>
            <w:r>
              <w:rPr>
                <w:rFonts w:hint="eastAsia" w:cs="Times New Roman"/>
                <w:b/>
                <w:bCs/>
                <w:color w:val="000000"/>
                <w:sz w:val="24"/>
                <w:szCs w:val="24"/>
                <w:highlight w:val="none"/>
                <w:lang w:val="en-US" w:eastAsia="zh-CN"/>
              </w:rPr>
              <w:t>项目废水依托园区污水预处理系统</w:t>
            </w:r>
            <w:r>
              <w:rPr>
                <w:rFonts w:hint="default" w:ascii="Times New Roman" w:hAnsi="Times New Roman" w:eastAsia="宋体" w:cs="Times New Roman"/>
                <w:b/>
                <w:bCs/>
                <w:color w:val="000000"/>
                <w:sz w:val="24"/>
                <w:szCs w:val="24"/>
                <w:highlight w:val="none"/>
                <w:lang w:val="en-US" w:eastAsia="zh-CN"/>
              </w:rPr>
              <w:t>容积可行性分析</w:t>
            </w:r>
          </w:p>
          <w:p w14:paraId="1D62199D">
            <w:pPr>
              <w:spacing w:line="360" w:lineRule="auto"/>
              <w:ind w:firstLine="480" w:firstLineChars="200"/>
              <w:rPr>
                <w:rFonts w:hint="eastAsia" w:ascii="Times New Roman" w:hAnsi="Times New Roman" w:eastAsia="宋体" w:cs="Times New Roman"/>
                <w:color w:val="000000"/>
                <w:sz w:val="24"/>
                <w:szCs w:val="24"/>
                <w:highlight w:val="none"/>
                <w:vertAlign w:val="baseline"/>
                <w:lang w:val="en-US" w:eastAsia="zh-CN"/>
              </w:rPr>
            </w:pPr>
            <w:r>
              <w:rPr>
                <w:rFonts w:hint="eastAsia" w:ascii="Times New Roman" w:hAnsi="Times New Roman" w:eastAsia="宋体" w:cs="Times New Roman"/>
                <w:color w:val="000000"/>
                <w:sz w:val="24"/>
                <w:szCs w:val="24"/>
                <w:highlight w:val="none"/>
                <w:lang w:val="en-US" w:eastAsia="zh-CN"/>
              </w:rPr>
              <w:t>本项目新增废水排放量为1.088</w:t>
            </w:r>
            <w:r>
              <w:rPr>
                <w:rFonts w:hint="eastAsia" w:ascii="Times New Roman" w:hAnsi="Times New Roman"/>
                <w:color w:val="000000"/>
                <w:sz w:val="24"/>
                <w:szCs w:val="24"/>
                <w:highlight w:val="none"/>
                <w:lang w:val="en-US" w:eastAsia="zh-CN"/>
              </w:rPr>
              <w:t>m</w:t>
            </w:r>
            <w:r>
              <w:rPr>
                <w:rFonts w:hint="eastAsia" w:ascii="Times New Roman" w:hAnsi="Times New Roman"/>
                <w:color w:val="000000"/>
                <w:sz w:val="24"/>
                <w:szCs w:val="24"/>
                <w:highlight w:val="none"/>
                <w:vertAlign w:val="superscript"/>
                <w:lang w:val="en-US" w:eastAsia="zh-CN"/>
              </w:rPr>
              <w:t>3</w:t>
            </w:r>
            <w:r>
              <w:rPr>
                <w:rFonts w:hint="eastAsia" w:ascii="Times New Roman" w:hAnsi="Times New Roman"/>
                <w:color w:val="000000"/>
                <w:sz w:val="24"/>
                <w:szCs w:val="24"/>
                <w:highlight w:val="none"/>
                <w:lang w:val="en-US" w:eastAsia="zh-CN"/>
              </w:rPr>
              <w:t>/d，</w:t>
            </w:r>
            <w:r>
              <w:rPr>
                <w:rFonts w:hint="eastAsia" w:ascii="Times New Roman" w:hAnsi="Times New Roman" w:eastAsia="宋体" w:cs="Times New Roman"/>
                <w:color w:val="000000"/>
                <w:sz w:val="24"/>
                <w:szCs w:val="24"/>
                <w:highlight w:val="none"/>
                <w:lang w:val="en-US" w:eastAsia="zh-CN"/>
              </w:rPr>
              <w:t>项目</w:t>
            </w:r>
            <w:r>
              <w:rPr>
                <w:rFonts w:hint="eastAsia" w:cs="Times New Roman"/>
                <w:color w:val="000000"/>
                <w:sz w:val="24"/>
                <w:szCs w:val="24"/>
                <w:highlight w:val="none"/>
                <w:lang w:val="en-US" w:eastAsia="zh-CN"/>
              </w:rPr>
              <w:t>废水</w:t>
            </w:r>
            <w:r>
              <w:rPr>
                <w:rFonts w:hint="eastAsia" w:ascii="Times New Roman" w:hAnsi="Times New Roman" w:eastAsia="宋体" w:cs="Times New Roman"/>
                <w:color w:val="000000"/>
                <w:sz w:val="24"/>
                <w:szCs w:val="24"/>
                <w:highlight w:val="none"/>
                <w:lang w:val="en-US" w:eastAsia="zh-CN"/>
              </w:rPr>
              <w:t>依托厂区已建预处理池（100m</w:t>
            </w:r>
            <w:r>
              <w:rPr>
                <w:rFonts w:hint="eastAsia" w:ascii="Times New Roman" w:hAnsi="Times New Roman" w:eastAsia="宋体" w:cs="Times New Roman"/>
                <w:color w:val="000000"/>
                <w:sz w:val="24"/>
                <w:szCs w:val="24"/>
                <w:highlight w:val="none"/>
                <w:vertAlign w:val="superscript"/>
                <w:lang w:val="en-US" w:eastAsia="zh-CN"/>
              </w:rPr>
              <w:t>3</w:t>
            </w:r>
            <w:r>
              <w:rPr>
                <w:rFonts w:hint="eastAsia" w:ascii="Times New Roman" w:hAnsi="Times New Roman" w:eastAsia="宋体" w:cs="Times New Roman"/>
                <w:color w:val="000000"/>
                <w:sz w:val="24"/>
                <w:szCs w:val="24"/>
                <w:highlight w:val="none"/>
                <w:lang w:val="en-US" w:eastAsia="zh-CN"/>
              </w:rPr>
              <w:t>）进行处理，经调查，目前预处理池剩余容积约为95.75m</w:t>
            </w:r>
            <w:r>
              <w:rPr>
                <w:rFonts w:hint="eastAsia" w:ascii="Times New Roman" w:hAnsi="Times New Roman" w:eastAsia="宋体" w:cs="Times New Roman"/>
                <w:color w:val="000000"/>
                <w:sz w:val="24"/>
                <w:szCs w:val="24"/>
                <w:highlight w:val="none"/>
                <w:vertAlign w:val="superscript"/>
                <w:lang w:val="en-US" w:eastAsia="zh-CN"/>
              </w:rPr>
              <w:t>3</w:t>
            </w:r>
            <w:r>
              <w:rPr>
                <w:rFonts w:hint="eastAsia" w:ascii="Times New Roman" w:hAnsi="Times New Roman" w:eastAsia="宋体" w:cs="Times New Roman"/>
                <w:color w:val="000000"/>
                <w:sz w:val="24"/>
                <w:szCs w:val="24"/>
                <w:highlight w:val="none"/>
                <w:vertAlign w:val="baseline"/>
                <w:lang w:val="en-US" w:eastAsia="zh-CN"/>
              </w:rPr>
              <w:t>，</w:t>
            </w:r>
            <w:r>
              <w:rPr>
                <w:rFonts w:hint="default" w:ascii="Times New Roman" w:hAnsi="Times New Roman" w:eastAsia="宋体" w:cs="Times New Roman"/>
                <w:color w:val="000000"/>
                <w:sz w:val="24"/>
                <w:szCs w:val="24"/>
              </w:rPr>
              <w:t>预处理池剩余容积能够满足本项目废水处理需求。</w:t>
            </w:r>
          </w:p>
          <w:p w14:paraId="670C4412">
            <w:pPr>
              <w:keepNext w:val="0"/>
              <w:keepLines w:val="0"/>
              <w:widowControl/>
              <w:suppressLineNumbers w:val="0"/>
              <w:spacing w:line="360" w:lineRule="auto"/>
              <w:ind w:firstLine="482" w:firstLineChars="200"/>
              <w:jc w:val="left"/>
              <w:rPr>
                <w:rFonts w:hint="eastAsia"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color w:val="000000"/>
                <w:sz w:val="24"/>
                <w:szCs w:val="24"/>
                <w:highlight w:val="none"/>
                <w:lang w:val="en-US" w:eastAsia="zh-CN"/>
              </w:rPr>
              <w:t>（2）污水处理厂依托可行性分析</w:t>
            </w:r>
          </w:p>
          <w:p w14:paraId="089F32EB">
            <w:pPr>
              <w:pStyle w:val="88"/>
              <w:spacing w:line="360" w:lineRule="auto"/>
              <w:ind w:firstLine="480"/>
              <w:rPr>
                <w:rFonts w:hint="default" w:ascii="Times New Roman" w:hAnsi="Times New Roman" w:eastAsia="宋体" w:cs="Times New Roman"/>
                <w:color w:val="000000"/>
              </w:rPr>
            </w:pPr>
            <w:r>
              <w:rPr>
                <w:rFonts w:hint="eastAsia" w:ascii="Times New Roman" w:hAnsi="Times New Roman" w:eastAsia="宋体" w:cs="Times New Roman"/>
                <w:color w:val="000000"/>
                <w:lang w:val="en-US" w:eastAsia="zh-CN"/>
              </w:rPr>
              <w:t>①</w:t>
            </w:r>
            <w:r>
              <w:rPr>
                <w:rFonts w:hint="default" w:ascii="Times New Roman" w:hAnsi="Times New Roman" w:eastAsia="宋体" w:cs="Times New Roman"/>
                <w:color w:val="000000"/>
              </w:rPr>
              <w:t>星光工业园区污水处理厂介绍</w:t>
            </w:r>
          </w:p>
          <w:p w14:paraId="47682183">
            <w:pPr>
              <w:pStyle w:val="88"/>
              <w:spacing w:line="360" w:lineRule="auto"/>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本项目废水经园区污水管网收集后汇入星光工业园区污水处理厂，星光工业园污水处理厂</w:t>
            </w:r>
            <w:r>
              <w:rPr>
                <w:rFonts w:hint="eastAsia" w:cs="Times New Roman"/>
                <w:color w:val="000000"/>
                <w:lang w:val="en-US" w:eastAsia="zh-CN"/>
              </w:rPr>
              <w:t>设计</w:t>
            </w:r>
            <w:r>
              <w:rPr>
                <w:rFonts w:hint="default" w:ascii="Times New Roman" w:hAnsi="Times New Roman" w:eastAsia="宋体" w:cs="Times New Roman"/>
                <w:color w:val="000000"/>
              </w:rPr>
              <w:t>处理污水能力为1.3万m</w:t>
            </w:r>
            <w:r>
              <w:rPr>
                <w:rFonts w:hint="default" w:ascii="Times New Roman" w:hAnsi="Times New Roman" w:eastAsia="宋体" w:cs="Times New Roman"/>
                <w:color w:val="000000"/>
                <w:vertAlign w:val="superscript"/>
              </w:rPr>
              <w:t>3</w:t>
            </w:r>
            <w:r>
              <w:rPr>
                <w:rFonts w:hint="default" w:ascii="Times New Roman" w:hAnsi="Times New Roman" w:eastAsia="宋体" w:cs="Times New Roman"/>
                <w:color w:val="000000"/>
              </w:rPr>
              <w:t>/d，一期规模0.3万m</w:t>
            </w:r>
            <w:r>
              <w:rPr>
                <w:rFonts w:hint="default" w:ascii="Times New Roman" w:hAnsi="Times New Roman" w:eastAsia="宋体" w:cs="Times New Roman"/>
                <w:color w:val="000000"/>
                <w:vertAlign w:val="superscript"/>
              </w:rPr>
              <w:t>3</w:t>
            </w:r>
            <w:r>
              <w:rPr>
                <w:rFonts w:hint="default" w:ascii="Times New Roman" w:hAnsi="Times New Roman" w:eastAsia="宋体" w:cs="Times New Roman"/>
                <w:color w:val="000000"/>
              </w:rPr>
              <w:t>/d，二期规模1.0万m</w:t>
            </w:r>
            <w:r>
              <w:rPr>
                <w:rFonts w:hint="default" w:ascii="Times New Roman" w:hAnsi="Times New Roman" w:eastAsia="宋体" w:cs="Times New Roman"/>
                <w:color w:val="000000"/>
                <w:vertAlign w:val="superscript"/>
              </w:rPr>
              <w:t>3</w:t>
            </w:r>
            <w:r>
              <w:rPr>
                <w:rFonts w:hint="default" w:ascii="Times New Roman" w:hAnsi="Times New Roman" w:eastAsia="宋体" w:cs="Times New Roman"/>
                <w:color w:val="000000"/>
              </w:rPr>
              <w:t>/d。</w:t>
            </w:r>
          </w:p>
          <w:p w14:paraId="00F543FE">
            <w:pPr>
              <w:pStyle w:val="88"/>
              <w:spacing w:line="360" w:lineRule="auto"/>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星光污水处理厂服务范围为星光工业园区的生活污水及工业废水，一期工程主要服务于</w:t>
            </w:r>
            <w:r>
              <w:rPr>
                <w:rFonts w:hint="eastAsia" w:cs="Times New Roman"/>
                <w:color w:val="000000"/>
                <w:lang w:val="en-US" w:eastAsia="zh-CN"/>
              </w:rPr>
              <w:t>已建</w:t>
            </w:r>
            <w:r>
              <w:rPr>
                <w:rFonts w:hint="default" w:ascii="Times New Roman" w:hAnsi="Times New Roman" w:eastAsia="宋体" w:cs="Times New Roman"/>
                <w:color w:val="000000"/>
              </w:rPr>
              <w:t>或在建工业园园区的生活污水及工业废水；二期工程服务于续建工业园的生活污水及工业废水。</w:t>
            </w:r>
          </w:p>
          <w:p w14:paraId="2EE03F81">
            <w:pPr>
              <w:pStyle w:val="88"/>
              <w:spacing w:line="360" w:lineRule="auto"/>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污水处理厂项目一期工程废水处理采用“预处理（格栅间—调节池—水解酸化池—生化处理（A2/O微曝氧化沟）+深度处理（网格絮凝池+纤维转盘滤池+紫外线消毒）”的工艺路线。</w:t>
            </w:r>
          </w:p>
          <w:p w14:paraId="2825A840">
            <w:pPr>
              <w:pStyle w:val="88"/>
              <w:spacing w:line="360" w:lineRule="auto"/>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污水处理厂处理后出水水质达到《城镇污水处理厂污染物排放标准》（GB18918-2002）一级标准A标准，并经规范管道排放至巴河。</w:t>
            </w:r>
          </w:p>
          <w:p w14:paraId="125BD1C3">
            <w:pPr>
              <w:pStyle w:val="88"/>
              <w:spacing w:line="360" w:lineRule="auto"/>
              <w:ind w:firstLine="480"/>
              <w:jc w:val="center"/>
              <w:rPr>
                <w:rFonts w:hint="default" w:ascii="Times New Roman" w:hAnsi="Times New Roman" w:eastAsia="宋体" w:cs="Times New Roman"/>
                <w:color w:val="000000"/>
              </w:rPr>
            </w:pPr>
            <w:r>
              <w:rPr>
                <w:rFonts w:hint="default" w:ascii="Times New Roman" w:hAnsi="Times New Roman" w:eastAsia="宋体" w:cs="Times New Roman"/>
                <w:color w:val="000000"/>
              </w:rPr>
              <mc:AlternateContent>
                <mc:Choice Requires="wps">
                  <w:drawing>
                    <wp:anchor distT="0" distB="0" distL="114300" distR="114300" simplePos="0" relativeHeight="251660288" behindDoc="0" locked="0" layoutInCell="1" allowOverlap="1">
                      <wp:simplePos x="0" y="0"/>
                      <wp:positionH relativeFrom="column">
                        <wp:posOffset>2922270</wp:posOffset>
                      </wp:positionH>
                      <wp:positionV relativeFrom="paragraph">
                        <wp:posOffset>2292985</wp:posOffset>
                      </wp:positionV>
                      <wp:extent cx="976630" cy="313055"/>
                      <wp:effectExtent l="4445" t="4445" r="9525" b="1454150"/>
                      <wp:wrapNone/>
                      <wp:docPr id="30" name="自选图形 11"/>
                      <wp:cNvGraphicFramePr/>
                      <a:graphic xmlns:a="http://schemas.openxmlformats.org/drawingml/2006/main">
                        <a:graphicData uri="http://schemas.microsoft.com/office/word/2010/wordprocessingShape">
                          <wps:wsp>
                            <wps:cNvSpPr/>
                            <wps:spPr>
                              <a:xfrm>
                                <a:off x="0" y="0"/>
                                <a:ext cx="976630" cy="313055"/>
                              </a:xfrm>
                              <a:prstGeom prst="wedgeRoundRectCallout">
                                <a:avLst>
                                  <a:gd name="adj1" fmla="val -45579"/>
                                  <a:gd name="adj2" fmla="val 497667"/>
                                  <a:gd name="adj3" fmla="val 16667"/>
                                </a:avLst>
                              </a:prstGeom>
                              <a:solidFill>
                                <a:srgbClr val="FFFFFF"/>
                              </a:solidFill>
                              <a:ln w="9525" cap="flat" cmpd="sng">
                                <a:solidFill>
                                  <a:srgbClr val="FF0000"/>
                                </a:solidFill>
                                <a:prstDash val="solid"/>
                                <a:miter/>
                                <a:headEnd type="none" w="med" len="med"/>
                                <a:tailEnd type="none" w="med" len="med"/>
                              </a:ln>
                              <a:effectLst/>
                            </wps:spPr>
                            <wps:txbx>
                              <w:txbxContent>
                                <w:p w14:paraId="2D634BFB">
                                  <w:pPr>
                                    <w:rPr>
                                      <w:b/>
                                      <w:bCs/>
                                      <w:color w:val="FF0000"/>
                                    </w:rPr>
                                  </w:pPr>
                                  <w:r>
                                    <w:rPr>
                                      <w:rFonts w:hint="eastAsia"/>
                                      <w:b/>
                                      <w:bCs/>
                                      <w:color w:val="FF0000"/>
                                    </w:rPr>
                                    <w:t>项目所在地</w:t>
                                  </w:r>
                                </w:p>
                              </w:txbxContent>
                            </wps:txbx>
                            <wps:bodyPr vert="horz" wrap="square" anchor="t" anchorCtr="0" upright="1"/>
                          </wps:wsp>
                        </a:graphicData>
                      </a:graphic>
                    </wp:anchor>
                  </w:drawing>
                </mc:Choice>
                <mc:Fallback>
                  <w:pict>
                    <v:shape id="自选图形 11" o:spid="_x0000_s1026" o:spt="62" type="#_x0000_t62" style="position:absolute;left:0pt;margin-left:230.1pt;margin-top:180.55pt;height:24.65pt;width:76.9pt;z-index:251660288;mso-width-relative:page;mso-height-relative:page;" fillcolor="#FFFFFF" filled="t" stroked="t" coordsize="21600,21600" o:gfxdata="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3VwyD2QAAAAsBAAAPAAAAAAAAAAEAIAAAACIAAABkcnMvZG93bnJldi54&#10;bWxQSwECFAAUAAAACACHTuJAy/68R2sCAAD5BAAADgAAAAAAAAABACAAAAAoAQAAZHJzL2Uyb0Rv&#10;Yy54bWxQSwUGAAAAAAYABgBZAQAABQYAAAAA&#10;" adj="955,118296,14400">
                      <v:fill on="t" focussize="0,0"/>
                      <v:stroke color="#FF0000" joinstyle="miter"/>
                      <v:imagedata o:title=""/>
                      <o:lock v:ext="edit" aspectratio="f"/>
                      <v:textbox>
                        <w:txbxContent>
                          <w:p w14:paraId="2D634BFB">
                            <w:pPr>
                              <w:rPr>
                                <w:b/>
                                <w:bCs/>
                                <w:color w:val="FF0000"/>
                              </w:rPr>
                            </w:pPr>
                            <w:r>
                              <w:rPr>
                                <w:rFonts w:hint="eastAsia"/>
                                <w:b/>
                                <w:bCs/>
                                <w:color w:val="FF0000"/>
                              </w:rPr>
                              <w:t>项目所在地</w:t>
                            </w:r>
                          </w:p>
                        </w:txbxContent>
                      </v:textbox>
                    </v:shape>
                  </w:pict>
                </mc:Fallback>
              </mc:AlternateContent>
            </w:r>
            <w:r>
              <w:rPr>
                <w:rFonts w:hint="default" w:ascii="Times New Roman" w:hAnsi="Times New Roman" w:eastAsia="宋体" w:cs="Times New Roman"/>
                <w:color w:val="000000"/>
              </w:rPr>
              <mc:AlternateContent>
                <mc:Choice Requires="wps">
                  <w:drawing>
                    <wp:anchor distT="0" distB="0" distL="114300" distR="114300" simplePos="0" relativeHeight="251659264" behindDoc="0" locked="0" layoutInCell="1" allowOverlap="1">
                      <wp:simplePos x="0" y="0"/>
                      <wp:positionH relativeFrom="column">
                        <wp:posOffset>2857500</wp:posOffset>
                      </wp:positionH>
                      <wp:positionV relativeFrom="paragraph">
                        <wp:posOffset>3983355</wp:posOffset>
                      </wp:positionV>
                      <wp:extent cx="154940" cy="98425"/>
                      <wp:effectExtent l="20955" t="10795" r="33655" b="24130"/>
                      <wp:wrapNone/>
                      <wp:docPr id="21" name="自选图形 10"/>
                      <wp:cNvGraphicFramePr/>
                      <a:graphic xmlns:a="http://schemas.openxmlformats.org/drawingml/2006/main">
                        <a:graphicData uri="http://schemas.microsoft.com/office/word/2010/wordprocessingShape">
                          <wps:wsp>
                            <wps:cNvSpPr/>
                            <wps:spPr>
                              <a:xfrm>
                                <a:off x="0" y="0"/>
                                <a:ext cx="154940" cy="98425"/>
                              </a:xfrm>
                              <a:prstGeom prst="star5">
                                <a:avLst/>
                              </a:prstGeom>
                              <a:solidFill>
                                <a:srgbClr val="FF0000"/>
                              </a:solidFill>
                              <a:ln w="9525" cap="flat" cmpd="sng">
                                <a:solidFill>
                                  <a:srgbClr val="FF0000"/>
                                </a:solidFill>
                                <a:prstDash val="solid"/>
                                <a:miter/>
                                <a:headEnd type="none" w="med" len="med"/>
                                <a:tailEnd type="none" w="med" len="med"/>
                              </a:ln>
                              <a:effectLst/>
                            </wps:spPr>
                            <wps:txbx>
                              <w:txbxContent>
                                <w:p w14:paraId="2CA5AD48"/>
                              </w:txbxContent>
                            </wps:txbx>
                            <wps:bodyPr vert="horz" wrap="square" anchor="t" anchorCtr="0" upright="1"/>
                          </wps:wsp>
                        </a:graphicData>
                      </a:graphic>
                    </wp:anchor>
                  </w:drawing>
                </mc:Choice>
                <mc:Fallback>
                  <w:pict>
                    <v:shape id="自选图形 10" o:spid="_x0000_s1026" style="position:absolute;left:0pt;margin-left:225pt;margin-top:313.65pt;height:7.75pt;width:12.2pt;z-index:251659264;mso-width-relative:page;mso-height-relative:page;" fillcolor="#FF0000" filled="t" stroked="t" coordsize="154940,98425" o:gfxdata="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9fRDDZAAAACwEAAA8AAAAAAAAAAQAgAAAAIgAAAGRycy9kb3ducmV2LnhtbFBLAQIU&#10;ABQAAAAIAIdO4kBuQKSHKwIAAHEEAAAOAAAAAAAAAAEAIAAAACgBAABkcnMvZTJvRG9jLnhtbFBL&#10;BQYAAAAABgAGAFkBAADFBQAAAAA=&#10;" path="m0,37594l59182,37595,77470,0,95757,37595,154939,37594,107060,60829,125348,98424,77470,75189,29591,98424,47879,60829xe">
                      <v:path textboxrect="0,0,154940,98425" o:connectlocs="77470,0;0,37594;29591,98424;125348,98424;154939,37594" o:connectangles="247,164,82,82,0"/>
                      <v:fill on="t" focussize="0,0"/>
                      <v:stroke color="#FF0000" joinstyle="miter"/>
                      <v:imagedata o:title=""/>
                      <o:lock v:ext="edit" aspectratio="f"/>
                      <v:textbox>
                        <w:txbxContent>
                          <w:p w14:paraId="2CA5AD48"/>
                        </w:txbxContent>
                      </v:textbox>
                    </v:shape>
                  </w:pict>
                </mc:Fallback>
              </mc:AlternateContent>
            </w:r>
            <w:r>
              <w:rPr>
                <w:rFonts w:hint="default" w:ascii="Times New Roman" w:hAnsi="Times New Roman" w:eastAsia="宋体" w:cs="Times New Roman"/>
                <w:color w:val="000000"/>
              </w:rPr>
              <w:drawing>
                <wp:inline distT="0" distB="0" distL="114300" distR="114300">
                  <wp:extent cx="4692015" cy="4647565"/>
                  <wp:effectExtent l="0" t="0" r="13335" b="635"/>
                  <wp:docPr id="22" name="图片 23" descr="11给水排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11给水排水规划图"/>
                          <pic:cNvPicPr>
                            <a:picLocks noChangeAspect="1"/>
                          </pic:cNvPicPr>
                        </pic:nvPicPr>
                        <pic:blipFill>
                          <a:blip r:embed="rId40"/>
                          <a:srcRect l="35838" t="11874" r="1442" b="12057"/>
                          <a:stretch>
                            <a:fillRect/>
                          </a:stretch>
                        </pic:blipFill>
                        <pic:spPr>
                          <a:xfrm>
                            <a:off x="0" y="0"/>
                            <a:ext cx="4692015" cy="4647565"/>
                          </a:xfrm>
                          <a:prstGeom prst="rect">
                            <a:avLst/>
                          </a:prstGeom>
                          <a:noFill/>
                          <a:ln>
                            <a:noFill/>
                          </a:ln>
                        </pic:spPr>
                      </pic:pic>
                    </a:graphicData>
                  </a:graphic>
                </wp:inline>
              </w:drawing>
            </w:r>
          </w:p>
          <w:p w14:paraId="62F288AE">
            <w:pPr>
              <w:pStyle w:val="88"/>
              <w:spacing w:line="240" w:lineRule="auto"/>
              <w:ind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图4-2星光工业园区污水处理厂服务范围图</w:t>
            </w:r>
          </w:p>
          <w:p w14:paraId="332C3065">
            <w:pPr>
              <w:pStyle w:val="88"/>
              <w:spacing w:line="360" w:lineRule="auto"/>
              <w:ind w:firstLine="480"/>
              <w:rPr>
                <w:rFonts w:hint="default" w:ascii="Times New Roman" w:hAnsi="Times New Roman" w:eastAsia="宋体" w:cs="Times New Roman"/>
                <w:color w:val="000000"/>
              </w:rPr>
            </w:pPr>
            <w:r>
              <w:rPr>
                <w:rFonts w:hint="eastAsia" w:ascii="Times New Roman" w:hAnsi="Times New Roman" w:eastAsia="宋体" w:cs="Times New Roman"/>
                <w:color w:val="000000"/>
                <w:lang w:val="en-US" w:eastAsia="zh-CN"/>
              </w:rPr>
              <w:t>②</w:t>
            </w:r>
            <w:r>
              <w:rPr>
                <w:rFonts w:hint="default" w:ascii="Times New Roman" w:hAnsi="Times New Roman" w:eastAsia="宋体" w:cs="Times New Roman"/>
                <w:color w:val="000000"/>
              </w:rPr>
              <w:t>纳管可行性分析</w:t>
            </w:r>
          </w:p>
          <w:p w14:paraId="3D3EBB9C">
            <w:pPr>
              <w:pStyle w:val="88"/>
              <w:spacing w:line="360" w:lineRule="auto"/>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本项目位于巴中市平昌县星光工业园内，位于星光工业园区污水处理厂服务范围内，根据调查，项目厂区周边市政管网已铺设完善，能够确保废水通过管道汇入污水处理厂，据了解污水处理厂目前处理规模富余接纳量较大，有足够处理能力及容纳量处理本项目废水。因此，本项目废水排入星光工业园区污水处理厂处理是可行的。</w:t>
            </w:r>
          </w:p>
          <w:p w14:paraId="115F952A">
            <w:pPr>
              <w:pStyle w:val="88"/>
              <w:spacing w:line="360" w:lineRule="auto"/>
              <w:ind w:firstLine="480"/>
              <w:rPr>
                <w:rFonts w:hint="default" w:ascii="Times New Roman" w:hAnsi="Times New Roman" w:eastAsia="宋体" w:cs="Times New Roman"/>
                <w:color w:val="000000"/>
              </w:rPr>
            </w:pPr>
            <w:r>
              <w:rPr>
                <w:rFonts w:hint="eastAsia" w:ascii="Times New Roman" w:hAnsi="Times New Roman" w:eastAsia="宋体" w:cs="Times New Roman"/>
                <w:color w:val="000000"/>
                <w:lang w:val="en-US" w:eastAsia="zh-CN"/>
              </w:rPr>
              <w:t>③</w:t>
            </w:r>
            <w:r>
              <w:rPr>
                <w:rFonts w:hint="default" w:ascii="Times New Roman" w:hAnsi="Times New Roman" w:eastAsia="宋体" w:cs="Times New Roman"/>
                <w:color w:val="000000"/>
              </w:rPr>
              <w:t>废水排放量满足星光工业园区污水处理厂处理要求可行性分析</w:t>
            </w:r>
          </w:p>
          <w:p w14:paraId="02C9FB01">
            <w:pPr>
              <w:pStyle w:val="88"/>
              <w:spacing w:line="360" w:lineRule="auto"/>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rPr>
              <w:t>本项目废水经处理后总排放量为</w:t>
            </w:r>
            <w:r>
              <w:rPr>
                <w:rFonts w:hint="eastAsia" w:ascii="Times New Roman" w:hAnsi="Times New Roman" w:eastAsia="宋体" w:cs="Times New Roman"/>
                <w:color w:val="000000"/>
                <w:sz w:val="24"/>
                <w:szCs w:val="24"/>
                <w:highlight w:val="none"/>
                <w:lang w:val="en-US" w:eastAsia="zh-CN"/>
              </w:rPr>
              <w:t>1.088</w:t>
            </w:r>
            <w:r>
              <w:rPr>
                <w:rFonts w:hint="eastAsia" w:ascii="Times New Roman" w:hAnsi="Times New Roman" w:cs="Times New Roman"/>
                <w:color w:val="000000"/>
                <w:lang w:val="en-US" w:eastAsia="zh-CN"/>
              </w:rPr>
              <w:t>m</w:t>
            </w:r>
            <w:r>
              <w:rPr>
                <w:rFonts w:hint="eastAsia" w:ascii="Times New Roman" w:hAnsi="Times New Roman" w:cs="Times New Roman"/>
                <w:color w:val="000000"/>
                <w:vertAlign w:val="superscript"/>
                <w:lang w:val="en-US" w:eastAsia="zh-CN"/>
              </w:rPr>
              <w:t>3</w:t>
            </w:r>
            <w:r>
              <w:rPr>
                <w:rFonts w:hint="eastAsia" w:ascii="Times New Roman" w:hAnsi="Times New Roman" w:cs="Times New Roman"/>
                <w:color w:val="000000"/>
                <w:lang w:val="en-US" w:eastAsia="zh-CN"/>
              </w:rPr>
              <w:t>/d</w:t>
            </w:r>
            <w:r>
              <w:rPr>
                <w:rFonts w:hint="default" w:ascii="Times New Roman" w:hAnsi="Times New Roman" w:eastAsia="宋体" w:cs="Times New Roman"/>
                <w:color w:val="000000"/>
              </w:rPr>
              <w:t>。根据调查星光污水处理厂运行情况，星光污水处理厂</w:t>
            </w:r>
            <w:r>
              <w:rPr>
                <w:rFonts w:hint="eastAsia" w:ascii="Times New Roman" w:hAnsi="Times New Roman" w:eastAsia="宋体" w:cs="Times New Roman"/>
                <w:color w:val="000000"/>
                <w:lang w:val="en-US" w:eastAsia="zh-CN"/>
              </w:rPr>
              <w:t>目前设计处理规模为0.3万m</w:t>
            </w:r>
            <w:r>
              <w:rPr>
                <w:rFonts w:hint="eastAsia" w:ascii="Times New Roman" w:hAnsi="Times New Roman" w:eastAsia="宋体" w:cs="Times New Roman"/>
                <w:color w:val="000000"/>
                <w:vertAlign w:val="superscript"/>
                <w:lang w:val="en-US" w:eastAsia="zh-CN"/>
              </w:rPr>
              <w:t>3</w:t>
            </w:r>
            <w:r>
              <w:rPr>
                <w:rFonts w:hint="eastAsia" w:ascii="Times New Roman" w:hAnsi="Times New Roman" w:eastAsia="宋体" w:cs="Times New Roman"/>
                <w:color w:val="000000"/>
                <w:lang w:val="en-US" w:eastAsia="zh-CN"/>
              </w:rPr>
              <w:t>/d，</w:t>
            </w:r>
            <w:r>
              <w:rPr>
                <w:rFonts w:hint="default" w:ascii="Times New Roman" w:hAnsi="Times New Roman" w:eastAsia="宋体" w:cs="Times New Roman"/>
                <w:color w:val="000000"/>
              </w:rPr>
              <w:t>当前废水接纳量为 300~500m</w:t>
            </w:r>
            <w:r>
              <w:rPr>
                <w:rFonts w:hint="default" w:ascii="Times New Roman" w:hAnsi="Times New Roman" w:eastAsia="宋体" w:cs="Times New Roman"/>
                <w:color w:val="000000"/>
                <w:vertAlign w:val="superscript"/>
              </w:rPr>
              <w:t>3</w:t>
            </w:r>
            <w:r>
              <w:rPr>
                <w:rFonts w:hint="default" w:ascii="Times New Roman" w:hAnsi="Times New Roman" w:eastAsia="宋体" w:cs="Times New Roman"/>
                <w:color w:val="000000"/>
              </w:rPr>
              <w:t>/d，余量充足，完全有能力接收本项目排放的废水。本项目污水占污水处理厂处理能力的</w:t>
            </w:r>
            <w:r>
              <w:rPr>
                <w:rFonts w:hint="eastAsia" w:ascii="Times New Roman" w:hAnsi="Times New Roman" w:eastAsia="宋体" w:cs="Times New Roman"/>
                <w:color w:val="000000"/>
                <w:lang w:val="en-US" w:eastAsia="zh-CN"/>
              </w:rPr>
              <w:t>0.036</w:t>
            </w:r>
            <w:r>
              <w:rPr>
                <w:rFonts w:hint="default" w:ascii="Times New Roman" w:hAnsi="Times New Roman" w:eastAsia="宋体" w:cs="Times New Roman"/>
                <w:color w:val="000000"/>
              </w:rPr>
              <w:t>%，占比较小。因此，本项目</w:t>
            </w:r>
            <w:r>
              <w:rPr>
                <w:rFonts w:hint="eastAsia" w:cs="Times New Roman"/>
                <w:color w:val="000000"/>
                <w:lang w:val="en-US" w:eastAsia="zh-CN"/>
              </w:rPr>
              <w:t>废</w:t>
            </w:r>
            <w:r>
              <w:rPr>
                <w:rFonts w:hint="default" w:ascii="Times New Roman" w:hAnsi="Times New Roman" w:eastAsia="宋体" w:cs="Times New Roman"/>
                <w:color w:val="000000"/>
              </w:rPr>
              <w:t>水量能够满足星光工业园区污水处理厂处理要求。</w:t>
            </w:r>
          </w:p>
          <w:p w14:paraId="5FA46E94">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textAlignment w:val="auto"/>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w:t>
            </w:r>
            <w:r>
              <w:rPr>
                <w:rFonts w:hint="default" w:ascii="宋体" w:hAnsi="宋体" w:eastAsia="宋体" w:cs="宋体"/>
                <w:b/>
                <w:bCs/>
                <w:color w:val="000000"/>
                <w:kern w:val="2"/>
                <w:sz w:val="24"/>
                <w:szCs w:val="24"/>
                <w:highlight w:val="none"/>
                <w:lang w:val="en-US" w:eastAsia="zh-CN" w:bidi="ar-SA"/>
              </w:rPr>
              <w:t>废水监测要求</w:t>
            </w:r>
          </w:p>
          <w:p w14:paraId="1454B542">
            <w:pPr>
              <w:pStyle w:val="3"/>
              <w:keepNext/>
              <w:keepLines/>
              <w:pageBreakBefore w:val="0"/>
              <w:widowControl w:val="0"/>
              <w:numPr>
                <w:ilvl w:val="2"/>
                <w:numId w:val="0"/>
              </w:numPr>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none"/>
                <w:lang w:val="en-US" w:eastAsia="zh-CN" w:bidi="ar-SA"/>
              </w:rPr>
            </w:pPr>
            <w:r>
              <w:rPr>
                <w:rFonts w:hint="default" w:ascii="宋体" w:hAnsi="宋体" w:eastAsia="宋体" w:cs="宋体"/>
                <w:b w:val="0"/>
                <w:bCs w:val="0"/>
                <w:color w:val="000000"/>
                <w:kern w:val="2"/>
                <w:sz w:val="24"/>
                <w:szCs w:val="24"/>
                <w:highlight w:val="none"/>
                <w:lang w:val="en-US" w:eastAsia="zh-CN" w:bidi="ar-SA"/>
              </w:rPr>
              <w:t>废水监测按照《排污单位自行监测技术指南总则》（HJ819-2017）、《排污许可证申请与核发技术规范 石墨及其他非金属矿物制品制造》（HJ1119-2020）确定本项目废水监测点位、频次、因子。</w:t>
            </w:r>
          </w:p>
          <w:p w14:paraId="3360E00F">
            <w:pPr>
              <w:pStyle w:val="3"/>
              <w:keepNext/>
              <w:keepLines/>
              <w:pageBreakBefore w:val="0"/>
              <w:widowControl w:val="0"/>
              <w:numPr>
                <w:ilvl w:val="2"/>
                <w:numId w:val="0"/>
              </w:numPr>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none"/>
                <w:lang w:val="en-US" w:eastAsia="zh-CN" w:bidi="ar-SA"/>
              </w:rPr>
            </w:pPr>
            <w:r>
              <w:rPr>
                <w:rFonts w:hint="default" w:ascii="宋体" w:hAnsi="宋体" w:eastAsia="宋体" w:cs="宋体"/>
                <w:b w:val="0"/>
                <w:bCs w:val="0"/>
                <w:color w:val="000000"/>
                <w:kern w:val="2"/>
                <w:sz w:val="24"/>
                <w:szCs w:val="24"/>
                <w:highlight w:val="none"/>
                <w:lang w:val="en-US" w:eastAsia="zh-CN" w:bidi="ar-SA"/>
              </w:rPr>
              <w:t>综合以上监测要求，针对本项目本次评价提出对项目运行期间废水监测要求如下。</w:t>
            </w:r>
          </w:p>
          <w:p w14:paraId="2511E853">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w:t>
            </w:r>
            <w:r>
              <w:rPr>
                <w:rFonts w:hint="default" w:ascii="Times New Roman" w:hAnsi="Times New Roman" w:eastAsia="宋体" w:cs="Times New Roman"/>
                <w:b/>
                <w:bCs/>
                <w:color w:val="000000"/>
                <w:spacing w:val="7"/>
                <w:sz w:val="24"/>
                <w:szCs w:val="24"/>
                <w:lang w:val="en-US" w:eastAsia="zh-CN"/>
              </w:rPr>
              <w:t>本项目</w:t>
            </w:r>
            <w:r>
              <w:rPr>
                <w:rFonts w:hint="eastAsia" w:ascii="Times New Roman" w:hAnsi="Times New Roman" w:eastAsia="宋体" w:cs="Times New Roman"/>
                <w:b/>
                <w:bCs/>
                <w:color w:val="000000"/>
                <w:spacing w:val="7"/>
                <w:sz w:val="24"/>
                <w:szCs w:val="24"/>
                <w:lang w:val="en-US" w:eastAsia="zh-CN"/>
              </w:rPr>
              <w:t>全厂</w:t>
            </w:r>
            <w:r>
              <w:rPr>
                <w:rFonts w:hint="default" w:ascii="Times New Roman" w:hAnsi="Times New Roman" w:eastAsia="宋体" w:cs="Times New Roman"/>
                <w:b/>
                <w:bCs/>
                <w:color w:val="000000"/>
                <w:spacing w:val="7"/>
                <w:sz w:val="24"/>
                <w:szCs w:val="24"/>
                <w:lang w:val="en-US" w:eastAsia="zh-CN"/>
              </w:rPr>
              <w:t>废水监测情况表</w:t>
            </w:r>
          </w:p>
          <w:tbl>
            <w:tblPr>
              <w:tblStyle w:val="31"/>
              <w:tblW w:w="8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7"/>
              <w:gridCol w:w="4200"/>
              <w:gridCol w:w="1694"/>
            </w:tblGrid>
            <w:tr w14:paraId="4BF2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7" w:type="dxa"/>
                  <w:noWrap w:val="0"/>
                  <w:vAlign w:val="center"/>
                </w:tcPr>
                <w:p w14:paraId="375EB8A4">
                  <w:pPr>
                    <w:pStyle w:val="94"/>
                    <w:rPr>
                      <w:rFonts w:hint="default" w:ascii="Times New Roman" w:hAnsi="Times New Roman" w:eastAsia="宋体" w:cs="Times New Roman"/>
                      <w:color w:val="000000"/>
                    </w:rPr>
                  </w:pPr>
                  <w:r>
                    <w:rPr>
                      <w:rFonts w:hint="default" w:ascii="Times New Roman" w:hAnsi="Times New Roman" w:eastAsia="宋体" w:cs="Times New Roman"/>
                      <w:color w:val="000000"/>
                    </w:rPr>
                    <w:t>监测点位</w:t>
                  </w:r>
                </w:p>
              </w:tc>
              <w:tc>
                <w:tcPr>
                  <w:tcW w:w="4200" w:type="dxa"/>
                  <w:noWrap w:val="0"/>
                  <w:vAlign w:val="center"/>
                </w:tcPr>
                <w:p w14:paraId="5BA07D18">
                  <w:pPr>
                    <w:pStyle w:val="94"/>
                    <w:rPr>
                      <w:rFonts w:hint="default" w:ascii="Times New Roman" w:hAnsi="Times New Roman" w:eastAsia="宋体" w:cs="Times New Roman"/>
                      <w:color w:val="000000"/>
                    </w:rPr>
                  </w:pPr>
                  <w:r>
                    <w:rPr>
                      <w:rFonts w:hint="default" w:ascii="Times New Roman" w:hAnsi="Times New Roman" w:eastAsia="宋体" w:cs="Times New Roman"/>
                      <w:color w:val="000000"/>
                    </w:rPr>
                    <w:t>监测指标</w:t>
                  </w:r>
                </w:p>
              </w:tc>
              <w:tc>
                <w:tcPr>
                  <w:tcW w:w="1694" w:type="dxa"/>
                  <w:noWrap w:val="0"/>
                  <w:vAlign w:val="center"/>
                </w:tcPr>
                <w:p w14:paraId="0EA8E641">
                  <w:pPr>
                    <w:pStyle w:val="94"/>
                    <w:jc w:val="center"/>
                    <w:rPr>
                      <w:rFonts w:hint="default" w:ascii="Times New Roman" w:hAnsi="Times New Roman" w:eastAsia="宋体" w:cs="Times New Roman"/>
                      <w:color w:val="000000"/>
                    </w:rPr>
                  </w:pPr>
                  <w:r>
                    <w:rPr>
                      <w:rFonts w:hint="default" w:ascii="Times New Roman" w:hAnsi="Times New Roman" w:eastAsia="宋体" w:cs="Times New Roman"/>
                      <w:color w:val="000000"/>
                    </w:rPr>
                    <w:t>监测频次</w:t>
                  </w:r>
                </w:p>
              </w:tc>
            </w:tr>
            <w:tr w14:paraId="2F8F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7" w:type="dxa"/>
                  <w:noWrap w:val="0"/>
                  <w:vAlign w:val="center"/>
                </w:tcPr>
                <w:p w14:paraId="50699B71">
                  <w:pPr>
                    <w:pStyle w:val="94"/>
                    <w:rPr>
                      <w:rFonts w:hint="default" w:ascii="Times New Roman" w:hAnsi="Times New Roman" w:eastAsia="宋体" w:cs="Times New Roman"/>
                      <w:color w:val="000000"/>
                    </w:rPr>
                  </w:pPr>
                  <w:r>
                    <w:rPr>
                      <w:rFonts w:hint="default" w:ascii="Times New Roman" w:hAnsi="Times New Roman" w:eastAsia="宋体" w:cs="Times New Roman"/>
                      <w:color w:val="000000"/>
                    </w:rPr>
                    <w:t>废水</w:t>
                  </w:r>
                  <w:r>
                    <w:rPr>
                      <w:rFonts w:hint="eastAsia" w:cs="Times New Roman"/>
                      <w:color w:val="000000"/>
                      <w:lang w:val="en-US" w:eastAsia="zh-CN"/>
                    </w:rPr>
                    <w:t>排放口</w:t>
                  </w:r>
                </w:p>
              </w:tc>
              <w:tc>
                <w:tcPr>
                  <w:tcW w:w="4200" w:type="dxa"/>
                  <w:noWrap w:val="0"/>
                  <w:vAlign w:val="top"/>
                </w:tcPr>
                <w:p w14:paraId="7C81DA78">
                  <w:pPr>
                    <w:pStyle w:val="94"/>
                    <w:rPr>
                      <w:rFonts w:hint="default" w:ascii="Times New Roman" w:hAnsi="Times New Roman" w:eastAsia="宋体" w:cs="Times New Roman"/>
                      <w:color w:val="000000"/>
                    </w:rPr>
                  </w:pPr>
                  <w:r>
                    <w:rPr>
                      <w:rFonts w:hint="default" w:ascii="Times New Roman" w:hAnsi="Times New Roman" w:eastAsia="宋体" w:cs="Times New Roman"/>
                      <w:color w:val="000000"/>
                    </w:rPr>
                    <w:t>流量、pH、COD</w:t>
                  </w:r>
                  <w:r>
                    <w:rPr>
                      <w:rFonts w:hint="eastAsia" w:cs="Times New Roman"/>
                      <w:color w:val="000000"/>
                      <w:lang w:val="en-US" w:eastAsia="zh-CN"/>
                    </w:rPr>
                    <w:t>cr</w:t>
                  </w:r>
                  <w:r>
                    <w:rPr>
                      <w:rFonts w:hint="default" w:ascii="Times New Roman" w:hAnsi="Times New Roman" w:eastAsia="宋体" w:cs="Times New Roman"/>
                      <w:color w:val="000000"/>
                    </w:rPr>
                    <w:t>、NH</w:t>
                  </w:r>
                  <w:r>
                    <w:rPr>
                      <w:rFonts w:hint="default" w:ascii="Times New Roman" w:hAnsi="Times New Roman" w:eastAsia="宋体" w:cs="Times New Roman"/>
                      <w:color w:val="000000"/>
                      <w:vertAlign w:val="subscript"/>
                    </w:rPr>
                    <w:t>3</w:t>
                  </w:r>
                  <w:r>
                    <w:rPr>
                      <w:rFonts w:hint="default" w:ascii="Times New Roman" w:hAnsi="Times New Roman" w:eastAsia="宋体" w:cs="Times New Roman"/>
                      <w:color w:val="000000"/>
                    </w:rPr>
                    <w:t>-N、SS、BOD</w:t>
                  </w:r>
                  <w:r>
                    <w:rPr>
                      <w:rFonts w:hint="default" w:ascii="Times New Roman" w:hAnsi="Times New Roman" w:eastAsia="宋体" w:cs="Times New Roman"/>
                      <w:color w:val="000000"/>
                      <w:vertAlign w:val="subscript"/>
                    </w:rPr>
                    <w:t>5</w:t>
                  </w:r>
                  <w:r>
                    <w:rPr>
                      <w:rFonts w:hint="default" w:ascii="Times New Roman" w:hAnsi="Times New Roman" w:eastAsia="宋体" w:cs="Times New Roman"/>
                      <w:color w:val="000000"/>
                    </w:rPr>
                    <w:t>、TP、TN、动植物油、石油类</w:t>
                  </w:r>
                </w:p>
              </w:tc>
              <w:tc>
                <w:tcPr>
                  <w:tcW w:w="1694" w:type="dxa"/>
                  <w:noWrap w:val="0"/>
                  <w:vAlign w:val="center"/>
                </w:tcPr>
                <w:p w14:paraId="645A40AA">
                  <w:pPr>
                    <w:pStyle w:val="94"/>
                    <w:jc w:val="center"/>
                    <w:rPr>
                      <w:rFonts w:hint="default" w:ascii="Times New Roman" w:hAnsi="Times New Roman" w:eastAsia="宋体" w:cs="Times New Roman"/>
                      <w:color w:val="000000"/>
                    </w:rPr>
                  </w:pPr>
                  <w:r>
                    <w:rPr>
                      <w:rFonts w:hint="default" w:ascii="Times New Roman" w:hAnsi="Times New Roman" w:eastAsia="宋体" w:cs="Times New Roman"/>
                      <w:color w:val="000000"/>
                    </w:rPr>
                    <w:t>每半年一次</w:t>
                  </w:r>
                </w:p>
              </w:tc>
            </w:tr>
          </w:tbl>
          <w:p w14:paraId="303E114B">
            <w:pPr>
              <w:pStyle w:val="88"/>
              <w:spacing w:line="360" w:lineRule="auto"/>
              <w:ind w:firstLine="480"/>
              <w:rPr>
                <w:rFonts w:hint="eastAsia" w:ascii="Times New Roman" w:hAnsi="Times New Roman" w:eastAsia="宋体" w:cs="Times New Roman"/>
                <w:color w:val="000000"/>
                <w:lang w:val="en-US" w:eastAsia="zh-CN"/>
              </w:rPr>
            </w:pPr>
          </w:p>
          <w:p w14:paraId="5973A092">
            <w:pPr>
              <w:pStyle w:val="10"/>
              <w:spacing w:before="0" w:after="0" w:line="360" w:lineRule="auto"/>
              <w:ind w:right="0"/>
              <w:rPr>
                <w:rFonts w:hint="default" w:ascii="Times New Roman" w:hAnsi="Times New Roman" w:eastAsia="宋体" w:cs="Times New Roman"/>
                <w:b/>
                <w:bCs/>
                <w:color w:val="000000"/>
                <w:sz w:val="28"/>
                <w:szCs w:val="28"/>
                <w:highlight w:val="none"/>
              </w:rPr>
            </w:pPr>
            <w:r>
              <w:rPr>
                <w:rFonts w:hint="default" w:ascii="Times New Roman" w:hAnsi="Times New Roman" w:eastAsia="宋体" w:cs="Times New Roman"/>
                <w:b/>
                <w:bCs/>
                <w:color w:val="000000"/>
                <w:sz w:val="28"/>
                <w:szCs w:val="28"/>
                <w:highlight w:val="none"/>
              </w:rPr>
              <w:t>二、废气</w:t>
            </w:r>
          </w:p>
          <w:p w14:paraId="7E14AF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rPr>
              <w:t>本项目营运期产生的废气产生节点主要包括</w:t>
            </w:r>
            <w:r>
              <w:rPr>
                <w:rFonts w:hint="eastAsia" w:ascii="Times New Roman" w:hAnsi="Times New Roman" w:eastAsia="宋体" w:cs="Times New Roman"/>
                <w:color w:val="000000"/>
                <w:sz w:val="24"/>
                <w:highlight w:val="none"/>
                <w:lang w:val="en-US" w:eastAsia="zh-CN"/>
              </w:rPr>
              <w:t>装料、</w:t>
            </w:r>
            <w:r>
              <w:rPr>
                <w:rFonts w:hint="eastAsia" w:ascii="Times New Roman" w:hAnsi="Times New Roman" w:eastAsia="宋体" w:cs="Times New Roman"/>
                <w:color w:val="000000"/>
                <w:sz w:val="24"/>
                <w:highlight w:val="none"/>
                <w:lang w:eastAsia="zh-CN"/>
              </w:rPr>
              <w:t>包装废气、</w:t>
            </w:r>
            <w:r>
              <w:rPr>
                <w:rFonts w:hint="eastAsia" w:ascii="Times New Roman" w:hAnsi="Times New Roman" w:eastAsia="宋体" w:cs="Times New Roman"/>
                <w:color w:val="000000"/>
                <w:sz w:val="24"/>
                <w:highlight w:val="none"/>
                <w:lang w:val="en-US" w:eastAsia="zh-CN"/>
              </w:rPr>
              <w:t>预</w:t>
            </w:r>
            <w:r>
              <w:rPr>
                <w:rFonts w:hint="eastAsia" w:ascii="Times New Roman" w:hAnsi="Times New Roman" w:eastAsia="宋体" w:cs="Times New Roman"/>
                <w:color w:val="000000"/>
                <w:sz w:val="24"/>
                <w:highlight w:val="none"/>
                <w:lang w:eastAsia="zh-CN"/>
              </w:rPr>
              <w:t>碳化废气、成品包装废气。</w:t>
            </w:r>
            <w:r>
              <w:rPr>
                <w:rFonts w:hint="eastAsia" w:ascii="Times New Roman" w:hAnsi="Times New Roman" w:eastAsia="宋体" w:cs="Times New Roman"/>
                <w:color w:val="000000"/>
                <w:sz w:val="24"/>
                <w:highlight w:val="none"/>
                <w:lang w:val="en-US" w:eastAsia="zh-CN"/>
              </w:rPr>
              <w:t>本项目废气产生于排放见下表。</w:t>
            </w:r>
          </w:p>
          <w:p w14:paraId="6C67B311">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本项目废气产生及排放情况一览表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735"/>
              <w:gridCol w:w="690"/>
              <w:gridCol w:w="712"/>
              <w:gridCol w:w="600"/>
              <w:gridCol w:w="1820"/>
              <w:gridCol w:w="555"/>
              <w:gridCol w:w="840"/>
              <w:gridCol w:w="885"/>
              <w:gridCol w:w="985"/>
            </w:tblGrid>
            <w:tr w14:paraId="1E61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0" w:type="dxa"/>
                  <w:vMerge w:val="restart"/>
                  <w:noWrap w:val="0"/>
                  <w:vAlign w:val="center"/>
                </w:tcPr>
                <w:p w14:paraId="4A50A26C">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rPr>
                    <w:t>产污环节</w:t>
                  </w:r>
                </w:p>
              </w:tc>
              <w:tc>
                <w:tcPr>
                  <w:tcW w:w="735" w:type="dxa"/>
                  <w:vMerge w:val="restart"/>
                  <w:noWrap w:val="0"/>
                  <w:vAlign w:val="center"/>
                </w:tcPr>
                <w:p w14:paraId="7214B62E">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rPr>
                    <w:t>污染物种类</w:t>
                  </w:r>
                </w:p>
              </w:tc>
              <w:tc>
                <w:tcPr>
                  <w:tcW w:w="690" w:type="dxa"/>
                  <w:vMerge w:val="restart"/>
                  <w:noWrap w:val="0"/>
                  <w:vAlign w:val="center"/>
                </w:tcPr>
                <w:p w14:paraId="47DF19F1">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color w:val="000000"/>
                      <w:sz w:val="21"/>
                      <w:szCs w:val="21"/>
                    </w:rPr>
                  </w:pPr>
                  <w:r>
                    <w:rPr>
                      <w:rFonts w:hint="eastAsia"/>
                      <w:color w:val="000000"/>
                      <w:sz w:val="21"/>
                      <w:szCs w:val="21"/>
                    </w:rPr>
                    <w:t>产生量</w:t>
                  </w:r>
                  <w:r>
                    <w:rPr>
                      <w:rFonts w:hint="eastAsia"/>
                      <w:color w:val="000000"/>
                      <w:sz w:val="21"/>
                      <w:szCs w:val="21"/>
                      <w:lang w:eastAsia="zh-CN"/>
                    </w:rPr>
                    <w:t>（</w:t>
                  </w:r>
                  <w:r>
                    <w:rPr>
                      <w:rFonts w:hint="eastAsia"/>
                      <w:color w:val="000000"/>
                      <w:sz w:val="21"/>
                      <w:szCs w:val="21"/>
                    </w:rPr>
                    <w:t>t/a</w:t>
                  </w:r>
                  <w:r>
                    <w:rPr>
                      <w:rFonts w:hint="eastAsia"/>
                      <w:color w:val="000000"/>
                      <w:sz w:val="21"/>
                      <w:szCs w:val="21"/>
                      <w:lang w:eastAsia="zh-CN"/>
                    </w:rPr>
                    <w:t>）</w:t>
                  </w:r>
                </w:p>
              </w:tc>
              <w:tc>
                <w:tcPr>
                  <w:tcW w:w="712" w:type="dxa"/>
                  <w:vMerge w:val="restart"/>
                  <w:noWrap w:val="0"/>
                  <w:vAlign w:val="center"/>
                </w:tcPr>
                <w:p w14:paraId="14294A14">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产生速率</w:t>
                  </w:r>
                  <w:r>
                    <w:rPr>
                      <w:rFonts w:hint="eastAsia"/>
                      <w:color w:val="000000"/>
                      <w:sz w:val="21"/>
                      <w:szCs w:val="21"/>
                    </w:rPr>
                    <w:t>kg/h</w:t>
                  </w:r>
                </w:p>
              </w:tc>
              <w:tc>
                <w:tcPr>
                  <w:tcW w:w="600" w:type="dxa"/>
                  <w:vMerge w:val="restart"/>
                  <w:noWrap w:val="0"/>
                  <w:vAlign w:val="center"/>
                </w:tcPr>
                <w:p w14:paraId="79957ED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rPr>
                    <w:t>排放形式</w:t>
                  </w:r>
                </w:p>
              </w:tc>
              <w:tc>
                <w:tcPr>
                  <w:tcW w:w="2375" w:type="dxa"/>
                  <w:gridSpan w:val="2"/>
                  <w:noWrap w:val="0"/>
                  <w:vAlign w:val="center"/>
                </w:tcPr>
                <w:p w14:paraId="325FB4E3">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rPr>
                    <w:t>治理措施</w:t>
                  </w:r>
                </w:p>
              </w:tc>
              <w:tc>
                <w:tcPr>
                  <w:tcW w:w="2710" w:type="dxa"/>
                  <w:gridSpan w:val="3"/>
                  <w:noWrap w:val="0"/>
                  <w:vAlign w:val="center"/>
                </w:tcPr>
                <w:p w14:paraId="4E2423F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rPr>
                    <w:t>排放情况</w:t>
                  </w:r>
                </w:p>
              </w:tc>
            </w:tr>
            <w:tr w14:paraId="37A7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70" w:type="dxa"/>
                  <w:vMerge w:val="continue"/>
                  <w:noWrap w:val="0"/>
                  <w:vAlign w:val="center"/>
                </w:tcPr>
                <w:p w14:paraId="6EF68853">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p>
              </w:tc>
              <w:tc>
                <w:tcPr>
                  <w:tcW w:w="735" w:type="dxa"/>
                  <w:vMerge w:val="continue"/>
                  <w:noWrap w:val="0"/>
                  <w:vAlign w:val="center"/>
                </w:tcPr>
                <w:p w14:paraId="0030063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p>
              </w:tc>
              <w:tc>
                <w:tcPr>
                  <w:tcW w:w="690" w:type="dxa"/>
                  <w:vMerge w:val="continue"/>
                  <w:noWrap w:val="0"/>
                  <w:vAlign w:val="center"/>
                </w:tcPr>
                <w:p w14:paraId="1443B706">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p>
              </w:tc>
              <w:tc>
                <w:tcPr>
                  <w:tcW w:w="712" w:type="dxa"/>
                  <w:vMerge w:val="continue"/>
                  <w:noWrap w:val="0"/>
                  <w:vAlign w:val="center"/>
                </w:tcPr>
                <w:p w14:paraId="366816D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p>
              </w:tc>
              <w:tc>
                <w:tcPr>
                  <w:tcW w:w="600" w:type="dxa"/>
                  <w:vMerge w:val="continue"/>
                  <w:noWrap w:val="0"/>
                  <w:vAlign w:val="center"/>
                </w:tcPr>
                <w:p w14:paraId="5EEAC6D4">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p>
              </w:tc>
              <w:tc>
                <w:tcPr>
                  <w:tcW w:w="1820" w:type="dxa"/>
                  <w:noWrap w:val="0"/>
                  <w:vAlign w:val="center"/>
                </w:tcPr>
                <w:p w14:paraId="50ED660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rPr>
                    <w:t>治理措施</w:t>
                  </w:r>
                </w:p>
              </w:tc>
              <w:tc>
                <w:tcPr>
                  <w:tcW w:w="555" w:type="dxa"/>
                  <w:noWrap w:val="0"/>
                  <w:vAlign w:val="center"/>
                </w:tcPr>
                <w:p w14:paraId="78AF8FA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color w:val="000000"/>
                      <w:sz w:val="21"/>
                      <w:szCs w:val="21"/>
                    </w:rPr>
                  </w:pPr>
                  <w:r>
                    <w:rPr>
                      <w:rFonts w:hint="eastAsia"/>
                      <w:color w:val="000000"/>
                      <w:sz w:val="21"/>
                      <w:szCs w:val="21"/>
                      <w:lang w:val="en-US" w:eastAsia="zh-CN"/>
                    </w:rPr>
                    <w:t>风量</w:t>
                  </w:r>
                  <w:r>
                    <w:rPr>
                      <w:rFonts w:hint="eastAsia"/>
                      <w:color w:val="000000"/>
                      <w:sz w:val="21"/>
                      <w:szCs w:val="21"/>
                    </w:rPr>
                    <w:t>m</w:t>
                  </w:r>
                  <w:r>
                    <w:rPr>
                      <w:rFonts w:hint="eastAsia"/>
                      <w:color w:val="000000"/>
                      <w:sz w:val="21"/>
                      <w:szCs w:val="21"/>
                      <w:vertAlign w:val="superscript"/>
                    </w:rPr>
                    <w:t>3</w:t>
                  </w:r>
                  <w:r>
                    <w:rPr>
                      <w:rFonts w:hint="eastAsia"/>
                      <w:color w:val="000000"/>
                      <w:sz w:val="21"/>
                      <w:szCs w:val="21"/>
                    </w:rPr>
                    <w:t>/h</w:t>
                  </w:r>
                </w:p>
              </w:tc>
              <w:tc>
                <w:tcPr>
                  <w:tcW w:w="840" w:type="dxa"/>
                  <w:noWrap w:val="0"/>
                  <w:vAlign w:val="center"/>
                </w:tcPr>
                <w:p w14:paraId="7DA6FDD2">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eastAsia="宋体"/>
                      <w:color w:val="000000"/>
                      <w:sz w:val="21"/>
                      <w:szCs w:val="21"/>
                      <w:lang w:eastAsia="zh-CN"/>
                    </w:rPr>
                  </w:pPr>
                  <w:r>
                    <w:rPr>
                      <w:rFonts w:hint="eastAsia"/>
                      <w:color w:val="000000"/>
                      <w:sz w:val="21"/>
                      <w:szCs w:val="21"/>
                      <w:lang w:eastAsia="zh-CN"/>
                    </w:rPr>
                    <w:t>排放量</w:t>
                  </w:r>
                  <w:r>
                    <w:rPr>
                      <w:rFonts w:hint="eastAsia"/>
                      <w:color w:val="000000"/>
                      <w:sz w:val="21"/>
                      <w:szCs w:val="21"/>
                      <w:lang w:val="en-US" w:eastAsia="zh-CN"/>
                    </w:rPr>
                    <w:t>t/a</w:t>
                  </w:r>
                </w:p>
              </w:tc>
              <w:tc>
                <w:tcPr>
                  <w:tcW w:w="885" w:type="dxa"/>
                  <w:noWrap w:val="0"/>
                  <w:vAlign w:val="center"/>
                </w:tcPr>
                <w:p w14:paraId="480A050B">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color w:val="000000"/>
                      <w:sz w:val="21"/>
                      <w:szCs w:val="21"/>
                    </w:rPr>
                  </w:pPr>
                  <w:r>
                    <w:rPr>
                      <w:rFonts w:hint="eastAsia"/>
                      <w:color w:val="000000"/>
                      <w:sz w:val="21"/>
                      <w:szCs w:val="21"/>
                    </w:rPr>
                    <w:t>排放速率kg/h</w:t>
                  </w:r>
                </w:p>
              </w:tc>
              <w:tc>
                <w:tcPr>
                  <w:tcW w:w="985" w:type="dxa"/>
                  <w:noWrap w:val="0"/>
                  <w:vAlign w:val="center"/>
                </w:tcPr>
                <w:p w14:paraId="16BF5E24">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排放浓度mg/m</w:t>
                  </w:r>
                  <w:r>
                    <w:rPr>
                      <w:rFonts w:hint="eastAsia"/>
                      <w:color w:val="000000"/>
                      <w:sz w:val="21"/>
                      <w:szCs w:val="21"/>
                      <w:vertAlign w:val="superscript"/>
                      <w:lang w:val="en-US" w:eastAsia="zh-CN"/>
                    </w:rPr>
                    <w:t>3</w:t>
                  </w:r>
                </w:p>
              </w:tc>
            </w:tr>
            <w:tr w14:paraId="0749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0" w:type="dxa"/>
                  <w:noWrap w:val="0"/>
                  <w:vAlign w:val="center"/>
                </w:tcPr>
                <w:p w14:paraId="6E94E7C5">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eastAsia="宋体"/>
                      <w:color w:val="000000"/>
                      <w:sz w:val="21"/>
                      <w:szCs w:val="21"/>
                      <w:lang w:val="en-US" w:eastAsia="zh-CN"/>
                    </w:rPr>
                  </w:pPr>
                  <w:r>
                    <w:rPr>
                      <w:rFonts w:hint="eastAsia"/>
                      <w:color w:val="000000"/>
                      <w:sz w:val="21"/>
                      <w:szCs w:val="21"/>
                      <w:lang w:val="en-US" w:eastAsia="zh-CN"/>
                    </w:rPr>
                    <w:t>投料粉尘</w:t>
                  </w:r>
                </w:p>
              </w:tc>
              <w:tc>
                <w:tcPr>
                  <w:tcW w:w="735" w:type="dxa"/>
                  <w:noWrap w:val="0"/>
                  <w:vAlign w:val="center"/>
                </w:tcPr>
                <w:p w14:paraId="50647307">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lang w:val="en-US" w:eastAsia="zh-CN"/>
                    </w:rPr>
                    <w:t>颗粒物</w:t>
                  </w:r>
                </w:p>
              </w:tc>
              <w:tc>
                <w:tcPr>
                  <w:tcW w:w="690" w:type="dxa"/>
                  <w:noWrap w:val="0"/>
                  <w:vAlign w:val="center"/>
                </w:tcPr>
                <w:p w14:paraId="5F328D1F">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0.4275</w:t>
                  </w:r>
                </w:p>
              </w:tc>
              <w:tc>
                <w:tcPr>
                  <w:tcW w:w="712" w:type="dxa"/>
                  <w:noWrap w:val="0"/>
                  <w:vAlign w:val="center"/>
                </w:tcPr>
                <w:p w14:paraId="573A82E8">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0.0540</w:t>
                  </w:r>
                </w:p>
              </w:tc>
              <w:tc>
                <w:tcPr>
                  <w:tcW w:w="600" w:type="dxa"/>
                  <w:noWrap w:val="0"/>
                  <w:vAlign w:val="center"/>
                </w:tcPr>
                <w:p w14:paraId="34E9F20E">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无组织</w:t>
                  </w:r>
                </w:p>
              </w:tc>
              <w:tc>
                <w:tcPr>
                  <w:tcW w:w="1820" w:type="dxa"/>
                  <w:noWrap w:val="0"/>
                  <w:vAlign w:val="center"/>
                </w:tcPr>
                <w:p w14:paraId="61EF980E">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采用半封闭式厂房，</w:t>
                  </w:r>
                  <w:r>
                    <w:rPr>
                      <w:rFonts w:hint="eastAsia"/>
                      <w:spacing w:val="-1"/>
                      <w:lang w:val="en-US" w:eastAsia="zh-CN"/>
                    </w:rPr>
                    <w:t>投料仓四周设施围挡</w:t>
                  </w:r>
                </w:p>
              </w:tc>
              <w:tc>
                <w:tcPr>
                  <w:tcW w:w="555" w:type="dxa"/>
                  <w:noWrap w:val="0"/>
                  <w:vAlign w:val="center"/>
                </w:tcPr>
                <w:p w14:paraId="6BA474BC">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eastAsia="zh-CN"/>
                    </w:rPr>
                  </w:pPr>
                  <w:r>
                    <w:rPr>
                      <w:rFonts w:hint="eastAsia"/>
                      <w:color w:val="000000"/>
                      <w:sz w:val="21"/>
                      <w:szCs w:val="21"/>
                      <w:lang w:val="en-US" w:eastAsia="zh-CN"/>
                    </w:rPr>
                    <w:t>/</w:t>
                  </w:r>
                </w:p>
              </w:tc>
              <w:tc>
                <w:tcPr>
                  <w:tcW w:w="840" w:type="dxa"/>
                  <w:noWrap w:val="0"/>
                  <w:vAlign w:val="center"/>
                </w:tcPr>
                <w:p w14:paraId="5FC9B12D">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eastAsia="zh-CN"/>
                    </w:rPr>
                  </w:pPr>
                  <w:r>
                    <w:rPr>
                      <w:rFonts w:hint="eastAsia"/>
                      <w:color w:val="000000"/>
                      <w:sz w:val="21"/>
                      <w:szCs w:val="21"/>
                      <w:lang w:val="en-US" w:eastAsia="zh-CN"/>
                    </w:rPr>
                    <w:t>0.0684</w:t>
                  </w:r>
                </w:p>
              </w:tc>
              <w:tc>
                <w:tcPr>
                  <w:tcW w:w="885" w:type="dxa"/>
                  <w:noWrap w:val="0"/>
                  <w:vAlign w:val="center"/>
                </w:tcPr>
                <w:p w14:paraId="37BC3055">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0.00864</w:t>
                  </w:r>
                </w:p>
              </w:tc>
              <w:tc>
                <w:tcPr>
                  <w:tcW w:w="985" w:type="dxa"/>
                  <w:noWrap w:val="0"/>
                  <w:vAlign w:val="center"/>
                </w:tcPr>
                <w:p w14:paraId="394421D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eastAsia="zh-CN"/>
                    </w:rPr>
                  </w:pPr>
                  <w:r>
                    <w:rPr>
                      <w:rFonts w:hint="eastAsia"/>
                      <w:color w:val="000000"/>
                      <w:sz w:val="21"/>
                      <w:szCs w:val="21"/>
                      <w:lang w:val="en-US" w:eastAsia="zh-CN"/>
                    </w:rPr>
                    <w:t>/</w:t>
                  </w:r>
                </w:p>
              </w:tc>
            </w:tr>
            <w:tr w14:paraId="4DC6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570" w:type="dxa"/>
                  <w:noWrap w:val="0"/>
                  <w:vAlign w:val="center"/>
                </w:tcPr>
                <w:p w14:paraId="6EE32D15">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装料粉尘</w:t>
                  </w:r>
                </w:p>
              </w:tc>
              <w:tc>
                <w:tcPr>
                  <w:tcW w:w="735" w:type="dxa"/>
                  <w:noWrap w:val="0"/>
                  <w:vAlign w:val="center"/>
                </w:tcPr>
                <w:p w14:paraId="577C1EF2">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lang w:val="en-US" w:eastAsia="zh-CN"/>
                    </w:rPr>
                    <w:t>颗粒物</w:t>
                  </w:r>
                </w:p>
              </w:tc>
              <w:tc>
                <w:tcPr>
                  <w:tcW w:w="690" w:type="dxa"/>
                  <w:noWrap w:val="0"/>
                  <w:vAlign w:val="center"/>
                </w:tcPr>
                <w:p w14:paraId="1D7FA442">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rPr>
                  </w:pPr>
                  <w:r>
                    <w:rPr>
                      <w:rFonts w:hint="eastAsia" w:ascii="Times New Roman" w:hAnsi="Times New Roman" w:eastAsia="宋体" w:cs="Times New Roman"/>
                      <w:b w:val="0"/>
                      <w:bCs w:val="0"/>
                      <w:color w:val="000000"/>
                      <w:highlight w:val="none"/>
                      <w:lang w:val="en-US" w:eastAsia="zh-CN"/>
                    </w:rPr>
                    <w:t>42.75</w:t>
                  </w:r>
                </w:p>
              </w:tc>
              <w:tc>
                <w:tcPr>
                  <w:tcW w:w="712" w:type="dxa"/>
                  <w:noWrap w:val="0"/>
                  <w:vAlign w:val="center"/>
                </w:tcPr>
                <w:p w14:paraId="472FAF23">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eastAsia="宋体" w:cs="Times New Roman"/>
                      <w:b w:val="0"/>
                      <w:bCs w:val="0"/>
                      <w:color w:val="000000"/>
                      <w:highlight w:val="none"/>
                      <w:lang w:val="en-US" w:eastAsia="zh-CN"/>
                    </w:rPr>
                  </w:pPr>
                  <w:r>
                    <w:rPr>
                      <w:rFonts w:hint="eastAsia" w:ascii="Times New Roman" w:hAnsi="Times New Roman" w:eastAsia="宋体" w:cs="Times New Roman"/>
                      <w:b w:val="0"/>
                      <w:bCs w:val="0"/>
                      <w:color w:val="000000"/>
                      <w:highlight w:val="none"/>
                      <w:lang w:val="en-US" w:eastAsia="zh-CN"/>
                    </w:rPr>
                    <w:t>5.398</w:t>
                  </w:r>
                </w:p>
              </w:tc>
              <w:tc>
                <w:tcPr>
                  <w:tcW w:w="600" w:type="dxa"/>
                  <w:noWrap w:val="0"/>
                  <w:vAlign w:val="center"/>
                </w:tcPr>
                <w:p w14:paraId="32588BC8">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rPr>
                  </w:pPr>
                  <w:r>
                    <w:rPr>
                      <w:rFonts w:hint="eastAsia"/>
                      <w:color w:val="000000"/>
                      <w:sz w:val="21"/>
                      <w:szCs w:val="21"/>
                      <w:lang w:eastAsia="zh-CN"/>
                    </w:rPr>
                    <w:t>有组织</w:t>
                  </w:r>
                </w:p>
              </w:tc>
              <w:tc>
                <w:tcPr>
                  <w:tcW w:w="1820" w:type="dxa"/>
                  <w:vMerge w:val="restart"/>
                  <w:noWrap w:val="0"/>
                  <w:vAlign w:val="center"/>
                </w:tcPr>
                <w:p w14:paraId="0382E8FD">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eastAsia="宋体"/>
                      <w:color w:val="000000"/>
                      <w:sz w:val="21"/>
                      <w:szCs w:val="21"/>
                      <w:lang w:val="en-US" w:eastAsia="zh-CN"/>
                    </w:rPr>
                  </w:pPr>
                  <w:r>
                    <w:rPr>
                      <w:rFonts w:hint="eastAsia"/>
                      <w:color w:val="000000"/>
                      <w:sz w:val="21"/>
                      <w:szCs w:val="21"/>
                      <w:lang w:val="en-US" w:eastAsia="zh-CN"/>
                    </w:rPr>
                    <w:t>布袋除尘</w:t>
                  </w:r>
                  <w:r>
                    <w:rPr>
                      <w:rFonts w:hint="eastAsia"/>
                      <w:color w:val="000000"/>
                      <w:sz w:val="21"/>
                      <w:szCs w:val="21"/>
                    </w:rPr>
                    <w:t>处理后统一汇入15m高排气筒（DA00</w:t>
                  </w:r>
                  <w:r>
                    <w:rPr>
                      <w:rFonts w:hint="eastAsia"/>
                      <w:color w:val="000000"/>
                      <w:sz w:val="21"/>
                      <w:szCs w:val="21"/>
                      <w:lang w:val="en-US" w:eastAsia="zh-CN"/>
                    </w:rPr>
                    <w:t>2</w:t>
                  </w:r>
                  <w:r>
                    <w:rPr>
                      <w:rFonts w:hint="eastAsia"/>
                      <w:color w:val="000000"/>
                      <w:sz w:val="21"/>
                      <w:szCs w:val="21"/>
                    </w:rPr>
                    <w:t>）排放</w:t>
                  </w:r>
                  <w:r>
                    <w:rPr>
                      <w:rFonts w:hint="eastAsia"/>
                      <w:color w:val="000000"/>
                      <w:sz w:val="21"/>
                      <w:szCs w:val="21"/>
                      <w:lang w:eastAsia="zh-CN"/>
                    </w:rPr>
                    <w:t>（</w:t>
                  </w:r>
                  <w:r>
                    <w:rPr>
                      <w:rFonts w:hint="eastAsia"/>
                      <w:color w:val="000000"/>
                      <w:sz w:val="21"/>
                      <w:szCs w:val="21"/>
                      <w:lang w:val="en-US" w:eastAsia="zh-CN"/>
                    </w:rPr>
                    <w:t>收集效率100%，处理效率99.5%</w:t>
                  </w:r>
                  <w:r>
                    <w:rPr>
                      <w:rFonts w:hint="eastAsia"/>
                      <w:color w:val="000000"/>
                      <w:sz w:val="21"/>
                      <w:szCs w:val="21"/>
                      <w:lang w:eastAsia="zh-CN"/>
                    </w:rPr>
                    <w:t>）</w:t>
                  </w:r>
                  <w:r>
                    <w:rPr>
                      <w:rFonts w:hint="eastAsia"/>
                      <w:color w:val="000000"/>
                      <w:sz w:val="21"/>
                      <w:szCs w:val="21"/>
                    </w:rPr>
                    <w:t>。</w:t>
                  </w:r>
                </w:p>
              </w:tc>
              <w:tc>
                <w:tcPr>
                  <w:tcW w:w="555" w:type="dxa"/>
                  <w:vMerge w:val="restart"/>
                  <w:noWrap w:val="0"/>
                  <w:vAlign w:val="center"/>
                </w:tcPr>
                <w:p w14:paraId="1CA9891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20000</w:t>
                  </w:r>
                </w:p>
              </w:tc>
              <w:tc>
                <w:tcPr>
                  <w:tcW w:w="840" w:type="dxa"/>
                  <w:noWrap w:val="0"/>
                  <w:vAlign w:val="center"/>
                </w:tcPr>
                <w:p w14:paraId="1EE8726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eastAsia="宋体"/>
                      <w:color w:val="000000"/>
                      <w:sz w:val="21"/>
                      <w:szCs w:val="21"/>
                      <w:lang w:val="en-US" w:eastAsia="zh-CN"/>
                    </w:rPr>
                  </w:pPr>
                  <w:r>
                    <w:rPr>
                      <w:rFonts w:hint="eastAsia"/>
                      <w:color w:val="000000"/>
                      <w:sz w:val="21"/>
                      <w:szCs w:val="21"/>
                      <w:lang w:val="en-US" w:eastAsia="zh-CN"/>
                    </w:rPr>
                    <w:t>0.214</w:t>
                  </w:r>
                </w:p>
              </w:tc>
              <w:tc>
                <w:tcPr>
                  <w:tcW w:w="885" w:type="dxa"/>
                  <w:noWrap w:val="0"/>
                  <w:vAlign w:val="center"/>
                </w:tcPr>
                <w:p w14:paraId="11457CC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rPr>
                  </w:pPr>
                  <w:r>
                    <w:rPr>
                      <w:rFonts w:hint="eastAsia"/>
                      <w:color w:val="000000"/>
                      <w:sz w:val="21"/>
                      <w:szCs w:val="21"/>
                      <w:lang w:val="en-US" w:eastAsia="zh-CN"/>
                    </w:rPr>
                    <w:t>0.027</w:t>
                  </w:r>
                </w:p>
              </w:tc>
              <w:tc>
                <w:tcPr>
                  <w:tcW w:w="985" w:type="dxa"/>
                  <w:noWrap w:val="0"/>
                  <w:vAlign w:val="center"/>
                </w:tcPr>
                <w:p w14:paraId="1DBC28BE">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eastAsia="zh-CN"/>
                    </w:rPr>
                  </w:pPr>
                  <w:r>
                    <w:rPr>
                      <w:rFonts w:hint="eastAsia"/>
                      <w:color w:val="000000"/>
                      <w:sz w:val="21"/>
                      <w:szCs w:val="21"/>
                      <w:lang w:val="en-US" w:eastAsia="zh-CN"/>
                    </w:rPr>
                    <w:t>0.3</w:t>
                  </w:r>
                </w:p>
              </w:tc>
            </w:tr>
            <w:tr w14:paraId="207F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70" w:type="dxa"/>
                  <w:noWrap w:val="0"/>
                  <w:vAlign w:val="center"/>
                </w:tcPr>
                <w:p w14:paraId="593C9E72">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包装粉尘</w:t>
                  </w:r>
                </w:p>
              </w:tc>
              <w:tc>
                <w:tcPr>
                  <w:tcW w:w="735" w:type="dxa"/>
                  <w:noWrap w:val="0"/>
                  <w:vAlign w:val="center"/>
                </w:tcPr>
                <w:p w14:paraId="55F7311D">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颗粒物</w:t>
                  </w:r>
                </w:p>
              </w:tc>
              <w:tc>
                <w:tcPr>
                  <w:tcW w:w="690" w:type="dxa"/>
                  <w:noWrap w:val="0"/>
                  <w:vAlign w:val="center"/>
                </w:tcPr>
                <w:p w14:paraId="1FC07C4C">
                  <w:pPr>
                    <w:jc w:val="center"/>
                    <w:rPr>
                      <w:rFonts w:hint="eastAsia" w:ascii="Times New Roman" w:hAnsi="Times New Roman" w:eastAsia="宋体" w:cs="Times New Roman"/>
                      <w:b w:val="0"/>
                      <w:bCs w:val="0"/>
                      <w:color w:val="000000"/>
                      <w:highlight w:val="none"/>
                      <w:lang w:val="en-US" w:eastAsia="zh-CN"/>
                    </w:rPr>
                  </w:pPr>
                  <w:r>
                    <w:rPr>
                      <w:rFonts w:hint="eastAsia"/>
                      <w:color w:val="000000"/>
                      <w:sz w:val="21"/>
                      <w:szCs w:val="21"/>
                      <w:lang w:val="en-US" w:eastAsia="zh-CN"/>
                    </w:rPr>
                    <w:t>40</w:t>
                  </w:r>
                </w:p>
              </w:tc>
              <w:tc>
                <w:tcPr>
                  <w:tcW w:w="712" w:type="dxa"/>
                  <w:noWrap w:val="0"/>
                  <w:vAlign w:val="center"/>
                </w:tcPr>
                <w:p w14:paraId="7370AE2A">
                  <w:pPr>
                    <w:jc w:val="center"/>
                    <w:rPr>
                      <w:rFonts w:hint="eastAsia" w:ascii="Times New Roman" w:hAnsi="Times New Roman" w:eastAsia="宋体" w:cs="Times New Roman"/>
                      <w:b w:val="0"/>
                      <w:bCs w:val="0"/>
                      <w:color w:val="000000"/>
                      <w:highlight w:val="none"/>
                      <w:lang w:val="en-US" w:eastAsia="zh-CN"/>
                    </w:rPr>
                  </w:pPr>
                  <w:r>
                    <w:rPr>
                      <w:rFonts w:hint="eastAsia"/>
                      <w:color w:val="000000"/>
                      <w:sz w:val="21"/>
                      <w:szCs w:val="21"/>
                      <w:lang w:val="en-US" w:eastAsia="zh-CN"/>
                    </w:rPr>
                    <w:t>5.05</w:t>
                  </w:r>
                </w:p>
              </w:tc>
              <w:tc>
                <w:tcPr>
                  <w:tcW w:w="600" w:type="dxa"/>
                  <w:noWrap w:val="0"/>
                  <w:vAlign w:val="center"/>
                </w:tcPr>
                <w:p w14:paraId="736CDA91">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color w:val="000000"/>
                      <w:sz w:val="21"/>
                      <w:szCs w:val="21"/>
                      <w:lang w:eastAsia="zh-CN"/>
                    </w:rPr>
                  </w:pPr>
                  <w:r>
                    <w:rPr>
                      <w:rFonts w:hint="eastAsia"/>
                      <w:color w:val="000000"/>
                      <w:sz w:val="21"/>
                      <w:szCs w:val="21"/>
                      <w:lang w:eastAsia="zh-CN"/>
                    </w:rPr>
                    <w:t>有组织</w:t>
                  </w:r>
                </w:p>
              </w:tc>
              <w:tc>
                <w:tcPr>
                  <w:tcW w:w="1820" w:type="dxa"/>
                  <w:vMerge w:val="continue"/>
                  <w:noWrap w:val="0"/>
                  <w:vAlign w:val="center"/>
                </w:tcPr>
                <w:p w14:paraId="5F48886A">
                  <w:pPr>
                    <w:jc w:val="center"/>
                    <w:rPr>
                      <w:rFonts w:hint="eastAsia"/>
                      <w:color w:val="000000"/>
                      <w:sz w:val="21"/>
                      <w:szCs w:val="21"/>
                      <w:lang w:val="en-US" w:eastAsia="zh-CN"/>
                    </w:rPr>
                  </w:pPr>
                </w:p>
              </w:tc>
              <w:tc>
                <w:tcPr>
                  <w:tcW w:w="555" w:type="dxa"/>
                  <w:vMerge w:val="continue"/>
                  <w:noWrap w:val="0"/>
                  <w:vAlign w:val="center"/>
                </w:tcPr>
                <w:p w14:paraId="0C584372">
                  <w:pPr>
                    <w:jc w:val="center"/>
                    <w:rPr>
                      <w:rFonts w:hint="eastAsia"/>
                      <w:color w:val="000000"/>
                      <w:sz w:val="21"/>
                      <w:szCs w:val="21"/>
                      <w:lang w:val="en-US" w:eastAsia="zh-CN"/>
                    </w:rPr>
                  </w:pPr>
                </w:p>
              </w:tc>
              <w:tc>
                <w:tcPr>
                  <w:tcW w:w="840" w:type="dxa"/>
                  <w:noWrap w:val="0"/>
                  <w:vAlign w:val="center"/>
                </w:tcPr>
                <w:p w14:paraId="61DFA2D2">
                  <w:pPr>
                    <w:jc w:val="center"/>
                    <w:rPr>
                      <w:rFonts w:hint="eastAsia"/>
                      <w:color w:val="000000"/>
                      <w:sz w:val="21"/>
                      <w:szCs w:val="21"/>
                      <w:lang w:val="en-US" w:eastAsia="zh-CN"/>
                    </w:rPr>
                  </w:pPr>
                  <w:r>
                    <w:rPr>
                      <w:rFonts w:hint="eastAsia"/>
                      <w:color w:val="000000"/>
                      <w:sz w:val="21"/>
                      <w:szCs w:val="21"/>
                      <w:lang w:val="en-US" w:eastAsia="zh-CN"/>
                    </w:rPr>
                    <w:t>0.2</w:t>
                  </w:r>
                </w:p>
              </w:tc>
              <w:tc>
                <w:tcPr>
                  <w:tcW w:w="885" w:type="dxa"/>
                  <w:noWrap w:val="0"/>
                  <w:vAlign w:val="center"/>
                </w:tcPr>
                <w:p w14:paraId="298A0CF4">
                  <w:pPr>
                    <w:jc w:val="center"/>
                    <w:rPr>
                      <w:rFonts w:hint="eastAsia"/>
                      <w:color w:val="000000"/>
                      <w:sz w:val="21"/>
                      <w:szCs w:val="21"/>
                      <w:lang w:val="en-US" w:eastAsia="zh-CN"/>
                    </w:rPr>
                  </w:pPr>
                  <w:r>
                    <w:rPr>
                      <w:rFonts w:hint="eastAsia"/>
                      <w:color w:val="000000"/>
                      <w:sz w:val="21"/>
                      <w:szCs w:val="21"/>
                      <w:lang w:val="en-US" w:eastAsia="zh-CN"/>
                    </w:rPr>
                    <w:t>0.025</w:t>
                  </w:r>
                </w:p>
              </w:tc>
              <w:tc>
                <w:tcPr>
                  <w:tcW w:w="985" w:type="dxa"/>
                  <w:noWrap w:val="0"/>
                  <w:vAlign w:val="center"/>
                </w:tcPr>
                <w:p w14:paraId="1098EE4E">
                  <w:pPr>
                    <w:jc w:val="center"/>
                    <w:rPr>
                      <w:rFonts w:hint="default"/>
                      <w:color w:val="000000"/>
                      <w:sz w:val="21"/>
                      <w:szCs w:val="21"/>
                      <w:lang w:val="en-US" w:eastAsia="zh-CN"/>
                    </w:rPr>
                  </w:pPr>
                  <w:r>
                    <w:rPr>
                      <w:rFonts w:hint="eastAsia"/>
                      <w:color w:val="000000"/>
                      <w:sz w:val="21"/>
                      <w:szCs w:val="21"/>
                      <w:lang w:val="en-US" w:eastAsia="zh-CN"/>
                    </w:rPr>
                    <w:t>0.278</w:t>
                  </w:r>
                </w:p>
              </w:tc>
            </w:tr>
            <w:tr w14:paraId="39DF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70" w:type="dxa"/>
                  <w:vMerge w:val="restart"/>
                  <w:noWrap w:val="0"/>
                  <w:vAlign w:val="center"/>
                </w:tcPr>
                <w:p w14:paraId="74D03C3F">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预碳化废气</w:t>
                  </w:r>
                </w:p>
              </w:tc>
              <w:tc>
                <w:tcPr>
                  <w:tcW w:w="735" w:type="dxa"/>
                  <w:noWrap w:val="0"/>
                  <w:vAlign w:val="center"/>
                </w:tcPr>
                <w:p w14:paraId="2F342CAC">
                  <w:pPr>
                    <w:kinsoku/>
                    <w:overflowPunct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eastAsia="Times New Roman" w:cs="Times New Roman"/>
                      <w:b w:val="0"/>
                      <w:bCs w:val="0"/>
                      <w:color w:val="000000"/>
                      <w:sz w:val="21"/>
                      <w:szCs w:val="21"/>
                    </w:rPr>
                    <w:t>SO</w:t>
                  </w:r>
                  <w:r>
                    <w:rPr>
                      <w:rFonts w:hint="default" w:ascii="Times New Roman" w:hAnsi="Times New Roman" w:eastAsia="Times New Roman" w:cs="Times New Roman"/>
                      <w:b w:val="0"/>
                      <w:bCs w:val="0"/>
                      <w:color w:val="000000"/>
                      <w:spacing w:val="6"/>
                      <w:position w:val="-1"/>
                      <w:sz w:val="21"/>
                      <w:szCs w:val="21"/>
                      <w:vertAlign w:val="subscript"/>
                    </w:rPr>
                    <w:t>2</w:t>
                  </w:r>
                </w:p>
              </w:tc>
              <w:tc>
                <w:tcPr>
                  <w:tcW w:w="690" w:type="dxa"/>
                  <w:noWrap w:val="0"/>
                  <w:vAlign w:val="center"/>
                </w:tcPr>
                <w:p w14:paraId="6513F3E6">
                  <w:pPr>
                    <w:jc w:val="center"/>
                    <w:rPr>
                      <w:rFonts w:hint="default"/>
                      <w:color w:val="000000"/>
                      <w:sz w:val="21"/>
                      <w:szCs w:val="21"/>
                      <w:lang w:val="en-US" w:eastAsia="zh-CN"/>
                    </w:rPr>
                  </w:pPr>
                  <w:r>
                    <w:rPr>
                      <w:rFonts w:hint="eastAsia"/>
                      <w:color w:val="000000"/>
                      <w:sz w:val="21"/>
                      <w:szCs w:val="21"/>
                      <w:lang w:val="en-US" w:eastAsia="zh-CN"/>
                    </w:rPr>
                    <w:t>20.2</w:t>
                  </w:r>
                </w:p>
              </w:tc>
              <w:tc>
                <w:tcPr>
                  <w:tcW w:w="712" w:type="dxa"/>
                  <w:noWrap w:val="0"/>
                  <w:vAlign w:val="center"/>
                </w:tcPr>
                <w:p w14:paraId="2EDF4B6D">
                  <w:pPr>
                    <w:jc w:val="center"/>
                    <w:rPr>
                      <w:rFonts w:hint="default"/>
                      <w:color w:val="000000"/>
                      <w:sz w:val="21"/>
                      <w:szCs w:val="21"/>
                      <w:lang w:val="en-US" w:eastAsia="zh-CN"/>
                    </w:rPr>
                  </w:pPr>
                  <w:r>
                    <w:rPr>
                      <w:rFonts w:hint="eastAsia"/>
                      <w:color w:val="000000"/>
                      <w:sz w:val="21"/>
                      <w:szCs w:val="21"/>
                      <w:lang w:val="en-US" w:eastAsia="zh-CN"/>
                    </w:rPr>
                    <w:t>1.818</w:t>
                  </w:r>
                </w:p>
              </w:tc>
              <w:tc>
                <w:tcPr>
                  <w:tcW w:w="600" w:type="dxa"/>
                  <w:vMerge w:val="restart"/>
                  <w:noWrap w:val="0"/>
                  <w:vAlign w:val="center"/>
                </w:tcPr>
                <w:p w14:paraId="464EADE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color w:val="000000"/>
                      <w:sz w:val="21"/>
                      <w:szCs w:val="21"/>
                      <w:lang w:val="en-US" w:eastAsia="zh-CN"/>
                    </w:rPr>
                  </w:pPr>
                  <w:r>
                    <w:rPr>
                      <w:rFonts w:hint="eastAsia"/>
                      <w:color w:val="000000"/>
                      <w:sz w:val="21"/>
                      <w:szCs w:val="21"/>
                      <w:lang w:val="en-US" w:eastAsia="zh-CN"/>
                    </w:rPr>
                    <w:t>有组织</w:t>
                  </w:r>
                </w:p>
              </w:tc>
              <w:tc>
                <w:tcPr>
                  <w:tcW w:w="1820" w:type="dxa"/>
                  <w:vMerge w:val="restart"/>
                  <w:noWrap w:val="0"/>
                  <w:vAlign w:val="center"/>
                </w:tcPr>
                <w:p w14:paraId="34077323">
                  <w:pPr>
                    <w:jc w:val="center"/>
                    <w:rPr>
                      <w:rFonts w:hint="default"/>
                      <w:color w:val="000000"/>
                      <w:sz w:val="21"/>
                      <w:szCs w:val="21"/>
                      <w:lang w:val="en-US" w:eastAsia="zh-CN"/>
                    </w:rPr>
                  </w:pPr>
                  <w:r>
                    <w:rPr>
                      <w:rFonts w:hint="eastAsia"/>
                      <w:color w:val="000000"/>
                      <w:sz w:val="21"/>
                      <w:szCs w:val="21"/>
                      <w:lang w:val="en-US" w:eastAsia="zh-CN"/>
                    </w:rPr>
                    <w:t>降温塔+双碱法脱硫+电捕焦油器，处理后33m排气筒排放</w:t>
                  </w:r>
                </w:p>
              </w:tc>
              <w:tc>
                <w:tcPr>
                  <w:tcW w:w="555" w:type="dxa"/>
                  <w:vMerge w:val="restart"/>
                  <w:noWrap w:val="0"/>
                  <w:vAlign w:val="center"/>
                </w:tcPr>
                <w:p w14:paraId="40C35F1D">
                  <w:pPr>
                    <w:jc w:val="center"/>
                    <w:rPr>
                      <w:rFonts w:hint="default"/>
                      <w:color w:val="000000"/>
                      <w:sz w:val="21"/>
                      <w:szCs w:val="21"/>
                      <w:lang w:val="en-US" w:eastAsia="zh-CN"/>
                    </w:rPr>
                  </w:pPr>
                  <w:r>
                    <w:rPr>
                      <w:rFonts w:hint="eastAsia"/>
                      <w:color w:val="000000"/>
                      <w:sz w:val="21"/>
                      <w:szCs w:val="21"/>
                      <w:lang w:val="en-US" w:eastAsia="zh-CN"/>
                    </w:rPr>
                    <w:t>90000</w:t>
                  </w:r>
                </w:p>
              </w:tc>
              <w:tc>
                <w:tcPr>
                  <w:tcW w:w="840" w:type="dxa"/>
                  <w:noWrap w:val="0"/>
                  <w:vAlign w:val="center"/>
                </w:tcPr>
                <w:p w14:paraId="04D8C5C5">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pacing w:val="2"/>
                      <w:sz w:val="21"/>
                      <w:szCs w:val="21"/>
                      <w:lang w:val="en-US" w:eastAsia="zh-CN"/>
                    </w:rPr>
                    <w:t>0.72</w:t>
                  </w:r>
                </w:p>
              </w:tc>
              <w:tc>
                <w:tcPr>
                  <w:tcW w:w="885" w:type="dxa"/>
                  <w:noWrap w:val="0"/>
                  <w:vAlign w:val="center"/>
                </w:tcPr>
                <w:p w14:paraId="401F365F">
                  <w:pPr>
                    <w:kinsoku/>
                    <w:overflowPunct w:val="0"/>
                    <w:jc w:val="center"/>
                    <w:rPr>
                      <w:rFonts w:hint="eastAsia"/>
                      <w:color w:val="000000"/>
                      <w:sz w:val="21"/>
                      <w:szCs w:val="21"/>
                      <w:lang w:val="en-US" w:eastAsia="zh-CN"/>
                    </w:rPr>
                  </w:pPr>
                  <w:r>
                    <w:rPr>
                      <w:rFonts w:hint="default" w:ascii="Times New Roman" w:hAnsi="Times New Roman" w:eastAsia="宋体" w:cs="Times New Roman"/>
                      <w:color w:val="000000"/>
                      <w:spacing w:val="2"/>
                      <w:sz w:val="21"/>
                      <w:szCs w:val="21"/>
                      <w:lang w:val="en-US" w:eastAsia="zh-CN"/>
                    </w:rPr>
                    <w:t>0.0909</w:t>
                  </w:r>
                </w:p>
              </w:tc>
              <w:tc>
                <w:tcPr>
                  <w:tcW w:w="985" w:type="dxa"/>
                  <w:noWrap w:val="0"/>
                  <w:vAlign w:val="center"/>
                </w:tcPr>
                <w:p w14:paraId="40F58060">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pacing w:val="2"/>
                      <w:sz w:val="21"/>
                      <w:szCs w:val="21"/>
                      <w:lang w:val="en-US" w:eastAsia="zh-CN"/>
                    </w:rPr>
                    <w:t>0.84</w:t>
                  </w:r>
                </w:p>
              </w:tc>
            </w:tr>
            <w:tr w14:paraId="2516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70" w:type="dxa"/>
                  <w:vMerge w:val="continue"/>
                  <w:noWrap w:val="0"/>
                  <w:vAlign w:val="center"/>
                </w:tcPr>
                <w:p w14:paraId="0DD381C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eastAsia="宋体" w:cs="Times New Roman"/>
                      <w:color w:val="000000"/>
                      <w:sz w:val="21"/>
                      <w:szCs w:val="21"/>
                      <w:lang w:val="en-US" w:eastAsia="zh-CN"/>
                    </w:rPr>
                  </w:pPr>
                </w:p>
              </w:tc>
              <w:tc>
                <w:tcPr>
                  <w:tcW w:w="735" w:type="dxa"/>
                  <w:noWrap w:val="0"/>
                  <w:vAlign w:val="center"/>
                </w:tcPr>
                <w:p w14:paraId="7221AFFF">
                  <w:pPr>
                    <w:kinsoku/>
                    <w:overflowPunct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eastAsia="Times New Roman" w:cs="Times New Roman"/>
                      <w:b w:val="0"/>
                      <w:bCs w:val="0"/>
                      <w:color w:val="000000"/>
                      <w:spacing w:val="5"/>
                      <w:sz w:val="21"/>
                      <w:szCs w:val="21"/>
                    </w:rPr>
                    <w:t>NOx</w:t>
                  </w:r>
                </w:p>
              </w:tc>
              <w:tc>
                <w:tcPr>
                  <w:tcW w:w="690" w:type="dxa"/>
                  <w:noWrap w:val="0"/>
                  <w:vAlign w:val="center"/>
                </w:tcPr>
                <w:p w14:paraId="0E6EFF9D">
                  <w:pPr>
                    <w:jc w:val="center"/>
                    <w:rPr>
                      <w:rFonts w:hint="default"/>
                      <w:color w:val="000000"/>
                      <w:sz w:val="21"/>
                      <w:szCs w:val="21"/>
                      <w:lang w:val="en-US" w:eastAsia="zh-CN"/>
                    </w:rPr>
                  </w:pPr>
                  <w:r>
                    <w:rPr>
                      <w:rFonts w:hint="eastAsia"/>
                      <w:color w:val="000000"/>
                      <w:sz w:val="21"/>
                      <w:szCs w:val="21"/>
                      <w:lang w:val="en-US" w:eastAsia="zh-CN"/>
                    </w:rPr>
                    <w:t>7.0</w:t>
                  </w:r>
                </w:p>
              </w:tc>
              <w:tc>
                <w:tcPr>
                  <w:tcW w:w="712" w:type="dxa"/>
                  <w:noWrap w:val="0"/>
                  <w:vAlign w:val="center"/>
                </w:tcPr>
                <w:p w14:paraId="16CC6CB0">
                  <w:pPr>
                    <w:jc w:val="center"/>
                    <w:rPr>
                      <w:rFonts w:hint="default"/>
                      <w:color w:val="000000"/>
                      <w:sz w:val="21"/>
                      <w:szCs w:val="21"/>
                      <w:lang w:val="en-US" w:eastAsia="zh-CN"/>
                    </w:rPr>
                  </w:pPr>
                  <w:r>
                    <w:rPr>
                      <w:rFonts w:hint="eastAsia"/>
                      <w:color w:val="000000"/>
                      <w:sz w:val="21"/>
                      <w:szCs w:val="21"/>
                      <w:lang w:val="en-US" w:eastAsia="zh-CN"/>
                    </w:rPr>
                    <w:t>0.884</w:t>
                  </w:r>
                </w:p>
              </w:tc>
              <w:tc>
                <w:tcPr>
                  <w:tcW w:w="600" w:type="dxa"/>
                  <w:vMerge w:val="continue"/>
                  <w:noWrap w:val="0"/>
                  <w:vAlign w:val="center"/>
                </w:tcPr>
                <w:p w14:paraId="2743E131">
                  <w:pPr>
                    <w:jc w:val="center"/>
                    <w:rPr>
                      <w:rFonts w:hint="eastAsia"/>
                      <w:color w:val="000000"/>
                      <w:sz w:val="21"/>
                      <w:szCs w:val="21"/>
                      <w:lang w:eastAsia="zh-CN"/>
                    </w:rPr>
                  </w:pPr>
                </w:p>
              </w:tc>
              <w:tc>
                <w:tcPr>
                  <w:tcW w:w="1820" w:type="dxa"/>
                  <w:vMerge w:val="continue"/>
                  <w:noWrap w:val="0"/>
                  <w:vAlign w:val="center"/>
                </w:tcPr>
                <w:p w14:paraId="3557B3EB">
                  <w:pPr>
                    <w:jc w:val="center"/>
                    <w:rPr>
                      <w:rFonts w:hint="eastAsia"/>
                      <w:color w:val="000000"/>
                      <w:sz w:val="21"/>
                      <w:szCs w:val="21"/>
                      <w:lang w:val="en-US" w:eastAsia="zh-CN"/>
                    </w:rPr>
                  </w:pPr>
                </w:p>
              </w:tc>
              <w:tc>
                <w:tcPr>
                  <w:tcW w:w="555" w:type="dxa"/>
                  <w:vMerge w:val="continue"/>
                  <w:noWrap w:val="0"/>
                  <w:vAlign w:val="center"/>
                </w:tcPr>
                <w:p w14:paraId="12D44C62">
                  <w:pPr>
                    <w:jc w:val="center"/>
                    <w:rPr>
                      <w:rFonts w:hint="eastAsia"/>
                      <w:color w:val="000000"/>
                      <w:sz w:val="21"/>
                      <w:szCs w:val="21"/>
                      <w:lang w:val="en-US" w:eastAsia="zh-CN"/>
                    </w:rPr>
                  </w:pPr>
                </w:p>
              </w:tc>
              <w:tc>
                <w:tcPr>
                  <w:tcW w:w="840" w:type="dxa"/>
                  <w:noWrap w:val="0"/>
                  <w:vAlign w:val="center"/>
                </w:tcPr>
                <w:p w14:paraId="376B5834">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z w:val="21"/>
                      <w:szCs w:val="21"/>
                      <w:lang w:val="en-US" w:eastAsia="zh-CN"/>
                    </w:rPr>
                    <w:t>7.0</w:t>
                  </w:r>
                </w:p>
              </w:tc>
              <w:tc>
                <w:tcPr>
                  <w:tcW w:w="885" w:type="dxa"/>
                  <w:noWrap w:val="0"/>
                  <w:vAlign w:val="center"/>
                </w:tcPr>
                <w:p w14:paraId="751B5108">
                  <w:pPr>
                    <w:kinsoku/>
                    <w:overflowPunct w:val="0"/>
                    <w:jc w:val="center"/>
                    <w:rPr>
                      <w:rFonts w:hint="eastAsia"/>
                      <w:color w:val="000000"/>
                      <w:sz w:val="21"/>
                      <w:szCs w:val="21"/>
                      <w:lang w:val="en-US" w:eastAsia="zh-CN"/>
                    </w:rPr>
                  </w:pPr>
                  <w:r>
                    <w:rPr>
                      <w:rFonts w:hint="default" w:ascii="Times New Roman" w:hAnsi="Times New Roman" w:eastAsia="宋体" w:cs="Times New Roman"/>
                      <w:color w:val="000000"/>
                      <w:spacing w:val="2"/>
                      <w:sz w:val="21"/>
                      <w:szCs w:val="21"/>
                      <w:lang w:val="en-US" w:eastAsia="zh-CN"/>
                    </w:rPr>
                    <w:t xml:space="preserve">0.884 </w:t>
                  </w:r>
                </w:p>
              </w:tc>
              <w:tc>
                <w:tcPr>
                  <w:tcW w:w="985" w:type="dxa"/>
                  <w:noWrap w:val="0"/>
                  <w:vAlign w:val="center"/>
                </w:tcPr>
                <w:p w14:paraId="45D63F70">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pacing w:val="2"/>
                      <w:sz w:val="21"/>
                      <w:szCs w:val="21"/>
                      <w:lang w:val="en-US" w:eastAsia="zh-CN"/>
                    </w:rPr>
                    <w:t>18.222</w:t>
                  </w:r>
                </w:p>
              </w:tc>
            </w:tr>
            <w:tr w14:paraId="0C89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70" w:type="dxa"/>
                  <w:vMerge w:val="continue"/>
                  <w:noWrap w:val="0"/>
                  <w:vAlign w:val="center"/>
                </w:tcPr>
                <w:p w14:paraId="62DC54D7">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eastAsia="宋体" w:cs="Times New Roman"/>
                      <w:color w:val="000000"/>
                      <w:sz w:val="21"/>
                      <w:szCs w:val="21"/>
                      <w:lang w:val="en-US" w:eastAsia="zh-CN"/>
                    </w:rPr>
                  </w:pPr>
                </w:p>
              </w:tc>
              <w:tc>
                <w:tcPr>
                  <w:tcW w:w="735" w:type="dxa"/>
                  <w:noWrap w:val="0"/>
                  <w:vAlign w:val="center"/>
                </w:tcPr>
                <w:p w14:paraId="56538B1E">
                  <w:pPr>
                    <w:kinsoku/>
                    <w:overflowPunct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cs="Times New Roman"/>
                      <w:b w:val="0"/>
                      <w:bCs w:val="0"/>
                      <w:color w:val="000000"/>
                      <w:spacing w:val="5"/>
                      <w:sz w:val="21"/>
                      <w:szCs w:val="21"/>
                    </w:rPr>
                    <w:t>颗粒物</w:t>
                  </w:r>
                </w:p>
              </w:tc>
              <w:tc>
                <w:tcPr>
                  <w:tcW w:w="690" w:type="dxa"/>
                  <w:noWrap w:val="0"/>
                  <w:vAlign w:val="center"/>
                </w:tcPr>
                <w:p w14:paraId="3BB003C6">
                  <w:pPr>
                    <w:jc w:val="center"/>
                    <w:rPr>
                      <w:rFonts w:hint="default"/>
                      <w:color w:val="000000"/>
                      <w:sz w:val="21"/>
                      <w:szCs w:val="21"/>
                      <w:lang w:val="en-US" w:eastAsia="zh-CN"/>
                    </w:rPr>
                  </w:pPr>
                  <w:r>
                    <w:rPr>
                      <w:rFonts w:hint="eastAsia"/>
                      <w:color w:val="000000"/>
                      <w:sz w:val="21"/>
                      <w:szCs w:val="21"/>
                      <w:lang w:val="en-US" w:eastAsia="zh-CN"/>
                    </w:rPr>
                    <w:t>72</w:t>
                  </w:r>
                </w:p>
              </w:tc>
              <w:tc>
                <w:tcPr>
                  <w:tcW w:w="712" w:type="dxa"/>
                  <w:noWrap w:val="0"/>
                  <w:vAlign w:val="center"/>
                </w:tcPr>
                <w:p w14:paraId="701B530B">
                  <w:pPr>
                    <w:jc w:val="center"/>
                    <w:rPr>
                      <w:rFonts w:hint="default"/>
                      <w:color w:val="000000"/>
                      <w:sz w:val="21"/>
                      <w:szCs w:val="21"/>
                      <w:lang w:val="en-US" w:eastAsia="zh-CN"/>
                    </w:rPr>
                  </w:pPr>
                  <w:r>
                    <w:rPr>
                      <w:rFonts w:hint="eastAsia"/>
                      <w:color w:val="000000"/>
                      <w:sz w:val="21"/>
                      <w:szCs w:val="21"/>
                      <w:lang w:val="en-US" w:eastAsia="zh-CN"/>
                    </w:rPr>
                    <w:t>9.09</w:t>
                  </w:r>
                </w:p>
              </w:tc>
              <w:tc>
                <w:tcPr>
                  <w:tcW w:w="600" w:type="dxa"/>
                  <w:vMerge w:val="continue"/>
                  <w:noWrap w:val="0"/>
                  <w:vAlign w:val="center"/>
                </w:tcPr>
                <w:p w14:paraId="4293859A">
                  <w:pPr>
                    <w:jc w:val="center"/>
                    <w:rPr>
                      <w:rFonts w:hint="eastAsia"/>
                      <w:color w:val="000000"/>
                      <w:sz w:val="21"/>
                      <w:szCs w:val="21"/>
                      <w:lang w:eastAsia="zh-CN"/>
                    </w:rPr>
                  </w:pPr>
                </w:p>
              </w:tc>
              <w:tc>
                <w:tcPr>
                  <w:tcW w:w="1820" w:type="dxa"/>
                  <w:vMerge w:val="continue"/>
                  <w:noWrap w:val="0"/>
                  <w:vAlign w:val="center"/>
                </w:tcPr>
                <w:p w14:paraId="79D6CD02">
                  <w:pPr>
                    <w:jc w:val="center"/>
                    <w:rPr>
                      <w:rFonts w:hint="eastAsia"/>
                      <w:color w:val="000000"/>
                      <w:sz w:val="21"/>
                      <w:szCs w:val="21"/>
                      <w:lang w:val="en-US" w:eastAsia="zh-CN"/>
                    </w:rPr>
                  </w:pPr>
                </w:p>
              </w:tc>
              <w:tc>
                <w:tcPr>
                  <w:tcW w:w="555" w:type="dxa"/>
                  <w:vMerge w:val="continue"/>
                  <w:noWrap w:val="0"/>
                  <w:vAlign w:val="center"/>
                </w:tcPr>
                <w:p w14:paraId="5E218BC4">
                  <w:pPr>
                    <w:jc w:val="center"/>
                    <w:rPr>
                      <w:rFonts w:hint="eastAsia"/>
                      <w:color w:val="000000"/>
                      <w:sz w:val="21"/>
                      <w:szCs w:val="21"/>
                      <w:lang w:val="en-US" w:eastAsia="zh-CN"/>
                    </w:rPr>
                  </w:pPr>
                </w:p>
              </w:tc>
              <w:tc>
                <w:tcPr>
                  <w:tcW w:w="840" w:type="dxa"/>
                  <w:noWrap w:val="0"/>
                  <w:vAlign w:val="center"/>
                </w:tcPr>
                <w:p w14:paraId="6C78D271">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eastAsia" w:ascii="Times New Roman" w:hAnsi="Times New Roman" w:eastAsia="宋体" w:cs="Times New Roman"/>
                      <w:color w:val="000000"/>
                      <w:spacing w:val="2"/>
                      <w:sz w:val="21"/>
                      <w:szCs w:val="21"/>
                      <w:lang w:val="en-US" w:eastAsia="zh-CN"/>
                    </w:rPr>
                    <w:t>1.077</w:t>
                  </w:r>
                </w:p>
              </w:tc>
              <w:tc>
                <w:tcPr>
                  <w:tcW w:w="885" w:type="dxa"/>
                  <w:noWrap w:val="0"/>
                  <w:vAlign w:val="center"/>
                </w:tcPr>
                <w:p w14:paraId="7C66DDEA">
                  <w:pPr>
                    <w:kinsoku/>
                    <w:overflowPunct w:val="0"/>
                    <w:jc w:val="center"/>
                    <w:rPr>
                      <w:rFonts w:hint="eastAsia"/>
                      <w:color w:val="000000"/>
                      <w:sz w:val="21"/>
                      <w:szCs w:val="21"/>
                      <w:lang w:val="en-US" w:eastAsia="zh-CN"/>
                    </w:rPr>
                  </w:pPr>
                  <w:r>
                    <w:rPr>
                      <w:rFonts w:hint="eastAsia" w:ascii="Times New Roman" w:hAnsi="Times New Roman" w:eastAsia="宋体" w:cs="Times New Roman"/>
                      <w:color w:val="000000"/>
                      <w:spacing w:val="2"/>
                      <w:sz w:val="21"/>
                      <w:szCs w:val="21"/>
                      <w:lang w:val="en-US" w:eastAsia="zh-CN"/>
                    </w:rPr>
                    <w:t>0.136</w:t>
                  </w:r>
                </w:p>
              </w:tc>
              <w:tc>
                <w:tcPr>
                  <w:tcW w:w="985" w:type="dxa"/>
                  <w:noWrap w:val="0"/>
                  <w:vAlign w:val="center"/>
                </w:tcPr>
                <w:p w14:paraId="3E7125A9">
                  <w:pPr>
                    <w:kinsoku/>
                    <w:overflowPunct w:val="0"/>
                    <w:jc w:val="center"/>
                    <w:rPr>
                      <w:rFonts w:hint="eastAsia" w:ascii="Times New Roman" w:hAnsi="Times New Roman" w:eastAsia="等线" w:cs="Times New Roman"/>
                      <w:i w:val="0"/>
                      <w:iCs w:val="0"/>
                      <w:color w:val="auto"/>
                      <w:kern w:val="0"/>
                      <w:sz w:val="22"/>
                      <w:szCs w:val="22"/>
                      <w:u w:val="none"/>
                      <w:lang w:val="en-US" w:eastAsia="zh-CN" w:bidi="ar"/>
                    </w:rPr>
                  </w:pPr>
                  <w:r>
                    <w:rPr>
                      <w:rFonts w:hint="eastAsia" w:ascii="Times New Roman" w:hAnsi="Times New Roman" w:eastAsia="等线" w:cs="Times New Roman"/>
                      <w:i w:val="0"/>
                      <w:iCs w:val="0"/>
                      <w:color w:val="auto"/>
                      <w:kern w:val="0"/>
                      <w:sz w:val="22"/>
                      <w:szCs w:val="22"/>
                      <w:u w:val="none"/>
                      <w:lang w:val="en-US" w:eastAsia="zh-CN" w:bidi="ar"/>
                    </w:rPr>
                    <w:t>1.511</w:t>
                  </w:r>
                </w:p>
              </w:tc>
            </w:tr>
            <w:tr w14:paraId="32E6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70" w:type="dxa"/>
                  <w:vMerge w:val="continue"/>
                  <w:noWrap w:val="0"/>
                  <w:vAlign w:val="center"/>
                </w:tcPr>
                <w:p w14:paraId="739ACC5D">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eastAsia="宋体" w:cs="Times New Roman"/>
                      <w:color w:val="000000"/>
                      <w:sz w:val="21"/>
                      <w:szCs w:val="21"/>
                      <w:lang w:val="en-US" w:eastAsia="zh-CN"/>
                    </w:rPr>
                  </w:pPr>
                </w:p>
              </w:tc>
              <w:tc>
                <w:tcPr>
                  <w:tcW w:w="735" w:type="dxa"/>
                  <w:noWrap w:val="0"/>
                  <w:vAlign w:val="center"/>
                </w:tcPr>
                <w:p w14:paraId="7EF2FA4C">
                  <w:pPr>
                    <w:kinsoku/>
                    <w:overflowPunct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cs="Times New Roman"/>
                      <w:b w:val="0"/>
                      <w:bCs w:val="0"/>
                      <w:color w:val="000000"/>
                      <w:spacing w:val="5"/>
                      <w:sz w:val="21"/>
                      <w:szCs w:val="21"/>
                    </w:rPr>
                    <w:t>非甲烷总烃</w:t>
                  </w:r>
                </w:p>
              </w:tc>
              <w:tc>
                <w:tcPr>
                  <w:tcW w:w="690" w:type="dxa"/>
                  <w:noWrap w:val="0"/>
                  <w:vAlign w:val="center"/>
                </w:tcPr>
                <w:p w14:paraId="4CC83988">
                  <w:pPr>
                    <w:jc w:val="center"/>
                    <w:rPr>
                      <w:rFonts w:hint="default"/>
                      <w:color w:val="000000"/>
                      <w:sz w:val="21"/>
                      <w:szCs w:val="21"/>
                      <w:lang w:val="en-US" w:eastAsia="zh-CN"/>
                    </w:rPr>
                  </w:pPr>
                  <w:r>
                    <w:rPr>
                      <w:rFonts w:hint="eastAsia"/>
                      <w:color w:val="000000"/>
                      <w:sz w:val="21"/>
                      <w:szCs w:val="21"/>
                      <w:lang w:val="en-US" w:eastAsia="zh-CN"/>
                    </w:rPr>
                    <w:t>0.792</w:t>
                  </w:r>
                </w:p>
              </w:tc>
              <w:tc>
                <w:tcPr>
                  <w:tcW w:w="712" w:type="dxa"/>
                  <w:noWrap w:val="0"/>
                  <w:vAlign w:val="center"/>
                </w:tcPr>
                <w:p w14:paraId="1847274F">
                  <w:pPr>
                    <w:jc w:val="center"/>
                    <w:rPr>
                      <w:rFonts w:hint="default"/>
                      <w:color w:val="000000"/>
                      <w:sz w:val="21"/>
                      <w:szCs w:val="21"/>
                      <w:lang w:val="en-US" w:eastAsia="zh-CN"/>
                    </w:rPr>
                  </w:pPr>
                  <w:r>
                    <w:rPr>
                      <w:rFonts w:hint="eastAsia"/>
                      <w:color w:val="000000"/>
                      <w:sz w:val="21"/>
                      <w:szCs w:val="21"/>
                      <w:lang w:val="en-US" w:eastAsia="zh-CN"/>
                    </w:rPr>
                    <w:t>0.1</w:t>
                  </w:r>
                </w:p>
              </w:tc>
              <w:tc>
                <w:tcPr>
                  <w:tcW w:w="600" w:type="dxa"/>
                  <w:vMerge w:val="continue"/>
                  <w:noWrap w:val="0"/>
                  <w:vAlign w:val="center"/>
                </w:tcPr>
                <w:p w14:paraId="7E23B068">
                  <w:pPr>
                    <w:jc w:val="center"/>
                    <w:rPr>
                      <w:rFonts w:hint="eastAsia"/>
                      <w:color w:val="000000"/>
                      <w:sz w:val="21"/>
                      <w:szCs w:val="21"/>
                      <w:lang w:eastAsia="zh-CN"/>
                    </w:rPr>
                  </w:pPr>
                </w:p>
              </w:tc>
              <w:tc>
                <w:tcPr>
                  <w:tcW w:w="1820" w:type="dxa"/>
                  <w:vMerge w:val="continue"/>
                  <w:noWrap w:val="0"/>
                  <w:vAlign w:val="center"/>
                </w:tcPr>
                <w:p w14:paraId="1C9BB9DE">
                  <w:pPr>
                    <w:jc w:val="center"/>
                    <w:rPr>
                      <w:rFonts w:hint="eastAsia"/>
                      <w:color w:val="000000"/>
                      <w:sz w:val="21"/>
                      <w:szCs w:val="21"/>
                      <w:lang w:val="en-US" w:eastAsia="zh-CN"/>
                    </w:rPr>
                  </w:pPr>
                </w:p>
              </w:tc>
              <w:tc>
                <w:tcPr>
                  <w:tcW w:w="555" w:type="dxa"/>
                  <w:vMerge w:val="continue"/>
                  <w:noWrap w:val="0"/>
                  <w:vAlign w:val="center"/>
                </w:tcPr>
                <w:p w14:paraId="051FCA42">
                  <w:pPr>
                    <w:jc w:val="center"/>
                    <w:rPr>
                      <w:rFonts w:hint="eastAsia"/>
                      <w:color w:val="000000"/>
                      <w:sz w:val="21"/>
                      <w:szCs w:val="21"/>
                      <w:lang w:val="en-US" w:eastAsia="zh-CN"/>
                    </w:rPr>
                  </w:pPr>
                </w:p>
              </w:tc>
              <w:tc>
                <w:tcPr>
                  <w:tcW w:w="840" w:type="dxa"/>
                  <w:noWrap w:val="0"/>
                  <w:vAlign w:val="center"/>
                </w:tcPr>
                <w:p w14:paraId="7F00D834">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pacing w:val="2"/>
                      <w:sz w:val="21"/>
                      <w:szCs w:val="21"/>
                      <w:lang w:val="en-US" w:eastAsia="zh-CN"/>
                    </w:rPr>
                    <w:t>0.792</w:t>
                  </w:r>
                </w:p>
              </w:tc>
              <w:tc>
                <w:tcPr>
                  <w:tcW w:w="885" w:type="dxa"/>
                  <w:noWrap w:val="0"/>
                  <w:vAlign w:val="center"/>
                </w:tcPr>
                <w:p w14:paraId="47595E78">
                  <w:pPr>
                    <w:kinsoku/>
                    <w:overflowPunct w:val="0"/>
                    <w:jc w:val="center"/>
                    <w:rPr>
                      <w:rFonts w:hint="eastAsia"/>
                      <w:color w:val="000000"/>
                      <w:sz w:val="21"/>
                      <w:szCs w:val="21"/>
                      <w:lang w:val="en-US" w:eastAsia="zh-CN"/>
                    </w:rPr>
                  </w:pPr>
                  <w:r>
                    <w:rPr>
                      <w:rFonts w:hint="default" w:ascii="Times New Roman" w:hAnsi="Times New Roman" w:eastAsia="宋体" w:cs="Times New Roman"/>
                      <w:color w:val="000000"/>
                      <w:spacing w:val="2"/>
                      <w:sz w:val="21"/>
                      <w:szCs w:val="21"/>
                      <w:lang w:val="en-US" w:eastAsia="zh-CN"/>
                    </w:rPr>
                    <w:t>0.1</w:t>
                  </w:r>
                </w:p>
              </w:tc>
              <w:tc>
                <w:tcPr>
                  <w:tcW w:w="985" w:type="dxa"/>
                  <w:noWrap w:val="0"/>
                  <w:vAlign w:val="center"/>
                </w:tcPr>
                <w:p w14:paraId="73354AFB">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eastAsia" w:ascii="Times New Roman" w:hAnsi="Times New Roman" w:eastAsia="宋体" w:cs="Times New Roman"/>
                      <w:color w:val="000000"/>
                      <w:spacing w:val="2"/>
                      <w:sz w:val="21"/>
                      <w:szCs w:val="21"/>
                      <w:lang w:val="en-US" w:eastAsia="zh-CN"/>
                    </w:rPr>
                    <w:t>1.111</w:t>
                  </w:r>
                </w:p>
              </w:tc>
            </w:tr>
            <w:tr w14:paraId="2FF7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70" w:type="dxa"/>
                  <w:vMerge w:val="continue"/>
                  <w:noWrap w:val="0"/>
                  <w:vAlign w:val="center"/>
                </w:tcPr>
                <w:p w14:paraId="1BBD79BB">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eastAsia="宋体" w:cs="Times New Roman"/>
                      <w:color w:val="000000"/>
                      <w:sz w:val="21"/>
                      <w:szCs w:val="21"/>
                      <w:lang w:val="en-US" w:eastAsia="zh-CN"/>
                    </w:rPr>
                  </w:pPr>
                </w:p>
              </w:tc>
              <w:tc>
                <w:tcPr>
                  <w:tcW w:w="735" w:type="dxa"/>
                  <w:noWrap w:val="0"/>
                  <w:vAlign w:val="center"/>
                </w:tcPr>
                <w:p w14:paraId="63040B44">
                  <w:pPr>
                    <w:kinsoku/>
                    <w:overflowPunct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cs="Times New Roman"/>
                      <w:b w:val="0"/>
                      <w:bCs w:val="0"/>
                      <w:color w:val="000000"/>
                      <w:spacing w:val="5"/>
                      <w:sz w:val="21"/>
                      <w:szCs w:val="21"/>
                    </w:rPr>
                    <w:t>沥青烟</w:t>
                  </w:r>
                </w:p>
              </w:tc>
              <w:tc>
                <w:tcPr>
                  <w:tcW w:w="690" w:type="dxa"/>
                  <w:noWrap w:val="0"/>
                  <w:vAlign w:val="center"/>
                </w:tcPr>
                <w:p w14:paraId="55F566F5">
                  <w:pPr>
                    <w:jc w:val="center"/>
                    <w:rPr>
                      <w:rFonts w:hint="default"/>
                      <w:color w:val="000000"/>
                      <w:sz w:val="21"/>
                      <w:szCs w:val="21"/>
                      <w:lang w:val="en-US" w:eastAsia="zh-CN"/>
                    </w:rPr>
                  </w:pPr>
                  <w:r>
                    <w:rPr>
                      <w:rFonts w:hint="eastAsia"/>
                      <w:color w:val="000000"/>
                      <w:sz w:val="21"/>
                      <w:szCs w:val="21"/>
                      <w:lang w:val="en-US" w:eastAsia="zh-CN"/>
                    </w:rPr>
                    <w:t>0.46</w:t>
                  </w:r>
                </w:p>
              </w:tc>
              <w:tc>
                <w:tcPr>
                  <w:tcW w:w="712" w:type="dxa"/>
                  <w:noWrap w:val="0"/>
                  <w:vAlign w:val="center"/>
                </w:tcPr>
                <w:p w14:paraId="4238D8AD">
                  <w:pPr>
                    <w:jc w:val="center"/>
                    <w:rPr>
                      <w:rFonts w:hint="default"/>
                      <w:color w:val="000000"/>
                      <w:sz w:val="21"/>
                      <w:szCs w:val="21"/>
                      <w:lang w:val="en-US" w:eastAsia="zh-CN"/>
                    </w:rPr>
                  </w:pPr>
                  <w:r>
                    <w:rPr>
                      <w:rFonts w:hint="eastAsia"/>
                      <w:color w:val="000000"/>
                      <w:sz w:val="21"/>
                      <w:szCs w:val="21"/>
                      <w:lang w:val="en-US" w:eastAsia="zh-CN"/>
                    </w:rPr>
                    <w:t>0.0581</w:t>
                  </w:r>
                </w:p>
              </w:tc>
              <w:tc>
                <w:tcPr>
                  <w:tcW w:w="600" w:type="dxa"/>
                  <w:vMerge w:val="continue"/>
                  <w:noWrap w:val="0"/>
                  <w:vAlign w:val="center"/>
                </w:tcPr>
                <w:p w14:paraId="2A6C4BE2">
                  <w:pPr>
                    <w:jc w:val="center"/>
                    <w:rPr>
                      <w:rFonts w:hint="eastAsia"/>
                      <w:color w:val="000000"/>
                      <w:sz w:val="21"/>
                      <w:szCs w:val="21"/>
                      <w:lang w:eastAsia="zh-CN"/>
                    </w:rPr>
                  </w:pPr>
                </w:p>
              </w:tc>
              <w:tc>
                <w:tcPr>
                  <w:tcW w:w="1820" w:type="dxa"/>
                  <w:vMerge w:val="continue"/>
                  <w:noWrap w:val="0"/>
                  <w:vAlign w:val="center"/>
                </w:tcPr>
                <w:p w14:paraId="6DE84674">
                  <w:pPr>
                    <w:jc w:val="center"/>
                    <w:rPr>
                      <w:rFonts w:hint="eastAsia"/>
                      <w:color w:val="000000"/>
                      <w:sz w:val="21"/>
                      <w:szCs w:val="21"/>
                      <w:lang w:val="en-US" w:eastAsia="zh-CN"/>
                    </w:rPr>
                  </w:pPr>
                </w:p>
              </w:tc>
              <w:tc>
                <w:tcPr>
                  <w:tcW w:w="555" w:type="dxa"/>
                  <w:vMerge w:val="continue"/>
                  <w:noWrap w:val="0"/>
                  <w:vAlign w:val="center"/>
                </w:tcPr>
                <w:p w14:paraId="2A1E61BF">
                  <w:pPr>
                    <w:jc w:val="center"/>
                    <w:rPr>
                      <w:rFonts w:hint="eastAsia"/>
                      <w:color w:val="000000"/>
                      <w:sz w:val="21"/>
                      <w:szCs w:val="21"/>
                      <w:lang w:val="en-US" w:eastAsia="zh-CN"/>
                    </w:rPr>
                  </w:pPr>
                </w:p>
              </w:tc>
              <w:tc>
                <w:tcPr>
                  <w:tcW w:w="840" w:type="dxa"/>
                  <w:noWrap w:val="0"/>
                  <w:vAlign w:val="center"/>
                </w:tcPr>
                <w:p w14:paraId="11FDA39A">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0.46</w:t>
                  </w:r>
                </w:p>
              </w:tc>
              <w:tc>
                <w:tcPr>
                  <w:tcW w:w="885" w:type="dxa"/>
                  <w:noWrap w:val="0"/>
                  <w:vAlign w:val="center"/>
                </w:tcPr>
                <w:p w14:paraId="4E7041F5">
                  <w:pPr>
                    <w:kinsoku/>
                    <w:overflowPunct w:val="0"/>
                    <w:jc w:val="center"/>
                    <w:rPr>
                      <w:rFonts w:hint="eastAsia"/>
                      <w:color w:val="000000"/>
                      <w:sz w:val="21"/>
                      <w:szCs w:val="21"/>
                      <w:lang w:val="en-US" w:eastAsia="zh-CN"/>
                    </w:rPr>
                  </w:pPr>
                  <w:r>
                    <w:rPr>
                      <w:rFonts w:hint="default" w:ascii="Times New Roman" w:hAnsi="Times New Roman" w:eastAsia="宋体" w:cs="Times New Roman"/>
                      <w:color w:val="000000"/>
                      <w:spacing w:val="2"/>
                      <w:sz w:val="21"/>
                      <w:szCs w:val="21"/>
                      <w:lang w:val="en-US" w:eastAsia="zh-CN"/>
                    </w:rPr>
                    <w:t xml:space="preserve">0.0581 </w:t>
                  </w:r>
                </w:p>
              </w:tc>
              <w:tc>
                <w:tcPr>
                  <w:tcW w:w="985" w:type="dxa"/>
                  <w:noWrap w:val="0"/>
                  <w:vAlign w:val="center"/>
                </w:tcPr>
                <w:p w14:paraId="450E0824">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pacing w:val="2"/>
                      <w:sz w:val="21"/>
                      <w:szCs w:val="21"/>
                      <w:lang w:val="en-US" w:eastAsia="zh-CN"/>
                    </w:rPr>
                    <w:t>0.646</w:t>
                  </w:r>
                </w:p>
              </w:tc>
            </w:tr>
            <w:tr w14:paraId="4E01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0" w:type="dxa"/>
                  <w:vMerge w:val="continue"/>
                  <w:noWrap w:val="0"/>
                  <w:vAlign w:val="center"/>
                </w:tcPr>
                <w:p w14:paraId="6C992885">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eastAsia="宋体" w:cs="Times New Roman"/>
                      <w:color w:val="000000"/>
                      <w:sz w:val="21"/>
                      <w:szCs w:val="21"/>
                      <w:lang w:val="en-US" w:eastAsia="zh-CN"/>
                    </w:rPr>
                  </w:pPr>
                </w:p>
              </w:tc>
              <w:tc>
                <w:tcPr>
                  <w:tcW w:w="735" w:type="dxa"/>
                  <w:noWrap w:val="0"/>
                  <w:vAlign w:val="center"/>
                </w:tcPr>
                <w:p w14:paraId="7C5A097C">
                  <w:pPr>
                    <w:kinsoku/>
                    <w:overflowPunct w:val="0"/>
                    <w:jc w:val="center"/>
                    <w:rPr>
                      <w:rFonts w:hint="eastAsia" w:ascii="Times New Roman" w:hAnsi="Times New Roman" w:eastAsia="宋体" w:cs="Times New Roman"/>
                      <w:color w:val="000000"/>
                      <w:sz w:val="21"/>
                      <w:szCs w:val="21"/>
                      <w:lang w:val="en-US" w:eastAsia="zh-CN"/>
                    </w:rPr>
                  </w:pPr>
                  <w:r>
                    <w:rPr>
                      <w:rFonts w:hint="default" w:ascii="Times New Roman" w:hAnsi="Times New Roman" w:cs="Times New Roman"/>
                      <w:b w:val="0"/>
                      <w:bCs w:val="0"/>
                      <w:color w:val="000000"/>
                      <w:spacing w:val="5"/>
                      <w:sz w:val="21"/>
                      <w:szCs w:val="21"/>
                      <w:lang w:val="en-US" w:eastAsia="zh-CN"/>
                    </w:rPr>
                    <w:t>苯并芘</w:t>
                  </w:r>
                </w:p>
              </w:tc>
              <w:tc>
                <w:tcPr>
                  <w:tcW w:w="690" w:type="dxa"/>
                  <w:noWrap w:val="0"/>
                  <w:vAlign w:val="center"/>
                </w:tcPr>
                <w:p w14:paraId="61CC99A6">
                  <w:pPr>
                    <w:jc w:val="center"/>
                    <w:rPr>
                      <w:rFonts w:hint="default"/>
                      <w:color w:val="000000"/>
                      <w:sz w:val="21"/>
                      <w:szCs w:val="21"/>
                      <w:lang w:val="en-US" w:eastAsia="zh-CN"/>
                    </w:rPr>
                  </w:pPr>
                  <w:r>
                    <w:rPr>
                      <w:rFonts w:hint="eastAsia"/>
                      <w:color w:val="000000"/>
                      <w:sz w:val="21"/>
                      <w:szCs w:val="21"/>
                      <w:lang w:val="en-US" w:eastAsia="zh-CN"/>
                    </w:rPr>
                    <w:t>1.84</w:t>
                  </w:r>
                  <w:r>
                    <w:rPr>
                      <w:rFonts w:ascii="Times New Roman" w:hAnsi="Times New Roman" w:eastAsia="Arial" w:cs="Times New Roman"/>
                      <w:b w:val="0"/>
                      <w:bCs w:val="0"/>
                      <w:color w:val="000000"/>
                      <w:spacing w:val="3"/>
                      <w:sz w:val="21"/>
                      <w:szCs w:val="21"/>
                    </w:rPr>
                    <w:t>×</w:t>
                  </w:r>
                  <w:r>
                    <w:rPr>
                      <w:rFonts w:ascii="Times New Roman" w:hAnsi="Times New Roman" w:eastAsia="Times New Roman" w:cs="Times New Roman"/>
                      <w:b w:val="0"/>
                      <w:bCs w:val="0"/>
                      <w:color w:val="000000"/>
                      <w:spacing w:val="3"/>
                      <w:sz w:val="21"/>
                      <w:szCs w:val="21"/>
                    </w:rPr>
                    <w:t>10</w:t>
                  </w:r>
                  <w:r>
                    <w:rPr>
                      <w:rFonts w:hint="default" w:ascii="Times New Roman" w:hAnsi="Times New Roman" w:eastAsia="宋体" w:cs="Times New Roman"/>
                      <w:b w:val="0"/>
                      <w:bCs w:val="0"/>
                      <w:color w:val="000000"/>
                      <w:spacing w:val="3"/>
                      <w:sz w:val="21"/>
                      <w:szCs w:val="21"/>
                      <w:vertAlign w:val="superscript"/>
                      <w:lang w:val="en-US" w:eastAsia="zh-CN"/>
                    </w:rPr>
                    <w:t>-5</w:t>
                  </w:r>
                </w:p>
              </w:tc>
              <w:tc>
                <w:tcPr>
                  <w:tcW w:w="712" w:type="dxa"/>
                  <w:noWrap w:val="0"/>
                  <w:vAlign w:val="center"/>
                </w:tcPr>
                <w:p w14:paraId="42831AC8">
                  <w:pPr>
                    <w:jc w:val="center"/>
                    <w:rPr>
                      <w:rFonts w:hint="eastAsia"/>
                      <w:color w:val="000000"/>
                      <w:sz w:val="21"/>
                      <w:szCs w:val="21"/>
                      <w:lang w:val="en-US" w:eastAsia="zh-CN"/>
                    </w:rPr>
                  </w:pPr>
                  <w:r>
                    <w:rPr>
                      <w:rFonts w:hint="default" w:ascii="Times New Roman" w:hAnsi="Times New Roman" w:eastAsia="宋体" w:cs="Times New Roman"/>
                      <w:color w:val="000000"/>
                      <w:spacing w:val="2"/>
                      <w:sz w:val="21"/>
                      <w:szCs w:val="21"/>
                      <w:lang w:val="en-US" w:eastAsia="zh-CN"/>
                    </w:rPr>
                    <w:t>2.33×10</w:t>
                  </w:r>
                  <w:r>
                    <w:rPr>
                      <w:rFonts w:hint="default" w:ascii="Times New Roman" w:hAnsi="Times New Roman" w:eastAsia="宋体" w:cs="Times New Roman"/>
                      <w:color w:val="000000"/>
                      <w:spacing w:val="2"/>
                      <w:sz w:val="21"/>
                      <w:szCs w:val="21"/>
                      <w:vertAlign w:val="superscript"/>
                      <w:lang w:val="en-US" w:eastAsia="zh-CN"/>
                    </w:rPr>
                    <w:t>-6</w:t>
                  </w:r>
                </w:p>
              </w:tc>
              <w:tc>
                <w:tcPr>
                  <w:tcW w:w="600" w:type="dxa"/>
                  <w:vMerge w:val="continue"/>
                  <w:noWrap w:val="0"/>
                  <w:vAlign w:val="center"/>
                </w:tcPr>
                <w:p w14:paraId="4FF7C58E">
                  <w:pPr>
                    <w:jc w:val="center"/>
                    <w:rPr>
                      <w:rFonts w:hint="eastAsia"/>
                      <w:color w:val="000000"/>
                      <w:sz w:val="21"/>
                      <w:szCs w:val="21"/>
                      <w:lang w:eastAsia="zh-CN"/>
                    </w:rPr>
                  </w:pPr>
                </w:p>
              </w:tc>
              <w:tc>
                <w:tcPr>
                  <w:tcW w:w="1820" w:type="dxa"/>
                  <w:vMerge w:val="continue"/>
                  <w:noWrap w:val="0"/>
                  <w:vAlign w:val="center"/>
                </w:tcPr>
                <w:p w14:paraId="583978FC">
                  <w:pPr>
                    <w:jc w:val="center"/>
                    <w:rPr>
                      <w:rFonts w:hint="eastAsia"/>
                      <w:color w:val="000000"/>
                      <w:sz w:val="21"/>
                      <w:szCs w:val="21"/>
                      <w:lang w:val="en-US" w:eastAsia="zh-CN"/>
                    </w:rPr>
                  </w:pPr>
                </w:p>
              </w:tc>
              <w:tc>
                <w:tcPr>
                  <w:tcW w:w="555" w:type="dxa"/>
                  <w:vMerge w:val="continue"/>
                  <w:noWrap w:val="0"/>
                  <w:vAlign w:val="center"/>
                </w:tcPr>
                <w:p w14:paraId="4AE7FB80">
                  <w:pPr>
                    <w:jc w:val="center"/>
                    <w:rPr>
                      <w:rFonts w:hint="eastAsia"/>
                      <w:color w:val="000000"/>
                      <w:sz w:val="21"/>
                      <w:szCs w:val="21"/>
                      <w:lang w:val="en-US" w:eastAsia="zh-CN"/>
                    </w:rPr>
                  </w:pPr>
                </w:p>
              </w:tc>
              <w:tc>
                <w:tcPr>
                  <w:tcW w:w="840" w:type="dxa"/>
                  <w:noWrap w:val="0"/>
                  <w:vAlign w:val="center"/>
                </w:tcPr>
                <w:p w14:paraId="24E47ECB">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b w:val="0"/>
                      <w:bCs w:val="0"/>
                      <w:color w:val="000000"/>
                      <w:spacing w:val="3"/>
                      <w:sz w:val="21"/>
                      <w:szCs w:val="21"/>
                      <w:lang w:val="en-US" w:eastAsia="zh-CN"/>
                    </w:rPr>
                    <w:t>1.84</w:t>
                  </w:r>
                  <w:r>
                    <w:rPr>
                      <w:rFonts w:ascii="Times New Roman" w:hAnsi="Times New Roman" w:eastAsia="Arial" w:cs="Times New Roman"/>
                      <w:b w:val="0"/>
                      <w:bCs w:val="0"/>
                      <w:color w:val="000000"/>
                      <w:spacing w:val="3"/>
                      <w:sz w:val="21"/>
                      <w:szCs w:val="21"/>
                    </w:rPr>
                    <w:t>×</w:t>
                  </w:r>
                  <w:r>
                    <w:rPr>
                      <w:rFonts w:ascii="Times New Roman" w:hAnsi="Times New Roman" w:eastAsia="Times New Roman" w:cs="Times New Roman"/>
                      <w:b w:val="0"/>
                      <w:bCs w:val="0"/>
                      <w:color w:val="000000"/>
                      <w:spacing w:val="3"/>
                      <w:sz w:val="21"/>
                      <w:szCs w:val="21"/>
                    </w:rPr>
                    <w:t>10</w:t>
                  </w:r>
                  <w:r>
                    <w:rPr>
                      <w:rFonts w:hint="default" w:ascii="Times New Roman" w:hAnsi="Times New Roman" w:eastAsia="宋体" w:cs="Times New Roman"/>
                      <w:b w:val="0"/>
                      <w:bCs w:val="0"/>
                      <w:color w:val="000000"/>
                      <w:spacing w:val="3"/>
                      <w:sz w:val="21"/>
                      <w:szCs w:val="21"/>
                      <w:vertAlign w:val="superscript"/>
                      <w:lang w:val="en-US" w:eastAsia="zh-CN"/>
                    </w:rPr>
                    <w:t>-5</w:t>
                  </w:r>
                </w:p>
              </w:tc>
              <w:tc>
                <w:tcPr>
                  <w:tcW w:w="885" w:type="dxa"/>
                  <w:noWrap w:val="0"/>
                  <w:vAlign w:val="center"/>
                </w:tcPr>
                <w:p w14:paraId="7256E68B">
                  <w:pPr>
                    <w:jc w:val="center"/>
                    <w:rPr>
                      <w:rFonts w:hint="eastAsia"/>
                      <w:color w:val="000000"/>
                      <w:sz w:val="21"/>
                      <w:szCs w:val="21"/>
                      <w:lang w:val="en-US" w:eastAsia="zh-CN"/>
                    </w:rPr>
                  </w:pPr>
                  <w:r>
                    <w:rPr>
                      <w:rFonts w:hint="default" w:ascii="Times New Roman" w:hAnsi="Times New Roman" w:eastAsia="宋体" w:cs="Times New Roman"/>
                      <w:color w:val="000000"/>
                      <w:spacing w:val="2"/>
                      <w:sz w:val="21"/>
                      <w:szCs w:val="21"/>
                      <w:lang w:val="en-US" w:eastAsia="zh-CN"/>
                    </w:rPr>
                    <w:t>2.33×10</w:t>
                  </w:r>
                  <w:r>
                    <w:rPr>
                      <w:rFonts w:hint="default" w:ascii="Times New Roman" w:hAnsi="Times New Roman" w:eastAsia="宋体" w:cs="Times New Roman"/>
                      <w:color w:val="000000"/>
                      <w:spacing w:val="2"/>
                      <w:sz w:val="21"/>
                      <w:szCs w:val="21"/>
                      <w:vertAlign w:val="superscript"/>
                      <w:lang w:val="en-US" w:eastAsia="zh-CN"/>
                    </w:rPr>
                    <w:t>-6</w:t>
                  </w:r>
                </w:p>
              </w:tc>
              <w:tc>
                <w:tcPr>
                  <w:tcW w:w="985" w:type="dxa"/>
                  <w:noWrap w:val="0"/>
                  <w:vAlign w:val="center"/>
                </w:tcPr>
                <w:p w14:paraId="4B62A1B5">
                  <w:pPr>
                    <w:kinsoku/>
                    <w:overflowPunct w:val="0"/>
                    <w:jc w:val="center"/>
                    <w:rPr>
                      <w:rFonts w:hint="eastAsia" w:ascii="Times New Roman" w:hAnsi="Times New Roman" w:eastAsia="等线" w:cs="Times New Roman"/>
                      <w:i w:val="0"/>
                      <w:iCs w:val="0"/>
                      <w:color w:val="FF0000"/>
                      <w:kern w:val="0"/>
                      <w:sz w:val="22"/>
                      <w:szCs w:val="22"/>
                      <w:u w:val="none"/>
                      <w:lang w:val="en-US" w:eastAsia="zh-CN" w:bidi="ar"/>
                    </w:rPr>
                  </w:pPr>
                  <w:r>
                    <w:rPr>
                      <w:rFonts w:hint="default" w:ascii="Times New Roman" w:hAnsi="Times New Roman" w:eastAsia="宋体" w:cs="Times New Roman"/>
                      <w:color w:val="000000"/>
                      <w:spacing w:val="2"/>
                      <w:sz w:val="21"/>
                      <w:szCs w:val="21"/>
                      <w:lang w:val="en-US" w:eastAsia="zh-CN"/>
                    </w:rPr>
                    <w:t>2.59×10</w:t>
                  </w:r>
                  <w:r>
                    <w:rPr>
                      <w:rFonts w:hint="default" w:ascii="Times New Roman" w:hAnsi="Times New Roman" w:eastAsia="宋体" w:cs="Times New Roman"/>
                      <w:color w:val="000000"/>
                      <w:spacing w:val="2"/>
                      <w:sz w:val="21"/>
                      <w:szCs w:val="21"/>
                      <w:vertAlign w:val="superscript"/>
                      <w:lang w:val="en-US" w:eastAsia="zh-CN"/>
                    </w:rPr>
                    <w:t>-5</w:t>
                  </w:r>
                </w:p>
              </w:tc>
            </w:tr>
          </w:tbl>
          <w:p w14:paraId="1B2A9026">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rFonts w:hint="default"/>
                <w:highlight w:val="none"/>
              </w:rPr>
            </w:pPr>
            <w:r>
              <w:rPr>
                <w:rFonts w:hint="eastAsia" w:ascii="宋体" w:hAnsi="宋体" w:eastAsia="宋体" w:cs="宋体"/>
                <w:color w:val="000000"/>
                <w:kern w:val="0"/>
                <w:sz w:val="24"/>
                <w:szCs w:val="24"/>
                <w:highlight w:val="none"/>
                <w:lang w:val="en-US" w:eastAsia="zh-CN" w:bidi="ar"/>
              </w:rPr>
              <w:t>项目大气污染物排放环境影响评价，详见</w:t>
            </w:r>
            <w:r>
              <w:rPr>
                <w:rFonts w:hint="default" w:ascii="Times New Roman" w:hAnsi="Times New Roman" w:eastAsia="宋体" w:cs="Times New Roman"/>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大气环境影响专项评价</w:t>
            </w:r>
            <w:r>
              <w:rPr>
                <w:rFonts w:hint="default" w:ascii="Times New Roman" w:hAnsi="Times New Roman" w:eastAsia="宋体" w:cs="Times New Roman"/>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w:t>
            </w:r>
          </w:p>
          <w:p w14:paraId="4385B6AB">
            <w:pPr>
              <w:pStyle w:val="10"/>
              <w:spacing w:before="0" w:after="0" w:line="360" w:lineRule="auto"/>
              <w:ind w:right="0"/>
              <w:rPr>
                <w:rFonts w:hint="default" w:ascii="Times New Roman" w:hAnsi="Times New Roman" w:eastAsia="宋体" w:cs="Times New Roman"/>
                <w:b/>
                <w:bCs/>
                <w:color w:val="000000"/>
                <w:sz w:val="28"/>
                <w:szCs w:val="28"/>
                <w:highlight w:val="none"/>
              </w:rPr>
            </w:pPr>
            <w:r>
              <w:rPr>
                <w:rFonts w:hint="default" w:ascii="Times New Roman" w:hAnsi="Times New Roman" w:eastAsia="宋体" w:cs="Times New Roman"/>
                <w:b/>
                <w:bCs/>
                <w:color w:val="000000"/>
                <w:sz w:val="28"/>
                <w:szCs w:val="28"/>
                <w:highlight w:val="none"/>
              </w:rPr>
              <w:t>三、噪声</w:t>
            </w:r>
          </w:p>
          <w:p w14:paraId="29256671">
            <w:pPr>
              <w:spacing w:line="360" w:lineRule="auto"/>
              <w:ind w:firstLine="482" w:firstLineChars="200"/>
              <w:rPr>
                <w:rFonts w:hint="eastAsia" w:ascii="宋体" w:hAnsi="宋体" w:cs="宋体"/>
                <w:b/>
                <w:bCs/>
                <w:color w:val="000000"/>
                <w:sz w:val="24"/>
              </w:rPr>
            </w:pPr>
            <w:r>
              <w:rPr>
                <w:rFonts w:hint="eastAsia" w:ascii="宋体" w:hAnsi="宋体" w:cs="宋体"/>
                <w:b/>
                <w:bCs/>
                <w:color w:val="000000"/>
                <w:sz w:val="24"/>
                <w:lang w:eastAsia="zh-CN"/>
              </w:rPr>
              <w:t>1.</w:t>
            </w:r>
            <w:r>
              <w:rPr>
                <w:rFonts w:hint="eastAsia" w:ascii="宋体" w:hAnsi="宋体" w:cs="宋体"/>
                <w:b/>
                <w:bCs/>
                <w:color w:val="000000"/>
                <w:sz w:val="24"/>
              </w:rPr>
              <w:t>噪声源强及治理措施</w:t>
            </w:r>
          </w:p>
          <w:p w14:paraId="23C3D30C">
            <w:pPr>
              <w:spacing w:line="360" w:lineRule="auto"/>
              <w:ind w:firstLine="480" w:firstLineChars="200"/>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本项目噪声源主要来源于各种生产设备，噪声级在7</w:t>
            </w:r>
            <w:r>
              <w:rPr>
                <w:rFonts w:hint="default" w:ascii="Times New Roman" w:hAnsi="Times New Roman" w:cs="Times New Roman"/>
                <w:color w:val="000000"/>
                <w:sz w:val="24"/>
                <w:lang w:val="en-US" w:eastAsia="zh-CN"/>
              </w:rPr>
              <w:t>0</w:t>
            </w:r>
            <w:r>
              <w:rPr>
                <w:rFonts w:hint="default" w:ascii="Times New Roman" w:hAnsi="Times New Roman" w:cs="Times New Roman"/>
                <w:color w:val="000000"/>
                <w:sz w:val="24"/>
              </w:rPr>
              <w:t>~</w:t>
            </w:r>
            <w:r>
              <w:rPr>
                <w:rFonts w:hint="default" w:ascii="Times New Roman" w:hAnsi="Times New Roman" w:cs="Times New Roman"/>
                <w:color w:val="000000"/>
                <w:sz w:val="24"/>
                <w:lang w:val="en-US" w:eastAsia="zh-CN"/>
              </w:rPr>
              <w:t>90</w:t>
            </w:r>
            <w:r>
              <w:rPr>
                <w:rFonts w:hint="default" w:ascii="Times New Roman" w:hAnsi="Times New Roman" w:cs="Times New Roman"/>
                <w:color w:val="000000"/>
                <w:sz w:val="24"/>
              </w:rPr>
              <w:t>dB（A）之间。噪声降噪量参考《工业企业噪声控制设计规范》（GB/T50087-2013）中相关取值。</w:t>
            </w:r>
            <w:r>
              <w:rPr>
                <w:rFonts w:hint="default" w:ascii="Times New Roman" w:hAnsi="Times New Roman" w:cs="Times New Roman"/>
                <w:color w:val="000000"/>
                <w:sz w:val="24"/>
                <w:lang w:val="en-US" w:eastAsia="zh-CN"/>
              </w:rPr>
              <w:t>由于厂区现有原料预处理生产线目前处于停产，本项目拟将原料预处理生产线及相关设备搬迁至3#厂房，故本次考虑最不利原则，将3#车间内设备与本次新增设备纳入进行预测，本项目建设完成后，锂离子生产线产量将减少，故锂离子生产线原料预处理工艺仅昼间生产，夜间不生产。</w:t>
            </w:r>
          </w:p>
          <w:p w14:paraId="1977B778">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default" w:ascii="Times New Roman" w:hAnsi="Times New Roman" w:eastAsia="宋体" w:cs="Times New Roman"/>
                <w:b/>
                <w:bCs/>
                <w:color w:val="000000"/>
                <w:spacing w:val="7"/>
                <w:sz w:val="24"/>
                <w:szCs w:val="24"/>
                <w:lang w:val="en-US" w:eastAsia="zh-CN"/>
              </w:rPr>
              <w:t xml:space="preserve"> 工业企业噪声源强调查清单（室外声源）</w:t>
            </w:r>
          </w:p>
          <w:tbl>
            <w:tblPr>
              <w:tblStyle w:val="31"/>
              <w:tblW w:w="8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
              <w:gridCol w:w="1518"/>
              <w:gridCol w:w="540"/>
              <w:gridCol w:w="540"/>
              <w:gridCol w:w="690"/>
              <w:gridCol w:w="1320"/>
              <w:gridCol w:w="1120"/>
              <w:gridCol w:w="1813"/>
              <w:gridCol w:w="731"/>
            </w:tblGrid>
            <w:tr w14:paraId="26DF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dxa"/>
                  <w:vMerge w:val="restart"/>
                  <w:noWrap w:val="0"/>
                  <w:vAlign w:val="center"/>
                </w:tcPr>
                <w:p w14:paraId="392500E3">
                  <w:pPr>
                    <w:ind w:left="-53" w:leftChars="-25" w:right="-53" w:rightChars="-25"/>
                    <w:jc w:val="center"/>
                    <w:rPr>
                      <w:color w:val="000000"/>
                      <w:szCs w:val="21"/>
                    </w:rPr>
                  </w:pPr>
                  <w:r>
                    <w:rPr>
                      <w:color w:val="000000"/>
                      <w:szCs w:val="21"/>
                    </w:rPr>
                    <w:t>序号</w:t>
                  </w:r>
                </w:p>
              </w:tc>
              <w:tc>
                <w:tcPr>
                  <w:tcW w:w="1518" w:type="dxa"/>
                  <w:vMerge w:val="restart"/>
                  <w:noWrap w:val="0"/>
                  <w:vAlign w:val="center"/>
                </w:tcPr>
                <w:p w14:paraId="4F8C52C6">
                  <w:pPr>
                    <w:ind w:left="-53" w:leftChars="-25" w:right="-53" w:rightChars="-25"/>
                    <w:jc w:val="center"/>
                    <w:rPr>
                      <w:color w:val="000000"/>
                      <w:szCs w:val="21"/>
                    </w:rPr>
                  </w:pPr>
                  <w:r>
                    <w:rPr>
                      <w:color w:val="000000"/>
                      <w:szCs w:val="21"/>
                    </w:rPr>
                    <w:t>声源名称</w:t>
                  </w:r>
                </w:p>
              </w:tc>
              <w:tc>
                <w:tcPr>
                  <w:tcW w:w="1770" w:type="dxa"/>
                  <w:gridSpan w:val="3"/>
                  <w:noWrap w:val="0"/>
                  <w:vAlign w:val="center"/>
                </w:tcPr>
                <w:p w14:paraId="149D1787">
                  <w:pPr>
                    <w:ind w:left="-53" w:leftChars="-25" w:right="-53" w:rightChars="-25"/>
                    <w:jc w:val="center"/>
                    <w:rPr>
                      <w:color w:val="000000"/>
                      <w:szCs w:val="21"/>
                    </w:rPr>
                  </w:pPr>
                  <w:r>
                    <w:rPr>
                      <w:color w:val="000000"/>
                      <w:szCs w:val="21"/>
                    </w:rPr>
                    <w:t>空间相对位置/m</w:t>
                  </w:r>
                </w:p>
              </w:tc>
              <w:tc>
                <w:tcPr>
                  <w:tcW w:w="2440" w:type="dxa"/>
                  <w:gridSpan w:val="2"/>
                  <w:noWrap w:val="0"/>
                  <w:vAlign w:val="center"/>
                </w:tcPr>
                <w:p w14:paraId="5D49BC5A">
                  <w:pPr>
                    <w:ind w:left="-53" w:leftChars="-25" w:right="-53" w:rightChars="-25"/>
                    <w:jc w:val="center"/>
                    <w:rPr>
                      <w:color w:val="000000"/>
                      <w:szCs w:val="21"/>
                    </w:rPr>
                  </w:pPr>
                  <w:r>
                    <w:rPr>
                      <w:color w:val="000000"/>
                      <w:szCs w:val="21"/>
                    </w:rPr>
                    <w:t>声源源强（任选一种）</w:t>
                  </w:r>
                </w:p>
              </w:tc>
              <w:tc>
                <w:tcPr>
                  <w:tcW w:w="1813" w:type="dxa"/>
                  <w:vMerge w:val="restart"/>
                  <w:noWrap w:val="0"/>
                  <w:vAlign w:val="center"/>
                </w:tcPr>
                <w:p w14:paraId="32511794">
                  <w:pPr>
                    <w:ind w:left="-53" w:leftChars="-25" w:right="-53" w:rightChars="-25"/>
                    <w:jc w:val="center"/>
                    <w:rPr>
                      <w:color w:val="000000"/>
                      <w:szCs w:val="21"/>
                    </w:rPr>
                  </w:pPr>
                  <w:r>
                    <w:rPr>
                      <w:color w:val="000000"/>
                      <w:szCs w:val="21"/>
                    </w:rPr>
                    <w:t>声源控制措施</w:t>
                  </w:r>
                </w:p>
              </w:tc>
              <w:tc>
                <w:tcPr>
                  <w:tcW w:w="731" w:type="dxa"/>
                  <w:vMerge w:val="restart"/>
                  <w:noWrap w:val="0"/>
                  <w:vAlign w:val="center"/>
                </w:tcPr>
                <w:p w14:paraId="3217D088">
                  <w:pPr>
                    <w:ind w:left="-53" w:leftChars="-25" w:right="-53" w:rightChars="-25"/>
                    <w:jc w:val="center"/>
                    <w:rPr>
                      <w:color w:val="000000"/>
                      <w:szCs w:val="21"/>
                    </w:rPr>
                  </w:pPr>
                  <w:r>
                    <w:rPr>
                      <w:color w:val="000000"/>
                      <w:szCs w:val="21"/>
                    </w:rPr>
                    <w:t>运行时段</w:t>
                  </w:r>
                </w:p>
              </w:tc>
            </w:tr>
            <w:tr w14:paraId="6CC4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dxa"/>
                  <w:vMerge w:val="continue"/>
                  <w:noWrap w:val="0"/>
                  <w:vAlign w:val="center"/>
                </w:tcPr>
                <w:p w14:paraId="1CA82F3F">
                  <w:pPr>
                    <w:ind w:left="-53" w:leftChars="-25" w:right="-53" w:rightChars="-25"/>
                    <w:jc w:val="center"/>
                    <w:rPr>
                      <w:color w:val="000000"/>
                      <w:szCs w:val="21"/>
                    </w:rPr>
                  </w:pPr>
                </w:p>
              </w:tc>
              <w:tc>
                <w:tcPr>
                  <w:tcW w:w="1518" w:type="dxa"/>
                  <w:vMerge w:val="continue"/>
                  <w:noWrap w:val="0"/>
                  <w:vAlign w:val="center"/>
                </w:tcPr>
                <w:p w14:paraId="7E858E00">
                  <w:pPr>
                    <w:ind w:left="-53" w:leftChars="-25" w:right="-53" w:rightChars="-25"/>
                    <w:jc w:val="center"/>
                    <w:rPr>
                      <w:color w:val="000000"/>
                      <w:szCs w:val="21"/>
                    </w:rPr>
                  </w:pPr>
                </w:p>
              </w:tc>
              <w:tc>
                <w:tcPr>
                  <w:tcW w:w="540" w:type="dxa"/>
                  <w:noWrap w:val="0"/>
                  <w:vAlign w:val="center"/>
                </w:tcPr>
                <w:p w14:paraId="3DA06746">
                  <w:pPr>
                    <w:ind w:left="-53" w:leftChars="-25" w:right="-53" w:rightChars="-25"/>
                    <w:jc w:val="center"/>
                    <w:rPr>
                      <w:color w:val="000000"/>
                      <w:szCs w:val="21"/>
                    </w:rPr>
                  </w:pPr>
                  <w:r>
                    <w:rPr>
                      <w:color w:val="000000"/>
                      <w:szCs w:val="21"/>
                    </w:rPr>
                    <w:t>X</w:t>
                  </w:r>
                </w:p>
              </w:tc>
              <w:tc>
                <w:tcPr>
                  <w:tcW w:w="540" w:type="dxa"/>
                  <w:noWrap w:val="0"/>
                  <w:vAlign w:val="center"/>
                </w:tcPr>
                <w:p w14:paraId="029CC2C2">
                  <w:pPr>
                    <w:ind w:left="-53" w:leftChars="-25" w:right="-53" w:rightChars="-25"/>
                    <w:jc w:val="center"/>
                    <w:rPr>
                      <w:color w:val="000000"/>
                      <w:szCs w:val="21"/>
                    </w:rPr>
                  </w:pPr>
                  <w:r>
                    <w:rPr>
                      <w:color w:val="000000"/>
                      <w:szCs w:val="21"/>
                    </w:rPr>
                    <w:t>Y</w:t>
                  </w:r>
                </w:p>
              </w:tc>
              <w:tc>
                <w:tcPr>
                  <w:tcW w:w="690" w:type="dxa"/>
                  <w:noWrap w:val="0"/>
                  <w:vAlign w:val="center"/>
                </w:tcPr>
                <w:p w14:paraId="1EBEC109">
                  <w:pPr>
                    <w:ind w:left="-53" w:leftChars="-25" w:right="-53" w:rightChars="-25"/>
                    <w:jc w:val="center"/>
                    <w:rPr>
                      <w:color w:val="000000"/>
                      <w:szCs w:val="21"/>
                    </w:rPr>
                  </w:pPr>
                  <w:r>
                    <w:rPr>
                      <w:color w:val="000000"/>
                      <w:szCs w:val="21"/>
                    </w:rPr>
                    <w:t>Z</w:t>
                  </w:r>
                </w:p>
              </w:tc>
              <w:tc>
                <w:tcPr>
                  <w:tcW w:w="1320" w:type="dxa"/>
                  <w:noWrap w:val="0"/>
                  <w:vAlign w:val="center"/>
                </w:tcPr>
                <w:p w14:paraId="5DAADD5A">
                  <w:pPr>
                    <w:ind w:left="-53" w:leftChars="-25" w:right="-53" w:rightChars="-25"/>
                    <w:jc w:val="center"/>
                    <w:rPr>
                      <w:color w:val="000000"/>
                      <w:szCs w:val="21"/>
                    </w:rPr>
                  </w:pPr>
                  <w:r>
                    <w:rPr>
                      <w:color w:val="000000"/>
                      <w:szCs w:val="21"/>
                    </w:rPr>
                    <w:t>（声压级/距声源距离）/dB(A)/m</w:t>
                  </w:r>
                </w:p>
              </w:tc>
              <w:tc>
                <w:tcPr>
                  <w:tcW w:w="1120" w:type="dxa"/>
                  <w:noWrap w:val="0"/>
                  <w:vAlign w:val="center"/>
                </w:tcPr>
                <w:p w14:paraId="208C0736">
                  <w:pPr>
                    <w:ind w:left="-53" w:leftChars="-25" w:right="-53" w:rightChars="-25"/>
                    <w:jc w:val="center"/>
                    <w:rPr>
                      <w:color w:val="000000"/>
                      <w:szCs w:val="21"/>
                    </w:rPr>
                  </w:pPr>
                  <w:r>
                    <w:rPr>
                      <w:color w:val="000000"/>
                      <w:szCs w:val="21"/>
                    </w:rPr>
                    <w:t>声功率级/dB(A)</w:t>
                  </w:r>
                </w:p>
              </w:tc>
              <w:tc>
                <w:tcPr>
                  <w:tcW w:w="1813" w:type="dxa"/>
                  <w:vMerge w:val="continue"/>
                  <w:noWrap w:val="0"/>
                  <w:vAlign w:val="center"/>
                </w:tcPr>
                <w:p w14:paraId="705B81B1">
                  <w:pPr>
                    <w:ind w:left="-53" w:leftChars="-25" w:right="-53" w:rightChars="-25"/>
                    <w:jc w:val="center"/>
                    <w:rPr>
                      <w:color w:val="000000"/>
                      <w:szCs w:val="21"/>
                    </w:rPr>
                  </w:pPr>
                </w:p>
              </w:tc>
              <w:tc>
                <w:tcPr>
                  <w:tcW w:w="731" w:type="dxa"/>
                  <w:vMerge w:val="continue"/>
                  <w:noWrap w:val="0"/>
                  <w:vAlign w:val="center"/>
                </w:tcPr>
                <w:p w14:paraId="5CF50E38">
                  <w:pPr>
                    <w:ind w:left="-53" w:leftChars="-25" w:right="-53" w:rightChars="-25"/>
                    <w:jc w:val="center"/>
                    <w:rPr>
                      <w:color w:val="000000"/>
                      <w:szCs w:val="21"/>
                    </w:rPr>
                  </w:pPr>
                </w:p>
              </w:tc>
            </w:tr>
            <w:tr w14:paraId="3A8D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2" w:type="dxa"/>
                  <w:noWrap w:val="0"/>
                  <w:vAlign w:val="center"/>
                </w:tcPr>
                <w:p w14:paraId="1E5545E8">
                  <w:pPr>
                    <w:ind w:left="-53" w:leftChars="-25" w:right="-53" w:rightChars="-25"/>
                    <w:jc w:val="center"/>
                    <w:rPr>
                      <w:rFonts w:hint="eastAsia" w:eastAsia="宋体"/>
                      <w:color w:val="000000"/>
                      <w:kern w:val="2"/>
                      <w:sz w:val="21"/>
                      <w:szCs w:val="21"/>
                      <w:lang w:val="en-US" w:eastAsia="zh-CN" w:bidi="ar-SA"/>
                    </w:rPr>
                  </w:pPr>
                  <w:r>
                    <w:rPr>
                      <w:rFonts w:hint="eastAsia"/>
                      <w:color w:val="000000"/>
                      <w:szCs w:val="21"/>
                      <w:lang w:val="en-US" w:eastAsia="zh-CN"/>
                    </w:rPr>
                    <w:t>1</w:t>
                  </w:r>
                </w:p>
              </w:tc>
              <w:tc>
                <w:tcPr>
                  <w:tcW w:w="1518" w:type="dxa"/>
                  <w:noWrap w:val="0"/>
                  <w:vAlign w:val="center"/>
                </w:tcPr>
                <w:p w14:paraId="187574E5">
                  <w:pPr>
                    <w:ind w:right="-53" w:rightChars="-25"/>
                    <w:jc w:val="both"/>
                    <w:rPr>
                      <w:rFonts w:hint="eastAsia" w:eastAsia="宋体"/>
                      <w:color w:val="000000"/>
                      <w:kern w:val="2"/>
                      <w:sz w:val="21"/>
                      <w:szCs w:val="21"/>
                      <w:lang w:val="en-US" w:eastAsia="zh-CN" w:bidi="ar-SA"/>
                    </w:rPr>
                  </w:pPr>
                  <w:r>
                    <w:rPr>
                      <w:rFonts w:hint="eastAsia"/>
                      <w:color w:val="000000"/>
                      <w:szCs w:val="21"/>
                      <w:lang w:val="en-US" w:eastAsia="zh-CN"/>
                    </w:rPr>
                    <w:t>新增</w:t>
                  </w:r>
                  <w:r>
                    <w:rPr>
                      <w:rFonts w:hint="eastAsia"/>
                      <w:color w:val="000000"/>
                      <w:szCs w:val="21"/>
                      <w:lang w:eastAsia="zh-CN"/>
                    </w:rPr>
                    <w:t>隧道窑废气处理设施风机</w:t>
                  </w:r>
                  <w:r>
                    <w:rPr>
                      <w:rFonts w:hint="eastAsia"/>
                      <w:color w:val="000000"/>
                      <w:szCs w:val="21"/>
                      <w:lang w:val="en-US" w:eastAsia="zh-CN"/>
                    </w:rPr>
                    <w:t>1#</w:t>
                  </w:r>
                </w:p>
              </w:tc>
              <w:tc>
                <w:tcPr>
                  <w:tcW w:w="540" w:type="dxa"/>
                  <w:noWrap w:val="0"/>
                  <w:vAlign w:val="center"/>
                </w:tcPr>
                <w:p w14:paraId="150471BE">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405.67</w:t>
                  </w:r>
                </w:p>
              </w:tc>
              <w:tc>
                <w:tcPr>
                  <w:tcW w:w="540" w:type="dxa"/>
                  <w:noWrap w:val="0"/>
                  <w:vAlign w:val="center"/>
                </w:tcPr>
                <w:p w14:paraId="590A687B">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57.72</w:t>
                  </w:r>
                </w:p>
              </w:tc>
              <w:tc>
                <w:tcPr>
                  <w:tcW w:w="690" w:type="dxa"/>
                  <w:noWrap w:val="0"/>
                  <w:vAlign w:val="center"/>
                </w:tcPr>
                <w:p w14:paraId="01C9517B">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1</w:t>
                  </w:r>
                </w:p>
              </w:tc>
              <w:tc>
                <w:tcPr>
                  <w:tcW w:w="1320" w:type="dxa"/>
                  <w:noWrap w:val="0"/>
                  <w:vAlign w:val="center"/>
                </w:tcPr>
                <w:p w14:paraId="733686BD">
                  <w:pPr>
                    <w:ind w:left="-53" w:leftChars="-25" w:right="-53" w:rightChars="-25"/>
                    <w:jc w:val="center"/>
                    <w:rPr>
                      <w:color w:val="000000"/>
                      <w:kern w:val="2"/>
                      <w:sz w:val="21"/>
                      <w:szCs w:val="21"/>
                      <w:lang w:val="en-US" w:eastAsia="zh-CN" w:bidi="ar-SA"/>
                    </w:rPr>
                  </w:pPr>
                  <w:r>
                    <w:rPr>
                      <w:color w:val="000000"/>
                      <w:szCs w:val="21"/>
                    </w:rPr>
                    <w:t>85/1</w:t>
                  </w:r>
                </w:p>
              </w:tc>
              <w:tc>
                <w:tcPr>
                  <w:tcW w:w="1120" w:type="dxa"/>
                  <w:noWrap w:val="0"/>
                  <w:vAlign w:val="center"/>
                </w:tcPr>
                <w:p w14:paraId="14995F9C">
                  <w:pPr>
                    <w:ind w:left="-53" w:leftChars="-25" w:right="-53" w:rightChars="-25"/>
                    <w:jc w:val="center"/>
                    <w:rPr>
                      <w:color w:val="000000"/>
                      <w:szCs w:val="21"/>
                    </w:rPr>
                  </w:pPr>
                  <w:r>
                    <w:rPr>
                      <w:color w:val="000000"/>
                      <w:szCs w:val="21"/>
                    </w:rPr>
                    <w:t>/</w:t>
                  </w:r>
                </w:p>
              </w:tc>
              <w:tc>
                <w:tcPr>
                  <w:tcW w:w="1813" w:type="dxa"/>
                  <w:vMerge w:val="restart"/>
                  <w:noWrap w:val="0"/>
                  <w:vAlign w:val="center"/>
                </w:tcPr>
                <w:p w14:paraId="477E8632">
                  <w:pPr>
                    <w:ind w:left="-53" w:leftChars="-25" w:right="-53" w:rightChars="-25"/>
                    <w:jc w:val="center"/>
                    <w:rPr>
                      <w:color w:val="000000"/>
                      <w:szCs w:val="21"/>
                    </w:rPr>
                  </w:pPr>
                  <w:r>
                    <w:rPr>
                      <w:color w:val="000000"/>
                      <w:szCs w:val="21"/>
                    </w:rPr>
                    <w:t>选用低噪声设备，合理布置设备，设备基础减振，定期加强设备维护等。</w:t>
                  </w:r>
                </w:p>
              </w:tc>
              <w:tc>
                <w:tcPr>
                  <w:tcW w:w="731" w:type="dxa"/>
                  <w:vMerge w:val="restart"/>
                  <w:noWrap w:val="0"/>
                  <w:vAlign w:val="center"/>
                </w:tcPr>
                <w:p w14:paraId="21E72DBF">
                  <w:pPr>
                    <w:ind w:left="-53" w:leftChars="-25" w:right="-53" w:rightChars="-25"/>
                    <w:jc w:val="center"/>
                    <w:rPr>
                      <w:color w:val="000000"/>
                      <w:szCs w:val="21"/>
                    </w:rPr>
                  </w:pPr>
                  <w:r>
                    <w:rPr>
                      <w:color w:val="000000"/>
                      <w:szCs w:val="21"/>
                    </w:rPr>
                    <w:t>昼间</w:t>
                  </w:r>
                  <w:r>
                    <w:rPr>
                      <w:rFonts w:hint="eastAsia"/>
                      <w:color w:val="000000"/>
                      <w:szCs w:val="21"/>
                      <w:lang w:eastAsia="zh-CN"/>
                    </w:rPr>
                    <w:t>、夜间</w:t>
                  </w:r>
                </w:p>
                <w:p w14:paraId="709F284C">
                  <w:pPr>
                    <w:ind w:left="-53" w:leftChars="-25" w:right="-53" w:rightChars="-25"/>
                    <w:jc w:val="center"/>
                    <w:rPr>
                      <w:color w:val="000000"/>
                      <w:szCs w:val="21"/>
                    </w:rPr>
                  </w:pPr>
                </w:p>
                <w:p w14:paraId="73EADB93">
                  <w:pPr>
                    <w:ind w:left="-53" w:leftChars="-25" w:right="-53" w:rightChars="-25"/>
                    <w:jc w:val="center"/>
                    <w:rPr>
                      <w:color w:val="000000"/>
                      <w:szCs w:val="21"/>
                    </w:rPr>
                  </w:pPr>
                </w:p>
              </w:tc>
            </w:tr>
            <w:tr w14:paraId="59FF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2" w:type="dxa"/>
                  <w:noWrap w:val="0"/>
                  <w:vAlign w:val="center"/>
                </w:tcPr>
                <w:p w14:paraId="7C9AE9C8">
                  <w:pPr>
                    <w:ind w:left="-53" w:leftChars="-25" w:right="-53" w:rightChars="-25"/>
                    <w:jc w:val="center"/>
                    <w:rPr>
                      <w:rFonts w:hint="eastAsia" w:eastAsia="宋体"/>
                      <w:color w:val="000000"/>
                      <w:kern w:val="2"/>
                      <w:sz w:val="21"/>
                      <w:szCs w:val="21"/>
                      <w:lang w:val="en-US" w:eastAsia="zh-CN" w:bidi="ar-SA"/>
                    </w:rPr>
                  </w:pPr>
                  <w:r>
                    <w:rPr>
                      <w:rFonts w:hint="eastAsia"/>
                      <w:color w:val="000000"/>
                      <w:szCs w:val="21"/>
                      <w:lang w:val="en-US" w:eastAsia="zh-CN"/>
                    </w:rPr>
                    <w:t>2</w:t>
                  </w:r>
                </w:p>
              </w:tc>
              <w:tc>
                <w:tcPr>
                  <w:tcW w:w="1518" w:type="dxa"/>
                  <w:noWrap w:val="0"/>
                  <w:vAlign w:val="center"/>
                </w:tcPr>
                <w:p w14:paraId="52E194F3">
                  <w:pPr>
                    <w:ind w:right="-53" w:rightChars="-25"/>
                    <w:jc w:val="both"/>
                    <w:rPr>
                      <w:rFonts w:hint="default" w:eastAsia="宋体"/>
                      <w:color w:val="000000"/>
                      <w:kern w:val="2"/>
                      <w:sz w:val="21"/>
                      <w:szCs w:val="21"/>
                      <w:lang w:val="en-US" w:eastAsia="zh-CN" w:bidi="ar-SA"/>
                    </w:rPr>
                  </w:pPr>
                  <w:r>
                    <w:rPr>
                      <w:rFonts w:hint="eastAsia"/>
                      <w:color w:val="000000"/>
                      <w:szCs w:val="21"/>
                      <w:lang w:val="en-US" w:eastAsia="zh-CN"/>
                    </w:rPr>
                    <w:t>包装</w:t>
                  </w:r>
                  <w:r>
                    <w:rPr>
                      <w:rFonts w:hint="eastAsia"/>
                      <w:color w:val="000000"/>
                      <w:szCs w:val="21"/>
                      <w:lang w:eastAsia="zh-CN"/>
                    </w:rPr>
                    <w:t>废气处理设施风机</w:t>
                  </w:r>
                  <w:r>
                    <w:rPr>
                      <w:rFonts w:hint="eastAsia"/>
                      <w:color w:val="000000"/>
                      <w:szCs w:val="21"/>
                      <w:lang w:val="en-US" w:eastAsia="zh-CN"/>
                    </w:rPr>
                    <w:t>2#</w:t>
                  </w:r>
                </w:p>
              </w:tc>
              <w:tc>
                <w:tcPr>
                  <w:tcW w:w="540" w:type="dxa"/>
                  <w:noWrap w:val="0"/>
                  <w:vAlign w:val="center"/>
                </w:tcPr>
                <w:p w14:paraId="45705697">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405.63</w:t>
                  </w:r>
                </w:p>
              </w:tc>
              <w:tc>
                <w:tcPr>
                  <w:tcW w:w="540" w:type="dxa"/>
                  <w:noWrap w:val="0"/>
                  <w:vAlign w:val="center"/>
                </w:tcPr>
                <w:p w14:paraId="798CD40B">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26.88</w:t>
                  </w:r>
                </w:p>
              </w:tc>
              <w:tc>
                <w:tcPr>
                  <w:tcW w:w="690" w:type="dxa"/>
                  <w:noWrap w:val="0"/>
                  <w:vAlign w:val="center"/>
                </w:tcPr>
                <w:p w14:paraId="685B0738">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1</w:t>
                  </w:r>
                </w:p>
              </w:tc>
              <w:tc>
                <w:tcPr>
                  <w:tcW w:w="1320" w:type="dxa"/>
                  <w:noWrap w:val="0"/>
                  <w:vAlign w:val="center"/>
                </w:tcPr>
                <w:p w14:paraId="0C197938">
                  <w:pPr>
                    <w:ind w:left="-53" w:leftChars="-25" w:right="-53" w:rightChars="-25"/>
                    <w:jc w:val="center"/>
                    <w:rPr>
                      <w:color w:val="000000"/>
                      <w:kern w:val="2"/>
                      <w:sz w:val="21"/>
                      <w:szCs w:val="21"/>
                      <w:lang w:val="en-US" w:eastAsia="zh-CN" w:bidi="ar-SA"/>
                    </w:rPr>
                  </w:pPr>
                  <w:r>
                    <w:rPr>
                      <w:color w:val="000000"/>
                      <w:szCs w:val="21"/>
                    </w:rPr>
                    <w:t>85/1</w:t>
                  </w:r>
                </w:p>
              </w:tc>
              <w:tc>
                <w:tcPr>
                  <w:tcW w:w="1120" w:type="dxa"/>
                  <w:noWrap w:val="0"/>
                  <w:vAlign w:val="center"/>
                </w:tcPr>
                <w:p w14:paraId="29087680">
                  <w:pPr>
                    <w:ind w:left="-53" w:leftChars="-25" w:right="-53" w:rightChars="-25"/>
                    <w:jc w:val="center"/>
                    <w:rPr>
                      <w:color w:val="000000"/>
                      <w:szCs w:val="21"/>
                    </w:rPr>
                  </w:pPr>
                  <w:r>
                    <w:rPr>
                      <w:color w:val="000000"/>
                      <w:szCs w:val="21"/>
                    </w:rPr>
                    <w:t>/</w:t>
                  </w:r>
                </w:p>
              </w:tc>
              <w:tc>
                <w:tcPr>
                  <w:tcW w:w="1813" w:type="dxa"/>
                  <w:vMerge w:val="continue"/>
                  <w:noWrap w:val="0"/>
                  <w:vAlign w:val="center"/>
                </w:tcPr>
                <w:p w14:paraId="2B364247">
                  <w:pPr>
                    <w:ind w:left="-53" w:leftChars="-25" w:right="-53" w:rightChars="-25"/>
                    <w:jc w:val="center"/>
                    <w:rPr>
                      <w:color w:val="000000"/>
                      <w:szCs w:val="21"/>
                    </w:rPr>
                  </w:pPr>
                </w:p>
              </w:tc>
              <w:tc>
                <w:tcPr>
                  <w:tcW w:w="731" w:type="dxa"/>
                  <w:vMerge w:val="continue"/>
                  <w:noWrap w:val="0"/>
                  <w:vAlign w:val="center"/>
                </w:tcPr>
                <w:p w14:paraId="5806A77A">
                  <w:pPr>
                    <w:ind w:left="-53" w:leftChars="-25" w:right="-53" w:rightChars="-25"/>
                    <w:jc w:val="center"/>
                    <w:rPr>
                      <w:color w:val="000000"/>
                      <w:szCs w:val="21"/>
                    </w:rPr>
                  </w:pPr>
                </w:p>
              </w:tc>
            </w:tr>
          </w:tbl>
          <w:p w14:paraId="518175C4">
            <w:pPr>
              <w:pStyle w:val="5"/>
              <w:spacing w:line="240" w:lineRule="auto"/>
              <w:ind w:left="0" w:leftChars="0" w:firstLine="0" w:firstLineChars="0"/>
              <w:jc w:val="both"/>
              <w:rPr>
                <w:rFonts w:hint="default" w:ascii="Times New Roman" w:hAnsi="Times New Roman" w:eastAsia="宋体" w:cs="Times New Roman"/>
                <w:color w:val="000000"/>
                <w:highlight w:val="none"/>
              </w:rPr>
            </w:pPr>
          </w:p>
        </w:tc>
      </w:tr>
    </w:tbl>
    <w:p w14:paraId="448F882C">
      <w:pPr>
        <w:rPr>
          <w:rFonts w:hint="eastAsia"/>
        </w:rPr>
        <w:sectPr>
          <w:pgSz w:w="11905" w:h="16838"/>
          <w:pgMar w:top="1644" w:right="1531" w:bottom="1644" w:left="1531" w:header="851" w:footer="1077" w:gutter="0"/>
          <w:pgNumType w:fmt="decimal"/>
          <w:cols w:space="720" w:num="1"/>
          <w:rtlGutter w:val="0"/>
          <w:docGrid w:linePitch="312" w:charSpace="0"/>
        </w:sect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4052"/>
      </w:tblGrid>
      <w:tr w14:paraId="4347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0" w:hRule="atLeast"/>
          <w:jc w:val="center"/>
        </w:trPr>
        <w:tc>
          <w:tcPr>
            <w:tcW w:w="456" w:type="dxa"/>
            <w:noWrap w:val="0"/>
            <w:vAlign w:val="center"/>
          </w:tcPr>
          <w:p w14:paraId="06778D10">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sz w:val="24"/>
                <w:szCs w:val="24"/>
                <w:vertAlign w:val="baseline"/>
              </w:rPr>
            </w:pPr>
            <w:bookmarkStart w:id="27" w:name="_Toc4671"/>
            <w:r>
              <w:rPr>
                <w:rFonts w:hint="eastAsia" w:ascii="宋体" w:hAnsi="宋体" w:eastAsia="宋体" w:cs="宋体"/>
                <w:snapToGrid w:val="0"/>
                <w:sz w:val="24"/>
                <w:szCs w:val="24"/>
                <w:vertAlign w:val="baseline"/>
              </w:rPr>
              <w:t>运营</w:t>
            </w:r>
            <w:bookmarkEnd w:id="27"/>
          </w:p>
          <w:p w14:paraId="2D534B98">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sz w:val="24"/>
                <w:szCs w:val="24"/>
                <w:vertAlign w:val="baseline"/>
              </w:rPr>
            </w:pPr>
            <w:bookmarkStart w:id="28" w:name="_Toc6129"/>
            <w:r>
              <w:rPr>
                <w:rFonts w:hint="eastAsia" w:ascii="宋体" w:hAnsi="宋体" w:eastAsia="宋体" w:cs="宋体"/>
                <w:snapToGrid w:val="0"/>
                <w:sz w:val="24"/>
                <w:szCs w:val="24"/>
                <w:vertAlign w:val="baseline"/>
              </w:rPr>
              <w:t>期环</w:t>
            </w:r>
            <w:bookmarkEnd w:id="28"/>
          </w:p>
          <w:p w14:paraId="7E21F48D">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sz w:val="24"/>
                <w:szCs w:val="24"/>
                <w:vertAlign w:val="baseline"/>
              </w:rPr>
            </w:pPr>
            <w:bookmarkStart w:id="29" w:name="_Toc20254"/>
            <w:r>
              <w:rPr>
                <w:rFonts w:hint="eastAsia" w:ascii="宋体" w:hAnsi="宋体" w:eastAsia="宋体" w:cs="宋体"/>
                <w:snapToGrid w:val="0"/>
                <w:sz w:val="24"/>
                <w:szCs w:val="24"/>
                <w:vertAlign w:val="baseline"/>
              </w:rPr>
              <w:t>境影</w:t>
            </w:r>
            <w:bookmarkEnd w:id="29"/>
          </w:p>
          <w:p w14:paraId="643F1A62">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sz w:val="24"/>
                <w:szCs w:val="24"/>
                <w:vertAlign w:val="baseline"/>
              </w:rPr>
            </w:pPr>
            <w:bookmarkStart w:id="30" w:name="_Toc27450"/>
            <w:r>
              <w:rPr>
                <w:rFonts w:hint="eastAsia" w:ascii="宋体" w:hAnsi="宋体" w:eastAsia="宋体" w:cs="宋体"/>
                <w:snapToGrid w:val="0"/>
                <w:sz w:val="24"/>
                <w:szCs w:val="24"/>
                <w:vertAlign w:val="baseline"/>
              </w:rPr>
              <w:t>响和</w:t>
            </w:r>
            <w:bookmarkEnd w:id="30"/>
          </w:p>
          <w:p w14:paraId="57D0900F">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sz w:val="24"/>
                <w:szCs w:val="24"/>
                <w:vertAlign w:val="baseline"/>
              </w:rPr>
            </w:pPr>
            <w:bookmarkStart w:id="31" w:name="_Toc17065"/>
            <w:r>
              <w:rPr>
                <w:rFonts w:hint="eastAsia" w:ascii="宋体" w:hAnsi="宋体" w:eastAsia="宋体" w:cs="宋体"/>
                <w:snapToGrid w:val="0"/>
                <w:sz w:val="24"/>
                <w:szCs w:val="24"/>
                <w:vertAlign w:val="baseline"/>
              </w:rPr>
              <w:t>保护</w:t>
            </w:r>
            <w:bookmarkEnd w:id="31"/>
          </w:p>
          <w:p w14:paraId="7137B08A">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黑体" w:hAnsi="黑体" w:eastAsia="黑体"/>
                <w:snapToGrid w:val="0"/>
                <w:sz w:val="30"/>
                <w:szCs w:val="30"/>
                <w:vertAlign w:val="baseline"/>
              </w:rPr>
            </w:pPr>
            <w:bookmarkStart w:id="32" w:name="_Toc9990"/>
            <w:r>
              <w:rPr>
                <w:rFonts w:hint="eastAsia" w:ascii="宋体" w:hAnsi="宋体" w:eastAsia="宋体" w:cs="宋体"/>
                <w:snapToGrid w:val="0"/>
                <w:sz w:val="24"/>
                <w:szCs w:val="24"/>
                <w:vertAlign w:val="baseline"/>
              </w:rPr>
              <w:t>措施</w:t>
            </w:r>
            <w:bookmarkEnd w:id="32"/>
          </w:p>
        </w:tc>
        <w:tc>
          <w:tcPr>
            <w:tcW w:w="14052" w:type="dxa"/>
            <w:noWrap w:val="0"/>
            <w:vAlign w:val="center"/>
          </w:tcPr>
          <w:p w14:paraId="0A5FA8C4">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工业企业噪声源强调查清单（室内声源）</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
              <w:gridCol w:w="393"/>
              <w:gridCol w:w="1092"/>
              <w:gridCol w:w="563"/>
              <w:gridCol w:w="592"/>
              <w:gridCol w:w="589"/>
              <w:gridCol w:w="646"/>
              <w:gridCol w:w="240"/>
              <w:gridCol w:w="546"/>
              <w:gridCol w:w="531"/>
              <w:gridCol w:w="560"/>
              <w:gridCol w:w="531"/>
              <w:gridCol w:w="710"/>
              <w:gridCol w:w="722"/>
              <w:gridCol w:w="681"/>
              <w:gridCol w:w="647"/>
              <w:gridCol w:w="566"/>
              <w:gridCol w:w="621"/>
              <w:gridCol w:w="687"/>
              <w:gridCol w:w="636"/>
              <w:gridCol w:w="660"/>
              <w:gridCol w:w="636"/>
              <w:gridCol w:w="688"/>
            </w:tblGrid>
            <w:tr w14:paraId="50CA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9" w:type="dxa"/>
                  <w:vMerge w:val="restart"/>
                  <w:noWrap w:val="0"/>
                  <w:vAlign w:val="center"/>
                </w:tcPr>
                <w:p w14:paraId="5377AD61">
                  <w:pPr>
                    <w:ind w:left="-94" w:leftChars="-45" w:right="-94" w:rightChars="-45"/>
                    <w:jc w:val="center"/>
                    <w:rPr>
                      <w:color w:val="000000"/>
                      <w:sz w:val="21"/>
                      <w:szCs w:val="21"/>
                    </w:rPr>
                  </w:pPr>
                  <w:r>
                    <w:rPr>
                      <w:rFonts w:hint="eastAsia"/>
                      <w:color w:val="000000"/>
                      <w:sz w:val="21"/>
                      <w:szCs w:val="21"/>
                    </w:rPr>
                    <w:t>序号</w:t>
                  </w:r>
                </w:p>
              </w:tc>
              <w:tc>
                <w:tcPr>
                  <w:tcW w:w="393" w:type="dxa"/>
                  <w:vMerge w:val="restart"/>
                  <w:noWrap w:val="0"/>
                  <w:vAlign w:val="center"/>
                </w:tcPr>
                <w:p w14:paraId="5AA64D6E">
                  <w:pPr>
                    <w:ind w:left="-94" w:leftChars="-45" w:right="-94" w:rightChars="-45"/>
                    <w:jc w:val="center"/>
                    <w:rPr>
                      <w:color w:val="000000"/>
                      <w:sz w:val="21"/>
                      <w:szCs w:val="21"/>
                    </w:rPr>
                  </w:pPr>
                  <w:r>
                    <w:rPr>
                      <w:rFonts w:hint="eastAsia"/>
                      <w:color w:val="000000"/>
                      <w:sz w:val="21"/>
                      <w:szCs w:val="21"/>
                    </w:rPr>
                    <w:t>建筑物名称</w:t>
                  </w:r>
                </w:p>
              </w:tc>
              <w:tc>
                <w:tcPr>
                  <w:tcW w:w="1092" w:type="dxa"/>
                  <w:vMerge w:val="restart"/>
                  <w:noWrap w:val="0"/>
                  <w:vAlign w:val="center"/>
                </w:tcPr>
                <w:p w14:paraId="579160A6">
                  <w:pPr>
                    <w:ind w:left="-94" w:leftChars="-45" w:right="-94" w:rightChars="-45"/>
                    <w:jc w:val="center"/>
                    <w:rPr>
                      <w:rFonts w:hint="eastAsia"/>
                      <w:color w:val="000000"/>
                      <w:sz w:val="21"/>
                      <w:szCs w:val="21"/>
                    </w:rPr>
                  </w:pPr>
                  <w:r>
                    <w:rPr>
                      <w:rFonts w:hint="eastAsia"/>
                      <w:color w:val="000000"/>
                      <w:sz w:val="21"/>
                      <w:szCs w:val="21"/>
                    </w:rPr>
                    <w:t>声源</w:t>
                  </w:r>
                </w:p>
                <w:p w14:paraId="3ADB9F16">
                  <w:pPr>
                    <w:ind w:left="-94" w:leftChars="-45" w:right="-94" w:rightChars="-45"/>
                    <w:jc w:val="center"/>
                    <w:rPr>
                      <w:color w:val="000000"/>
                      <w:sz w:val="21"/>
                      <w:szCs w:val="21"/>
                    </w:rPr>
                  </w:pPr>
                  <w:r>
                    <w:rPr>
                      <w:rFonts w:hint="eastAsia"/>
                      <w:color w:val="000000"/>
                      <w:sz w:val="21"/>
                      <w:szCs w:val="21"/>
                    </w:rPr>
                    <w:t>名称</w:t>
                  </w:r>
                </w:p>
              </w:tc>
              <w:tc>
                <w:tcPr>
                  <w:tcW w:w="563" w:type="dxa"/>
                  <w:vMerge w:val="restart"/>
                  <w:noWrap w:val="0"/>
                  <w:vAlign w:val="center"/>
                </w:tcPr>
                <w:p w14:paraId="42A1F8D1">
                  <w:pPr>
                    <w:ind w:left="-94" w:leftChars="-45" w:right="-94" w:rightChars="-45"/>
                    <w:jc w:val="center"/>
                    <w:rPr>
                      <w:rFonts w:hint="eastAsia"/>
                      <w:color w:val="000000"/>
                      <w:sz w:val="21"/>
                      <w:szCs w:val="21"/>
                    </w:rPr>
                  </w:pPr>
                  <w:r>
                    <w:rPr>
                      <w:rFonts w:hint="eastAsia"/>
                      <w:color w:val="000000"/>
                      <w:sz w:val="21"/>
                      <w:szCs w:val="21"/>
                    </w:rPr>
                    <w:t>声源源强</w:t>
                  </w:r>
                  <w:r>
                    <w:rPr>
                      <w:color w:val="000000"/>
                      <w:sz w:val="21"/>
                      <w:szCs w:val="21"/>
                    </w:rPr>
                    <w:t>dB(A)</w:t>
                  </w:r>
                </w:p>
              </w:tc>
              <w:tc>
                <w:tcPr>
                  <w:tcW w:w="592" w:type="dxa"/>
                  <w:vMerge w:val="restart"/>
                  <w:noWrap w:val="0"/>
                  <w:vAlign w:val="center"/>
                </w:tcPr>
                <w:p w14:paraId="056CA86C">
                  <w:pPr>
                    <w:ind w:left="-94" w:leftChars="-45" w:right="-94" w:rightChars="-45"/>
                    <w:jc w:val="center"/>
                    <w:rPr>
                      <w:color w:val="000000"/>
                      <w:sz w:val="21"/>
                      <w:szCs w:val="21"/>
                    </w:rPr>
                  </w:pPr>
                  <w:r>
                    <w:rPr>
                      <w:rFonts w:hint="eastAsia"/>
                      <w:color w:val="000000"/>
                      <w:sz w:val="21"/>
                      <w:szCs w:val="21"/>
                    </w:rPr>
                    <w:t>声源控制措施</w:t>
                  </w:r>
                </w:p>
              </w:tc>
              <w:tc>
                <w:tcPr>
                  <w:tcW w:w="1475" w:type="dxa"/>
                  <w:gridSpan w:val="3"/>
                  <w:noWrap w:val="0"/>
                  <w:vAlign w:val="center"/>
                </w:tcPr>
                <w:p w14:paraId="758E8FC2">
                  <w:pPr>
                    <w:ind w:left="-94" w:leftChars="-45" w:right="-94" w:rightChars="-45"/>
                    <w:jc w:val="center"/>
                    <w:rPr>
                      <w:color w:val="000000"/>
                      <w:sz w:val="21"/>
                      <w:szCs w:val="21"/>
                    </w:rPr>
                  </w:pPr>
                  <w:r>
                    <w:rPr>
                      <w:rFonts w:hint="eastAsia"/>
                      <w:color w:val="000000"/>
                      <w:sz w:val="21"/>
                      <w:szCs w:val="21"/>
                    </w:rPr>
                    <w:t>空间相对位置/m</w:t>
                  </w:r>
                </w:p>
              </w:tc>
              <w:tc>
                <w:tcPr>
                  <w:tcW w:w="2168" w:type="dxa"/>
                  <w:gridSpan w:val="4"/>
                  <w:noWrap w:val="0"/>
                  <w:vAlign w:val="center"/>
                </w:tcPr>
                <w:p w14:paraId="4CF4840B">
                  <w:pPr>
                    <w:ind w:left="-94" w:leftChars="-45" w:right="-94" w:rightChars="-45"/>
                    <w:jc w:val="center"/>
                    <w:rPr>
                      <w:rFonts w:hint="eastAsia" w:eastAsia="宋体"/>
                      <w:color w:val="000000"/>
                      <w:sz w:val="21"/>
                      <w:szCs w:val="21"/>
                      <w:lang w:eastAsia="zh-CN"/>
                    </w:rPr>
                  </w:pPr>
                  <w:r>
                    <w:rPr>
                      <w:rFonts w:hint="eastAsia"/>
                      <w:color w:val="000000"/>
                      <w:sz w:val="21"/>
                      <w:szCs w:val="21"/>
                    </w:rPr>
                    <w:t>距室内边界距离/m</w:t>
                  </w:r>
                </w:p>
              </w:tc>
              <w:tc>
                <w:tcPr>
                  <w:tcW w:w="2760" w:type="dxa"/>
                  <w:gridSpan w:val="4"/>
                  <w:noWrap w:val="0"/>
                  <w:vAlign w:val="center"/>
                </w:tcPr>
                <w:p w14:paraId="764F381C">
                  <w:pPr>
                    <w:ind w:left="-94" w:leftChars="-45" w:right="-94" w:rightChars="-45"/>
                    <w:jc w:val="center"/>
                    <w:rPr>
                      <w:rFonts w:hint="eastAsia"/>
                      <w:color w:val="000000"/>
                      <w:sz w:val="21"/>
                      <w:szCs w:val="21"/>
                    </w:rPr>
                  </w:pPr>
                  <w:r>
                    <w:rPr>
                      <w:rFonts w:hint="eastAsia"/>
                      <w:color w:val="000000"/>
                      <w:sz w:val="21"/>
                      <w:szCs w:val="21"/>
                    </w:rPr>
                    <w:t>室内边界声级</w:t>
                  </w:r>
                  <w:r>
                    <w:rPr>
                      <w:color w:val="000000"/>
                      <w:sz w:val="21"/>
                      <w:szCs w:val="21"/>
                    </w:rPr>
                    <w:t>/dB(A)</w:t>
                  </w:r>
                </w:p>
              </w:tc>
              <w:tc>
                <w:tcPr>
                  <w:tcW w:w="566" w:type="dxa"/>
                  <w:vMerge w:val="restart"/>
                  <w:noWrap w:val="0"/>
                  <w:vAlign w:val="center"/>
                </w:tcPr>
                <w:p w14:paraId="13F97288">
                  <w:pPr>
                    <w:ind w:left="-94" w:leftChars="-45" w:right="-94" w:rightChars="-45"/>
                    <w:jc w:val="center"/>
                    <w:rPr>
                      <w:color w:val="000000"/>
                      <w:sz w:val="21"/>
                      <w:szCs w:val="21"/>
                    </w:rPr>
                  </w:pPr>
                  <w:r>
                    <w:rPr>
                      <w:rFonts w:hint="eastAsia"/>
                      <w:color w:val="000000"/>
                      <w:sz w:val="21"/>
                      <w:szCs w:val="21"/>
                    </w:rPr>
                    <w:t>运行时段</w:t>
                  </w:r>
                </w:p>
              </w:tc>
              <w:tc>
                <w:tcPr>
                  <w:tcW w:w="621" w:type="dxa"/>
                  <w:vMerge w:val="restart"/>
                  <w:noWrap w:val="0"/>
                  <w:vAlign w:val="center"/>
                </w:tcPr>
                <w:p w14:paraId="0FD29FF9">
                  <w:pPr>
                    <w:ind w:left="-94" w:leftChars="-45" w:right="-94" w:rightChars="-45"/>
                    <w:jc w:val="center"/>
                    <w:rPr>
                      <w:color w:val="000000"/>
                      <w:sz w:val="21"/>
                      <w:szCs w:val="21"/>
                    </w:rPr>
                  </w:pPr>
                  <w:r>
                    <w:rPr>
                      <w:rFonts w:hint="eastAsia"/>
                      <w:color w:val="000000"/>
                      <w:sz w:val="21"/>
                      <w:szCs w:val="21"/>
                    </w:rPr>
                    <w:t>建筑物插入损失/</w:t>
                  </w:r>
                  <w:r>
                    <w:rPr>
                      <w:color w:val="000000"/>
                      <w:sz w:val="21"/>
                      <w:szCs w:val="21"/>
                    </w:rPr>
                    <w:t>dB(A)</w:t>
                  </w:r>
                </w:p>
              </w:tc>
              <w:tc>
                <w:tcPr>
                  <w:tcW w:w="3307" w:type="dxa"/>
                  <w:gridSpan w:val="5"/>
                  <w:noWrap w:val="0"/>
                  <w:vAlign w:val="center"/>
                </w:tcPr>
                <w:p w14:paraId="04F64BFD">
                  <w:pPr>
                    <w:ind w:left="-94" w:leftChars="-45" w:right="-94" w:rightChars="-45"/>
                    <w:jc w:val="center"/>
                    <w:rPr>
                      <w:rFonts w:ascii="Times New Roman" w:hAnsi="Times New Roman" w:eastAsia="宋体"/>
                      <w:b w:val="0"/>
                      <w:bCs/>
                      <w:color w:val="000000"/>
                      <w:szCs w:val="21"/>
                    </w:rPr>
                  </w:pPr>
                  <w:r>
                    <w:rPr>
                      <w:rFonts w:ascii="Times New Roman" w:hAnsi="Times New Roman" w:eastAsia="宋体"/>
                      <w:b w:val="0"/>
                      <w:bCs/>
                      <w:color w:val="000000"/>
                      <w:szCs w:val="21"/>
                    </w:rPr>
                    <w:t>建筑物外噪声声压级/dB(A)</w:t>
                  </w:r>
                </w:p>
              </w:tc>
            </w:tr>
            <w:tr w14:paraId="7546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89" w:type="dxa"/>
                  <w:vMerge w:val="continue"/>
                  <w:noWrap w:val="0"/>
                  <w:vAlign w:val="center"/>
                </w:tcPr>
                <w:p w14:paraId="174E5C17">
                  <w:pPr>
                    <w:ind w:left="-94" w:leftChars="-45" w:right="-94" w:rightChars="-45"/>
                    <w:jc w:val="center"/>
                    <w:rPr>
                      <w:color w:val="000000"/>
                      <w:sz w:val="21"/>
                      <w:szCs w:val="21"/>
                    </w:rPr>
                  </w:pPr>
                </w:p>
              </w:tc>
              <w:tc>
                <w:tcPr>
                  <w:tcW w:w="393" w:type="dxa"/>
                  <w:vMerge w:val="continue"/>
                  <w:noWrap w:val="0"/>
                  <w:vAlign w:val="center"/>
                </w:tcPr>
                <w:p w14:paraId="1CCFA6E7">
                  <w:pPr>
                    <w:ind w:left="-94" w:leftChars="-45" w:right="-94" w:rightChars="-45"/>
                    <w:jc w:val="center"/>
                    <w:rPr>
                      <w:color w:val="000000"/>
                      <w:sz w:val="21"/>
                      <w:szCs w:val="21"/>
                    </w:rPr>
                  </w:pPr>
                </w:p>
              </w:tc>
              <w:tc>
                <w:tcPr>
                  <w:tcW w:w="1092" w:type="dxa"/>
                  <w:vMerge w:val="continue"/>
                  <w:noWrap w:val="0"/>
                  <w:vAlign w:val="center"/>
                </w:tcPr>
                <w:p w14:paraId="72CC3C71">
                  <w:pPr>
                    <w:ind w:left="-94" w:leftChars="-45" w:right="-94" w:rightChars="-45"/>
                    <w:jc w:val="center"/>
                    <w:rPr>
                      <w:color w:val="000000"/>
                      <w:sz w:val="21"/>
                      <w:szCs w:val="21"/>
                    </w:rPr>
                  </w:pPr>
                </w:p>
              </w:tc>
              <w:tc>
                <w:tcPr>
                  <w:tcW w:w="563" w:type="dxa"/>
                  <w:vMerge w:val="continue"/>
                  <w:noWrap w:val="0"/>
                  <w:vAlign w:val="center"/>
                </w:tcPr>
                <w:p w14:paraId="382F7895">
                  <w:pPr>
                    <w:ind w:left="-94" w:leftChars="-45" w:right="-94" w:rightChars="-45"/>
                    <w:jc w:val="center"/>
                    <w:rPr>
                      <w:color w:val="000000"/>
                      <w:sz w:val="21"/>
                      <w:szCs w:val="21"/>
                    </w:rPr>
                  </w:pPr>
                </w:p>
              </w:tc>
              <w:tc>
                <w:tcPr>
                  <w:tcW w:w="592" w:type="dxa"/>
                  <w:vMerge w:val="continue"/>
                  <w:noWrap w:val="0"/>
                  <w:vAlign w:val="center"/>
                </w:tcPr>
                <w:p w14:paraId="6CD7D2A0">
                  <w:pPr>
                    <w:ind w:left="-94" w:leftChars="-45" w:right="-94" w:rightChars="-45"/>
                    <w:jc w:val="center"/>
                    <w:rPr>
                      <w:color w:val="000000"/>
                      <w:sz w:val="21"/>
                      <w:szCs w:val="21"/>
                    </w:rPr>
                  </w:pPr>
                </w:p>
              </w:tc>
              <w:tc>
                <w:tcPr>
                  <w:tcW w:w="589" w:type="dxa"/>
                  <w:noWrap w:val="0"/>
                  <w:vAlign w:val="center"/>
                </w:tcPr>
                <w:p w14:paraId="3CA9B969">
                  <w:pPr>
                    <w:ind w:left="-94" w:leftChars="-45" w:right="-94" w:rightChars="-45"/>
                    <w:jc w:val="center"/>
                    <w:rPr>
                      <w:color w:val="000000"/>
                      <w:sz w:val="21"/>
                      <w:szCs w:val="21"/>
                    </w:rPr>
                  </w:pPr>
                  <w:r>
                    <w:rPr>
                      <w:rFonts w:hint="eastAsia"/>
                      <w:color w:val="000000"/>
                      <w:sz w:val="21"/>
                      <w:szCs w:val="21"/>
                    </w:rPr>
                    <w:t>X</w:t>
                  </w:r>
                </w:p>
              </w:tc>
              <w:tc>
                <w:tcPr>
                  <w:tcW w:w="646" w:type="dxa"/>
                  <w:noWrap w:val="0"/>
                  <w:vAlign w:val="center"/>
                </w:tcPr>
                <w:p w14:paraId="02B6A8A4">
                  <w:pPr>
                    <w:ind w:left="-94" w:leftChars="-45" w:right="-94" w:rightChars="-45"/>
                    <w:jc w:val="center"/>
                    <w:rPr>
                      <w:color w:val="000000"/>
                      <w:sz w:val="21"/>
                      <w:szCs w:val="21"/>
                    </w:rPr>
                  </w:pPr>
                  <w:r>
                    <w:rPr>
                      <w:rFonts w:hint="eastAsia"/>
                      <w:color w:val="000000"/>
                      <w:sz w:val="21"/>
                      <w:szCs w:val="21"/>
                    </w:rPr>
                    <w:t>Y</w:t>
                  </w:r>
                </w:p>
              </w:tc>
              <w:tc>
                <w:tcPr>
                  <w:tcW w:w="240" w:type="dxa"/>
                  <w:noWrap w:val="0"/>
                  <w:vAlign w:val="center"/>
                </w:tcPr>
                <w:p w14:paraId="61D4B652">
                  <w:pPr>
                    <w:ind w:left="-94" w:leftChars="-45" w:right="-94" w:rightChars="-45"/>
                    <w:jc w:val="center"/>
                    <w:rPr>
                      <w:color w:val="000000"/>
                      <w:sz w:val="21"/>
                      <w:szCs w:val="21"/>
                    </w:rPr>
                  </w:pPr>
                  <w:r>
                    <w:rPr>
                      <w:rFonts w:hint="eastAsia"/>
                      <w:color w:val="000000"/>
                      <w:sz w:val="21"/>
                      <w:szCs w:val="21"/>
                    </w:rPr>
                    <w:t>Z</w:t>
                  </w:r>
                </w:p>
              </w:tc>
              <w:tc>
                <w:tcPr>
                  <w:tcW w:w="546" w:type="dxa"/>
                  <w:noWrap w:val="0"/>
                  <w:vAlign w:val="center"/>
                </w:tcPr>
                <w:p w14:paraId="093A9853">
                  <w:pPr>
                    <w:ind w:left="-94" w:leftChars="-45" w:right="-94" w:rightChars="-45"/>
                    <w:jc w:val="center"/>
                    <w:rPr>
                      <w:rFonts w:hint="eastAsia" w:eastAsia="宋体"/>
                      <w:color w:val="000000"/>
                      <w:sz w:val="21"/>
                      <w:szCs w:val="21"/>
                      <w:lang w:eastAsia="zh-CN"/>
                    </w:rPr>
                  </w:pPr>
                  <w:r>
                    <w:rPr>
                      <w:rFonts w:hint="eastAsia"/>
                      <w:color w:val="000000"/>
                      <w:sz w:val="21"/>
                      <w:szCs w:val="21"/>
                      <w:lang w:eastAsia="zh-CN"/>
                    </w:rPr>
                    <w:t>东</w:t>
                  </w:r>
                </w:p>
              </w:tc>
              <w:tc>
                <w:tcPr>
                  <w:tcW w:w="531" w:type="dxa"/>
                  <w:noWrap w:val="0"/>
                  <w:vAlign w:val="center"/>
                </w:tcPr>
                <w:p w14:paraId="6248D639">
                  <w:pPr>
                    <w:ind w:left="-94" w:leftChars="-45" w:right="-94" w:rightChars="-45"/>
                    <w:jc w:val="center"/>
                    <w:rPr>
                      <w:rFonts w:hint="eastAsia" w:eastAsia="宋体"/>
                      <w:color w:val="000000"/>
                      <w:sz w:val="21"/>
                      <w:szCs w:val="21"/>
                      <w:lang w:eastAsia="zh-CN"/>
                    </w:rPr>
                  </w:pPr>
                  <w:r>
                    <w:rPr>
                      <w:rFonts w:hint="eastAsia"/>
                      <w:color w:val="000000"/>
                      <w:sz w:val="21"/>
                      <w:szCs w:val="21"/>
                      <w:lang w:eastAsia="zh-CN"/>
                    </w:rPr>
                    <w:t>南</w:t>
                  </w:r>
                </w:p>
              </w:tc>
              <w:tc>
                <w:tcPr>
                  <w:tcW w:w="560" w:type="dxa"/>
                  <w:noWrap w:val="0"/>
                  <w:vAlign w:val="center"/>
                </w:tcPr>
                <w:p w14:paraId="1F730DE1">
                  <w:pPr>
                    <w:ind w:left="-94" w:leftChars="-45" w:right="-94" w:rightChars="-45"/>
                    <w:jc w:val="center"/>
                    <w:rPr>
                      <w:rFonts w:hint="eastAsia" w:eastAsia="宋体"/>
                      <w:color w:val="000000"/>
                      <w:sz w:val="21"/>
                      <w:szCs w:val="21"/>
                      <w:lang w:eastAsia="zh-CN"/>
                    </w:rPr>
                  </w:pPr>
                  <w:r>
                    <w:rPr>
                      <w:rFonts w:hint="eastAsia"/>
                      <w:color w:val="000000"/>
                      <w:sz w:val="21"/>
                      <w:szCs w:val="21"/>
                      <w:lang w:eastAsia="zh-CN"/>
                    </w:rPr>
                    <w:t>西</w:t>
                  </w:r>
                </w:p>
              </w:tc>
              <w:tc>
                <w:tcPr>
                  <w:tcW w:w="531" w:type="dxa"/>
                  <w:noWrap w:val="0"/>
                  <w:vAlign w:val="center"/>
                </w:tcPr>
                <w:p w14:paraId="29001BBE">
                  <w:pPr>
                    <w:ind w:left="-94" w:leftChars="-45" w:right="-94" w:rightChars="-45"/>
                    <w:jc w:val="center"/>
                    <w:rPr>
                      <w:rFonts w:hint="eastAsia" w:eastAsia="宋体"/>
                      <w:color w:val="000000"/>
                      <w:sz w:val="21"/>
                      <w:szCs w:val="21"/>
                      <w:lang w:eastAsia="zh-CN"/>
                    </w:rPr>
                  </w:pPr>
                  <w:r>
                    <w:rPr>
                      <w:rFonts w:hint="eastAsia"/>
                      <w:color w:val="000000"/>
                      <w:sz w:val="21"/>
                      <w:szCs w:val="21"/>
                      <w:lang w:eastAsia="zh-CN"/>
                    </w:rPr>
                    <w:t>北</w:t>
                  </w:r>
                </w:p>
              </w:tc>
              <w:tc>
                <w:tcPr>
                  <w:tcW w:w="710" w:type="dxa"/>
                  <w:noWrap w:val="0"/>
                  <w:vAlign w:val="center"/>
                </w:tcPr>
                <w:p w14:paraId="4F258B09">
                  <w:pPr>
                    <w:ind w:left="-94" w:leftChars="-45" w:right="-94" w:rightChars="-45"/>
                    <w:jc w:val="center"/>
                    <w:rPr>
                      <w:color w:val="000000"/>
                      <w:sz w:val="21"/>
                      <w:szCs w:val="21"/>
                    </w:rPr>
                  </w:pPr>
                  <w:r>
                    <w:rPr>
                      <w:rFonts w:hint="eastAsia"/>
                      <w:color w:val="000000"/>
                      <w:sz w:val="21"/>
                      <w:szCs w:val="21"/>
                      <w:lang w:eastAsia="zh-CN"/>
                    </w:rPr>
                    <w:t>东</w:t>
                  </w:r>
                </w:p>
              </w:tc>
              <w:tc>
                <w:tcPr>
                  <w:tcW w:w="722" w:type="dxa"/>
                  <w:noWrap w:val="0"/>
                  <w:vAlign w:val="center"/>
                </w:tcPr>
                <w:p w14:paraId="3701A4D1">
                  <w:pPr>
                    <w:ind w:left="-94" w:leftChars="-45" w:right="-94" w:rightChars="-45"/>
                    <w:jc w:val="center"/>
                    <w:rPr>
                      <w:color w:val="000000"/>
                      <w:sz w:val="21"/>
                      <w:szCs w:val="21"/>
                    </w:rPr>
                  </w:pPr>
                  <w:r>
                    <w:rPr>
                      <w:rFonts w:hint="eastAsia"/>
                      <w:color w:val="000000"/>
                      <w:sz w:val="21"/>
                      <w:szCs w:val="21"/>
                      <w:lang w:eastAsia="zh-CN"/>
                    </w:rPr>
                    <w:t>南</w:t>
                  </w:r>
                </w:p>
              </w:tc>
              <w:tc>
                <w:tcPr>
                  <w:tcW w:w="681" w:type="dxa"/>
                  <w:noWrap w:val="0"/>
                  <w:vAlign w:val="center"/>
                </w:tcPr>
                <w:p w14:paraId="20F33117">
                  <w:pPr>
                    <w:ind w:left="-94" w:leftChars="-45" w:right="-94" w:rightChars="-45"/>
                    <w:jc w:val="center"/>
                    <w:rPr>
                      <w:color w:val="000000"/>
                      <w:sz w:val="21"/>
                      <w:szCs w:val="21"/>
                    </w:rPr>
                  </w:pPr>
                  <w:r>
                    <w:rPr>
                      <w:rFonts w:hint="eastAsia"/>
                      <w:color w:val="000000"/>
                      <w:sz w:val="21"/>
                      <w:szCs w:val="21"/>
                      <w:lang w:eastAsia="zh-CN"/>
                    </w:rPr>
                    <w:t>西</w:t>
                  </w:r>
                </w:p>
              </w:tc>
              <w:tc>
                <w:tcPr>
                  <w:tcW w:w="647" w:type="dxa"/>
                  <w:noWrap w:val="0"/>
                  <w:vAlign w:val="center"/>
                </w:tcPr>
                <w:p w14:paraId="23B06F70">
                  <w:pPr>
                    <w:ind w:left="-94" w:leftChars="-45" w:right="-94" w:rightChars="-45"/>
                    <w:jc w:val="center"/>
                    <w:rPr>
                      <w:color w:val="000000"/>
                      <w:sz w:val="21"/>
                      <w:szCs w:val="21"/>
                    </w:rPr>
                  </w:pPr>
                  <w:r>
                    <w:rPr>
                      <w:rFonts w:hint="eastAsia"/>
                      <w:color w:val="000000"/>
                      <w:sz w:val="21"/>
                      <w:szCs w:val="21"/>
                      <w:lang w:eastAsia="zh-CN"/>
                    </w:rPr>
                    <w:t>北</w:t>
                  </w:r>
                </w:p>
              </w:tc>
              <w:tc>
                <w:tcPr>
                  <w:tcW w:w="566" w:type="dxa"/>
                  <w:vMerge w:val="continue"/>
                  <w:noWrap w:val="0"/>
                  <w:vAlign w:val="center"/>
                </w:tcPr>
                <w:p w14:paraId="3C1AAE46">
                  <w:pPr>
                    <w:ind w:left="-94" w:leftChars="-45" w:right="-94" w:rightChars="-45"/>
                    <w:jc w:val="center"/>
                    <w:rPr>
                      <w:color w:val="000000"/>
                      <w:sz w:val="21"/>
                      <w:szCs w:val="21"/>
                    </w:rPr>
                  </w:pPr>
                </w:p>
              </w:tc>
              <w:tc>
                <w:tcPr>
                  <w:tcW w:w="621" w:type="dxa"/>
                  <w:vMerge w:val="continue"/>
                  <w:noWrap w:val="0"/>
                  <w:vAlign w:val="center"/>
                </w:tcPr>
                <w:p w14:paraId="6EBD7FFF">
                  <w:pPr>
                    <w:ind w:left="-94" w:leftChars="-45" w:right="-94" w:rightChars="-45"/>
                    <w:jc w:val="center"/>
                    <w:rPr>
                      <w:color w:val="000000"/>
                      <w:sz w:val="21"/>
                      <w:szCs w:val="21"/>
                    </w:rPr>
                  </w:pPr>
                </w:p>
              </w:tc>
              <w:tc>
                <w:tcPr>
                  <w:tcW w:w="687" w:type="dxa"/>
                  <w:noWrap w:val="0"/>
                  <w:vAlign w:val="center"/>
                </w:tcPr>
                <w:p w14:paraId="59B6B95D">
                  <w:pPr>
                    <w:ind w:left="-94" w:leftChars="-45" w:right="-94" w:rightChars="-45"/>
                    <w:jc w:val="center"/>
                    <w:rPr>
                      <w:color w:val="000000"/>
                      <w:sz w:val="21"/>
                      <w:szCs w:val="21"/>
                    </w:rPr>
                  </w:pPr>
                  <w:r>
                    <w:rPr>
                      <w:rFonts w:hint="eastAsia"/>
                      <w:color w:val="000000"/>
                      <w:sz w:val="21"/>
                      <w:szCs w:val="21"/>
                      <w:lang w:eastAsia="zh-CN"/>
                    </w:rPr>
                    <w:t>东</w:t>
                  </w:r>
                </w:p>
              </w:tc>
              <w:tc>
                <w:tcPr>
                  <w:tcW w:w="636" w:type="dxa"/>
                  <w:noWrap w:val="0"/>
                  <w:vAlign w:val="center"/>
                </w:tcPr>
                <w:p w14:paraId="4B6C2A8D">
                  <w:pPr>
                    <w:ind w:left="-94" w:leftChars="-45" w:right="-94" w:rightChars="-45"/>
                    <w:jc w:val="center"/>
                    <w:rPr>
                      <w:rFonts w:hint="eastAsia"/>
                      <w:color w:val="000000"/>
                      <w:sz w:val="21"/>
                      <w:szCs w:val="21"/>
                    </w:rPr>
                  </w:pPr>
                  <w:r>
                    <w:rPr>
                      <w:rFonts w:hint="eastAsia"/>
                      <w:color w:val="000000"/>
                      <w:sz w:val="21"/>
                      <w:szCs w:val="21"/>
                      <w:lang w:eastAsia="zh-CN"/>
                    </w:rPr>
                    <w:t>南</w:t>
                  </w:r>
                </w:p>
              </w:tc>
              <w:tc>
                <w:tcPr>
                  <w:tcW w:w="660" w:type="dxa"/>
                  <w:noWrap w:val="0"/>
                  <w:vAlign w:val="center"/>
                </w:tcPr>
                <w:p w14:paraId="72C1081F">
                  <w:pPr>
                    <w:ind w:left="-94" w:leftChars="-45" w:right="-94" w:rightChars="-45"/>
                    <w:jc w:val="center"/>
                    <w:rPr>
                      <w:rFonts w:hint="eastAsia"/>
                      <w:color w:val="000000"/>
                      <w:sz w:val="21"/>
                      <w:szCs w:val="21"/>
                    </w:rPr>
                  </w:pPr>
                  <w:r>
                    <w:rPr>
                      <w:rFonts w:hint="eastAsia"/>
                      <w:color w:val="000000"/>
                      <w:sz w:val="21"/>
                      <w:szCs w:val="21"/>
                      <w:lang w:eastAsia="zh-CN"/>
                    </w:rPr>
                    <w:t>西</w:t>
                  </w:r>
                </w:p>
              </w:tc>
              <w:tc>
                <w:tcPr>
                  <w:tcW w:w="636" w:type="dxa"/>
                  <w:noWrap w:val="0"/>
                  <w:vAlign w:val="center"/>
                </w:tcPr>
                <w:p w14:paraId="11755F47">
                  <w:pPr>
                    <w:ind w:left="-94" w:leftChars="-45" w:right="-94" w:rightChars="-45"/>
                    <w:jc w:val="center"/>
                    <w:rPr>
                      <w:rFonts w:hint="eastAsia"/>
                      <w:color w:val="000000"/>
                      <w:sz w:val="21"/>
                      <w:szCs w:val="21"/>
                    </w:rPr>
                  </w:pPr>
                  <w:r>
                    <w:rPr>
                      <w:rFonts w:hint="eastAsia"/>
                      <w:color w:val="000000"/>
                      <w:sz w:val="21"/>
                      <w:szCs w:val="21"/>
                      <w:lang w:eastAsia="zh-CN"/>
                    </w:rPr>
                    <w:t>北</w:t>
                  </w:r>
                </w:p>
              </w:tc>
              <w:tc>
                <w:tcPr>
                  <w:tcW w:w="688" w:type="dxa"/>
                  <w:noWrap w:val="0"/>
                  <w:vAlign w:val="center"/>
                </w:tcPr>
                <w:p w14:paraId="71EA88AC">
                  <w:pPr>
                    <w:ind w:left="-94" w:leftChars="-45" w:right="-94" w:rightChars="-45"/>
                    <w:jc w:val="center"/>
                    <w:rPr>
                      <w:color w:val="000000"/>
                      <w:sz w:val="21"/>
                      <w:szCs w:val="21"/>
                    </w:rPr>
                  </w:pPr>
                  <w:r>
                    <w:rPr>
                      <w:rFonts w:hint="eastAsia"/>
                      <w:color w:val="000000"/>
                      <w:sz w:val="21"/>
                      <w:szCs w:val="21"/>
                    </w:rPr>
                    <w:t>建筑物外距离/m</w:t>
                  </w:r>
                </w:p>
              </w:tc>
            </w:tr>
            <w:tr w14:paraId="69A09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7946D965">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1</w:t>
                  </w:r>
                </w:p>
              </w:tc>
              <w:tc>
                <w:tcPr>
                  <w:tcW w:w="393" w:type="dxa"/>
                  <w:vMerge w:val="restart"/>
                  <w:noWrap w:val="0"/>
                  <w:vAlign w:val="center"/>
                </w:tcPr>
                <w:p w14:paraId="3FE12B41">
                  <w:pPr>
                    <w:ind w:left="-94" w:leftChars="-45" w:right="-94" w:rightChars="-45"/>
                    <w:jc w:val="center"/>
                    <w:rPr>
                      <w:rFonts w:hint="eastAsia"/>
                      <w:color w:val="000000"/>
                      <w:sz w:val="21"/>
                      <w:szCs w:val="21"/>
                    </w:rPr>
                  </w:pPr>
                  <w:r>
                    <w:rPr>
                      <w:rFonts w:hint="eastAsia"/>
                      <w:color w:val="000000"/>
                      <w:sz w:val="21"/>
                      <w:szCs w:val="21"/>
                      <w:lang w:val="en-US" w:eastAsia="zh-CN"/>
                    </w:rPr>
                    <w:t>2#生产车间</w:t>
                  </w:r>
                </w:p>
              </w:tc>
              <w:tc>
                <w:tcPr>
                  <w:tcW w:w="1092" w:type="dxa"/>
                  <w:noWrap w:val="0"/>
                  <w:vAlign w:val="center"/>
                </w:tcPr>
                <w:p w14:paraId="2089F248">
                  <w:pPr>
                    <w:jc w:val="center"/>
                    <w:rPr>
                      <w:rFonts w:hint="default"/>
                      <w:color w:val="000000"/>
                      <w:sz w:val="21"/>
                      <w:szCs w:val="21"/>
                      <w:lang w:val="en-US" w:eastAsia="zh-CN"/>
                    </w:rPr>
                  </w:pPr>
                  <w:r>
                    <w:rPr>
                      <w:rFonts w:hint="eastAsia"/>
                      <w:color w:val="000000"/>
                      <w:sz w:val="21"/>
                      <w:szCs w:val="21"/>
                      <w:lang w:eastAsia="zh-CN"/>
                    </w:rPr>
                    <w:t>隧道窑</w:t>
                  </w:r>
                  <w:r>
                    <w:rPr>
                      <w:rFonts w:hint="eastAsia"/>
                      <w:color w:val="000000"/>
                      <w:sz w:val="21"/>
                      <w:szCs w:val="21"/>
                      <w:lang w:val="en-US" w:eastAsia="zh-CN"/>
                    </w:rPr>
                    <w:t>1#</w:t>
                  </w:r>
                </w:p>
              </w:tc>
              <w:tc>
                <w:tcPr>
                  <w:tcW w:w="563" w:type="dxa"/>
                  <w:noWrap w:val="0"/>
                  <w:vAlign w:val="center"/>
                </w:tcPr>
                <w:p w14:paraId="78D5B572">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80</w:t>
                  </w:r>
                </w:p>
              </w:tc>
              <w:tc>
                <w:tcPr>
                  <w:tcW w:w="592" w:type="dxa"/>
                  <w:vMerge w:val="continue"/>
                  <w:noWrap w:val="0"/>
                  <w:vAlign w:val="center"/>
                </w:tcPr>
                <w:p w14:paraId="5465EC41">
                  <w:pPr>
                    <w:ind w:left="-94" w:leftChars="-45" w:right="-94" w:rightChars="-45"/>
                    <w:jc w:val="center"/>
                    <w:rPr>
                      <w:rFonts w:hint="eastAsia"/>
                      <w:color w:val="000000"/>
                      <w:sz w:val="21"/>
                      <w:szCs w:val="21"/>
                    </w:rPr>
                  </w:pPr>
                </w:p>
              </w:tc>
              <w:tc>
                <w:tcPr>
                  <w:tcW w:w="589" w:type="dxa"/>
                  <w:noWrap w:val="0"/>
                  <w:vAlign w:val="center"/>
                </w:tcPr>
                <w:p w14:paraId="40D2249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293.03</w:t>
                  </w:r>
                </w:p>
              </w:tc>
              <w:tc>
                <w:tcPr>
                  <w:tcW w:w="646" w:type="dxa"/>
                  <w:noWrap w:val="0"/>
                  <w:vAlign w:val="center"/>
                </w:tcPr>
                <w:p w14:paraId="161BAB35">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57.26</w:t>
                  </w:r>
                </w:p>
              </w:tc>
              <w:tc>
                <w:tcPr>
                  <w:tcW w:w="240" w:type="dxa"/>
                  <w:noWrap w:val="0"/>
                  <w:vAlign w:val="center"/>
                </w:tcPr>
                <w:p w14:paraId="2104975B">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56B3169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74.25</w:t>
                  </w:r>
                </w:p>
              </w:tc>
              <w:tc>
                <w:tcPr>
                  <w:tcW w:w="531" w:type="dxa"/>
                  <w:noWrap w:val="0"/>
                  <w:vAlign w:val="center"/>
                </w:tcPr>
                <w:p w14:paraId="6A13729E">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9.95</w:t>
                  </w:r>
                </w:p>
              </w:tc>
              <w:tc>
                <w:tcPr>
                  <w:tcW w:w="560" w:type="dxa"/>
                  <w:noWrap w:val="0"/>
                  <w:vAlign w:val="center"/>
                </w:tcPr>
                <w:p w14:paraId="11824691">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105.24</w:t>
                  </w:r>
                </w:p>
              </w:tc>
              <w:tc>
                <w:tcPr>
                  <w:tcW w:w="531" w:type="dxa"/>
                  <w:noWrap w:val="0"/>
                  <w:vAlign w:val="center"/>
                </w:tcPr>
                <w:p w14:paraId="3C28AAAB">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40.11</w:t>
                  </w:r>
                </w:p>
              </w:tc>
              <w:tc>
                <w:tcPr>
                  <w:tcW w:w="710" w:type="dxa"/>
                  <w:noWrap w:val="0"/>
                  <w:vAlign w:val="center"/>
                </w:tcPr>
                <w:p w14:paraId="32466E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722" w:type="dxa"/>
                  <w:noWrap w:val="0"/>
                  <w:vAlign w:val="center"/>
                </w:tcPr>
                <w:p w14:paraId="375116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68.65</w:t>
                  </w:r>
                </w:p>
              </w:tc>
              <w:tc>
                <w:tcPr>
                  <w:tcW w:w="681" w:type="dxa"/>
                  <w:noWrap w:val="0"/>
                  <w:vAlign w:val="center"/>
                </w:tcPr>
                <w:p w14:paraId="257F2A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647" w:type="dxa"/>
                  <w:noWrap w:val="0"/>
                  <w:vAlign w:val="center"/>
                </w:tcPr>
                <w:p w14:paraId="11DB30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566" w:type="dxa"/>
                  <w:noWrap w:val="0"/>
                  <w:vAlign w:val="center"/>
                </w:tcPr>
                <w:p w14:paraId="0DB01537">
                  <w:pPr>
                    <w:ind w:left="-94" w:leftChars="-45" w:right="-94" w:rightChars="-45"/>
                    <w:jc w:val="center"/>
                    <w:rPr>
                      <w:rFonts w:hint="eastAsia" w:eastAsia="宋体"/>
                      <w:color w:val="000000"/>
                      <w:sz w:val="21"/>
                      <w:szCs w:val="21"/>
                      <w:lang w:eastAsia="zh-CN"/>
                    </w:rPr>
                  </w:pPr>
                  <w:r>
                    <w:rPr>
                      <w:rFonts w:hint="eastAsia"/>
                      <w:color w:val="000000"/>
                      <w:sz w:val="21"/>
                      <w:szCs w:val="21"/>
                      <w:lang w:eastAsia="zh-CN"/>
                    </w:rPr>
                    <w:t>昼间、夜间</w:t>
                  </w:r>
                </w:p>
              </w:tc>
              <w:tc>
                <w:tcPr>
                  <w:tcW w:w="621" w:type="dxa"/>
                  <w:noWrap w:val="0"/>
                  <w:vAlign w:val="center"/>
                </w:tcPr>
                <w:p w14:paraId="66733100">
                  <w:pPr>
                    <w:ind w:left="-94" w:leftChars="-45" w:right="-94" w:rightChars="-45"/>
                    <w:jc w:val="center"/>
                    <w:rPr>
                      <w:rFonts w:hint="eastAsia"/>
                      <w:color w:val="000000"/>
                      <w:sz w:val="21"/>
                      <w:szCs w:val="21"/>
                    </w:rPr>
                  </w:pPr>
                  <w:r>
                    <w:rPr>
                      <w:rFonts w:hint="eastAsia"/>
                      <w:color w:val="000000"/>
                      <w:sz w:val="21"/>
                      <w:szCs w:val="21"/>
                      <w:lang w:val="en-US" w:eastAsia="zh-CN"/>
                    </w:rPr>
                    <w:t>26</w:t>
                  </w:r>
                </w:p>
              </w:tc>
              <w:tc>
                <w:tcPr>
                  <w:tcW w:w="687" w:type="dxa"/>
                  <w:noWrap w:val="0"/>
                  <w:vAlign w:val="center"/>
                </w:tcPr>
                <w:p w14:paraId="39D982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36" w:type="dxa"/>
                  <w:noWrap w:val="0"/>
                  <w:vAlign w:val="center"/>
                </w:tcPr>
                <w:p w14:paraId="03D4BA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42.65</w:t>
                  </w:r>
                </w:p>
              </w:tc>
              <w:tc>
                <w:tcPr>
                  <w:tcW w:w="660" w:type="dxa"/>
                  <w:noWrap w:val="0"/>
                  <w:vAlign w:val="center"/>
                </w:tcPr>
                <w:p w14:paraId="3E5060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36" w:type="dxa"/>
                  <w:noWrap w:val="0"/>
                  <w:vAlign w:val="center"/>
                </w:tcPr>
                <w:p w14:paraId="328E61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88" w:type="dxa"/>
                  <w:noWrap w:val="0"/>
                  <w:vAlign w:val="center"/>
                </w:tcPr>
                <w:p w14:paraId="23D4FC18">
                  <w:pPr>
                    <w:ind w:left="-94" w:leftChars="-45" w:right="-94" w:rightChars="-45"/>
                    <w:jc w:val="center"/>
                    <w:rPr>
                      <w:rFonts w:hint="eastAsia"/>
                      <w:color w:val="000000"/>
                      <w:sz w:val="21"/>
                      <w:szCs w:val="21"/>
                    </w:rPr>
                  </w:pPr>
                  <w:r>
                    <w:rPr>
                      <w:rFonts w:hint="eastAsia"/>
                      <w:color w:val="000000"/>
                      <w:sz w:val="21"/>
                      <w:szCs w:val="21"/>
                    </w:rPr>
                    <w:t>1</w:t>
                  </w:r>
                </w:p>
              </w:tc>
            </w:tr>
            <w:tr w14:paraId="1FBC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62864929">
                  <w:pPr>
                    <w:ind w:left="-94" w:leftChars="-45" w:right="-94" w:rightChars="-45"/>
                    <w:jc w:val="center"/>
                    <w:rPr>
                      <w:rFonts w:hint="eastAsia"/>
                      <w:color w:val="000000"/>
                      <w:kern w:val="2"/>
                      <w:sz w:val="21"/>
                      <w:szCs w:val="21"/>
                      <w:lang w:val="en-US" w:eastAsia="zh-CN" w:bidi="ar-SA"/>
                    </w:rPr>
                  </w:pPr>
                  <w:r>
                    <w:rPr>
                      <w:rFonts w:hint="eastAsia"/>
                      <w:color w:val="000000"/>
                      <w:sz w:val="21"/>
                      <w:szCs w:val="21"/>
                      <w:lang w:val="en-US" w:eastAsia="zh-CN"/>
                    </w:rPr>
                    <w:t>2</w:t>
                  </w:r>
                </w:p>
              </w:tc>
              <w:tc>
                <w:tcPr>
                  <w:tcW w:w="393" w:type="dxa"/>
                  <w:vMerge w:val="continue"/>
                  <w:noWrap w:val="0"/>
                  <w:vAlign w:val="center"/>
                </w:tcPr>
                <w:p w14:paraId="6FE130E5">
                  <w:pPr>
                    <w:ind w:left="-94" w:leftChars="-45" w:right="-94" w:rightChars="-45"/>
                    <w:jc w:val="center"/>
                    <w:rPr>
                      <w:rFonts w:hint="eastAsia"/>
                      <w:color w:val="000000"/>
                      <w:sz w:val="21"/>
                      <w:szCs w:val="21"/>
                      <w:lang w:val="en-US" w:eastAsia="zh-CN"/>
                    </w:rPr>
                  </w:pPr>
                </w:p>
              </w:tc>
              <w:tc>
                <w:tcPr>
                  <w:tcW w:w="1092" w:type="dxa"/>
                  <w:noWrap w:val="0"/>
                  <w:vAlign w:val="center"/>
                </w:tcPr>
                <w:p w14:paraId="32C102A8">
                  <w:pPr>
                    <w:jc w:val="center"/>
                    <w:rPr>
                      <w:rFonts w:hint="eastAsia"/>
                      <w:color w:val="000000"/>
                      <w:kern w:val="2"/>
                      <w:sz w:val="21"/>
                      <w:szCs w:val="21"/>
                      <w:lang w:val="en-US" w:eastAsia="zh-CN" w:bidi="ar-SA"/>
                    </w:rPr>
                  </w:pPr>
                  <w:r>
                    <w:rPr>
                      <w:rFonts w:hint="eastAsia"/>
                      <w:color w:val="000000"/>
                      <w:sz w:val="21"/>
                      <w:szCs w:val="21"/>
                      <w:lang w:eastAsia="zh-CN"/>
                    </w:rPr>
                    <w:t>隧道窑</w:t>
                  </w:r>
                  <w:r>
                    <w:rPr>
                      <w:rFonts w:hint="eastAsia"/>
                      <w:color w:val="000000"/>
                      <w:sz w:val="21"/>
                      <w:szCs w:val="21"/>
                      <w:lang w:val="en-US" w:eastAsia="zh-CN"/>
                    </w:rPr>
                    <w:t>2#</w:t>
                  </w:r>
                </w:p>
              </w:tc>
              <w:tc>
                <w:tcPr>
                  <w:tcW w:w="563" w:type="dxa"/>
                  <w:noWrap w:val="0"/>
                  <w:vAlign w:val="center"/>
                </w:tcPr>
                <w:p w14:paraId="41B53742">
                  <w:pPr>
                    <w:ind w:left="-94" w:leftChars="-45" w:right="-94" w:rightChars="-45"/>
                    <w:jc w:val="center"/>
                    <w:rPr>
                      <w:rFonts w:hint="eastAsia"/>
                      <w:color w:val="000000"/>
                      <w:kern w:val="2"/>
                      <w:sz w:val="21"/>
                      <w:szCs w:val="21"/>
                      <w:lang w:val="en-US" w:eastAsia="zh-CN" w:bidi="ar-SA"/>
                    </w:rPr>
                  </w:pPr>
                  <w:r>
                    <w:rPr>
                      <w:rFonts w:hint="eastAsia"/>
                      <w:color w:val="000000"/>
                      <w:sz w:val="21"/>
                      <w:szCs w:val="21"/>
                      <w:lang w:val="en-US" w:eastAsia="zh-CN"/>
                    </w:rPr>
                    <w:t>80</w:t>
                  </w:r>
                </w:p>
              </w:tc>
              <w:tc>
                <w:tcPr>
                  <w:tcW w:w="592" w:type="dxa"/>
                  <w:vMerge w:val="continue"/>
                  <w:noWrap w:val="0"/>
                  <w:vAlign w:val="center"/>
                </w:tcPr>
                <w:p w14:paraId="78C16E87">
                  <w:pPr>
                    <w:ind w:left="-94" w:leftChars="-45" w:right="-94" w:rightChars="-45"/>
                    <w:jc w:val="center"/>
                    <w:rPr>
                      <w:rFonts w:hint="eastAsia"/>
                      <w:color w:val="000000"/>
                      <w:kern w:val="2"/>
                      <w:sz w:val="21"/>
                      <w:szCs w:val="21"/>
                      <w:lang w:val="en-US" w:eastAsia="zh-CN" w:bidi="ar-SA"/>
                    </w:rPr>
                  </w:pPr>
                </w:p>
              </w:tc>
              <w:tc>
                <w:tcPr>
                  <w:tcW w:w="589" w:type="dxa"/>
                  <w:noWrap w:val="0"/>
                  <w:vAlign w:val="center"/>
                </w:tcPr>
                <w:p w14:paraId="075080A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kern w:val="2"/>
                      <w:sz w:val="21"/>
                      <w:szCs w:val="21"/>
                      <w:lang w:val="en-US" w:eastAsia="zh-CN" w:bidi="ar-SA"/>
                    </w:rPr>
                  </w:pPr>
                  <w:r>
                    <w:rPr>
                      <w:rFonts w:hint="eastAsia"/>
                      <w:color w:val="000000"/>
                      <w:kern w:val="2"/>
                      <w:sz w:val="21"/>
                      <w:szCs w:val="21"/>
                      <w:lang w:val="en-US" w:eastAsia="zh-CN" w:bidi="ar-SA"/>
                    </w:rPr>
                    <w:t>293.72</w:t>
                  </w:r>
                </w:p>
              </w:tc>
              <w:tc>
                <w:tcPr>
                  <w:tcW w:w="646" w:type="dxa"/>
                  <w:noWrap w:val="0"/>
                  <w:vAlign w:val="center"/>
                </w:tcPr>
                <w:p w14:paraId="100DED86">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kern w:val="2"/>
                      <w:sz w:val="21"/>
                      <w:szCs w:val="21"/>
                      <w:lang w:val="en-US" w:eastAsia="zh-CN" w:bidi="ar-SA"/>
                    </w:rPr>
                  </w:pPr>
                  <w:r>
                    <w:rPr>
                      <w:rFonts w:hint="eastAsia" w:eastAsia="宋体"/>
                      <w:color w:val="000000"/>
                      <w:kern w:val="2"/>
                      <w:sz w:val="21"/>
                      <w:szCs w:val="21"/>
                      <w:lang w:val="en-US" w:eastAsia="zh-CN" w:bidi="ar-SA"/>
                    </w:rPr>
                    <w:t>40.73</w:t>
                  </w:r>
                </w:p>
              </w:tc>
              <w:tc>
                <w:tcPr>
                  <w:tcW w:w="240" w:type="dxa"/>
                  <w:noWrap w:val="0"/>
                  <w:vAlign w:val="center"/>
                </w:tcPr>
                <w:p w14:paraId="252F1BCE">
                  <w:pPr>
                    <w:ind w:left="-53" w:leftChars="-25" w:right="-53" w:rightChars="-25"/>
                    <w:jc w:val="center"/>
                    <w:rPr>
                      <w:rFonts w:hint="default"/>
                      <w:color w:val="000000"/>
                      <w:kern w:val="2"/>
                      <w:sz w:val="21"/>
                      <w:szCs w:val="21"/>
                      <w:lang w:val="en-US" w:eastAsia="zh-CN" w:bidi="ar-SA"/>
                    </w:rPr>
                  </w:pPr>
                  <w:r>
                    <w:rPr>
                      <w:rFonts w:hint="eastAsia"/>
                      <w:color w:val="000000"/>
                      <w:kern w:val="2"/>
                      <w:sz w:val="21"/>
                      <w:szCs w:val="21"/>
                      <w:lang w:val="en-US" w:eastAsia="zh-CN" w:bidi="ar-SA"/>
                    </w:rPr>
                    <w:t>1</w:t>
                  </w:r>
                </w:p>
              </w:tc>
              <w:tc>
                <w:tcPr>
                  <w:tcW w:w="546" w:type="dxa"/>
                  <w:noWrap w:val="0"/>
                  <w:vAlign w:val="center"/>
                </w:tcPr>
                <w:p w14:paraId="0F2C79F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kern w:val="2"/>
                      <w:sz w:val="21"/>
                      <w:szCs w:val="24"/>
                      <w:lang w:val="en-US" w:eastAsia="zh-CN" w:bidi="ar-SA"/>
                    </w:rPr>
                  </w:pPr>
                  <w:r>
                    <w:rPr>
                      <w:rFonts w:hint="eastAsia"/>
                      <w:color w:val="000000"/>
                      <w:kern w:val="2"/>
                      <w:sz w:val="21"/>
                      <w:szCs w:val="24"/>
                      <w:lang w:val="en-US" w:eastAsia="zh-CN" w:bidi="ar-SA"/>
                    </w:rPr>
                    <w:t>75.13</w:t>
                  </w:r>
                </w:p>
              </w:tc>
              <w:tc>
                <w:tcPr>
                  <w:tcW w:w="531" w:type="dxa"/>
                  <w:noWrap w:val="0"/>
                  <w:vAlign w:val="center"/>
                </w:tcPr>
                <w:p w14:paraId="25EE878B">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kern w:val="2"/>
                      <w:sz w:val="21"/>
                      <w:szCs w:val="24"/>
                      <w:lang w:val="en-US" w:eastAsia="zh-CN" w:bidi="ar-SA"/>
                    </w:rPr>
                  </w:pPr>
                  <w:r>
                    <w:rPr>
                      <w:rFonts w:hint="eastAsia"/>
                      <w:color w:val="000000"/>
                      <w:kern w:val="2"/>
                      <w:sz w:val="21"/>
                      <w:szCs w:val="24"/>
                      <w:lang w:val="en-US" w:eastAsia="zh-CN" w:bidi="ar-SA"/>
                    </w:rPr>
                    <w:t>26.48</w:t>
                  </w:r>
                </w:p>
              </w:tc>
              <w:tc>
                <w:tcPr>
                  <w:tcW w:w="560" w:type="dxa"/>
                  <w:noWrap w:val="0"/>
                  <w:vAlign w:val="center"/>
                </w:tcPr>
                <w:p w14:paraId="12438ED3">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kern w:val="2"/>
                      <w:sz w:val="21"/>
                      <w:szCs w:val="24"/>
                      <w:lang w:val="en-US" w:eastAsia="zh-CN" w:bidi="ar-SA"/>
                    </w:rPr>
                  </w:pPr>
                  <w:r>
                    <w:rPr>
                      <w:rFonts w:hint="eastAsia"/>
                      <w:color w:val="000000"/>
                      <w:kern w:val="2"/>
                      <w:sz w:val="21"/>
                      <w:szCs w:val="24"/>
                      <w:lang w:val="en-US" w:eastAsia="zh-CN" w:bidi="ar-SA"/>
                    </w:rPr>
                    <w:t>104.75</w:t>
                  </w:r>
                </w:p>
              </w:tc>
              <w:tc>
                <w:tcPr>
                  <w:tcW w:w="531" w:type="dxa"/>
                  <w:noWrap w:val="0"/>
                  <w:vAlign w:val="center"/>
                </w:tcPr>
                <w:p w14:paraId="4B039132">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kern w:val="2"/>
                      <w:sz w:val="21"/>
                      <w:szCs w:val="24"/>
                      <w:lang w:val="en-US" w:eastAsia="zh-CN" w:bidi="ar-SA"/>
                    </w:rPr>
                  </w:pPr>
                  <w:r>
                    <w:rPr>
                      <w:rFonts w:hint="eastAsia"/>
                      <w:color w:val="000000"/>
                      <w:kern w:val="2"/>
                      <w:sz w:val="21"/>
                      <w:szCs w:val="24"/>
                      <w:lang w:val="en-US" w:eastAsia="zh-CN" w:bidi="ar-SA"/>
                    </w:rPr>
                    <w:t>24.57</w:t>
                  </w:r>
                </w:p>
              </w:tc>
              <w:tc>
                <w:tcPr>
                  <w:tcW w:w="710" w:type="dxa"/>
                  <w:noWrap w:val="0"/>
                  <w:vAlign w:val="center"/>
                </w:tcPr>
                <w:p w14:paraId="50A0A2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722" w:type="dxa"/>
                  <w:noWrap w:val="0"/>
                  <w:vAlign w:val="center"/>
                </w:tcPr>
                <w:p w14:paraId="78A365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68.61</w:t>
                  </w:r>
                </w:p>
              </w:tc>
              <w:tc>
                <w:tcPr>
                  <w:tcW w:w="681" w:type="dxa"/>
                  <w:noWrap w:val="0"/>
                  <w:vAlign w:val="center"/>
                </w:tcPr>
                <w:p w14:paraId="20E10F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647" w:type="dxa"/>
                  <w:noWrap w:val="0"/>
                  <w:vAlign w:val="center"/>
                </w:tcPr>
                <w:p w14:paraId="37D481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68.61</w:t>
                  </w:r>
                </w:p>
              </w:tc>
              <w:tc>
                <w:tcPr>
                  <w:tcW w:w="566" w:type="dxa"/>
                  <w:noWrap w:val="0"/>
                  <w:vAlign w:val="center"/>
                </w:tcPr>
                <w:p w14:paraId="3037EDBA">
                  <w:pPr>
                    <w:ind w:left="-94" w:leftChars="-45" w:right="-94" w:rightChars="-45"/>
                    <w:jc w:val="center"/>
                    <w:rPr>
                      <w:rFonts w:hint="eastAsia" w:eastAsia="宋体"/>
                      <w:color w:val="000000"/>
                      <w:kern w:val="2"/>
                      <w:sz w:val="21"/>
                      <w:szCs w:val="21"/>
                      <w:lang w:val="en-US" w:eastAsia="zh-CN" w:bidi="ar-SA"/>
                    </w:rPr>
                  </w:pPr>
                  <w:r>
                    <w:rPr>
                      <w:rFonts w:hint="eastAsia"/>
                      <w:color w:val="000000"/>
                      <w:sz w:val="21"/>
                      <w:szCs w:val="21"/>
                      <w:lang w:eastAsia="zh-CN"/>
                    </w:rPr>
                    <w:t>昼间、夜间</w:t>
                  </w:r>
                </w:p>
              </w:tc>
              <w:tc>
                <w:tcPr>
                  <w:tcW w:w="621" w:type="dxa"/>
                  <w:noWrap w:val="0"/>
                  <w:vAlign w:val="center"/>
                </w:tcPr>
                <w:p w14:paraId="41A498BD">
                  <w:pPr>
                    <w:ind w:left="-94" w:leftChars="-45" w:right="-94" w:rightChars="-45"/>
                    <w:jc w:val="center"/>
                    <w:rPr>
                      <w:rFonts w:hint="eastAsia"/>
                      <w:color w:val="000000"/>
                      <w:kern w:val="2"/>
                      <w:sz w:val="21"/>
                      <w:szCs w:val="21"/>
                      <w:lang w:val="en-US" w:eastAsia="zh-CN" w:bidi="ar-SA"/>
                    </w:rPr>
                  </w:pPr>
                  <w:r>
                    <w:rPr>
                      <w:rFonts w:hint="eastAsia"/>
                      <w:color w:val="000000"/>
                      <w:sz w:val="21"/>
                      <w:szCs w:val="21"/>
                      <w:lang w:val="en-US" w:eastAsia="zh-CN"/>
                    </w:rPr>
                    <w:t>26</w:t>
                  </w:r>
                </w:p>
              </w:tc>
              <w:tc>
                <w:tcPr>
                  <w:tcW w:w="687" w:type="dxa"/>
                  <w:noWrap w:val="0"/>
                  <w:vAlign w:val="center"/>
                </w:tcPr>
                <w:p w14:paraId="363F17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36" w:type="dxa"/>
                  <w:noWrap w:val="0"/>
                  <w:vAlign w:val="center"/>
                </w:tcPr>
                <w:p w14:paraId="30BED3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42.61</w:t>
                  </w:r>
                </w:p>
              </w:tc>
              <w:tc>
                <w:tcPr>
                  <w:tcW w:w="660" w:type="dxa"/>
                  <w:noWrap w:val="0"/>
                  <w:vAlign w:val="center"/>
                </w:tcPr>
                <w:p w14:paraId="5C13E0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36" w:type="dxa"/>
                  <w:noWrap w:val="0"/>
                  <w:vAlign w:val="center"/>
                </w:tcPr>
                <w:p w14:paraId="3AD9AE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42.61</w:t>
                  </w:r>
                </w:p>
              </w:tc>
              <w:tc>
                <w:tcPr>
                  <w:tcW w:w="688" w:type="dxa"/>
                  <w:noWrap w:val="0"/>
                  <w:vAlign w:val="center"/>
                </w:tcPr>
                <w:p w14:paraId="28936375">
                  <w:pPr>
                    <w:ind w:left="-94" w:leftChars="-45" w:right="-94" w:rightChars="-45"/>
                    <w:jc w:val="center"/>
                    <w:rPr>
                      <w:rFonts w:hint="eastAsia"/>
                      <w:color w:val="000000"/>
                      <w:kern w:val="2"/>
                      <w:sz w:val="21"/>
                      <w:szCs w:val="21"/>
                      <w:lang w:val="en-US" w:eastAsia="zh-CN" w:bidi="ar-SA"/>
                    </w:rPr>
                  </w:pPr>
                  <w:r>
                    <w:rPr>
                      <w:rFonts w:hint="eastAsia"/>
                      <w:color w:val="000000"/>
                      <w:sz w:val="21"/>
                      <w:szCs w:val="21"/>
                    </w:rPr>
                    <w:t>1</w:t>
                  </w:r>
                </w:p>
              </w:tc>
            </w:tr>
            <w:tr w14:paraId="580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0DC9C1CA">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3</w:t>
                  </w:r>
                </w:p>
              </w:tc>
              <w:tc>
                <w:tcPr>
                  <w:tcW w:w="393" w:type="dxa"/>
                  <w:vMerge w:val="continue"/>
                  <w:noWrap w:val="0"/>
                  <w:vAlign w:val="center"/>
                </w:tcPr>
                <w:p w14:paraId="2686AE56">
                  <w:pPr>
                    <w:ind w:left="-94" w:leftChars="-45" w:right="-94" w:rightChars="-45"/>
                    <w:jc w:val="center"/>
                    <w:rPr>
                      <w:rFonts w:hint="eastAsia"/>
                      <w:color w:val="000000"/>
                      <w:sz w:val="21"/>
                      <w:szCs w:val="21"/>
                    </w:rPr>
                  </w:pPr>
                </w:p>
              </w:tc>
              <w:tc>
                <w:tcPr>
                  <w:tcW w:w="1092" w:type="dxa"/>
                  <w:noWrap w:val="0"/>
                  <w:vAlign w:val="center"/>
                </w:tcPr>
                <w:p w14:paraId="27E6125E">
                  <w:pPr>
                    <w:jc w:val="center"/>
                    <w:rPr>
                      <w:rFonts w:hint="default"/>
                      <w:color w:val="000000"/>
                      <w:sz w:val="21"/>
                      <w:szCs w:val="21"/>
                      <w:lang w:val="en-US" w:eastAsia="zh-CN"/>
                    </w:rPr>
                  </w:pPr>
                  <w:r>
                    <w:rPr>
                      <w:rFonts w:hint="eastAsia"/>
                      <w:color w:val="000000"/>
                      <w:sz w:val="21"/>
                      <w:szCs w:val="21"/>
                      <w:lang w:val="en-US" w:eastAsia="zh-CN"/>
                    </w:rPr>
                    <w:t>隧道窑3#</w:t>
                  </w:r>
                </w:p>
              </w:tc>
              <w:tc>
                <w:tcPr>
                  <w:tcW w:w="563" w:type="dxa"/>
                  <w:noWrap w:val="0"/>
                  <w:vAlign w:val="center"/>
                </w:tcPr>
                <w:p w14:paraId="30171F5A">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80</w:t>
                  </w:r>
                </w:p>
              </w:tc>
              <w:tc>
                <w:tcPr>
                  <w:tcW w:w="592" w:type="dxa"/>
                  <w:vMerge w:val="continue"/>
                  <w:noWrap w:val="0"/>
                  <w:vAlign w:val="center"/>
                </w:tcPr>
                <w:p w14:paraId="5F203DAB">
                  <w:pPr>
                    <w:ind w:left="-94" w:leftChars="-45" w:right="-94" w:rightChars="-45"/>
                    <w:jc w:val="center"/>
                    <w:rPr>
                      <w:rFonts w:hint="eastAsia"/>
                      <w:color w:val="000000"/>
                      <w:sz w:val="21"/>
                      <w:szCs w:val="21"/>
                    </w:rPr>
                  </w:pPr>
                </w:p>
              </w:tc>
              <w:tc>
                <w:tcPr>
                  <w:tcW w:w="589" w:type="dxa"/>
                  <w:noWrap w:val="0"/>
                  <w:vAlign w:val="center"/>
                </w:tcPr>
                <w:p w14:paraId="783AD7C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293.72</w:t>
                  </w:r>
                </w:p>
              </w:tc>
              <w:tc>
                <w:tcPr>
                  <w:tcW w:w="646" w:type="dxa"/>
                  <w:noWrap w:val="0"/>
                  <w:vAlign w:val="center"/>
                </w:tcPr>
                <w:p w14:paraId="7C906729">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24.2</w:t>
                  </w:r>
                </w:p>
              </w:tc>
              <w:tc>
                <w:tcPr>
                  <w:tcW w:w="240" w:type="dxa"/>
                  <w:noWrap w:val="0"/>
                  <w:vAlign w:val="center"/>
                </w:tcPr>
                <w:p w14:paraId="0D18494C">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40A184F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75.32</w:t>
                  </w:r>
                </w:p>
              </w:tc>
              <w:tc>
                <w:tcPr>
                  <w:tcW w:w="531" w:type="dxa"/>
                  <w:noWrap w:val="0"/>
                  <w:vAlign w:val="center"/>
                </w:tcPr>
                <w:p w14:paraId="090F86EA">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43.01</w:t>
                  </w:r>
                </w:p>
              </w:tc>
              <w:tc>
                <w:tcPr>
                  <w:tcW w:w="560" w:type="dxa"/>
                  <w:noWrap w:val="0"/>
                  <w:vAlign w:val="center"/>
                </w:tcPr>
                <w:p w14:paraId="2135A5A3">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104.95</w:t>
                  </w:r>
                </w:p>
              </w:tc>
              <w:tc>
                <w:tcPr>
                  <w:tcW w:w="531" w:type="dxa"/>
                  <w:noWrap w:val="0"/>
                  <w:vAlign w:val="center"/>
                </w:tcPr>
                <w:p w14:paraId="7AB73535">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7.04</w:t>
                  </w:r>
                </w:p>
              </w:tc>
              <w:tc>
                <w:tcPr>
                  <w:tcW w:w="710" w:type="dxa"/>
                  <w:noWrap w:val="0"/>
                  <w:vAlign w:val="center"/>
                </w:tcPr>
                <w:p w14:paraId="33D6BB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722" w:type="dxa"/>
                  <w:noWrap w:val="0"/>
                  <w:vAlign w:val="center"/>
                </w:tcPr>
                <w:p w14:paraId="3D5259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681" w:type="dxa"/>
                  <w:noWrap w:val="0"/>
                  <w:vAlign w:val="center"/>
                </w:tcPr>
                <w:p w14:paraId="4B4E44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68.60</w:t>
                  </w:r>
                </w:p>
              </w:tc>
              <w:tc>
                <w:tcPr>
                  <w:tcW w:w="647" w:type="dxa"/>
                  <w:noWrap w:val="0"/>
                  <w:vAlign w:val="center"/>
                </w:tcPr>
                <w:p w14:paraId="4863A6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68.70</w:t>
                  </w:r>
                </w:p>
              </w:tc>
              <w:tc>
                <w:tcPr>
                  <w:tcW w:w="566" w:type="dxa"/>
                  <w:noWrap w:val="0"/>
                  <w:vAlign w:val="center"/>
                </w:tcPr>
                <w:p w14:paraId="2813127A">
                  <w:pPr>
                    <w:ind w:left="-94" w:leftChars="-45" w:right="-94" w:rightChars="-45"/>
                    <w:jc w:val="center"/>
                    <w:rPr>
                      <w:rFonts w:hint="eastAsia" w:eastAsia="宋体"/>
                      <w:color w:val="000000"/>
                      <w:kern w:val="2"/>
                      <w:sz w:val="21"/>
                      <w:szCs w:val="21"/>
                      <w:lang w:val="en-US" w:eastAsia="zh-CN" w:bidi="ar-SA"/>
                    </w:rPr>
                  </w:pPr>
                  <w:r>
                    <w:rPr>
                      <w:rFonts w:hint="eastAsia"/>
                      <w:color w:val="000000"/>
                      <w:sz w:val="21"/>
                      <w:szCs w:val="21"/>
                      <w:lang w:eastAsia="zh-CN"/>
                    </w:rPr>
                    <w:t>昼间、夜间</w:t>
                  </w:r>
                </w:p>
              </w:tc>
              <w:tc>
                <w:tcPr>
                  <w:tcW w:w="621" w:type="dxa"/>
                  <w:noWrap w:val="0"/>
                  <w:vAlign w:val="center"/>
                </w:tcPr>
                <w:p w14:paraId="0A2C7590">
                  <w:pPr>
                    <w:ind w:left="-94" w:leftChars="-45" w:right="-94" w:rightChars="-45"/>
                    <w:jc w:val="center"/>
                    <w:rPr>
                      <w:rFonts w:hint="default" w:eastAsia="宋体"/>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50590E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36" w:type="dxa"/>
                  <w:noWrap w:val="0"/>
                  <w:vAlign w:val="center"/>
                </w:tcPr>
                <w:p w14:paraId="75C6EB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60" w:type="dxa"/>
                  <w:noWrap w:val="0"/>
                  <w:vAlign w:val="center"/>
                </w:tcPr>
                <w:p w14:paraId="717EFD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42.60</w:t>
                  </w:r>
                </w:p>
              </w:tc>
              <w:tc>
                <w:tcPr>
                  <w:tcW w:w="636" w:type="dxa"/>
                  <w:noWrap w:val="0"/>
                  <w:vAlign w:val="center"/>
                </w:tcPr>
                <w:p w14:paraId="36ED88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42.70</w:t>
                  </w:r>
                </w:p>
              </w:tc>
              <w:tc>
                <w:tcPr>
                  <w:tcW w:w="688" w:type="dxa"/>
                  <w:noWrap w:val="0"/>
                  <w:vAlign w:val="center"/>
                </w:tcPr>
                <w:p w14:paraId="45A76561">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5987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634356B4">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4</w:t>
                  </w:r>
                </w:p>
              </w:tc>
              <w:tc>
                <w:tcPr>
                  <w:tcW w:w="393" w:type="dxa"/>
                  <w:vMerge w:val="continue"/>
                  <w:noWrap w:val="0"/>
                  <w:vAlign w:val="center"/>
                </w:tcPr>
                <w:p w14:paraId="24412A66">
                  <w:pPr>
                    <w:ind w:left="-94" w:leftChars="-45" w:right="-94" w:rightChars="-45"/>
                    <w:jc w:val="center"/>
                    <w:rPr>
                      <w:rFonts w:hint="eastAsia"/>
                      <w:color w:val="000000"/>
                      <w:sz w:val="21"/>
                      <w:szCs w:val="21"/>
                    </w:rPr>
                  </w:pPr>
                </w:p>
              </w:tc>
              <w:tc>
                <w:tcPr>
                  <w:tcW w:w="1092" w:type="dxa"/>
                  <w:noWrap w:val="0"/>
                  <w:vAlign w:val="center"/>
                </w:tcPr>
                <w:p w14:paraId="792ED972">
                  <w:pPr>
                    <w:jc w:val="center"/>
                    <w:rPr>
                      <w:rFonts w:hint="default"/>
                      <w:color w:val="000000"/>
                      <w:sz w:val="21"/>
                      <w:szCs w:val="21"/>
                      <w:lang w:val="en-US" w:eastAsia="zh-CN"/>
                    </w:rPr>
                  </w:pPr>
                  <w:r>
                    <w:rPr>
                      <w:rFonts w:hint="eastAsia"/>
                      <w:color w:val="000000"/>
                      <w:sz w:val="21"/>
                      <w:szCs w:val="21"/>
                      <w:lang w:eastAsia="zh-CN"/>
                    </w:rPr>
                    <w:t>自动装料机</w:t>
                  </w:r>
                  <w:r>
                    <w:rPr>
                      <w:rFonts w:hint="eastAsia"/>
                      <w:color w:val="000000"/>
                      <w:sz w:val="21"/>
                      <w:szCs w:val="21"/>
                      <w:lang w:val="en-US" w:eastAsia="zh-CN"/>
                    </w:rPr>
                    <w:t>1#</w:t>
                  </w:r>
                </w:p>
              </w:tc>
              <w:tc>
                <w:tcPr>
                  <w:tcW w:w="563" w:type="dxa"/>
                  <w:noWrap w:val="0"/>
                  <w:vAlign w:val="center"/>
                </w:tcPr>
                <w:p w14:paraId="5A344528">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75</w:t>
                  </w:r>
                </w:p>
              </w:tc>
              <w:tc>
                <w:tcPr>
                  <w:tcW w:w="592" w:type="dxa"/>
                  <w:vMerge w:val="continue"/>
                  <w:noWrap w:val="0"/>
                  <w:vAlign w:val="center"/>
                </w:tcPr>
                <w:p w14:paraId="31D79825">
                  <w:pPr>
                    <w:ind w:left="-94" w:leftChars="-45" w:right="-94" w:rightChars="-45"/>
                    <w:jc w:val="center"/>
                    <w:rPr>
                      <w:rFonts w:hint="eastAsia"/>
                      <w:color w:val="000000"/>
                      <w:sz w:val="21"/>
                      <w:szCs w:val="21"/>
                    </w:rPr>
                  </w:pPr>
                </w:p>
              </w:tc>
              <w:tc>
                <w:tcPr>
                  <w:tcW w:w="589" w:type="dxa"/>
                  <w:noWrap w:val="0"/>
                  <w:vAlign w:val="center"/>
                </w:tcPr>
                <w:p w14:paraId="0DE50F6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242.83</w:t>
                  </w:r>
                </w:p>
              </w:tc>
              <w:tc>
                <w:tcPr>
                  <w:tcW w:w="646" w:type="dxa"/>
                  <w:noWrap w:val="0"/>
                  <w:vAlign w:val="center"/>
                </w:tcPr>
                <w:p w14:paraId="4EE5CE1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62.41</w:t>
                  </w:r>
                </w:p>
              </w:tc>
              <w:tc>
                <w:tcPr>
                  <w:tcW w:w="240" w:type="dxa"/>
                  <w:noWrap w:val="0"/>
                  <w:vAlign w:val="center"/>
                </w:tcPr>
                <w:p w14:paraId="7E3EA5F2">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4D65088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23.99</w:t>
                  </w:r>
                </w:p>
              </w:tc>
              <w:tc>
                <w:tcPr>
                  <w:tcW w:w="531" w:type="dxa"/>
                  <w:noWrap w:val="0"/>
                  <w:vAlign w:val="center"/>
                </w:tcPr>
                <w:p w14:paraId="2F27E216">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4.8</w:t>
                  </w:r>
                </w:p>
              </w:tc>
              <w:tc>
                <w:tcPr>
                  <w:tcW w:w="560" w:type="dxa"/>
                  <w:noWrap w:val="0"/>
                  <w:vAlign w:val="center"/>
                </w:tcPr>
                <w:p w14:paraId="7C473F53">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155.38</w:t>
                  </w:r>
                </w:p>
              </w:tc>
              <w:tc>
                <w:tcPr>
                  <w:tcW w:w="531" w:type="dxa"/>
                  <w:noWrap w:val="0"/>
                  <w:vAlign w:val="center"/>
                </w:tcPr>
                <w:p w14:paraId="091CCFB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45.92</w:t>
                  </w:r>
                </w:p>
              </w:tc>
              <w:tc>
                <w:tcPr>
                  <w:tcW w:w="710" w:type="dxa"/>
                  <w:noWrap w:val="0"/>
                  <w:vAlign w:val="center"/>
                </w:tcPr>
                <w:p w14:paraId="6527B0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722" w:type="dxa"/>
                  <w:noWrap w:val="0"/>
                  <w:vAlign w:val="center"/>
                </w:tcPr>
                <w:p w14:paraId="27ECB6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63.80</w:t>
                  </w:r>
                </w:p>
              </w:tc>
              <w:tc>
                <w:tcPr>
                  <w:tcW w:w="681" w:type="dxa"/>
                  <w:noWrap w:val="0"/>
                  <w:vAlign w:val="center"/>
                </w:tcPr>
                <w:p w14:paraId="3388AF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lang w:val="en-US" w:eastAsia="zh-CN"/>
                    </w:rPr>
                    <w:t>63.60</w:t>
                  </w:r>
                </w:p>
              </w:tc>
              <w:tc>
                <w:tcPr>
                  <w:tcW w:w="647" w:type="dxa"/>
                  <w:noWrap w:val="0"/>
                  <w:vAlign w:val="center"/>
                </w:tcPr>
                <w:p w14:paraId="1B5D5A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63.60</w:t>
                  </w:r>
                </w:p>
              </w:tc>
              <w:tc>
                <w:tcPr>
                  <w:tcW w:w="566" w:type="dxa"/>
                  <w:noWrap w:val="0"/>
                  <w:vAlign w:val="center"/>
                </w:tcPr>
                <w:p w14:paraId="5C2D1009">
                  <w:pPr>
                    <w:ind w:left="-94" w:leftChars="-45" w:right="-94" w:rightChars="-45"/>
                    <w:jc w:val="center"/>
                    <w:rPr>
                      <w:rFonts w:hint="eastAsia"/>
                      <w:color w:val="000000"/>
                      <w:sz w:val="21"/>
                      <w:szCs w:val="21"/>
                    </w:rPr>
                  </w:pPr>
                  <w:r>
                    <w:rPr>
                      <w:rFonts w:hint="eastAsia"/>
                      <w:color w:val="000000"/>
                      <w:sz w:val="21"/>
                      <w:szCs w:val="21"/>
                    </w:rPr>
                    <w:t>昼间</w:t>
                  </w:r>
                  <w:r>
                    <w:rPr>
                      <w:rFonts w:hint="eastAsia"/>
                      <w:color w:val="000000"/>
                      <w:sz w:val="21"/>
                      <w:szCs w:val="21"/>
                      <w:lang w:eastAsia="zh-CN"/>
                    </w:rPr>
                    <w:t>、夜间</w:t>
                  </w:r>
                </w:p>
              </w:tc>
              <w:tc>
                <w:tcPr>
                  <w:tcW w:w="621" w:type="dxa"/>
                  <w:noWrap w:val="0"/>
                  <w:vAlign w:val="center"/>
                </w:tcPr>
                <w:p w14:paraId="0ACF779D">
                  <w:pPr>
                    <w:ind w:left="-94" w:leftChars="-45" w:right="-94" w:rightChars="-45"/>
                    <w:jc w:val="center"/>
                    <w:rPr>
                      <w:rFonts w:hint="eastAsia"/>
                      <w:color w:val="000000"/>
                      <w:sz w:val="21"/>
                      <w:szCs w:val="21"/>
                    </w:rPr>
                  </w:pPr>
                  <w:r>
                    <w:rPr>
                      <w:rFonts w:hint="eastAsia"/>
                      <w:color w:val="000000"/>
                      <w:sz w:val="21"/>
                      <w:szCs w:val="21"/>
                      <w:lang w:val="en-US" w:eastAsia="zh-CN"/>
                    </w:rPr>
                    <w:t>26</w:t>
                  </w:r>
                </w:p>
              </w:tc>
              <w:tc>
                <w:tcPr>
                  <w:tcW w:w="687" w:type="dxa"/>
                  <w:noWrap w:val="0"/>
                  <w:vAlign w:val="center"/>
                </w:tcPr>
                <w:p w14:paraId="1EB55E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1E7A4E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37.80</w:t>
                  </w:r>
                </w:p>
              </w:tc>
              <w:tc>
                <w:tcPr>
                  <w:tcW w:w="660" w:type="dxa"/>
                  <w:noWrap w:val="0"/>
                  <w:vAlign w:val="center"/>
                </w:tcPr>
                <w:p w14:paraId="7EB92D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36" w:type="dxa"/>
                  <w:noWrap w:val="0"/>
                  <w:vAlign w:val="center"/>
                </w:tcPr>
                <w:p w14:paraId="25A448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88" w:type="dxa"/>
                  <w:noWrap w:val="0"/>
                  <w:vAlign w:val="center"/>
                </w:tcPr>
                <w:p w14:paraId="7687173F">
                  <w:pPr>
                    <w:ind w:left="-94" w:leftChars="-45" w:right="-94" w:rightChars="-45"/>
                    <w:jc w:val="center"/>
                    <w:rPr>
                      <w:rFonts w:hint="eastAsia"/>
                      <w:color w:val="000000"/>
                      <w:sz w:val="21"/>
                      <w:szCs w:val="21"/>
                    </w:rPr>
                  </w:pPr>
                  <w:r>
                    <w:rPr>
                      <w:rFonts w:hint="eastAsia"/>
                      <w:color w:val="000000"/>
                      <w:sz w:val="21"/>
                      <w:szCs w:val="21"/>
                    </w:rPr>
                    <w:t>1</w:t>
                  </w:r>
                </w:p>
              </w:tc>
            </w:tr>
            <w:tr w14:paraId="2281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4E98F5C2">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5</w:t>
                  </w:r>
                </w:p>
              </w:tc>
              <w:tc>
                <w:tcPr>
                  <w:tcW w:w="393" w:type="dxa"/>
                  <w:vMerge w:val="continue"/>
                  <w:noWrap w:val="0"/>
                  <w:vAlign w:val="center"/>
                </w:tcPr>
                <w:p w14:paraId="6BC3B879">
                  <w:pPr>
                    <w:ind w:left="-94" w:leftChars="-45" w:right="-94" w:rightChars="-45"/>
                    <w:jc w:val="center"/>
                    <w:rPr>
                      <w:rFonts w:hint="eastAsia"/>
                      <w:color w:val="000000"/>
                      <w:sz w:val="21"/>
                      <w:szCs w:val="21"/>
                    </w:rPr>
                  </w:pPr>
                </w:p>
              </w:tc>
              <w:tc>
                <w:tcPr>
                  <w:tcW w:w="1092" w:type="dxa"/>
                  <w:noWrap w:val="0"/>
                  <w:vAlign w:val="center"/>
                </w:tcPr>
                <w:p w14:paraId="5F8F9674">
                  <w:pPr>
                    <w:jc w:val="center"/>
                    <w:rPr>
                      <w:rFonts w:hint="default"/>
                      <w:color w:val="000000"/>
                      <w:sz w:val="21"/>
                      <w:szCs w:val="21"/>
                      <w:lang w:val="en-US" w:eastAsia="zh-CN"/>
                    </w:rPr>
                  </w:pPr>
                  <w:r>
                    <w:rPr>
                      <w:rFonts w:hint="eastAsia"/>
                      <w:color w:val="000000"/>
                      <w:sz w:val="21"/>
                      <w:szCs w:val="21"/>
                      <w:lang w:eastAsia="zh-CN"/>
                    </w:rPr>
                    <w:t>自动装料机</w:t>
                  </w:r>
                  <w:r>
                    <w:rPr>
                      <w:rFonts w:hint="eastAsia"/>
                      <w:color w:val="000000"/>
                      <w:sz w:val="21"/>
                      <w:szCs w:val="21"/>
                      <w:lang w:val="en-US" w:eastAsia="zh-CN"/>
                    </w:rPr>
                    <w:t>2#</w:t>
                  </w:r>
                </w:p>
              </w:tc>
              <w:tc>
                <w:tcPr>
                  <w:tcW w:w="563" w:type="dxa"/>
                  <w:noWrap w:val="0"/>
                  <w:vAlign w:val="center"/>
                </w:tcPr>
                <w:p w14:paraId="181CF33A">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75</w:t>
                  </w:r>
                </w:p>
              </w:tc>
              <w:tc>
                <w:tcPr>
                  <w:tcW w:w="592" w:type="dxa"/>
                  <w:vMerge w:val="continue"/>
                  <w:noWrap w:val="0"/>
                  <w:vAlign w:val="center"/>
                </w:tcPr>
                <w:p w14:paraId="01654A92">
                  <w:pPr>
                    <w:ind w:left="-94" w:leftChars="-45" w:right="-94" w:rightChars="-45"/>
                    <w:jc w:val="center"/>
                    <w:rPr>
                      <w:rFonts w:hint="eastAsia"/>
                      <w:color w:val="000000"/>
                      <w:sz w:val="21"/>
                      <w:szCs w:val="21"/>
                    </w:rPr>
                  </w:pPr>
                </w:p>
              </w:tc>
              <w:tc>
                <w:tcPr>
                  <w:tcW w:w="589" w:type="dxa"/>
                  <w:noWrap w:val="0"/>
                  <w:vAlign w:val="center"/>
                </w:tcPr>
                <w:p w14:paraId="128C2BE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239.83</w:t>
                  </w:r>
                </w:p>
              </w:tc>
              <w:tc>
                <w:tcPr>
                  <w:tcW w:w="646" w:type="dxa"/>
                  <w:noWrap w:val="0"/>
                  <w:vAlign w:val="center"/>
                </w:tcPr>
                <w:p w14:paraId="24DEDC15">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48.01</w:t>
                  </w:r>
                </w:p>
              </w:tc>
              <w:tc>
                <w:tcPr>
                  <w:tcW w:w="240" w:type="dxa"/>
                  <w:noWrap w:val="0"/>
                  <w:vAlign w:val="center"/>
                </w:tcPr>
                <w:p w14:paraId="50755ECE">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6E5205A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21.16</w:t>
                  </w:r>
                </w:p>
              </w:tc>
              <w:tc>
                <w:tcPr>
                  <w:tcW w:w="531" w:type="dxa"/>
                  <w:noWrap w:val="0"/>
                  <w:vAlign w:val="center"/>
                </w:tcPr>
                <w:p w14:paraId="76FAD04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19.20</w:t>
                  </w:r>
                </w:p>
              </w:tc>
              <w:tc>
                <w:tcPr>
                  <w:tcW w:w="560" w:type="dxa"/>
                  <w:noWrap w:val="0"/>
                  <w:vAlign w:val="center"/>
                </w:tcPr>
                <w:p w14:paraId="343B7F53">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158.55</w:t>
                  </w:r>
                </w:p>
              </w:tc>
              <w:tc>
                <w:tcPr>
                  <w:tcW w:w="531" w:type="dxa"/>
                  <w:noWrap w:val="0"/>
                  <w:vAlign w:val="center"/>
                </w:tcPr>
                <w:p w14:paraId="0542A731">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31.56</w:t>
                  </w:r>
                </w:p>
              </w:tc>
              <w:tc>
                <w:tcPr>
                  <w:tcW w:w="710" w:type="dxa"/>
                  <w:noWrap w:val="0"/>
                  <w:vAlign w:val="center"/>
                </w:tcPr>
                <w:p w14:paraId="07D43D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722" w:type="dxa"/>
                  <w:noWrap w:val="0"/>
                  <w:vAlign w:val="center"/>
                </w:tcPr>
                <w:p w14:paraId="010109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81" w:type="dxa"/>
                  <w:noWrap w:val="0"/>
                  <w:vAlign w:val="center"/>
                </w:tcPr>
                <w:p w14:paraId="78ABC4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63.60</w:t>
                  </w:r>
                </w:p>
              </w:tc>
              <w:tc>
                <w:tcPr>
                  <w:tcW w:w="647" w:type="dxa"/>
                  <w:noWrap w:val="0"/>
                  <w:vAlign w:val="center"/>
                </w:tcPr>
                <w:p w14:paraId="69FF5B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566" w:type="dxa"/>
                  <w:noWrap w:val="0"/>
                  <w:vAlign w:val="center"/>
                </w:tcPr>
                <w:p w14:paraId="69184C17">
                  <w:pPr>
                    <w:ind w:left="-94" w:leftChars="-45" w:right="-94" w:rightChars="-45"/>
                    <w:jc w:val="center"/>
                    <w:rPr>
                      <w:rFonts w:hint="eastAsia"/>
                      <w:color w:val="000000"/>
                      <w:sz w:val="21"/>
                      <w:szCs w:val="21"/>
                    </w:rPr>
                  </w:pPr>
                  <w:r>
                    <w:rPr>
                      <w:rFonts w:hint="eastAsia"/>
                      <w:color w:val="000000"/>
                      <w:sz w:val="21"/>
                      <w:szCs w:val="21"/>
                    </w:rPr>
                    <w:t>昼间</w:t>
                  </w:r>
                  <w:r>
                    <w:rPr>
                      <w:rFonts w:hint="eastAsia"/>
                      <w:color w:val="000000"/>
                      <w:sz w:val="21"/>
                      <w:szCs w:val="21"/>
                      <w:lang w:eastAsia="zh-CN"/>
                    </w:rPr>
                    <w:t>、夜间</w:t>
                  </w:r>
                </w:p>
              </w:tc>
              <w:tc>
                <w:tcPr>
                  <w:tcW w:w="621" w:type="dxa"/>
                  <w:noWrap w:val="0"/>
                  <w:vAlign w:val="center"/>
                </w:tcPr>
                <w:p w14:paraId="79DC55E6">
                  <w:pPr>
                    <w:ind w:left="-94" w:leftChars="-45" w:right="-94" w:rightChars="-45"/>
                    <w:jc w:val="center"/>
                    <w:rPr>
                      <w:rFonts w:hint="eastAsia"/>
                      <w:color w:val="000000"/>
                      <w:sz w:val="21"/>
                      <w:szCs w:val="21"/>
                    </w:rPr>
                  </w:pPr>
                  <w:r>
                    <w:rPr>
                      <w:rFonts w:hint="eastAsia"/>
                      <w:color w:val="000000"/>
                      <w:sz w:val="21"/>
                      <w:szCs w:val="21"/>
                      <w:lang w:val="en-US" w:eastAsia="zh-CN"/>
                    </w:rPr>
                    <w:t>26</w:t>
                  </w:r>
                </w:p>
              </w:tc>
              <w:tc>
                <w:tcPr>
                  <w:tcW w:w="687" w:type="dxa"/>
                  <w:noWrap w:val="0"/>
                  <w:vAlign w:val="center"/>
                </w:tcPr>
                <w:p w14:paraId="2B3D8E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5FD2D4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60" w:type="dxa"/>
                  <w:noWrap w:val="0"/>
                  <w:vAlign w:val="center"/>
                </w:tcPr>
                <w:p w14:paraId="35B932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36" w:type="dxa"/>
                  <w:noWrap w:val="0"/>
                  <w:vAlign w:val="center"/>
                </w:tcPr>
                <w:p w14:paraId="5C8A2E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88" w:type="dxa"/>
                  <w:noWrap w:val="0"/>
                  <w:vAlign w:val="center"/>
                </w:tcPr>
                <w:p w14:paraId="0F2AEFBC">
                  <w:pPr>
                    <w:ind w:left="-94" w:leftChars="-45" w:right="-94" w:rightChars="-45"/>
                    <w:jc w:val="center"/>
                    <w:rPr>
                      <w:rFonts w:hint="eastAsia"/>
                      <w:color w:val="000000"/>
                      <w:sz w:val="21"/>
                      <w:szCs w:val="21"/>
                    </w:rPr>
                  </w:pPr>
                  <w:r>
                    <w:rPr>
                      <w:rFonts w:hint="eastAsia"/>
                      <w:color w:val="000000"/>
                      <w:sz w:val="21"/>
                      <w:szCs w:val="21"/>
                    </w:rPr>
                    <w:t>1</w:t>
                  </w:r>
                </w:p>
              </w:tc>
            </w:tr>
            <w:tr w14:paraId="5A47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6C4264B4">
                  <w:pPr>
                    <w:ind w:left="-94" w:leftChars="-45" w:right="-94" w:rightChars="-45"/>
                    <w:jc w:val="center"/>
                    <w:rPr>
                      <w:rFonts w:hint="eastAsia"/>
                      <w:color w:val="000000"/>
                      <w:kern w:val="2"/>
                      <w:sz w:val="21"/>
                      <w:szCs w:val="21"/>
                      <w:lang w:val="en-US" w:eastAsia="zh-CN" w:bidi="ar-SA"/>
                    </w:rPr>
                  </w:pPr>
                  <w:r>
                    <w:rPr>
                      <w:rFonts w:hint="eastAsia"/>
                      <w:color w:val="000000"/>
                      <w:sz w:val="21"/>
                      <w:szCs w:val="21"/>
                      <w:lang w:val="en-US" w:eastAsia="zh-CN"/>
                    </w:rPr>
                    <w:t>6</w:t>
                  </w:r>
                </w:p>
              </w:tc>
              <w:tc>
                <w:tcPr>
                  <w:tcW w:w="393" w:type="dxa"/>
                  <w:vMerge w:val="continue"/>
                  <w:noWrap w:val="0"/>
                  <w:vAlign w:val="center"/>
                </w:tcPr>
                <w:p w14:paraId="24D63802">
                  <w:pPr>
                    <w:ind w:left="-94" w:leftChars="-45" w:right="-94" w:rightChars="-45"/>
                    <w:jc w:val="center"/>
                    <w:rPr>
                      <w:rFonts w:hint="eastAsia"/>
                      <w:color w:val="000000"/>
                      <w:sz w:val="21"/>
                      <w:szCs w:val="21"/>
                    </w:rPr>
                  </w:pPr>
                </w:p>
              </w:tc>
              <w:tc>
                <w:tcPr>
                  <w:tcW w:w="1092" w:type="dxa"/>
                  <w:noWrap w:val="0"/>
                  <w:vAlign w:val="center"/>
                </w:tcPr>
                <w:p w14:paraId="69191D4F">
                  <w:pPr>
                    <w:jc w:val="center"/>
                    <w:rPr>
                      <w:rFonts w:hint="eastAsia"/>
                      <w:color w:val="000000"/>
                      <w:sz w:val="21"/>
                      <w:szCs w:val="21"/>
                      <w:lang w:eastAsia="zh-CN"/>
                    </w:rPr>
                  </w:pPr>
                  <w:r>
                    <w:rPr>
                      <w:rFonts w:hint="eastAsia"/>
                      <w:color w:val="000000"/>
                      <w:sz w:val="21"/>
                      <w:szCs w:val="21"/>
                      <w:lang w:eastAsia="zh-CN"/>
                    </w:rPr>
                    <w:t>自动装料机</w:t>
                  </w:r>
                  <w:r>
                    <w:rPr>
                      <w:rFonts w:hint="eastAsia"/>
                      <w:color w:val="000000"/>
                      <w:sz w:val="21"/>
                      <w:szCs w:val="21"/>
                      <w:lang w:val="en-US" w:eastAsia="zh-CN"/>
                    </w:rPr>
                    <w:t>3#</w:t>
                  </w:r>
                </w:p>
              </w:tc>
              <w:tc>
                <w:tcPr>
                  <w:tcW w:w="563" w:type="dxa"/>
                  <w:noWrap w:val="0"/>
                  <w:vAlign w:val="center"/>
                </w:tcPr>
                <w:p w14:paraId="05F48F1A">
                  <w:pPr>
                    <w:ind w:left="-94" w:leftChars="-45" w:right="-94" w:rightChars="-45"/>
                    <w:jc w:val="center"/>
                    <w:rPr>
                      <w:rFonts w:hint="eastAsia"/>
                      <w:color w:val="000000"/>
                      <w:sz w:val="21"/>
                      <w:szCs w:val="21"/>
                      <w:lang w:val="en-US" w:eastAsia="zh-CN"/>
                    </w:rPr>
                  </w:pPr>
                  <w:r>
                    <w:rPr>
                      <w:rFonts w:hint="eastAsia"/>
                      <w:color w:val="000000"/>
                      <w:sz w:val="21"/>
                      <w:szCs w:val="21"/>
                      <w:lang w:val="en-US" w:eastAsia="zh-CN"/>
                    </w:rPr>
                    <w:t>75</w:t>
                  </w:r>
                </w:p>
              </w:tc>
              <w:tc>
                <w:tcPr>
                  <w:tcW w:w="592" w:type="dxa"/>
                  <w:vMerge w:val="continue"/>
                  <w:noWrap w:val="0"/>
                  <w:vAlign w:val="center"/>
                </w:tcPr>
                <w:p w14:paraId="6606E994">
                  <w:pPr>
                    <w:ind w:left="-94" w:leftChars="-45" w:right="-94" w:rightChars="-45"/>
                    <w:jc w:val="center"/>
                    <w:rPr>
                      <w:rFonts w:hint="eastAsia"/>
                      <w:color w:val="000000"/>
                      <w:sz w:val="21"/>
                      <w:szCs w:val="21"/>
                    </w:rPr>
                  </w:pPr>
                </w:p>
              </w:tc>
              <w:tc>
                <w:tcPr>
                  <w:tcW w:w="589" w:type="dxa"/>
                  <w:noWrap w:val="0"/>
                  <w:vAlign w:val="center"/>
                </w:tcPr>
                <w:p w14:paraId="4ED8881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24.073</w:t>
                  </w:r>
                </w:p>
              </w:tc>
              <w:tc>
                <w:tcPr>
                  <w:tcW w:w="646" w:type="dxa"/>
                  <w:noWrap w:val="0"/>
                  <w:vAlign w:val="center"/>
                </w:tcPr>
                <w:p w14:paraId="663DA93A">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27.9</w:t>
                  </w:r>
                </w:p>
              </w:tc>
              <w:tc>
                <w:tcPr>
                  <w:tcW w:w="240" w:type="dxa"/>
                  <w:noWrap w:val="0"/>
                  <w:vAlign w:val="center"/>
                </w:tcPr>
                <w:p w14:paraId="45121B6D">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30AA496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22.29</w:t>
                  </w:r>
                </w:p>
              </w:tc>
              <w:tc>
                <w:tcPr>
                  <w:tcW w:w="531" w:type="dxa"/>
                  <w:noWrap w:val="0"/>
                  <w:vAlign w:val="center"/>
                </w:tcPr>
                <w:p w14:paraId="5CA8F3CD">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39.31</w:t>
                  </w:r>
                </w:p>
              </w:tc>
              <w:tc>
                <w:tcPr>
                  <w:tcW w:w="560" w:type="dxa"/>
                  <w:noWrap w:val="0"/>
                  <w:vAlign w:val="center"/>
                </w:tcPr>
                <w:p w14:paraId="0EBF2491">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157.89</w:t>
                  </w:r>
                </w:p>
              </w:tc>
              <w:tc>
                <w:tcPr>
                  <w:tcW w:w="531" w:type="dxa"/>
                  <w:noWrap w:val="0"/>
                  <w:vAlign w:val="center"/>
                </w:tcPr>
                <w:p w14:paraId="4E434D08">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11.44</w:t>
                  </w:r>
                </w:p>
              </w:tc>
              <w:tc>
                <w:tcPr>
                  <w:tcW w:w="710" w:type="dxa"/>
                  <w:noWrap w:val="0"/>
                  <w:vAlign w:val="center"/>
                </w:tcPr>
                <w:p w14:paraId="37EB6C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722" w:type="dxa"/>
                  <w:noWrap w:val="0"/>
                  <w:vAlign w:val="center"/>
                </w:tcPr>
                <w:p w14:paraId="40DF9A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81" w:type="dxa"/>
                  <w:noWrap w:val="0"/>
                  <w:vAlign w:val="center"/>
                </w:tcPr>
                <w:p w14:paraId="1F40F6C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47" w:type="dxa"/>
                  <w:noWrap w:val="0"/>
                  <w:vAlign w:val="center"/>
                </w:tcPr>
                <w:p w14:paraId="4408BB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63.64</w:t>
                  </w:r>
                </w:p>
              </w:tc>
              <w:tc>
                <w:tcPr>
                  <w:tcW w:w="566" w:type="dxa"/>
                  <w:noWrap w:val="0"/>
                  <w:vAlign w:val="center"/>
                </w:tcPr>
                <w:p w14:paraId="393D409A">
                  <w:pPr>
                    <w:ind w:left="-94" w:leftChars="-45" w:right="-94" w:rightChars="-45"/>
                    <w:jc w:val="center"/>
                    <w:rPr>
                      <w:rFonts w:hint="eastAsia" w:eastAsia="宋体"/>
                      <w:color w:val="000000"/>
                      <w:kern w:val="2"/>
                      <w:sz w:val="21"/>
                      <w:szCs w:val="21"/>
                      <w:lang w:val="en-US" w:eastAsia="zh-CN" w:bidi="ar-SA"/>
                    </w:rPr>
                  </w:pPr>
                  <w:r>
                    <w:rPr>
                      <w:rFonts w:hint="eastAsia"/>
                      <w:color w:val="000000"/>
                      <w:sz w:val="21"/>
                      <w:szCs w:val="21"/>
                      <w:lang w:eastAsia="zh-CN"/>
                    </w:rPr>
                    <w:t>昼间、夜间</w:t>
                  </w:r>
                </w:p>
              </w:tc>
              <w:tc>
                <w:tcPr>
                  <w:tcW w:w="621" w:type="dxa"/>
                  <w:noWrap w:val="0"/>
                  <w:vAlign w:val="center"/>
                </w:tcPr>
                <w:p w14:paraId="5BAC033B">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47A035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7F14D4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60" w:type="dxa"/>
                  <w:noWrap w:val="0"/>
                  <w:vAlign w:val="center"/>
                </w:tcPr>
                <w:p w14:paraId="1F78D3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5BCC4D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37.64</w:t>
                  </w:r>
                </w:p>
              </w:tc>
              <w:tc>
                <w:tcPr>
                  <w:tcW w:w="688" w:type="dxa"/>
                  <w:noWrap w:val="0"/>
                  <w:vAlign w:val="center"/>
                </w:tcPr>
                <w:p w14:paraId="2DAC073C">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0688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077B09CB">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7</w:t>
                  </w:r>
                </w:p>
              </w:tc>
              <w:tc>
                <w:tcPr>
                  <w:tcW w:w="393" w:type="dxa"/>
                  <w:vMerge w:val="continue"/>
                  <w:noWrap w:val="0"/>
                  <w:vAlign w:val="center"/>
                </w:tcPr>
                <w:p w14:paraId="6117FAC2">
                  <w:pPr>
                    <w:ind w:left="-94" w:leftChars="-45" w:right="-94" w:rightChars="-45"/>
                    <w:jc w:val="center"/>
                    <w:rPr>
                      <w:rFonts w:hint="eastAsia"/>
                      <w:color w:val="000000"/>
                      <w:sz w:val="21"/>
                      <w:szCs w:val="21"/>
                    </w:rPr>
                  </w:pPr>
                </w:p>
              </w:tc>
              <w:tc>
                <w:tcPr>
                  <w:tcW w:w="1092" w:type="dxa"/>
                  <w:noWrap w:val="0"/>
                  <w:vAlign w:val="center"/>
                </w:tcPr>
                <w:p w14:paraId="0C2B87EA">
                  <w:pPr>
                    <w:jc w:val="center"/>
                    <w:rPr>
                      <w:rFonts w:hint="default"/>
                      <w:color w:val="000000"/>
                      <w:sz w:val="21"/>
                      <w:szCs w:val="21"/>
                      <w:lang w:val="en-US" w:eastAsia="zh-CN"/>
                    </w:rPr>
                  </w:pPr>
                  <w:r>
                    <w:rPr>
                      <w:rFonts w:hint="eastAsia"/>
                      <w:color w:val="000000"/>
                      <w:sz w:val="21"/>
                      <w:szCs w:val="21"/>
                      <w:lang w:eastAsia="zh-CN"/>
                    </w:rPr>
                    <w:t>自动卸料机</w:t>
                  </w:r>
                  <w:r>
                    <w:rPr>
                      <w:rFonts w:hint="eastAsia"/>
                      <w:color w:val="000000"/>
                      <w:sz w:val="21"/>
                      <w:szCs w:val="21"/>
                      <w:lang w:val="en-US" w:eastAsia="zh-CN"/>
                    </w:rPr>
                    <w:t>1#</w:t>
                  </w:r>
                </w:p>
              </w:tc>
              <w:tc>
                <w:tcPr>
                  <w:tcW w:w="563" w:type="dxa"/>
                  <w:noWrap w:val="0"/>
                  <w:vAlign w:val="center"/>
                </w:tcPr>
                <w:p w14:paraId="66AE715B">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75</w:t>
                  </w:r>
                </w:p>
              </w:tc>
              <w:tc>
                <w:tcPr>
                  <w:tcW w:w="592" w:type="dxa"/>
                  <w:vMerge w:val="continue"/>
                  <w:noWrap w:val="0"/>
                  <w:vAlign w:val="center"/>
                </w:tcPr>
                <w:p w14:paraId="749ABDB0">
                  <w:pPr>
                    <w:ind w:left="-94" w:leftChars="-45" w:right="-94" w:rightChars="-45"/>
                    <w:jc w:val="center"/>
                    <w:rPr>
                      <w:rFonts w:hint="eastAsia"/>
                      <w:color w:val="000000"/>
                      <w:sz w:val="21"/>
                      <w:szCs w:val="21"/>
                    </w:rPr>
                  </w:pPr>
                </w:p>
              </w:tc>
              <w:tc>
                <w:tcPr>
                  <w:tcW w:w="589" w:type="dxa"/>
                  <w:noWrap w:val="0"/>
                  <w:vAlign w:val="center"/>
                </w:tcPr>
                <w:p w14:paraId="1FD0405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362.27</w:t>
                  </w:r>
                </w:p>
              </w:tc>
              <w:tc>
                <w:tcPr>
                  <w:tcW w:w="646" w:type="dxa"/>
                  <w:noWrap w:val="0"/>
                  <w:vAlign w:val="center"/>
                </w:tcPr>
                <w:p w14:paraId="76891615">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63.01</w:t>
                  </w:r>
                </w:p>
              </w:tc>
              <w:tc>
                <w:tcPr>
                  <w:tcW w:w="240" w:type="dxa"/>
                  <w:noWrap w:val="0"/>
                  <w:vAlign w:val="center"/>
                </w:tcPr>
                <w:p w14:paraId="395ACF21">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710213C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143.42</w:t>
                  </w:r>
                </w:p>
              </w:tc>
              <w:tc>
                <w:tcPr>
                  <w:tcW w:w="531" w:type="dxa"/>
                  <w:noWrap w:val="0"/>
                  <w:vAlign w:val="center"/>
                </w:tcPr>
                <w:p w14:paraId="3DC783F1">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4.20</w:t>
                  </w:r>
                </w:p>
              </w:tc>
              <w:tc>
                <w:tcPr>
                  <w:tcW w:w="560" w:type="dxa"/>
                  <w:noWrap w:val="0"/>
                  <w:vAlign w:val="center"/>
                </w:tcPr>
                <w:p w14:paraId="40070470">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35.94</w:t>
                  </w:r>
                </w:p>
              </w:tc>
              <w:tc>
                <w:tcPr>
                  <w:tcW w:w="531" w:type="dxa"/>
                  <w:noWrap w:val="0"/>
                  <w:vAlign w:val="center"/>
                </w:tcPr>
                <w:p w14:paraId="1B1E784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eastAsia"/>
                      <w:color w:val="000000"/>
                      <w:lang w:val="en-US" w:eastAsia="zh-CN"/>
                    </w:rPr>
                  </w:pPr>
                  <w:r>
                    <w:rPr>
                      <w:rFonts w:hint="eastAsia"/>
                      <w:color w:val="000000"/>
                      <w:lang w:val="en-US" w:eastAsia="zh-CN"/>
                    </w:rPr>
                    <w:t>44.95</w:t>
                  </w:r>
                </w:p>
              </w:tc>
              <w:tc>
                <w:tcPr>
                  <w:tcW w:w="710" w:type="dxa"/>
                  <w:noWrap w:val="0"/>
                  <w:vAlign w:val="center"/>
                </w:tcPr>
                <w:p w14:paraId="31FFB9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63.60</w:t>
                  </w:r>
                </w:p>
              </w:tc>
              <w:tc>
                <w:tcPr>
                  <w:tcW w:w="722" w:type="dxa"/>
                  <w:noWrap w:val="0"/>
                  <w:vAlign w:val="center"/>
                </w:tcPr>
                <w:p w14:paraId="7B31E4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63.86</w:t>
                  </w:r>
                </w:p>
              </w:tc>
              <w:tc>
                <w:tcPr>
                  <w:tcW w:w="681" w:type="dxa"/>
                  <w:noWrap w:val="0"/>
                  <w:vAlign w:val="center"/>
                </w:tcPr>
                <w:p w14:paraId="58CB49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47" w:type="dxa"/>
                  <w:noWrap w:val="0"/>
                  <w:vAlign w:val="center"/>
                </w:tcPr>
                <w:p w14:paraId="18F8A0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63.60</w:t>
                  </w:r>
                </w:p>
              </w:tc>
              <w:tc>
                <w:tcPr>
                  <w:tcW w:w="566" w:type="dxa"/>
                  <w:noWrap w:val="0"/>
                  <w:vAlign w:val="center"/>
                </w:tcPr>
                <w:p w14:paraId="36E3C4DC">
                  <w:pPr>
                    <w:ind w:left="-94" w:leftChars="-45" w:right="-94" w:rightChars="-45"/>
                    <w:jc w:val="center"/>
                    <w:rPr>
                      <w:rFonts w:hint="eastAsia" w:eastAsia="宋体"/>
                      <w:color w:val="000000"/>
                      <w:kern w:val="2"/>
                      <w:sz w:val="21"/>
                      <w:szCs w:val="21"/>
                      <w:lang w:val="en-US" w:eastAsia="zh-CN" w:bidi="ar-SA"/>
                    </w:rPr>
                  </w:pPr>
                  <w:r>
                    <w:rPr>
                      <w:rFonts w:hint="eastAsia"/>
                      <w:color w:val="000000"/>
                      <w:sz w:val="21"/>
                      <w:szCs w:val="21"/>
                      <w:lang w:eastAsia="zh-CN"/>
                    </w:rPr>
                    <w:t>昼间、夜间</w:t>
                  </w:r>
                </w:p>
              </w:tc>
              <w:tc>
                <w:tcPr>
                  <w:tcW w:w="621" w:type="dxa"/>
                  <w:noWrap w:val="0"/>
                  <w:vAlign w:val="center"/>
                </w:tcPr>
                <w:p w14:paraId="679B6A22">
                  <w:pPr>
                    <w:ind w:left="-94" w:leftChars="-45" w:right="-94" w:rightChars="-45"/>
                    <w:jc w:val="center"/>
                    <w:rPr>
                      <w:rFonts w:hint="default" w:eastAsia="宋体"/>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300918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36" w:type="dxa"/>
                  <w:noWrap w:val="0"/>
                  <w:vAlign w:val="center"/>
                </w:tcPr>
                <w:p w14:paraId="108246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37.86</w:t>
                  </w:r>
                </w:p>
              </w:tc>
              <w:tc>
                <w:tcPr>
                  <w:tcW w:w="660" w:type="dxa"/>
                  <w:noWrap w:val="0"/>
                  <w:vAlign w:val="center"/>
                </w:tcPr>
                <w:p w14:paraId="434038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50E20F0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88" w:type="dxa"/>
                  <w:noWrap w:val="0"/>
                  <w:vAlign w:val="center"/>
                </w:tcPr>
                <w:p w14:paraId="09EEF0FC">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3721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2F9AC4B4">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8</w:t>
                  </w:r>
                </w:p>
              </w:tc>
              <w:tc>
                <w:tcPr>
                  <w:tcW w:w="393" w:type="dxa"/>
                  <w:vMerge w:val="continue"/>
                  <w:noWrap w:val="0"/>
                  <w:vAlign w:val="center"/>
                </w:tcPr>
                <w:p w14:paraId="67684D2C">
                  <w:pPr>
                    <w:ind w:left="-94" w:leftChars="-45" w:right="-94" w:rightChars="-45"/>
                    <w:jc w:val="center"/>
                    <w:rPr>
                      <w:rFonts w:hint="eastAsia"/>
                      <w:color w:val="000000"/>
                      <w:sz w:val="21"/>
                      <w:szCs w:val="21"/>
                    </w:rPr>
                  </w:pPr>
                </w:p>
              </w:tc>
              <w:tc>
                <w:tcPr>
                  <w:tcW w:w="1092" w:type="dxa"/>
                  <w:noWrap w:val="0"/>
                  <w:vAlign w:val="center"/>
                </w:tcPr>
                <w:p w14:paraId="16C55E79">
                  <w:pPr>
                    <w:jc w:val="center"/>
                    <w:rPr>
                      <w:rFonts w:hint="eastAsia"/>
                      <w:color w:val="000000"/>
                      <w:sz w:val="21"/>
                      <w:szCs w:val="21"/>
                      <w:lang w:eastAsia="zh-CN"/>
                    </w:rPr>
                  </w:pPr>
                  <w:r>
                    <w:rPr>
                      <w:rFonts w:hint="eastAsia"/>
                      <w:color w:val="000000"/>
                      <w:sz w:val="21"/>
                      <w:szCs w:val="21"/>
                      <w:lang w:eastAsia="zh-CN"/>
                    </w:rPr>
                    <w:t>自动卸料机</w:t>
                  </w:r>
                  <w:r>
                    <w:rPr>
                      <w:rFonts w:hint="eastAsia"/>
                      <w:color w:val="000000"/>
                      <w:sz w:val="21"/>
                      <w:szCs w:val="21"/>
                      <w:lang w:val="en-US" w:eastAsia="zh-CN"/>
                    </w:rPr>
                    <w:t>2#</w:t>
                  </w:r>
                </w:p>
              </w:tc>
              <w:tc>
                <w:tcPr>
                  <w:tcW w:w="563" w:type="dxa"/>
                  <w:noWrap w:val="0"/>
                  <w:vAlign w:val="center"/>
                </w:tcPr>
                <w:p w14:paraId="6F575645">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75</w:t>
                  </w:r>
                </w:p>
              </w:tc>
              <w:tc>
                <w:tcPr>
                  <w:tcW w:w="592" w:type="dxa"/>
                  <w:vMerge w:val="continue"/>
                  <w:noWrap w:val="0"/>
                  <w:vAlign w:val="center"/>
                </w:tcPr>
                <w:p w14:paraId="7F18BA7C">
                  <w:pPr>
                    <w:ind w:left="-94" w:leftChars="-45" w:right="-94" w:rightChars="-45"/>
                    <w:jc w:val="center"/>
                    <w:rPr>
                      <w:rFonts w:hint="eastAsia"/>
                      <w:color w:val="000000"/>
                      <w:sz w:val="21"/>
                      <w:szCs w:val="21"/>
                    </w:rPr>
                  </w:pPr>
                </w:p>
              </w:tc>
              <w:tc>
                <w:tcPr>
                  <w:tcW w:w="589" w:type="dxa"/>
                  <w:noWrap w:val="0"/>
                  <w:vAlign w:val="center"/>
                </w:tcPr>
                <w:p w14:paraId="00275CF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360.77</w:t>
                  </w:r>
                </w:p>
              </w:tc>
              <w:tc>
                <w:tcPr>
                  <w:tcW w:w="646" w:type="dxa"/>
                  <w:noWrap w:val="0"/>
                  <w:vAlign w:val="center"/>
                </w:tcPr>
                <w:p w14:paraId="606FC924">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45.01</w:t>
                  </w:r>
                </w:p>
              </w:tc>
              <w:tc>
                <w:tcPr>
                  <w:tcW w:w="240" w:type="dxa"/>
                  <w:noWrap w:val="0"/>
                  <w:vAlign w:val="center"/>
                </w:tcPr>
                <w:p w14:paraId="0C8508D3">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4871904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142.13</w:t>
                  </w:r>
                </w:p>
              </w:tc>
              <w:tc>
                <w:tcPr>
                  <w:tcW w:w="531" w:type="dxa"/>
                  <w:noWrap w:val="0"/>
                  <w:vAlign w:val="center"/>
                </w:tcPr>
                <w:p w14:paraId="5AF4CADB">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22.20</w:t>
                  </w:r>
                </w:p>
              </w:tc>
              <w:tc>
                <w:tcPr>
                  <w:tcW w:w="560" w:type="dxa"/>
                  <w:noWrap w:val="0"/>
                  <w:vAlign w:val="center"/>
                </w:tcPr>
                <w:p w14:paraId="262D68E5">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37.66</w:t>
                  </w:r>
                </w:p>
              </w:tc>
              <w:tc>
                <w:tcPr>
                  <w:tcW w:w="531" w:type="dxa"/>
                  <w:noWrap w:val="0"/>
                  <w:vAlign w:val="center"/>
                </w:tcPr>
                <w:p w14:paraId="2DF51D6C">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26.97</w:t>
                  </w:r>
                </w:p>
              </w:tc>
              <w:tc>
                <w:tcPr>
                  <w:tcW w:w="710" w:type="dxa"/>
                  <w:noWrap w:val="0"/>
                  <w:vAlign w:val="center"/>
                </w:tcPr>
                <w:p w14:paraId="5A596E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63.60</w:t>
                  </w:r>
                </w:p>
              </w:tc>
              <w:tc>
                <w:tcPr>
                  <w:tcW w:w="722" w:type="dxa"/>
                  <w:noWrap w:val="0"/>
                  <w:vAlign w:val="center"/>
                </w:tcPr>
                <w:p w14:paraId="7A420B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81" w:type="dxa"/>
                  <w:noWrap w:val="0"/>
                  <w:vAlign w:val="center"/>
                </w:tcPr>
                <w:p w14:paraId="2C0ED23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47" w:type="dxa"/>
                  <w:noWrap w:val="0"/>
                  <w:vAlign w:val="center"/>
                </w:tcPr>
                <w:p w14:paraId="73B074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566" w:type="dxa"/>
                  <w:noWrap w:val="0"/>
                  <w:vAlign w:val="center"/>
                </w:tcPr>
                <w:p w14:paraId="283BEA20">
                  <w:pPr>
                    <w:ind w:left="-94" w:leftChars="-45" w:right="-94" w:rightChars="-45"/>
                    <w:jc w:val="center"/>
                    <w:rPr>
                      <w:rFonts w:hint="eastAsia" w:eastAsia="宋体"/>
                      <w:color w:val="000000"/>
                      <w:kern w:val="2"/>
                      <w:sz w:val="21"/>
                      <w:szCs w:val="21"/>
                      <w:lang w:val="en-US" w:eastAsia="zh-CN" w:bidi="ar-SA"/>
                    </w:rPr>
                  </w:pPr>
                  <w:r>
                    <w:rPr>
                      <w:rFonts w:hint="eastAsia"/>
                      <w:color w:val="000000"/>
                      <w:sz w:val="21"/>
                      <w:szCs w:val="21"/>
                      <w:lang w:eastAsia="zh-CN"/>
                    </w:rPr>
                    <w:t>昼间、夜间</w:t>
                  </w:r>
                </w:p>
              </w:tc>
              <w:tc>
                <w:tcPr>
                  <w:tcW w:w="621" w:type="dxa"/>
                  <w:noWrap w:val="0"/>
                  <w:vAlign w:val="center"/>
                </w:tcPr>
                <w:p w14:paraId="76C918BE">
                  <w:pPr>
                    <w:ind w:left="-94" w:leftChars="-45" w:right="-94" w:rightChars="-45"/>
                    <w:jc w:val="center"/>
                    <w:rPr>
                      <w:rFonts w:hint="default" w:eastAsia="宋体"/>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106B72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36" w:type="dxa"/>
                  <w:noWrap w:val="0"/>
                  <w:vAlign w:val="center"/>
                </w:tcPr>
                <w:p w14:paraId="445D83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60" w:type="dxa"/>
                  <w:noWrap w:val="0"/>
                  <w:vAlign w:val="center"/>
                </w:tcPr>
                <w:p w14:paraId="342514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5E1938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88" w:type="dxa"/>
                  <w:noWrap w:val="0"/>
                  <w:vAlign w:val="center"/>
                </w:tcPr>
                <w:p w14:paraId="713F6B00">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6509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89" w:type="dxa"/>
                  <w:noWrap w:val="0"/>
                  <w:vAlign w:val="center"/>
                </w:tcPr>
                <w:p w14:paraId="2CE69B80">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9</w:t>
                  </w:r>
                </w:p>
              </w:tc>
              <w:tc>
                <w:tcPr>
                  <w:tcW w:w="393" w:type="dxa"/>
                  <w:vMerge w:val="continue"/>
                  <w:noWrap w:val="0"/>
                  <w:vAlign w:val="center"/>
                </w:tcPr>
                <w:p w14:paraId="10611265">
                  <w:pPr>
                    <w:ind w:left="-94" w:leftChars="-45" w:right="-94" w:rightChars="-45"/>
                    <w:jc w:val="center"/>
                    <w:rPr>
                      <w:rFonts w:hint="eastAsia"/>
                      <w:color w:val="000000"/>
                      <w:sz w:val="21"/>
                      <w:szCs w:val="21"/>
                    </w:rPr>
                  </w:pPr>
                </w:p>
              </w:tc>
              <w:tc>
                <w:tcPr>
                  <w:tcW w:w="1092" w:type="dxa"/>
                  <w:noWrap w:val="0"/>
                  <w:vAlign w:val="center"/>
                </w:tcPr>
                <w:p w14:paraId="0067DE48">
                  <w:pPr>
                    <w:jc w:val="center"/>
                    <w:rPr>
                      <w:rFonts w:hint="eastAsia"/>
                      <w:color w:val="000000"/>
                      <w:sz w:val="21"/>
                      <w:szCs w:val="21"/>
                      <w:lang w:eastAsia="zh-CN"/>
                    </w:rPr>
                  </w:pPr>
                  <w:r>
                    <w:rPr>
                      <w:rFonts w:hint="eastAsia"/>
                      <w:color w:val="000000"/>
                      <w:sz w:val="21"/>
                      <w:szCs w:val="21"/>
                      <w:lang w:eastAsia="zh-CN"/>
                    </w:rPr>
                    <w:t>自动卸料机</w:t>
                  </w:r>
                  <w:r>
                    <w:rPr>
                      <w:rFonts w:hint="eastAsia"/>
                      <w:color w:val="000000"/>
                      <w:sz w:val="21"/>
                      <w:szCs w:val="21"/>
                      <w:lang w:val="en-US" w:eastAsia="zh-CN"/>
                    </w:rPr>
                    <w:t>3#</w:t>
                  </w:r>
                </w:p>
              </w:tc>
              <w:tc>
                <w:tcPr>
                  <w:tcW w:w="563" w:type="dxa"/>
                  <w:noWrap w:val="0"/>
                  <w:vAlign w:val="center"/>
                </w:tcPr>
                <w:p w14:paraId="40BB2E25">
                  <w:pPr>
                    <w:ind w:left="-94" w:leftChars="-45" w:right="-94" w:rightChars="-45"/>
                    <w:jc w:val="center"/>
                    <w:rPr>
                      <w:rFonts w:hint="eastAsia"/>
                      <w:color w:val="000000"/>
                      <w:sz w:val="21"/>
                      <w:szCs w:val="21"/>
                      <w:lang w:val="en-US" w:eastAsia="zh-CN"/>
                    </w:rPr>
                  </w:pPr>
                  <w:r>
                    <w:rPr>
                      <w:rFonts w:hint="eastAsia"/>
                      <w:color w:val="000000"/>
                      <w:sz w:val="21"/>
                      <w:szCs w:val="21"/>
                      <w:lang w:val="en-US" w:eastAsia="zh-CN"/>
                    </w:rPr>
                    <w:t>75</w:t>
                  </w:r>
                </w:p>
              </w:tc>
              <w:tc>
                <w:tcPr>
                  <w:tcW w:w="592" w:type="dxa"/>
                  <w:vMerge w:val="continue"/>
                  <w:noWrap w:val="0"/>
                  <w:vAlign w:val="center"/>
                </w:tcPr>
                <w:p w14:paraId="30F7F814">
                  <w:pPr>
                    <w:ind w:left="-94" w:leftChars="-45" w:right="-94" w:rightChars="-45"/>
                    <w:jc w:val="center"/>
                    <w:rPr>
                      <w:rFonts w:hint="eastAsia"/>
                      <w:color w:val="000000"/>
                      <w:sz w:val="21"/>
                      <w:szCs w:val="21"/>
                    </w:rPr>
                  </w:pPr>
                </w:p>
              </w:tc>
              <w:tc>
                <w:tcPr>
                  <w:tcW w:w="589" w:type="dxa"/>
                  <w:noWrap w:val="0"/>
                  <w:vAlign w:val="center"/>
                </w:tcPr>
                <w:p w14:paraId="0C10048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color w:val="000000"/>
                      <w:sz w:val="21"/>
                      <w:szCs w:val="21"/>
                      <w:lang w:val="en-US" w:eastAsia="zh-CN"/>
                    </w:rPr>
                  </w:pPr>
                  <w:r>
                    <w:rPr>
                      <w:rFonts w:hint="eastAsia"/>
                      <w:color w:val="000000"/>
                      <w:sz w:val="21"/>
                      <w:szCs w:val="21"/>
                      <w:lang w:val="en-US" w:eastAsia="zh-CN"/>
                    </w:rPr>
                    <w:t>361.97</w:t>
                  </w:r>
                </w:p>
              </w:tc>
              <w:tc>
                <w:tcPr>
                  <w:tcW w:w="646" w:type="dxa"/>
                  <w:noWrap w:val="0"/>
                  <w:vAlign w:val="center"/>
                </w:tcPr>
                <w:p w14:paraId="7262DE16">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30.3</w:t>
                  </w:r>
                </w:p>
              </w:tc>
              <w:tc>
                <w:tcPr>
                  <w:tcW w:w="240" w:type="dxa"/>
                  <w:noWrap w:val="0"/>
                  <w:vAlign w:val="center"/>
                </w:tcPr>
                <w:p w14:paraId="0653FA61">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3758A75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143.50</w:t>
                  </w:r>
                </w:p>
              </w:tc>
              <w:tc>
                <w:tcPr>
                  <w:tcW w:w="531" w:type="dxa"/>
                  <w:noWrap w:val="0"/>
                  <w:vAlign w:val="center"/>
                </w:tcPr>
                <w:p w14:paraId="667E6D44">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36.91</w:t>
                  </w:r>
                </w:p>
              </w:tc>
              <w:tc>
                <w:tcPr>
                  <w:tcW w:w="560" w:type="dxa"/>
                  <w:noWrap w:val="0"/>
                  <w:vAlign w:val="center"/>
                </w:tcPr>
                <w:p w14:paraId="25014054">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36.63</w:t>
                  </w:r>
                </w:p>
              </w:tc>
              <w:tc>
                <w:tcPr>
                  <w:tcW w:w="531" w:type="dxa"/>
                  <w:noWrap w:val="0"/>
                  <w:vAlign w:val="center"/>
                </w:tcPr>
                <w:p w14:paraId="57749F1A">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12.24</w:t>
                  </w:r>
                </w:p>
              </w:tc>
              <w:tc>
                <w:tcPr>
                  <w:tcW w:w="710" w:type="dxa"/>
                  <w:noWrap w:val="0"/>
                  <w:vAlign w:val="center"/>
                </w:tcPr>
                <w:p w14:paraId="3B5777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63.60</w:t>
                  </w:r>
                </w:p>
              </w:tc>
              <w:tc>
                <w:tcPr>
                  <w:tcW w:w="722" w:type="dxa"/>
                  <w:noWrap w:val="0"/>
                  <w:vAlign w:val="center"/>
                </w:tcPr>
                <w:p w14:paraId="446359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81" w:type="dxa"/>
                  <w:noWrap w:val="0"/>
                  <w:vAlign w:val="center"/>
                </w:tcPr>
                <w:p w14:paraId="5AE1A3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63.61</w:t>
                  </w:r>
                </w:p>
              </w:tc>
              <w:tc>
                <w:tcPr>
                  <w:tcW w:w="647" w:type="dxa"/>
                  <w:noWrap w:val="0"/>
                  <w:vAlign w:val="center"/>
                </w:tcPr>
                <w:p w14:paraId="277005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63.63</w:t>
                  </w:r>
                </w:p>
              </w:tc>
              <w:tc>
                <w:tcPr>
                  <w:tcW w:w="566" w:type="dxa"/>
                  <w:noWrap w:val="0"/>
                  <w:vAlign w:val="center"/>
                </w:tcPr>
                <w:p w14:paraId="22F7743C">
                  <w:pPr>
                    <w:ind w:left="-94" w:leftChars="-45" w:right="-94" w:rightChars="-45"/>
                    <w:jc w:val="center"/>
                    <w:rPr>
                      <w:rFonts w:hint="eastAsia"/>
                      <w:color w:val="000000"/>
                      <w:kern w:val="2"/>
                      <w:sz w:val="21"/>
                      <w:szCs w:val="21"/>
                      <w:lang w:val="en-US" w:eastAsia="zh-CN" w:bidi="ar-SA"/>
                    </w:rPr>
                  </w:pPr>
                  <w:r>
                    <w:rPr>
                      <w:rFonts w:hint="eastAsia"/>
                      <w:color w:val="000000"/>
                      <w:sz w:val="21"/>
                      <w:szCs w:val="21"/>
                    </w:rPr>
                    <w:t>昼间</w:t>
                  </w:r>
                  <w:r>
                    <w:rPr>
                      <w:rFonts w:hint="eastAsia"/>
                      <w:color w:val="000000"/>
                      <w:sz w:val="21"/>
                      <w:szCs w:val="21"/>
                      <w:lang w:eastAsia="zh-CN"/>
                    </w:rPr>
                    <w:t>、夜间</w:t>
                  </w:r>
                </w:p>
              </w:tc>
              <w:tc>
                <w:tcPr>
                  <w:tcW w:w="621" w:type="dxa"/>
                  <w:noWrap w:val="0"/>
                  <w:vAlign w:val="center"/>
                </w:tcPr>
                <w:p w14:paraId="47ED4E2D">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2C60D0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37.60</w:t>
                  </w:r>
                </w:p>
              </w:tc>
              <w:tc>
                <w:tcPr>
                  <w:tcW w:w="636" w:type="dxa"/>
                  <w:noWrap w:val="0"/>
                  <w:vAlign w:val="center"/>
                </w:tcPr>
                <w:p w14:paraId="69F566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60" w:type="dxa"/>
                  <w:noWrap w:val="0"/>
                  <w:vAlign w:val="center"/>
                </w:tcPr>
                <w:p w14:paraId="1EA5BE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37.61</w:t>
                  </w:r>
                </w:p>
              </w:tc>
              <w:tc>
                <w:tcPr>
                  <w:tcW w:w="636" w:type="dxa"/>
                  <w:noWrap w:val="0"/>
                  <w:vAlign w:val="center"/>
                </w:tcPr>
                <w:p w14:paraId="0788F8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37.63</w:t>
                  </w:r>
                </w:p>
              </w:tc>
              <w:tc>
                <w:tcPr>
                  <w:tcW w:w="688" w:type="dxa"/>
                  <w:noWrap w:val="0"/>
                  <w:vAlign w:val="center"/>
                </w:tcPr>
                <w:p w14:paraId="1140F70B">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5D75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89" w:type="dxa"/>
                  <w:noWrap w:val="0"/>
                  <w:vAlign w:val="center"/>
                </w:tcPr>
                <w:p w14:paraId="49B83487">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10</w:t>
                  </w:r>
                </w:p>
              </w:tc>
              <w:tc>
                <w:tcPr>
                  <w:tcW w:w="393" w:type="dxa"/>
                  <w:vMerge w:val="restart"/>
                  <w:noWrap w:val="0"/>
                  <w:vAlign w:val="center"/>
                </w:tcPr>
                <w:p w14:paraId="2E5B9C2D">
                  <w:pPr>
                    <w:ind w:left="-94" w:leftChars="-45" w:right="-94" w:rightChars="-45"/>
                    <w:jc w:val="center"/>
                    <w:rPr>
                      <w:rFonts w:hint="default" w:eastAsia="宋体"/>
                      <w:color w:val="000000"/>
                      <w:sz w:val="21"/>
                      <w:szCs w:val="21"/>
                      <w:lang w:val="en-US" w:eastAsia="zh-CN"/>
                    </w:rPr>
                  </w:pPr>
                  <w:r>
                    <w:rPr>
                      <w:rFonts w:hint="eastAsia"/>
                      <w:color w:val="000000"/>
                      <w:sz w:val="21"/>
                      <w:szCs w:val="21"/>
                      <w:lang w:val="en-US" w:eastAsia="zh-CN"/>
                    </w:rPr>
                    <w:t>3#车间</w:t>
                  </w:r>
                </w:p>
              </w:tc>
              <w:tc>
                <w:tcPr>
                  <w:tcW w:w="1092" w:type="dxa"/>
                  <w:noWrap w:val="0"/>
                  <w:vAlign w:val="center"/>
                </w:tcPr>
                <w:p w14:paraId="4076A480">
                  <w:pPr>
                    <w:jc w:val="center"/>
                    <w:rPr>
                      <w:rFonts w:hint="default"/>
                      <w:color w:val="000000"/>
                      <w:sz w:val="21"/>
                      <w:szCs w:val="21"/>
                      <w:lang w:val="en-US" w:eastAsia="zh-CN"/>
                    </w:rPr>
                  </w:pPr>
                  <w:r>
                    <w:rPr>
                      <w:rFonts w:hint="eastAsia"/>
                      <w:color w:val="000000"/>
                      <w:sz w:val="21"/>
                      <w:szCs w:val="21"/>
                      <w:lang w:val="en-US" w:eastAsia="zh-CN"/>
                    </w:rPr>
                    <w:t>烘干机</w:t>
                  </w:r>
                </w:p>
              </w:tc>
              <w:tc>
                <w:tcPr>
                  <w:tcW w:w="563" w:type="dxa"/>
                  <w:noWrap w:val="0"/>
                  <w:vAlign w:val="center"/>
                </w:tcPr>
                <w:p w14:paraId="4A927E9E">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16240710">
                  <w:pPr>
                    <w:ind w:left="-94" w:leftChars="-45" w:right="-94" w:rightChars="-45"/>
                    <w:jc w:val="center"/>
                    <w:rPr>
                      <w:rFonts w:hint="eastAsia"/>
                      <w:color w:val="000000"/>
                      <w:sz w:val="21"/>
                      <w:szCs w:val="21"/>
                    </w:rPr>
                  </w:pPr>
                </w:p>
              </w:tc>
              <w:tc>
                <w:tcPr>
                  <w:tcW w:w="589" w:type="dxa"/>
                  <w:noWrap w:val="0"/>
                  <w:vAlign w:val="center"/>
                </w:tcPr>
                <w:p w14:paraId="3E8EC1B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260.68</w:t>
                  </w:r>
                </w:p>
              </w:tc>
              <w:tc>
                <w:tcPr>
                  <w:tcW w:w="646" w:type="dxa"/>
                  <w:noWrap w:val="0"/>
                  <w:vAlign w:val="center"/>
                </w:tcPr>
                <w:p w14:paraId="6CDCCFBE">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71.86</w:t>
                  </w:r>
                </w:p>
              </w:tc>
              <w:tc>
                <w:tcPr>
                  <w:tcW w:w="240" w:type="dxa"/>
                  <w:noWrap w:val="0"/>
                  <w:vAlign w:val="center"/>
                </w:tcPr>
                <w:p w14:paraId="1103321B">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62F0904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41.80</w:t>
                  </w:r>
                </w:p>
              </w:tc>
              <w:tc>
                <w:tcPr>
                  <w:tcW w:w="531" w:type="dxa"/>
                  <w:noWrap w:val="0"/>
                  <w:vAlign w:val="center"/>
                </w:tcPr>
                <w:p w14:paraId="3DB330C8">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6.94</w:t>
                  </w:r>
                </w:p>
              </w:tc>
              <w:tc>
                <w:tcPr>
                  <w:tcW w:w="560" w:type="dxa"/>
                  <w:noWrap w:val="0"/>
                  <w:vAlign w:val="center"/>
                </w:tcPr>
                <w:p w14:paraId="67ADBECC">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14.56</w:t>
                  </w:r>
                </w:p>
              </w:tc>
              <w:tc>
                <w:tcPr>
                  <w:tcW w:w="531" w:type="dxa"/>
                  <w:noWrap w:val="0"/>
                  <w:vAlign w:val="center"/>
                </w:tcPr>
                <w:p w14:paraId="1B50D54C">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3.81</w:t>
                  </w:r>
                </w:p>
              </w:tc>
              <w:tc>
                <w:tcPr>
                  <w:tcW w:w="710" w:type="dxa"/>
                  <w:noWrap w:val="0"/>
                  <w:vAlign w:val="center"/>
                </w:tcPr>
                <w:p w14:paraId="3255CE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74.62</w:t>
                  </w:r>
                </w:p>
              </w:tc>
              <w:tc>
                <w:tcPr>
                  <w:tcW w:w="722" w:type="dxa"/>
                  <w:noWrap w:val="0"/>
                  <w:vAlign w:val="center"/>
                </w:tcPr>
                <w:p w14:paraId="490D67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74.64</w:t>
                  </w:r>
                </w:p>
              </w:tc>
              <w:tc>
                <w:tcPr>
                  <w:tcW w:w="681" w:type="dxa"/>
                  <w:noWrap w:val="0"/>
                  <w:vAlign w:val="center"/>
                </w:tcPr>
                <w:p w14:paraId="576904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74.62</w:t>
                  </w:r>
                </w:p>
              </w:tc>
              <w:tc>
                <w:tcPr>
                  <w:tcW w:w="647" w:type="dxa"/>
                  <w:noWrap w:val="0"/>
                  <w:vAlign w:val="center"/>
                </w:tcPr>
                <w:p w14:paraId="3843D7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74.70</w:t>
                  </w:r>
                </w:p>
              </w:tc>
              <w:tc>
                <w:tcPr>
                  <w:tcW w:w="566" w:type="dxa"/>
                  <w:noWrap w:val="0"/>
                  <w:vAlign w:val="center"/>
                </w:tcPr>
                <w:p w14:paraId="6CDFD5D4">
                  <w:pPr>
                    <w:ind w:left="-94" w:leftChars="-45" w:right="-94" w:rightChars="-45"/>
                    <w:jc w:val="center"/>
                    <w:rPr>
                      <w:rFonts w:hint="eastAsia"/>
                      <w:color w:val="000000"/>
                      <w:kern w:val="2"/>
                      <w:sz w:val="21"/>
                      <w:szCs w:val="21"/>
                      <w:lang w:val="en-US" w:eastAsia="zh-CN" w:bidi="ar-SA"/>
                    </w:rPr>
                  </w:pPr>
                  <w:r>
                    <w:rPr>
                      <w:rFonts w:hint="eastAsia"/>
                      <w:color w:val="000000"/>
                      <w:sz w:val="21"/>
                      <w:szCs w:val="21"/>
                    </w:rPr>
                    <w:t>昼间</w:t>
                  </w:r>
                </w:p>
              </w:tc>
              <w:tc>
                <w:tcPr>
                  <w:tcW w:w="621" w:type="dxa"/>
                  <w:noWrap w:val="0"/>
                  <w:vAlign w:val="center"/>
                </w:tcPr>
                <w:p w14:paraId="40D66ECF">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01345F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48.62</w:t>
                  </w:r>
                </w:p>
              </w:tc>
              <w:tc>
                <w:tcPr>
                  <w:tcW w:w="636" w:type="dxa"/>
                  <w:noWrap w:val="0"/>
                  <w:vAlign w:val="center"/>
                </w:tcPr>
                <w:p w14:paraId="5D7A5D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48.64</w:t>
                  </w:r>
                </w:p>
              </w:tc>
              <w:tc>
                <w:tcPr>
                  <w:tcW w:w="660" w:type="dxa"/>
                  <w:noWrap w:val="0"/>
                  <w:vAlign w:val="center"/>
                </w:tcPr>
                <w:p w14:paraId="3BFA18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48.62</w:t>
                  </w:r>
                </w:p>
              </w:tc>
              <w:tc>
                <w:tcPr>
                  <w:tcW w:w="636" w:type="dxa"/>
                  <w:noWrap w:val="0"/>
                  <w:vAlign w:val="center"/>
                </w:tcPr>
                <w:p w14:paraId="6CB4F6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48.70</w:t>
                  </w:r>
                </w:p>
              </w:tc>
              <w:tc>
                <w:tcPr>
                  <w:tcW w:w="688" w:type="dxa"/>
                  <w:noWrap w:val="0"/>
                  <w:vAlign w:val="center"/>
                </w:tcPr>
                <w:p w14:paraId="298D6524">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6FD8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89" w:type="dxa"/>
                  <w:noWrap w:val="0"/>
                  <w:vAlign w:val="center"/>
                </w:tcPr>
                <w:p w14:paraId="4D7B21D7">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11</w:t>
                  </w:r>
                </w:p>
              </w:tc>
              <w:tc>
                <w:tcPr>
                  <w:tcW w:w="393" w:type="dxa"/>
                  <w:vMerge w:val="continue"/>
                  <w:noWrap w:val="0"/>
                  <w:vAlign w:val="center"/>
                </w:tcPr>
                <w:p w14:paraId="61409B3F">
                  <w:pPr>
                    <w:ind w:left="-94" w:leftChars="-45" w:right="-94" w:rightChars="-45"/>
                    <w:jc w:val="center"/>
                    <w:rPr>
                      <w:rFonts w:hint="eastAsia"/>
                      <w:color w:val="000000"/>
                      <w:sz w:val="21"/>
                      <w:szCs w:val="21"/>
                      <w:lang w:val="en-US" w:eastAsia="zh-CN"/>
                    </w:rPr>
                  </w:pPr>
                </w:p>
              </w:tc>
              <w:tc>
                <w:tcPr>
                  <w:tcW w:w="1092" w:type="dxa"/>
                  <w:noWrap w:val="0"/>
                  <w:vAlign w:val="center"/>
                </w:tcPr>
                <w:p w14:paraId="6C07F3F7">
                  <w:pPr>
                    <w:jc w:val="center"/>
                    <w:rPr>
                      <w:rFonts w:hint="default"/>
                      <w:color w:val="000000"/>
                      <w:sz w:val="21"/>
                      <w:szCs w:val="21"/>
                      <w:lang w:val="en-US" w:eastAsia="zh-CN"/>
                    </w:rPr>
                  </w:pPr>
                  <w:r>
                    <w:rPr>
                      <w:rFonts w:hint="eastAsia"/>
                      <w:color w:val="000000"/>
                      <w:sz w:val="21"/>
                      <w:szCs w:val="21"/>
                      <w:lang w:val="en-US" w:eastAsia="zh-CN"/>
                    </w:rPr>
                    <w:t>多轴破碎机</w:t>
                  </w:r>
                </w:p>
              </w:tc>
              <w:tc>
                <w:tcPr>
                  <w:tcW w:w="563" w:type="dxa"/>
                  <w:noWrap w:val="0"/>
                  <w:vAlign w:val="center"/>
                </w:tcPr>
                <w:p w14:paraId="0B96C579">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28D20F7E">
                  <w:pPr>
                    <w:ind w:left="-94" w:leftChars="-45" w:right="-94" w:rightChars="-45"/>
                    <w:jc w:val="center"/>
                    <w:rPr>
                      <w:rFonts w:hint="eastAsia"/>
                      <w:color w:val="000000"/>
                      <w:sz w:val="21"/>
                      <w:szCs w:val="21"/>
                    </w:rPr>
                  </w:pPr>
                </w:p>
              </w:tc>
              <w:tc>
                <w:tcPr>
                  <w:tcW w:w="589" w:type="dxa"/>
                  <w:noWrap w:val="0"/>
                  <w:vAlign w:val="center"/>
                </w:tcPr>
                <w:p w14:paraId="6E78C8A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269.06</w:t>
                  </w:r>
                </w:p>
              </w:tc>
              <w:tc>
                <w:tcPr>
                  <w:tcW w:w="646" w:type="dxa"/>
                  <w:noWrap w:val="0"/>
                  <w:vAlign w:val="center"/>
                </w:tcPr>
                <w:p w14:paraId="7DDC6AC3">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70.17</w:t>
                  </w:r>
                </w:p>
              </w:tc>
              <w:tc>
                <w:tcPr>
                  <w:tcW w:w="240" w:type="dxa"/>
                  <w:noWrap w:val="0"/>
                  <w:vAlign w:val="center"/>
                </w:tcPr>
                <w:p w14:paraId="2096D427">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5F03D59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50.07</w:t>
                  </w:r>
                </w:p>
              </w:tc>
              <w:tc>
                <w:tcPr>
                  <w:tcW w:w="531" w:type="dxa"/>
                  <w:noWrap w:val="0"/>
                  <w:vAlign w:val="center"/>
                </w:tcPr>
                <w:p w14:paraId="5F299B83">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8.58</w:t>
                  </w:r>
                </w:p>
              </w:tc>
              <w:tc>
                <w:tcPr>
                  <w:tcW w:w="560" w:type="dxa"/>
                  <w:noWrap w:val="0"/>
                  <w:vAlign w:val="center"/>
                </w:tcPr>
                <w:p w14:paraId="64096CD0">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6.18</w:t>
                  </w:r>
                </w:p>
              </w:tc>
              <w:tc>
                <w:tcPr>
                  <w:tcW w:w="531" w:type="dxa"/>
                  <w:noWrap w:val="0"/>
                  <w:vAlign w:val="center"/>
                </w:tcPr>
                <w:p w14:paraId="3CD8A872">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2.07</w:t>
                  </w:r>
                </w:p>
              </w:tc>
              <w:tc>
                <w:tcPr>
                  <w:tcW w:w="710" w:type="dxa"/>
                  <w:noWrap w:val="0"/>
                  <w:vAlign w:val="center"/>
                </w:tcPr>
                <w:p w14:paraId="0BF3E9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79.61</w:t>
                  </w:r>
                </w:p>
              </w:tc>
              <w:tc>
                <w:tcPr>
                  <w:tcW w:w="722" w:type="dxa"/>
                  <w:noWrap w:val="0"/>
                  <w:vAlign w:val="center"/>
                </w:tcPr>
                <w:p w14:paraId="7CF5CA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79.63</w:t>
                  </w:r>
                </w:p>
              </w:tc>
              <w:tc>
                <w:tcPr>
                  <w:tcW w:w="681" w:type="dxa"/>
                  <w:noWrap w:val="0"/>
                  <w:vAlign w:val="center"/>
                </w:tcPr>
                <w:p w14:paraId="6CCF72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79.65</w:t>
                  </w:r>
                </w:p>
              </w:tc>
              <w:tc>
                <w:tcPr>
                  <w:tcW w:w="647" w:type="dxa"/>
                  <w:noWrap w:val="0"/>
                  <w:vAlign w:val="center"/>
                </w:tcPr>
                <w:p w14:paraId="5DE136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79.88</w:t>
                  </w:r>
                </w:p>
              </w:tc>
              <w:tc>
                <w:tcPr>
                  <w:tcW w:w="566" w:type="dxa"/>
                  <w:noWrap w:val="0"/>
                  <w:vAlign w:val="center"/>
                </w:tcPr>
                <w:p w14:paraId="3200CC7A">
                  <w:pPr>
                    <w:ind w:left="-94" w:leftChars="-45" w:right="-94" w:rightChars="-45"/>
                    <w:jc w:val="center"/>
                    <w:rPr>
                      <w:rFonts w:hint="eastAsia"/>
                      <w:color w:val="000000"/>
                      <w:sz w:val="21"/>
                      <w:szCs w:val="21"/>
                    </w:rPr>
                  </w:pPr>
                  <w:r>
                    <w:rPr>
                      <w:rFonts w:hint="eastAsia"/>
                      <w:color w:val="000000"/>
                      <w:sz w:val="21"/>
                      <w:szCs w:val="21"/>
                    </w:rPr>
                    <w:t>昼间</w:t>
                  </w:r>
                </w:p>
              </w:tc>
              <w:tc>
                <w:tcPr>
                  <w:tcW w:w="621" w:type="dxa"/>
                  <w:noWrap w:val="0"/>
                  <w:vAlign w:val="center"/>
                </w:tcPr>
                <w:p w14:paraId="105F4A06">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5652EF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53.61</w:t>
                  </w:r>
                </w:p>
              </w:tc>
              <w:tc>
                <w:tcPr>
                  <w:tcW w:w="636" w:type="dxa"/>
                  <w:noWrap w:val="0"/>
                  <w:vAlign w:val="center"/>
                </w:tcPr>
                <w:p w14:paraId="7CD8BA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53.63</w:t>
                  </w:r>
                </w:p>
              </w:tc>
              <w:tc>
                <w:tcPr>
                  <w:tcW w:w="660" w:type="dxa"/>
                  <w:noWrap w:val="0"/>
                  <w:vAlign w:val="center"/>
                </w:tcPr>
                <w:p w14:paraId="0E2EA1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53.65</w:t>
                  </w:r>
                </w:p>
              </w:tc>
              <w:tc>
                <w:tcPr>
                  <w:tcW w:w="636" w:type="dxa"/>
                  <w:noWrap w:val="0"/>
                  <w:vAlign w:val="center"/>
                </w:tcPr>
                <w:p w14:paraId="007FC0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53.85</w:t>
                  </w:r>
                </w:p>
              </w:tc>
              <w:tc>
                <w:tcPr>
                  <w:tcW w:w="688" w:type="dxa"/>
                  <w:noWrap w:val="0"/>
                  <w:vAlign w:val="center"/>
                </w:tcPr>
                <w:p w14:paraId="4A0EC25E">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55D4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89" w:type="dxa"/>
                  <w:noWrap w:val="0"/>
                  <w:vAlign w:val="center"/>
                </w:tcPr>
                <w:p w14:paraId="51CB84B8">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12</w:t>
                  </w:r>
                </w:p>
              </w:tc>
              <w:tc>
                <w:tcPr>
                  <w:tcW w:w="393" w:type="dxa"/>
                  <w:vMerge w:val="continue"/>
                  <w:noWrap w:val="0"/>
                  <w:vAlign w:val="center"/>
                </w:tcPr>
                <w:p w14:paraId="7188D610">
                  <w:pPr>
                    <w:ind w:left="-94" w:leftChars="-45" w:right="-94" w:rightChars="-45"/>
                    <w:jc w:val="center"/>
                    <w:rPr>
                      <w:rFonts w:hint="eastAsia"/>
                      <w:color w:val="000000"/>
                      <w:sz w:val="21"/>
                      <w:szCs w:val="21"/>
                      <w:lang w:val="en-US" w:eastAsia="zh-CN"/>
                    </w:rPr>
                  </w:pPr>
                </w:p>
              </w:tc>
              <w:tc>
                <w:tcPr>
                  <w:tcW w:w="1092" w:type="dxa"/>
                  <w:noWrap w:val="0"/>
                  <w:vAlign w:val="center"/>
                </w:tcPr>
                <w:p w14:paraId="0D7381E9">
                  <w:pPr>
                    <w:jc w:val="center"/>
                    <w:rPr>
                      <w:rFonts w:hint="default"/>
                      <w:color w:val="000000"/>
                      <w:sz w:val="21"/>
                      <w:szCs w:val="21"/>
                      <w:lang w:val="en-US" w:eastAsia="zh-CN"/>
                    </w:rPr>
                  </w:pPr>
                  <w:r>
                    <w:rPr>
                      <w:rFonts w:hint="eastAsia"/>
                      <w:color w:val="000000"/>
                      <w:sz w:val="21"/>
                      <w:szCs w:val="21"/>
                      <w:lang w:val="en-US" w:eastAsia="zh-CN"/>
                    </w:rPr>
                    <w:t>整形机</w:t>
                  </w:r>
                </w:p>
              </w:tc>
              <w:tc>
                <w:tcPr>
                  <w:tcW w:w="563" w:type="dxa"/>
                  <w:noWrap w:val="0"/>
                  <w:vAlign w:val="center"/>
                </w:tcPr>
                <w:p w14:paraId="36566E3C">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3B9737AB">
                  <w:pPr>
                    <w:ind w:left="-94" w:leftChars="-45" w:right="-94" w:rightChars="-45"/>
                    <w:jc w:val="center"/>
                    <w:rPr>
                      <w:rFonts w:hint="eastAsia"/>
                      <w:color w:val="000000"/>
                      <w:sz w:val="21"/>
                      <w:szCs w:val="21"/>
                    </w:rPr>
                  </w:pPr>
                </w:p>
              </w:tc>
              <w:tc>
                <w:tcPr>
                  <w:tcW w:w="589" w:type="dxa"/>
                  <w:noWrap w:val="0"/>
                  <w:vAlign w:val="center"/>
                </w:tcPr>
                <w:p w14:paraId="1D1CD05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227.69</w:t>
                  </w:r>
                </w:p>
              </w:tc>
              <w:tc>
                <w:tcPr>
                  <w:tcW w:w="646" w:type="dxa"/>
                  <w:noWrap w:val="0"/>
                  <w:vAlign w:val="center"/>
                </w:tcPr>
                <w:p w14:paraId="7B012660">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69.48</w:t>
                  </w:r>
                </w:p>
              </w:tc>
              <w:tc>
                <w:tcPr>
                  <w:tcW w:w="240" w:type="dxa"/>
                  <w:noWrap w:val="0"/>
                  <w:vAlign w:val="center"/>
                </w:tcPr>
                <w:p w14:paraId="1361ADDA">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55E29B0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8.73</w:t>
                  </w:r>
                </w:p>
              </w:tc>
              <w:tc>
                <w:tcPr>
                  <w:tcW w:w="531" w:type="dxa"/>
                  <w:noWrap w:val="0"/>
                  <w:vAlign w:val="center"/>
                </w:tcPr>
                <w:p w14:paraId="0C80FA26">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kern w:val="2"/>
                      <w:sz w:val="21"/>
                      <w:szCs w:val="24"/>
                      <w:lang w:val="en-US" w:eastAsia="zh-CN" w:bidi="ar-SA"/>
                    </w:rPr>
                  </w:pPr>
                  <w:r>
                    <w:rPr>
                      <w:rFonts w:hint="eastAsia"/>
                      <w:color w:val="000000"/>
                      <w:kern w:val="2"/>
                      <w:sz w:val="21"/>
                      <w:szCs w:val="24"/>
                      <w:lang w:val="en-US" w:eastAsia="zh-CN" w:bidi="ar-SA"/>
                    </w:rPr>
                    <w:t>9.15</w:t>
                  </w:r>
                </w:p>
              </w:tc>
              <w:tc>
                <w:tcPr>
                  <w:tcW w:w="560" w:type="dxa"/>
                  <w:noWrap w:val="0"/>
                  <w:vAlign w:val="center"/>
                </w:tcPr>
                <w:p w14:paraId="2606318D">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eastAsia"/>
                      <w:color w:val="000000"/>
                      <w:kern w:val="2"/>
                      <w:sz w:val="21"/>
                      <w:szCs w:val="24"/>
                      <w:lang w:val="en-US" w:eastAsia="zh-CN" w:bidi="ar-SA"/>
                    </w:rPr>
                  </w:pPr>
                  <w:r>
                    <w:rPr>
                      <w:rFonts w:hint="eastAsia"/>
                      <w:color w:val="000000"/>
                      <w:lang w:val="en-US" w:eastAsia="zh-CN"/>
                    </w:rPr>
                    <w:t>47.55</w:t>
                  </w:r>
                </w:p>
              </w:tc>
              <w:tc>
                <w:tcPr>
                  <w:tcW w:w="531" w:type="dxa"/>
                  <w:noWrap w:val="0"/>
                  <w:vAlign w:val="center"/>
                </w:tcPr>
                <w:p w14:paraId="7219315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eastAsia"/>
                      <w:color w:val="000000"/>
                      <w:kern w:val="2"/>
                      <w:sz w:val="21"/>
                      <w:szCs w:val="24"/>
                      <w:lang w:val="en-US" w:eastAsia="zh-CN" w:bidi="ar-SA"/>
                    </w:rPr>
                  </w:pPr>
                  <w:r>
                    <w:rPr>
                      <w:rFonts w:hint="eastAsia"/>
                      <w:color w:val="000000"/>
                      <w:lang w:val="en-US" w:eastAsia="zh-CN"/>
                    </w:rPr>
                    <w:t>1.60</w:t>
                  </w:r>
                </w:p>
              </w:tc>
              <w:tc>
                <w:tcPr>
                  <w:tcW w:w="710" w:type="dxa"/>
                  <w:noWrap w:val="0"/>
                  <w:vAlign w:val="center"/>
                </w:tcPr>
                <w:p w14:paraId="1104BA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79.63</w:t>
                  </w:r>
                </w:p>
              </w:tc>
              <w:tc>
                <w:tcPr>
                  <w:tcW w:w="722" w:type="dxa"/>
                  <w:noWrap w:val="0"/>
                  <w:vAlign w:val="center"/>
                </w:tcPr>
                <w:p w14:paraId="5FA252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79.61</w:t>
                  </w:r>
                </w:p>
              </w:tc>
              <w:tc>
                <w:tcPr>
                  <w:tcW w:w="681" w:type="dxa"/>
                  <w:noWrap w:val="0"/>
                  <w:vAlign w:val="center"/>
                </w:tcPr>
                <w:p w14:paraId="25C51A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79.61</w:t>
                  </w:r>
                </w:p>
              </w:tc>
              <w:tc>
                <w:tcPr>
                  <w:tcW w:w="647" w:type="dxa"/>
                  <w:noWrap w:val="0"/>
                  <w:vAlign w:val="center"/>
                </w:tcPr>
                <w:p w14:paraId="414AD3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80.06</w:t>
                  </w:r>
                </w:p>
              </w:tc>
              <w:tc>
                <w:tcPr>
                  <w:tcW w:w="566" w:type="dxa"/>
                  <w:noWrap w:val="0"/>
                  <w:vAlign w:val="center"/>
                </w:tcPr>
                <w:p w14:paraId="34D87A08">
                  <w:pPr>
                    <w:ind w:left="-94" w:leftChars="-45" w:right="-94" w:rightChars="-45"/>
                    <w:jc w:val="center"/>
                    <w:rPr>
                      <w:rFonts w:hint="eastAsia"/>
                      <w:color w:val="000000"/>
                      <w:sz w:val="21"/>
                      <w:szCs w:val="21"/>
                    </w:rPr>
                  </w:pPr>
                  <w:r>
                    <w:rPr>
                      <w:rFonts w:hint="eastAsia"/>
                      <w:color w:val="000000"/>
                      <w:sz w:val="21"/>
                      <w:szCs w:val="21"/>
                    </w:rPr>
                    <w:t>昼间</w:t>
                  </w:r>
                </w:p>
              </w:tc>
              <w:tc>
                <w:tcPr>
                  <w:tcW w:w="621" w:type="dxa"/>
                  <w:noWrap w:val="0"/>
                  <w:vAlign w:val="center"/>
                </w:tcPr>
                <w:p w14:paraId="2690EC66">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4F413F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53.63</w:t>
                  </w:r>
                </w:p>
              </w:tc>
              <w:tc>
                <w:tcPr>
                  <w:tcW w:w="636" w:type="dxa"/>
                  <w:noWrap w:val="0"/>
                  <w:vAlign w:val="center"/>
                </w:tcPr>
                <w:p w14:paraId="0E4FA9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53.61</w:t>
                  </w:r>
                </w:p>
              </w:tc>
              <w:tc>
                <w:tcPr>
                  <w:tcW w:w="660" w:type="dxa"/>
                  <w:noWrap w:val="0"/>
                  <w:vAlign w:val="center"/>
                </w:tcPr>
                <w:p w14:paraId="241459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53.61</w:t>
                  </w:r>
                </w:p>
              </w:tc>
              <w:tc>
                <w:tcPr>
                  <w:tcW w:w="636" w:type="dxa"/>
                  <w:noWrap w:val="0"/>
                  <w:vAlign w:val="center"/>
                </w:tcPr>
                <w:p w14:paraId="251F9E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54.06</w:t>
                  </w:r>
                </w:p>
              </w:tc>
              <w:tc>
                <w:tcPr>
                  <w:tcW w:w="688" w:type="dxa"/>
                  <w:noWrap w:val="0"/>
                  <w:vAlign w:val="center"/>
                </w:tcPr>
                <w:p w14:paraId="675BD5AD">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262A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89" w:type="dxa"/>
                  <w:noWrap w:val="0"/>
                  <w:vAlign w:val="center"/>
                </w:tcPr>
                <w:p w14:paraId="6EB8E381">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13</w:t>
                  </w:r>
                </w:p>
              </w:tc>
              <w:tc>
                <w:tcPr>
                  <w:tcW w:w="393" w:type="dxa"/>
                  <w:vMerge w:val="continue"/>
                  <w:noWrap w:val="0"/>
                  <w:vAlign w:val="center"/>
                </w:tcPr>
                <w:p w14:paraId="5528EE56">
                  <w:pPr>
                    <w:ind w:left="-94" w:leftChars="-45" w:right="-94" w:rightChars="-45"/>
                    <w:jc w:val="center"/>
                    <w:rPr>
                      <w:rFonts w:hint="eastAsia"/>
                      <w:color w:val="000000"/>
                      <w:sz w:val="21"/>
                      <w:szCs w:val="21"/>
                      <w:lang w:val="en-US" w:eastAsia="zh-CN"/>
                    </w:rPr>
                  </w:pPr>
                </w:p>
              </w:tc>
              <w:tc>
                <w:tcPr>
                  <w:tcW w:w="1092" w:type="dxa"/>
                  <w:noWrap w:val="0"/>
                  <w:vAlign w:val="center"/>
                </w:tcPr>
                <w:p w14:paraId="54FFFC6A">
                  <w:pPr>
                    <w:jc w:val="center"/>
                    <w:rPr>
                      <w:rFonts w:hint="default"/>
                      <w:color w:val="000000"/>
                      <w:sz w:val="21"/>
                      <w:szCs w:val="21"/>
                      <w:lang w:val="en-US" w:eastAsia="zh-CN"/>
                    </w:rPr>
                  </w:pPr>
                  <w:r>
                    <w:rPr>
                      <w:rFonts w:hint="eastAsia"/>
                      <w:color w:val="000000"/>
                      <w:sz w:val="21"/>
                      <w:szCs w:val="21"/>
                      <w:lang w:val="en-US" w:eastAsia="zh-CN"/>
                    </w:rPr>
                    <w:t>冲击磨1#</w:t>
                  </w:r>
                </w:p>
              </w:tc>
              <w:tc>
                <w:tcPr>
                  <w:tcW w:w="563" w:type="dxa"/>
                  <w:noWrap w:val="0"/>
                  <w:vAlign w:val="center"/>
                </w:tcPr>
                <w:p w14:paraId="3965705D">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66FAEA85">
                  <w:pPr>
                    <w:ind w:left="-94" w:leftChars="-45" w:right="-94" w:rightChars="-45"/>
                    <w:jc w:val="center"/>
                    <w:rPr>
                      <w:rFonts w:hint="eastAsia"/>
                      <w:color w:val="000000"/>
                      <w:sz w:val="21"/>
                      <w:szCs w:val="21"/>
                    </w:rPr>
                  </w:pPr>
                </w:p>
              </w:tc>
              <w:tc>
                <w:tcPr>
                  <w:tcW w:w="589" w:type="dxa"/>
                  <w:noWrap w:val="0"/>
                  <w:vAlign w:val="center"/>
                </w:tcPr>
                <w:p w14:paraId="5883024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235.01</w:t>
                  </w:r>
                </w:p>
              </w:tc>
              <w:tc>
                <w:tcPr>
                  <w:tcW w:w="646" w:type="dxa"/>
                  <w:noWrap w:val="0"/>
                  <w:vAlign w:val="center"/>
                </w:tcPr>
                <w:p w14:paraId="232AB0C1">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69.51</w:t>
                  </w:r>
                </w:p>
              </w:tc>
              <w:tc>
                <w:tcPr>
                  <w:tcW w:w="240" w:type="dxa"/>
                  <w:noWrap w:val="0"/>
                  <w:vAlign w:val="center"/>
                </w:tcPr>
                <w:p w14:paraId="011867E5">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7117A86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9.16</w:t>
                  </w:r>
                </w:p>
              </w:tc>
              <w:tc>
                <w:tcPr>
                  <w:tcW w:w="531" w:type="dxa"/>
                  <w:noWrap w:val="0"/>
                  <w:vAlign w:val="center"/>
                </w:tcPr>
                <w:p w14:paraId="6B46C669">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40.23</w:t>
                  </w:r>
                </w:p>
              </w:tc>
              <w:tc>
                <w:tcPr>
                  <w:tcW w:w="560" w:type="dxa"/>
                  <w:noWrap w:val="0"/>
                  <w:vAlign w:val="center"/>
                </w:tcPr>
                <w:p w14:paraId="3C0C1039">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1.59</w:t>
                  </w:r>
                </w:p>
              </w:tc>
              <w:tc>
                <w:tcPr>
                  <w:tcW w:w="531" w:type="dxa"/>
                  <w:noWrap w:val="0"/>
                  <w:vAlign w:val="center"/>
                </w:tcPr>
                <w:p w14:paraId="2FA0C9BB">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16.04</w:t>
                  </w:r>
                </w:p>
              </w:tc>
              <w:tc>
                <w:tcPr>
                  <w:tcW w:w="710" w:type="dxa"/>
                  <w:noWrap w:val="0"/>
                  <w:vAlign w:val="center"/>
                </w:tcPr>
                <w:p w14:paraId="3EF768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722" w:type="dxa"/>
                  <w:noWrap w:val="0"/>
                  <w:vAlign w:val="center"/>
                </w:tcPr>
                <w:p w14:paraId="4AF6B9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79.63</w:t>
                  </w:r>
                </w:p>
              </w:tc>
              <w:tc>
                <w:tcPr>
                  <w:tcW w:w="681" w:type="dxa"/>
                  <w:noWrap w:val="0"/>
                  <w:vAlign w:val="center"/>
                </w:tcPr>
                <w:p w14:paraId="6D4262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647" w:type="dxa"/>
                  <w:noWrap w:val="0"/>
                  <w:vAlign w:val="center"/>
                </w:tcPr>
                <w:p w14:paraId="218115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80.06</w:t>
                  </w:r>
                </w:p>
              </w:tc>
              <w:tc>
                <w:tcPr>
                  <w:tcW w:w="566" w:type="dxa"/>
                  <w:noWrap w:val="0"/>
                  <w:vAlign w:val="center"/>
                </w:tcPr>
                <w:p w14:paraId="697087FC">
                  <w:pPr>
                    <w:ind w:left="-94" w:leftChars="-45" w:right="-94" w:rightChars="-45"/>
                    <w:jc w:val="center"/>
                    <w:rPr>
                      <w:rFonts w:hint="eastAsia"/>
                      <w:color w:val="000000"/>
                      <w:sz w:val="21"/>
                      <w:szCs w:val="21"/>
                    </w:rPr>
                  </w:pPr>
                  <w:r>
                    <w:rPr>
                      <w:rFonts w:hint="eastAsia"/>
                      <w:color w:val="000000"/>
                      <w:sz w:val="21"/>
                      <w:szCs w:val="21"/>
                    </w:rPr>
                    <w:t>昼间</w:t>
                  </w:r>
                </w:p>
              </w:tc>
              <w:tc>
                <w:tcPr>
                  <w:tcW w:w="621" w:type="dxa"/>
                  <w:noWrap w:val="0"/>
                  <w:vAlign w:val="center"/>
                </w:tcPr>
                <w:p w14:paraId="7D1741D5">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447074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24A9FB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53.63</w:t>
                  </w:r>
                </w:p>
              </w:tc>
              <w:tc>
                <w:tcPr>
                  <w:tcW w:w="660" w:type="dxa"/>
                  <w:noWrap w:val="0"/>
                  <w:vAlign w:val="center"/>
                </w:tcPr>
                <w:p w14:paraId="6F8781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615B0E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54.06</w:t>
                  </w:r>
                </w:p>
              </w:tc>
              <w:tc>
                <w:tcPr>
                  <w:tcW w:w="688" w:type="dxa"/>
                  <w:noWrap w:val="0"/>
                  <w:vAlign w:val="center"/>
                </w:tcPr>
                <w:p w14:paraId="61C2D07E">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7EA8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89" w:type="dxa"/>
                  <w:noWrap w:val="0"/>
                  <w:vAlign w:val="center"/>
                </w:tcPr>
                <w:p w14:paraId="2C6E6317">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14</w:t>
                  </w:r>
                </w:p>
              </w:tc>
              <w:tc>
                <w:tcPr>
                  <w:tcW w:w="393" w:type="dxa"/>
                  <w:vMerge w:val="continue"/>
                  <w:noWrap w:val="0"/>
                  <w:vAlign w:val="center"/>
                </w:tcPr>
                <w:p w14:paraId="0EB0AE01">
                  <w:pPr>
                    <w:ind w:left="-94" w:leftChars="-45" w:right="-94" w:rightChars="-45"/>
                    <w:jc w:val="center"/>
                    <w:rPr>
                      <w:rFonts w:hint="eastAsia"/>
                      <w:color w:val="000000"/>
                      <w:sz w:val="21"/>
                      <w:szCs w:val="21"/>
                      <w:lang w:val="en-US" w:eastAsia="zh-CN"/>
                    </w:rPr>
                  </w:pPr>
                </w:p>
              </w:tc>
              <w:tc>
                <w:tcPr>
                  <w:tcW w:w="1092" w:type="dxa"/>
                  <w:noWrap w:val="0"/>
                  <w:vAlign w:val="center"/>
                </w:tcPr>
                <w:p w14:paraId="55C9D937">
                  <w:pPr>
                    <w:jc w:val="center"/>
                    <w:rPr>
                      <w:rFonts w:hint="eastAsia"/>
                      <w:color w:val="000000"/>
                      <w:sz w:val="21"/>
                      <w:szCs w:val="21"/>
                      <w:lang w:val="en-US" w:eastAsia="zh-CN"/>
                    </w:rPr>
                  </w:pPr>
                  <w:r>
                    <w:rPr>
                      <w:rFonts w:hint="eastAsia"/>
                      <w:color w:val="000000"/>
                      <w:sz w:val="21"/>
                      <w:szCs w:val="21"/>
                      <w:lang w:val="en-US" w:eastAsia="zh-CN"/>
                    </w:rPr>
                    <w:t>冲击磨2#</w:t>
                  </w:r>
                </w:p>
              </w:tc>
              <w:tc>
                <w:tcPr>
                  <w:tcW w:w="563" w:type="dxa"/>
                  <w:noWrap w:val="0"/>
                  <w:vAlign w:val="center"/>
                </w:tcPr>
                <w:p w14:paraId="11BE3916">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3E8300FF">
                  <w:pPr>
                    <w:ind w:left="-94" w:leftChars="-45" w:right="-94" w:rightChars="-45"/>
                    <w:jc w:val="center"/>
                    <w:rPr>
                      <w:rFonts w:hint="eastAsia"/>
                      <w:color w:val="000000"/>
                      <w:sz w:val="21"/>
                      <w:szCs w:val="21"/>
                    </w:rPr>
                  </w:pPr>
                </w:p>
              </w:tc>
              <w:tc>
                <w:tcPr>
                  <w:tcW w:w="589" w:type="dxa"/>
                  <w:noWrap w:val="0"/>
                  <w:vAlign w:val="center"/>
                </w:tcPr>
                <w:p w14:paraId="7E73BFA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239.27</w:t>
                  </w:r>
                </w:p>
              </w:tc>
              <w:tc>
                <w:tcPr>
                  <w:tcW w:w="646" w:type="dxa"/>
                  <w:noWrap w:val="0"/>
                  <w:vAlign w:val="center"/>
                </w:tcPr>
                <w:p w14:paraId="5D599B54">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69.31</w:t>
                  </w:r>
                </w:p>
              </w:tc>
              <w:tc>
                <w:tcPr>
                  <w:tcW w:w="240" w:type="dxa"/>
                  <w:noWrap w:val="0"/>
                  <w:vAlign w:val="center"/>
                </w:tcPr>
                <w:p w14:paraId="2434D09C">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0F93663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20.28</w:t>
                  </w:r>
                </w:p>
              </w:tc>
              <w:tc>
                <w:tcPr>
                  <w:tcW w:w="531" w:type="dxa"/>
                  <w:noWrap w:val="0"/>
                  <w:vAlign w:val="center"/>
                </w:tcPr>
                <w:p w14:paraId="2EC5B9E0">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9.38</w:t>
                  </w:r>
                </w:p>
              </w:tc>
              <w:tc>
                <w:tcPr>
                  <w:tcW w:w="560" w:type="dxa"/>
                  <w:noWrap w:val="0"/>
                  <w:vAlign w:val="center"/>
                </w:tcPr>
                <w:p w14:paraId="3C8B533E">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35.97</w:t>
                  </w:r>
                </w:p>
              </w:tc>
              <w:tc>
                <w:tcPr>
                  <w:tcW w:w="531" w:type="dxa"/>
                  <w:noWrap w:val="0"/>
                  <w:vAlign w:val="center"/>
                </w:tcPr>
                <w:p w14:paraId="2A346E95">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1.37</w:t>
                  </w:r>
                </w:p>
              </w:tc>
              <w:tc>
                <w:tcPr>
                  <w:tcW w:w="710" w:type="dxa"/>
                  <w:noWrap w:val="0"/>
                  <w:vAlign w:val="center"/>
                </w:tcPr>
                <w:p w14:paraId="719FA86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722" w:type="dxa"/>
                  <w:noWrap w:val="0"/>
                  <w:vAlign w:val="center"/>
                </w:tcPr>
                <w:p w14:paraId="4AAC20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79.63</w:t>
                  </w:r>
                </w:p>
              </w:tc>
              <w:tc>
                <w:tcPr>
                  <w:tcW w:w="681" w:type="dxa"/>
                  <w:noWrap w:val="0"/>
                  <w:vAlign w:val="center"/>
                </w:tcPr>
                <w:p w14:paraId="0FAD28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647" w:type="dxa"/>
                  <w:noWrap w:val="0"/>
                  <w:vAlign w:val="center"/>
                </w:tcPr>
                <w:p w14:paraId="42EF10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80.21</w:t>
                  </w:r>
                </w:p>
              </w:tc>
              <w:tc>
                <w:tcPr>
                  <w:tcW w:w="566" w:type="dxa"/>
                  <w:noWrap w:val="0"/>
                  <w:vAlign w:val="center"/>
                </w:tcPr>
                <w:p w14:paraId="4D937F59">
                  <w:pPr>
                    <w:ind w:left="-94" w:leftChars="-45" w:right="-94" w:rightChars="-45"/>
                    <w:jc w:val="center"/>
                    <w:rPr>
                      <w:rFonts w:hint="eastAsia"/>
                      <w:color w:val="000000"/>
                      <w:sz w:val="21"/>
                      <w:szCs w:val="21"/>
                    </w:rPr>
                  </w:pPr>
                  <w:r>
                    <w:rPr>
                      <w:rFonts w:hint="eastAsia"/>
                      <w:color w:val="000000"/>
                      <w:sz w:val="21"/>
                      <w:szCs w:val="21"/>
                    </w:rPr>
                    <w:t>昼间</w:t>
                  </w:r>
                </w:p>
              </w:tc>
              <w:tc>
                <w:tcPr>
                  <w:tcW w:w="621" w:type="dxa"/>
                  <w:noWrap w:val="0"/>
                  <w:vAlign w:val="center"/>
                </w:tcPr>
                <w:p w14:paraId="56E90C8A">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7DCF12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1A6035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53.63</w:t>
                  </w:r>
                </w:p>
              </w:tc>
              <w:tc>
                <w:tcPr>
                  <w:tcW w:w="660" w:type="dxa"/>
                  <w:noWrap w:val="0"/>
                  <w:vAlign w:val="center"/>
                </w:tcPr>
                <w:p w14:paraId="0134B5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228767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54.21</w:t>
                  </w:r>
                </w:p>
              </w:tc>
              <w:tc>
                <w:tcPr>
                  <w:tcW w:w="688" w:type="dxa"/>
                  <w:noWrap w:val="0"/>
                  <w:vAlign w:val="center"/>
                </w:tcPr>
                <w:p w14:paraId="337722BD">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5115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89" w:type="dxa"/>
                  <w:noWrap w:val="0"/>
                  <w:vAlign w:val="center"/>
                </w:tcPr>
                <w:p w14:paraId="0088F592">
                  <w:pPr>
                    <w:ind w:left="-94" w:leftChars="-45" w:right="-94" w:rightChars="-45"/>
                    <w:jc w:val="center"/>
                    <w:rPr>
                      <w:rFonts w:hint="default"/>
                      <w:color w:val="000000"/>
                      <w:kern w:val="2"/>
                      <w:sz w:val="21"/>
                      <w:szCs w:val="21"/>
                      <w:lang w:val="en-US" w:eastAsia="zh-CN" w:bidi="ar-SA"/>
                    </w:rPr>
                  </w:pPr>
                  <w:r>
                    <w:rPr>
                      <w:rFonts w:hint="eastAsia"/>
                      <w:color w:val="000000"/>
                      <w:sz w:val="21"/>
                      <w:szCs w:val="21"/>
                      <w:lang w:val="en-US" w:eastAsia="zh-CN"/>
                    </w:rPr>
                    <w:t>15</w:t>
                  </w:r>
                </w:p>
              </w:tc>
              <w:tc>
                <w:tcPr>
                  <w:tcW w:w="393" w:type="dxa"/>
                  <w:vMerge w:val="continue"/>
                  <w:noWrap w:val="0"/>
                  <w:vAlign w:val="center"/>
                </w:tcPr>
                <w:p w14:paraId="158CD235">
                  <w:pPr>
                    <w:ind w:left="-94" w:leftChars="-45" w:right="-94" w:rightChars="-45"/>
                    <w:jc w:val="center"/>
                    <w:rPr>
                      <w:rFonts w:hint="eastAsia"/>
                      <w:color w:val="000000"/>
                      <w:sz w:val="21"/>
                      <w:szCs w:val="21"/>
                      <w:lang w:val="en-US" w:eastAsia="zh-CN"/>
                    </w:rPr>
                  </w:pPr>
                </w:p>
              </w:tc>
              <w:tc>
                <w:tcPr>
                  <w:tcW w:w="1092" w:type="dxa"/>
                  <w:noWrap w:val="0"/>
                  <w:vAlign w:val="center"/>
                </w:tcPr>
                <w:p w14:paraId="31CC8E61">
                  <w:pPr>
                    <w:jc w:val="center"/>
                    <w:rPr>
                      <w:rFonts w:hint="eastAsia"/>
                      <w:color w:val="000000"/>
                      <w:sz w:val="21"/>
                      <w:szCs w:val="21"/>
                      <w:lang w:val="en-US" w:eastAsia="zh-CN"/>
                    </w:rPr>
                  </w:pPr>
                  <w:r>
                    <w:rPr>
                      <w:rFonts w:hint="eastAsia"/>
                      <w:color w:val="000000"/>
                      <w:sz w:val="21"/>
                      <w:szCs w:val="21"/>
                      <w:lang w:val="en-US" w:eastAsia="zh-CN"/>
                    </w:rPr>
                    <w:t>冲击磨3#</w:t>
                  </w:r>
                </w:p>
              </w:tc>
              <w:tc>
                <w:tcPr>
                  <w:tcW w:w="563" w:type="dxa"/>
                  <w:noWrap w:val="0"/>
                  <w:vAlign w:val="center"/>
                </w:tcPr>
                <w:p w14:paraId="24A7DD91">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0AE0E0A7">
                  <w:pPr>
                    <w:ind w:left="-94" w:leftChars="-45" w:right="-94" w:rightChars="-45"/>
                    <w:jc w:val="center"/>
                    <w:rPr>
                      <w:rFonts w:hint="eastAsia"/>
                      <w:color w:val="000000"/>
                      <w:sz w:val="21"/>
                      <w:szCs w:val="21"/>
                    </w:rPr>
                  </w:pPr>
                </w:p>
              </w:tc>
              <w:tc>
                <w:tcPr>
                  <w:tcW w:w="589" w:type="dxa"/>
                  <w:noWrap w:val="0"/>
                  <w:vAlign w:val="center"/>
                </w:tcPr>
                <w:p w14:paraId="7FB8302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243.98</w:t>
                  </w:r>
                </w:p>
              </w:tc>
              <w:tc>
                <w:tcPr>
                  <w:tcW w:w="646" w:type="dxa"/>
                  <w:noWrap w:val="0"/>
                  <w:vAlign w:val="center"/>
                </w:tcPr>
                <w:p w14:paraId="7311C47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70.35</w:t>
                  </w:r>
                </w:p>
              </w:tc>
              <w:tc>
                <w:tcPr>
                  <w:tcW w:w="240" w:type="dxa"/>
                  <w:noWrap w:val="0"/>
                  <w:vAlign w:val="center"/>
                </w:tcPr>
                <w:p w14:paraId="46C61ECA">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0D1314B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25.04</w:t>
                  </w:r>
                </w:p>
              </w:tc>
              <w:tc>
                <w:tcPr>
                  <w:tcW w:w="531" w:type="dxa"/>
                  <w:noWrap w:val="0"/>
                  <w:vAlign w:val="center"/>
                </w:tcPr>
                <w:p w14:paraId="36ADD1EE">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8.36</w:t>
                  </w:r>
                </w:p>
              </w:tc>
              <w:tc>
                <w:tcPr>
                  <w:tcW w:w="560" w:type="dxa"/>
                  <w:noWrap w:val="0"/>
                  <w:vAlign w:val="center"/>
                </w:tcPr>
                <w:p w14:paraId="79EE7D29">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31.26</w:t>
                  </w:r>
                </w:p>
              </w:tc>
              <w:tc>
                <w:tcPr>
                  <w:tcW w:w="531" w:type="dxa"/>
                  <w:noWrap w:val="0"/>
                  <w:vAlign w:val="center"/>
                </w:tcPr>
                <w:p w14:paraId="05ED4E0E">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2.39</w:t>
                  </w:r>
                </w:p>
              </w:tc>
              <w:tc>
                <w:tcPr>
                  <w:tcW w:w="710" w:type="dxa"/>
                  <w:noWrap w:val="0"/>
                  <w:vAlign w:val="center"/>
                </w:tcPr>
                <w:p w14:paraId="4E60C1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722" w:type="dxa"/>
                  <w:noWrap w:val="0"/>
                  <w:vAlign w:val="center"/>
                </w:tcPr>
                <w:p w14:paraId="397173D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79.63</w:t>
                  </w:r>
                </w:p>
              </w:tc>
              <w:tc>
                <w:tcPr>
                  <w:tcW w:w="681" w:type="dxa"/>
                  <w:noWrap w:val="0"/>
                  <w:vAlign w:val="center"/>
                </w:tcPr>
                <w:p w14:paraId="7475B2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647" w:type="dxa"/>
                  <w:noWrap w:val="0"/>
                  <w:vAlign w:val="center"/>
                </w:tcPr>
                <w:p w14:paraId="19DA73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79.82</w:t>
                  </w:r>
                </w:p>
              </w:tc>
              <w:tc>
                <w:tcPr>
                  <w:tcW w:w="566" w:type="dxa"/>
                  <w:noWrap w:val="0"/>
                  <w:vAlign w:val="center"/>
                </w:tcPr>
                <w:p w14:paraId="4EC4106F">
                  <w:pPr>
                    <w:ind w:left="-94" w:leftChars="-45" w:right="-94" w:rightChars="-45"/>
                    <w:jc w:val="center"/>
                    <w:rPr>
                      <w:rFonts w:hint="eastAsia"/>
                      <w:color w:val="000000"/>
                      <w:sz w:val="21"/>
                      <w:szCs w:val="21"/>
                    </w:rPr>
                  </w:pPr>
                  <w:r>
                    <w:rPr>
                      <w:rFonts w:hint="eastAsia"/>
                      <w:color w:val="000000"/>
                      <w:sz w:val="21"/>
                      <w:szCs w:val="21"/>
                    </w:rPr>
                    <w:t>昼间</w:t>
                  </w:r>
                </w:p>
              </w:tc>
              <w:tc>
                <w:tcPr>
                  <w:tcW w:w="621" w:type="dxa"/>
                  <w:noWrap w:val="0"/>
                  <w:vAlign w:val="center"/>
                </w:tcPr>
                <w:p w14:paraId="618638EA">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21F9A9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67DEA9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53.63</w:t>
                  </w:r>
                </w:p>
              </w:tc>
              <w:tc>
                <w:tcPr>
                  <w:tcW w:w="660" w:type="dxa"/>
                  <w:noWrap w:val="0"/>
                  <w:vAlign w:val="center"/>
                </w:tcPr>
                <w:p w14:paraId="6C75CB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7854FB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53.82</w:t>
                  </w:r>
                </w:p>
              </w:tc>
              <w:tc>
                <w:tcPr>
                  <w:tcW w:w="688" w:type="dxa"/>
                  <w:noWrap w:val="0"/>
                  <w:vAlign w:val="center"/>
                </w:tcPr>
                <w:p w14:paraId="20195473">
                  <w:pPr>
                    <w:ind w:left="-94" w:leftChars="-45" w:right="-94" w:rightChars="-45"/>
                    <w:jc w:val="center"/>
                    <w:rPr>
                      <w:rFonts w:hint="default" w:eastAsia="宋体"/>
                      <w:color w:val="000000"/>
                      <w:sz w:val="21"/>
                      <w:szCs w:val="21"/>
                      <w:lang w:val="en-US" w:eastAsia="zh-CN"/>
                    </w:rPr>
                  </w:pPr>
                  <w:r>
                    <w:rPr>
                      <w:rFonts w:hint="eastAsia"/>
                      <w:color w:val="000000"/>
                      <w:sz w:val="21"/>
                      <w:szCs w:val="21"/>
                      <w:lang w:val="en-US" w:eastAsia="zh-CN"/>
                    </w:rPr>
                    <w:t>1</w:t>
                  </w:r>
                </w:p>
              </w:tc>
            </w:tr>
            <w:tr w14:paraId="579C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89" w:type="dxa"/>
                  <w:noWrap w:val="0"/>
                  <w:vAlign w:val="center"/>
                </w:tcPr>
                <w:p w14:paraId="05D5EE97">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16</w:t>
                  </w:r>
                </w:p>
              </w:tc>
              <w:tc>
                <w:tcPr>
                  <w:tcW w:w="393" w:type="dxa"/>
                  <w:vMerge w:val="continue"/>
                  <w:noWrap w:val="0"/>
                  <w:vAlign w:val="center"/>
                </w:tcPr>
                <w:p w14:paraId="73871B72">
                  <w:pPr>
                    <w:ind w:left="-94" w:leftChars="-45" w:right="-94" w:rightChars="-45"/>
                    <w:jc w:val="center"/>
                    <w:rPr>
                      <w:rFonts w:hint="eastAsia"/>
                      <w:color w:val="000000"/>
                      <w:sz w:val="21"/>
                      <w:szCs w:val="21"/>
                      <w:lang w:val="en-US" w:eastAsia="zh-CN"/>
                    </w:rPr>
                  </w:pPr>
                </w:p>
              </w:tc>
              <w:tc>
                <w:tcPr>
                  <w:tcW w:w="1092" w:type="dxa"/>
                  <w:noWrap w:val="0"/>
                  <w:vAlign w:val="center"/>
                </w:tcPr>
                <w:p w14:paraId="7D8DEA6C">
                  <w:pPr>
                    <w:jc w:val="center"/>
                    <w:rPr>
                      <w:rFonts w:hint="eastAsia"/>
                      <w:color w:val="000000"/>
                      <w:sz w:val="21"/>
                      <w:szCs w:val="21"/>
                      <w:lang w:val="en-US" w:eastAsia="zh-CN"/>
                    </w:rPr>
                  </w:pPr>
                  <w:r>
                    <w:rPr>
                      <w:rFonts w:hint="eastAsia"/>
                      <w:color w:val="000000"/>
                      <w:sz w:val="21"/>
                      <w:szCs w:val="21"/>
                      <w:lang w:val="en-US" w:eastAsia="zh-CN"/>
                    </w:rPr>
                    <w:t>冲击磨4#</w:t>
                  </w:r>
                </w:p>
              </w:tc>
              <w:tc>
                <w:tcPr>
                  <w:tcW w:w="563" w:type="dxa"/>
                  <w:noWrap w:val="0"/>
                  <w:vAlign w:val="center"/>
                </w:tcPr>
                <w:p w14:paraId="3FE3468D">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85</w:t>
                  </w:r>
                </w:p>
              </w:tc>
              <w:tc>
                <w:tcPr>
                  <w:tcW w:w="592" w:type="dxa"/>
                  <w:vMerge w:val="continue"/>
                  <w:noWrap w:val="0"/>
                  <w:vAlign w:val="center"/>
                </w:tcPr>
                <w:p w14:paraId="668B553A">
                  <w:pPr>
                    <w:ind w:left="-94" w:leftChars="-45" w:right="-94" w:rightChars="-45"/>
                    <w:jc w:val="center"/>
                    <w:rPr>
                      <w:rFonts w:hint="eastAsia"/>
                      <w:color w:val="000000"/>
                      <w:sz w:val="21"/>
                      <w:szCs w:val="21"/>
                    </w:rPr>
                  </w:pPr>
                </w:p>
              </w:tc>
              <w:tc>
                <w:tcPr>
                  <w:tcW w:w="589" w:type="dxa"/>
                  <w:noWrap w:val="0"/>
                  <w:vAlign w:val="center"/>
                </w:tcPr>
                <w:p w14:paraId="55F57AF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251.08</w:t>
                  </w:r>
                </w:p>
              </w:tc>
              <w:tc>
                <w:tcPr>
                  <w:tcW w:w="646" w:type="dxa"/>
                  <w:noWrap w:val="0"/>
                  <w:vAlign w:val="center"/>
                </w:tcPr>
                <w:p w14:paraId="360DE449">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70.7</w:t>
                  </w:r>
                </w:p>
              </w:tc>
              <w:tc>
                <w:tcPr>
                  <w:tcW w:w="240" w:type="dxa"/>
                  <w:noWrap w:val="0"/>
                  <w:vAlign w:val="center"/>
                </w:tcPr>
                <w:p w14:paraId="605C3403">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7A118B3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32.15</w:t>
                  </w:r>
                </w:p>
              </w:tc>
              <w:tc>
                <w:tcPr>
                  <w:tcW w:w="531" w:type="dxa"/>
                  <w:noWrap w:val="0"/>
                  <w:vAlign w:val="center"/>
                </w:tcPr>
                <w:p w14:paraId="63959EEF">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8.05</w:t>
                  </w:r>
                </w:p>
              </w:tc>
              <w:tc>
                <w:tcPr>
                  <w:tcW w:w="560" w:type="dxa"/>
                  <w:noWrap w:val="0"/>
                  <w:vAlign w:val="center"/>
                </w:tcPr>
                <w:p w14:paraId="1A55A1C6">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24.16</w:t>
                  </w:r>
                </w:p>
              </w:tc>
              <w:tc>
                <w:tcPr>
                  <w:tcW w:w="531" w:type="dxa"/>
                  <w:noWrap w:val="0"/>
                  <w:vAlign w:val="center"/>
                </w:tcPr>
                <w:p w14:paraId="3F2DD2AE">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2.70</w:t>
                  </w:r>
                </w:p>
              </w:tc>
              <w:tc>
                <w:tcPr>
                  <w:tcW w:w="710" w:type="dxa"/>
                  <w:noWrap w:val="0"/>
                  <w:vAlign w:val="center"/>
                </w:tcPr>
                <w:p w14:paraId="6472BF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722" w:type="dxa"/>
                  <w:noWrap w:val="0"/>
                  <w:vAlign w:val="center"/>
                </w:tcPr>
                <w:p w14:paraId="48877A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79.63</w:t>
                  </w:r>
                </w:p>
              </w:tc>
              <w:tc>
                <w:tcPr>
                  <w:tcW w:w="681" w:type="dxa"/>
                  <w:noWrap w:val="0"/>
                  <w:vAlign w:val="center"/>
                </w:tcPr>
                <w:p w14:paraId="4BAB3D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79.62</w:t>
                  </w:r>
                </w:p>
              </w:tc>
              <w:tc>
                <w:tcPr>
                  <w:tcW w:w="647" w:type="dxa"/>
                  <w:noWrap w:val="0"/>
                  <w:vAlign w:val="center"/>
                </w:tcPr>
                <w:p w14:paraId="39F77FC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79.78</w:t>
                  </w:r>
                </w:p>
              </w:tc>
              <w:tc>
                <w:tcPr>
                  <w:tcW w:w="566" w:type="dxa"/>
                  <w:noWrap w:val="0"/>
                  <w:vAlign w:val="center"/>
                </w:tcPr>
                <w:p w14:paraId="7E37603A">
                  <w:pPr>
                    <w:ind w:left="-94" w:leftChars="-45" w:right="-94" w:rightChars="-45"/>
                    <w:jc w:val="center"/>
                    <w:rPr>
                      <w:rFonts w:hint="eastAsia"/>
                      <w:color w:val="000000"/>
                      <w:sz w:val="21"/>
                      <w:szCs w:val="21"/>
                    </w:rPr>
                  </w:pPr>
                  <w:r>
                    <w:rPr>
                      <w:rFonts w:hint="eastAsia"/>
                      <w:color w:val="000000"/>
                      <w:sz w:val="21"/>
                      <w:szCs w:val="21"/>
                    </w:rPr>
                    <w:t>昼间</w:t>
                  </w:r>
                </w:p>
              </w:tc>
              <w:tc>
                <w:tcPr>
                  <w:tcW w:w="621" w:type="dxa"/>
                  <w:noWrap w:val="0"/>
                  <w:vAlign w:val="center"/>
                </w:tcPr>
                <w:p w14:paraId="2745CA28">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512055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6B992C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53.63</w:t>
                  </w:r>
                </w:p>
              </w:tc>
              <w:tc>
                <w:tcPr>
                  <w:tcW w:w="660" w:type="dxa"/>
                  <w:noWrap w:val="0"/>
                  <w:vAlign w:val="center"/>
                </w:tcPr>
                <w:p w14:paraId="40ABAF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53.62</w:t>
                  </w:r>
                </w:p>
              </w:tc>
              <w:tc>
                <w:tcPr>
                  <w:tcW w:w="636" w:type="dxa"/>
                  <w:noWrap w:val="0"/>
                  <w:vAlign w:val="center"/>
                </w:tcPr>
                <w:p w14:paraId="7E97E86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53.78</w:t>
                  </w:r>
                </w:p>
              </w:tc>
              <w:tc>
                <w:tcPr>
                  <w:tcW w:w="688" w:type="dxa"/>
                  <w:noWrap w:val="0"/>
                  <w:vAlign w:val="center"/>
                </w:tcPr>
                <w:p w14:paraId="65233E3A">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r w14:paraId="7355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89" w:type="dxa"/>
                  <w:noWrap w:val="0"/>
                  <w:vAlign w:val="center"/>
                </w:tcPr>
                <w:p w14:paraId="70C6EC70">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17</w:t>
                  </w:r>
                </w:p>
              </w:tc>
              <w:tc>
                <w:tcPr>
                  <w:tcW w:w="393" w:type="dxa"/>
                  <w:noWrap w:val="0"/>
                  <w:vAlign w:val="center"/>
                </w:tcPr>
                <w:p w14:paraId="3B3E7CF2">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1#车间</w:t>
                  </w:r>
                </w:p>
              </w:tc>
              <w:tc>
                <w:tcPr>
                  <w:tcW w:w="1092" w:type="dxa"/>
                  <w:noWrap w:val="0"/>
                  <w:vAlign w:val="center"/>
                </w:tcPr>
                <w:p w14:paraId="4853D952">
                  <w:pPr>
                    <w:jc w:val="center"/>
                    <w:rPr>
                      <w:rFonts w:hint="default"/>
                      <w:color w:val="000000"/>
                      <w:sz w:val="21"/>
                      <w:szCs w:val="21"/>
                      <w:lang w:val="en-US" w:eastAsia="zh-CN"/>
                    </w:rPr>
                  </w:pPr>
                  <w:r>
                    <w:rPr>
                      <w:rFonts w:hint="eastAsia"/>
                      <w:color w:val="000000"/>
                      <w:sz w:val="21"/>
                      <w:szCs w:val="21"/>
                      <w:lang w:val="en-US" w:eastAsia="zh-CN"/>
                    </w:rPr>
                    <w:t>辊道窑</w:t>
                  </w:r>
                </w:p>
              </w:tc>
              <w:tc>
                <w:tcPr>
                  <w:tcW w:w="563" w:type="dxa"/>
                  <w:noWrap w:val="0"/>
                  <w:vAlign w:val="center"/>
                </w:tcPr>
                <w:p w14:paraId="5E65EBE8">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80</w:t>
                  </w:r>
                </w:p>
              </w:tc>
              <w:tc>
                <w:tcPr>
                  <w:tcW w:w="592" w:type="dxa"/>
                  <w:vMerge w:val="continue"/>
                  <w:noWrap w:val="0"/>
                  <w:vAlign w:val="center"/>
                </w:tcPr>
                <w:p w14:paraId="16D00CB6">
                  <w:pPr>
                    <w:ind w:left="-94" w:leftChars="-45" w:right="-94" w:rightChars="-45"/>
                    <w:jc w:val="center"/>
                    <w:rPr>
                      <w:rFonts w:hint="eastAsia"/>
                      <w:color w:val="000000"/>
                      <w:sz w:val="21"/>
                      <w:szCs w:val="21"/>
                    </w:rPr>
                  </w:pPr>
                </w:p>
              </w:tc>
              <w:tc>
                <w:tcPr>
                  <w:tcW w:w="589" w:type="dxa"/>
                  <w:noWrap w:val="0"/>
                  <w:vAlign w:val="center"/>
                </w:tcPr>
                <w:p w14:paraId="12D4BF1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eastAsia="zh-CN"/>
                    </w:rPr>
                  </w:pPr>
                  <w:r>
                    <w:rPr>
                      <w:rFonts w:hint="eastAsia"/>
                      <w:color w:val="000000"/>
                      <w:sz w:val="21"/>
                      <w:szCs w:val="21"/>
                      <w:lang w:val="en-US" w:eastAsia="zh-CN"/>
                    </w:rPr>
                    <w:t>127.41</w:t>
                  </w:r>
                </w:p>
              </w:tc>
              <w:tc>
                <w:tcPr>
                  <w:tcW w:w="646" w:type="dxa"/>
                  <w:noWrap w:val="0"/>
                  <w:vAlign w:val="center"/>
                </w:tcPr>
                <w:p w14:paraId="6219E966">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22.46</w:t>
                  </w:r>
                </w:p>
              </w:tc>
              <w:tc>
                <w:tcPr>
                  <w:tcW w:w="240" w:type="dxa"/>
                  <w:noWrap w:val="0"/>
                  <w:vAlign w:val="center"/>
                </w:tcPr>
                <w:p w14:paraId="23D9BB0B">
                  <w:pPr>
                    <w:ind w:left="-53" w:leftChars="-25" w:right="-53" w:rightChars="-25"/>
                    <w:jc w:val="center"/>
                    <w:rPr>
                      <w:rFonts w:hint="default"/>
                      <w:color w:val="000000"/>
                      <w:sz w:val="21"/>
                      <w:szCs w:val="21"/>
                      <w:lang w:val="en-US" w:eastAsia="zh-CN"/>
                    </w:rPr>
                  </w:pPr>
                  <w:r>
                    <w:rPr>
                      <w:rFonts w:hint="eastAsia"/>
                      <w:color w:val="000000"/>
                      <w:sz w:val="21"/>
                      <w:szCs w:val="21"/>
                      <w:lang w:val="en-US" w:eastAsia="zh-CN"/>
                    </w:rPr>
                    <w:t>1</w:t>
                  </w:r>
                </w:p>
              </w:tc>
              <w:tc>
                <w:tcPr>
                  <w:tcW w:w="546" w:type="dxa"/>
                  <w:noWrap w:val="0"/>
                  <w:vAlign w:val="center"/>
                </w:tcPr>
                <w:p w14:paraId="6CBA36C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color w:val="000000"/>
                      <w:lang w:val="en-US" w:eastAsia="zh-CN"/>
                    </w:rPr>
                  </w:pPr>
                  <w:r>
                    <w:rPr>
                      <w:rFonts w:hint="eastAsia"/>
                      <w:color w:val="000000"/>
                      <w:lang w:val="en-US" w:eastAsia="zh-CN"/>
                    </w:rPr>
                    <w:t>117.55</w:t>
                  </w:r>
                </w:p>
              </w:tc>
              <w:tc>
                <w:tcPr>
                  <w:tcW w:w="531" w:type="dxa"/>
                  <w:noWrap w:val="0"/>
                  <w:vAlign w:val="center"/>
                </w:tcPr>
                <w:p w14:paraId="4DC4C2F0">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43.29</w:t>
                  </w:r>
                </w:p>
              </w:tc>
              <w:tc>
                <w:tcPr>
                  <w:tcW w:w="560" w:type="dxa"/>
                  <w:noWrap w:val="0"/>
                  <w:vAlign w:val="center"/>
                </w:tcPr>
                <w:p w14:paraId="75707E5C">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62.91</w:t>
                  </w:r>
                </w:p>
              </w:tc>
              <w:tc>
                <w:tcPr>
                  <w:tcW w:w="531" w:type="dxa"/>
                  <w:noWrap w:val="0"/>
                  <w:vAlign w:val="center"/>
                </w:tcPr>
                <w:p w14:paraId="3B03EE2B">
                  <w:pPr>
                    <w:keepNext w:val="0"/>
                    <w:keepLines w:val="0"/>
                    <w:pageBreakBefore w:val="0"/>
                    <w:kinsoku/>
                    <w:wordWrap/>
                    <w:overflowPunct/>
                    <w:topLinePunct w:val="0"/>
                    <w:autoSpaceDE/>
                    <w:autoSpaceDN/>
                    <w:bidi w:val="0"/>
                    <w:adjustRightInd/>
                    <w:snapToGrid/>
                    <w:ind w:left="0" w:leftChars="0" w:right="0" w:rightChars="0"/>
                    <w:jc w:val="center"/>
                    <w:textAlignment w:val="auto"/>
                    <w:rPr>
                      <w:rFonts w:hint="default"/>
                      <w:color w:val="000000"/>
                      <w:lang w:val="en-US" w:eastAsia="zh-CN"/>
                    </w:rPr>
                  </w:pPr>
                  <w:r>
                    <w:rPr>
                      <w:rFonts w:hint="eastAsia"/>
                      <w:color w:val="000000"/>
                      <w:lang w:val="en-US" w:eastAsia="zh-CN"/>
                    </w:rPr>
                    <w:t>4.98</w:t>
                  </w:r>
                </w:p>
              </w:tc>
              <w:tc>
                <w:tcPr>
                  <w:tcW w:w="710" w:type="dxa"/>
                  <w:noWrap w:val="0"/>
                  <w:vAlign w:val="center"/>
                </w:tcPr>
                <w:p w14:paraId="74AC41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68.68</w:t>
                  </w:r>
                </w:p>
              </w:tc>
              <w:tc>
                <w:tcPr>
                  <w:tcW w:w="722" w:type="dxa"/>
                  <w:noWrap w:val="0"/>
                  <w:vAlign w:val="center"/>
                </w:tcPr>
                <w:p w14:paraId="32553B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63.68</w:t>
                  </w:r>
                </w:p>
              </w:tc>
              <w:tc>
                <w:tcPr>
                  <w:tcW w:w="681" w:type="dxa"/>
                  <w:noWrap w:val="0"/>
                  <w:vAlign w:val="center"/>
                </w:tcPr>
                <w:p w14:paraId="49855C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68.68</w:t>
                  </w:r>
                </w:p>
              </w:tc>
              <w:tc>
                <w:tcPr>
                  <w:tcW w:w="647" w:type="dxa"/>
                  <w:noWrap w:val="0"/>
                  <w:vAlign w:val="center"/>
                </w:tcPr>
                <w:p w14:paraId="1FC77A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68.86</w:t>
                  </w:r>
                </w:p>
              </w:tc>
              <w:tc>
                <w:tcPr>
                  <w:tcW w:w="566" w:type="dxa"/>
                  <w:noWrap w:val="0"/>
                  <w:vAlign w:val="center"/>
                </w:tcPr>
                <w:p w14:paraId="0014C33E">
                  <w:pPr>
                    <w:ind w:left="-94" w:leftChars="-45" w:right="-94" w:rightChars="-45"/>
                    <w:jc w:val="center"/>
                    <w:rPr>
                      <w:rFonts w:hint="eastAsia"/>
                      <w:color w:val="000000"/>
                      <w:sz w:val="21"/>
                      <w:szCs w:val="21"/>
                    </w:rPr>
                  </w:pPr>
                  <w:r>
                    <w:rPr>
                      <w:rFonts w:hint="eastAsia"/>
                      <w:color w:val="000000"/>
                      <w:sz w:val="21"/>
                      <w:szCs w:val="21"/>
                    </w:rPr>
                    <w:t>昼间</w:t>
                  </w:r>
                  <w:r>
                    <w:rPr>
                      <w:rFonts w:hint="eastAsia"/>
                      <w:color w:val="000000"/>
                      <w:sz w:val="21"/>
                      <w:szCs w:val="21"/>
                      <w:lang w:eastAsia="zh-CN"/>
                    </w:rPr>
                    <w:t>、夜间</w:t>
                  </w:r>
                </w:p>
              </w:tc>
              <w:tc>
                <w:tcPr>
                  <w:tcW w:w="621" w:type="dxa"/>
                  <w:noWrap w:val="0"/>
                  <w:vAlign w:val="center"/>
                </w:tcPr>
                <w:p w14:paraId="0DFD811B">
                  <w:pPr>
                    <w:ind w:left="-94" w:leftChars="-45" w:right="-94" w:rightChars="-45"/>
                    <w:jc w:val="center"/>
                    <w:rPr>
                      <w:rFonts w:hint="default"/>
                      <w:color w:val="000000"/>
                      <w:sz w:val="21"/>
                      <w:szCs w:val="21"/>
                      <w:lang w:val="en-US" w:eastAsia="zh-CN"/>
                    </w:rPr>
                  </w:pPr>
                  <w:r>
                    <w:rPr>
                      <w:rFonts w:hint="eastAsia"/>
                      <w:color w:val="000000"/>
                      <w:sz w:val="21"/>
                      <w:szCs w:val="21"/>
                      <w:lang w:val="en-US" w:eastAsia="zh-CN"/>
                    </w:rPr>
                    <w:t>26</w:t>
                  </w:r>
                </w:p>
              </w:tc>
              <w:tc>
                <w:tcPr>
                  <w:tcW w:w="687" w:type="dxa"/>
                  <w:noWrap w:val="0"/>
                  <w:vAlign w:val="center"/>
                </w:tcPr>
                <w:p w14:paraId="5B4969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42.68</w:t>
                  </w:r>
                </w:p>
              </w:tc>
              <w:tc>
                <w:tcPr>
                  <w:tcW w:w="636" w:type="dxa"/>
                  <w:noWrap w:val="0"/>
                  <w:vAlign w:val="center"/>
                </w:tcPr>
                <w:p w14:paraId="0B4BFA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42.68</w:t>
                  </w:r>
                </w:p>
              </w:tc>
              <w:tc>
                <w:tcPr>
                  <w:tcW w:w="660" w:type="dxa"/>
                  <w:noWrap w:val="0"/>
                  <w:vAlign w:val="center"/>
                </w:tcPr>
                <w:p w14:paraId="098309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42.68</w:t>
                  </w:r>
                </w:p>
              </w:tc>
              <w:tc>
                <w:tcPr>
                  <w:tcW w:w="636" w:type="dxa"/>
                  <w:noWrap w:val="0"/>
                  <w:vAlign w:val="center"/>
                </w:tcPr>
                <w:p w14:paraId="7A4998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42.86</w:t>
                  </w:r>
                </w:p>
              </w:tc>
              <w:tc>
                <w:tcPr>
                  <w:tcW w:w="688" w:type="dxa"/>
                  <w:noWrap w:val="0"/>
                  <w:vAlign w:val="center"/>
                </w:tcPr>
                <w:p w14:paraId="43BF0D2B">
                  <w:pPr>
                    <w:ind w:left="-94" w:leftChars="-45" w:right="-94" w:rightChars="-45"/>
                    <w:jc w:val="center"/>
                    <w:rPr>
                      <w:rFonts w:hint="eastAsia" w:eastAsia="宋体"/>
                      <w:color w:val="000000"/>
                      <w:sz w:val="21"/>
                      <w:szCs w:val="21"/>
                      <w:lang w:val="en-US" w:eastAsia="zh-CN"/>
                    </w:rPr>
                  </w:pPr>
                  <w:r>
                    <w:rPr>
                      <w:rFonts w:hint="eastAsia"/>
                      <w:color w:val="000000"/>
                      <w:sz w:val="21"/>
                      <w:szCs w:val="21"/>
                      <w:lang w:val="en-US" w:eastAsia="zh-CN"/>
                    </w:rPr>
                    <w:t>1</w:t>
                  </w:r>
                </w:p>
              </w:tc>
            </w:tr>
          </w:tbl>
          <w:p w14:paraId="73AC7C66">
            <w:pPr>
              <w:pStyle w:val="27"/>
              <w:keepNext w:val="0"/>
              <w:keepLines w:val="0"/>
              <w:pageBreakBefore w:val="0"/>
              <w:widowControl/>
              <w:kinsoku/>
              <w:wordWrap/>
              <w:overflowPunct/>
              <w:topLinePunct w:val="0"/>
              <w:autoSpaceDE/>
              <w:autoSpaceDN/>
              <w:bidi w:val="0"/>
              <w:adjustRightInd/>
              <w:snapToGrid/>
              <w:spacing w:beforeAutospacing="0" w:afterAutospacing="0"/>
              <w:jc w:val="both"/>
              <w:textAlignment w:val="auto"/>
              <w:outlineLvl w:val="0"/>
              <w:rPr>
                <w:rFonts w:hint="eastAsia" w:ascii="黑体" w:hAnsi="黑体" w:eastAsia="黑体"/>
                <w:snapToGrid w:val="0"/>
                <w:sz w:val="30"/>
                <w:szCs w:val="30"/>
                <w:vertAlign w:val="baseline"/>
              </w:rPr>
            </w:pPr>
          </w:p>
        </w:tc>
      </w:tr>
    </w:tbl>
    <w:p w14:paraId="153BFB7F">
      <w:pPr>
        <w:pStyle w:val="27"/>
        <w:jc w:val="both"/>
        <w:outlineLvl w:val="0"/>
        <w:rPr>
          <w:rFonts w:hint="eastAsia" w:ascii="黑体" w:hAnsi="黑体" w:eastAsia="黑体"/>
          <w:snapToGrid w:val="0"/>
          <w:sz w:val="30"/>
          <w:szCs w:val="30"/>
        </w:rPr>
        <w:sectPr>
          <w:pgSz w:w="16838" w:h="11905" w:orient="landscape"/>
          <w:pgMar w:top="1531" w:right="1644" w:bottom="1531" w:left="1644" w:header="851" w:footer="1077" w:gutter="0"/>
          <w:pgNumType w:fmt="decimal"/>
          <w:cols w:space="720" w:num="1"/>
          <w:rtlGutter w:val="0"/>
          <w:docGrid w:linePitch="312" w:charSpace="0"/>
        </w:sect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8957"/>
      </w:tblGrid>
      <w:tr w14:paraId="0364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7" w:hRule="atLeast"/>
          <w:jc w:val="center"/>
        </w:trPr>
        <w:tc>
          <w:tcPr>
            <w:tcW w:w="418" w:type="dxa"/>
            <w:noWrap w:val="0"/>
            <w:vAlign w:val="center"/>
          </w:tcPr>
          <w:p w14:paraId="33C686B1">
            <w:pPr>
              <w:pStyle w:val="46"/>
              <w:rPr>
                <w:rFonts w:hint="eastAsia"/>
                <w:color w:val="000000"/>
              </w:rPr>
            </w:pPr>
          </w:p>
          <w:p w14:paraId="51872D28">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color w:val="000000"/>
                <w:sz w:val="24"/>
                <w:szCs w:val="24"/>
                <w:vertAlign w:val="baseline"/>
              </w:rPr>
            </w:pPr>
            <w:bookmarkStart w:id="33" w:name="_Toc12326"/>
            <w:r>
              <w:rPr>
                <w:rFonts w:hint="eastAsia" w:ascii="宋体" w:hAnsi="宋体" w:eastAsia="宋体" w:cs="宋体"/>
                <w:snapToGrid w:val="0"/>
                <w:color w:val="000000"/>
                <w:sz w:val="24"/>
                <w:szCs w:val="24"/>
                <w:vertAlign w:val="baseline"/>
              </w:rPr>
              <w:t>运营</w:t>
            </w:r>
            <w:bookmarkEnd w:id="33"/>
          </w:p>
          <w:p w14:paraId="3A2B2338">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color w:val="000000"/>
                <w:sz w:val="24"/>
                <w:szCs w:val="24"/>
                <w:vertAlign w:val="baseline"/>
              </w:rPr>
            </w:pPr>
            <w:bookmarkStart w:id="34" w:name="_Toc20365"/>
            <w:r>
              <w:rPr>
                <w:rFonts w:hint="eastAsia" w:ascii="宋体" w:hAnsi="宋体" w:eastAsia="宋体" w:cs="宋体"/>
                <w:snapToGrid w:val="0"/>
                <w:color w:val="000000"/>
                <w:sz w:val="24"/>
                <w:szCs w:val="24"/>
                <w:vertAlign w:val="baseline"/>
              </w:rPr>
              <w:t>期环</w:t>
            </w:r>
            <w:bookmarkEnd w:id="34"/>
          </w:p>
          <w:p w14:paraId="2E205DDF">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color w:val="000000"/>
                <w:sz w:val="24"/>
                <w:szCs w:val="24"/>
                <w:vertAlign w:val="baseline"/>
              </w:rPr>
            </w:pPr>
            <w:bookmarkStart w:id="35" w:name="_Toc26806"/>
            <w:r>
              <w:rPr>
                <w:rFonts w:hint="eastAsia" w:ascii="宋体" w:hAnsi="宋体" w:eastAsia="宋体" w:cs="宋体"/>
                <w:snapToGrid w:val="0"/>
                <w:color w:val="000000"/>
                <w:sz w:val="24"/>
                <w:szCs w:val="24"/>
                <w:vertAlign w:val="baseline"/>
              </w:rPr>
              <w:t>境影</w:t>
            </w:r>
            <w:bookmarkEnd w:id="35"/>
          </w:p>
          <w:p w14:paraId="16832082">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color w:val="000000"/>
                <w:sz w:val="24"/>
                <w:szCs w:val="24"/>
                <w:vertAlign w:val="baseline"/>
              </w:rPr>
            </w:pPr>
            <w:bookmarkStart w:id="36" w:name="_Toc19"/>
            <w:r>
              <w:rPr>
                <w:rFonts w:hint="eastAsia" w:ascii="宋体" w:hAnsi="宋体" w:eastAsia="宋体" w:cs="宋体"/>
                <w:snapToGrid w:val="0"/>
                <w:color w:val="000000"/>
                <w:sz w:val="24"/>
                <w:szCs w:val="24"/>
                <w:vertAlign w:val="baseline"/>
              </w:rPr>
              <w:t>响和</w:t>
            </w:r>
            <w:bookmarkEnd w:id="36"/>
          </w:p>
          <w:p w14:paraId="167602B5">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color w:val="000000"/>
                <w:sz w:val="24"/>
                <w:szCs w:val="24"/>
                <w:vertAlign w:val="baseline"/>
              </w:rPr>
            </w:pPr>
            <w:bookmarkStart w:id="37" w:name="_Toc30373"/>
            <w:r>
              <w:rPr>
                <w:rFonts w:hint="eastAsia" w:ascii="宋体" w:hAnsi="宋体" w:eastAsia="宋体" w:cs="宋体"/>
                <w:snapToGrid w:val="0"/>
                <w:color w:val="000000"/>
                <w:sz w:val="24"/>
                <w:szCs w:val="24"/>
                <w:vertAlign w:val="baseline"/>
              </w:rPr>
              <w:t>保护</w:t>
            </w:r>
            <w:bookmarkEnd w:id="37"/>
          </w:p>
          <w:p w14:paraId="1166C0C3">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宋体" w:hAnsi="宋体" w:eastAsia="宋体" w:cs="宋体"/>
                <w:snapToGrid w:val="0"/>
                <w:color w:val="000000"/>
                <w:sz w:val="24"/>
                <w:szCs w:val="24"/>
                <w:vertAlign w:val="baseline"/>
              </w:rPr>
            </w:pPr>
            <w:bookmarkStart w:id="38" w:name="_Toc28002"/>
            <w:r>
              <w:rPr>
                <w:rFonts w:hint="eastAsia" w:ascii="宋体" w:hAnsi="宋体" w:eastAsia="宋体" w:cs="宋体"/>
                <w:snapToGrid w:val="0"/>
                <w:color w:val="000000"/>
                <w:sz w:val="24"/>
                <w:szCs w:val="24"/>
                <w:vertAlign w:val="baseline"/>
              </w:rPr>
              <w:t>措施</w:t>
            </w:r>
            <w:bookmarkEnd w:id="38"/>
          </w:p>
          <w:p w14:paraId="20D9678A">
            <w:pPr>
              <w:pStyle w:val="27"/>
              <w:jc w:val="center"/>
              <w:outlineLvl w:val="0"/>
              <w:rPr>
                <w:rFonts w:hint="eastAsia" w:ascii="黑体" w:hAnsi="黑体" w:eastAsia="黑体"/>
                <w:snapToGrid w:val="0"/>
                <w:color w:val="000000"/>
                <w:sz w:val="30"/>
                <w:szCs w:val="30"/>
                <w:vertAlign w:val="baseline"/>
              </w:rPr>
            </w:pPr>
          </w:p>
        </w:tc>
        <w:tc>
          <w:tcPr>
            <w:tcW w:w="8957" w:type="dxa"/>
            <w:noWrap w:val="0"/>
            <w:vAlign w:val="center"/>
          </w:tcPr>
          <w:p w14:paraId="03B17216">
            <w:pPr>
              <w:keepNext w:val="0"/>
              <w:keepLines w:val="0"/>
              <w:pageBreakBefore w:val="0"/>
              <w:kinsoku/>
              <w:wordWrap/>
              <w:overflowPunct/>
              <w:topLinePunct w:val="0"/>
              <w:autoSpaceDE/>
              <w:autoSpaceDN/>
              <w:bidi w:val="0"/>
              <w:adjustRightInd/>
              <w:spacing w:beforeAutospacing="0" w:afterAutospacing="0" w:line="360" w:lineRule="auto"/>
              <w:ind w:firstLine="480" w:firstLineChars="200"/>
              <w:textAlignment w:val="auto"/>
              <w:rPr>
                <w:rFonts w:hint="eastAsia"/>
                <w:color w:val="000000"/>
                <w:sz w:val="24"/>
              </w:rPr>
            </w:pPr>
            <w:r>
              <w:rPr>
                <w:rFonts w:hint="eastAsia"/>
                <w:color w:val="000000"/>
                <w:sz w:val="24"/>
              </w:rPr>
              <w:t>本项目为有效降低设备噪声以及不合理作业操作产生的瞬时强噪声对项目所在区域声环境造成的不利影响，确保厂界噪声达到《工业企业厂界环境噪声排放标准》（GB12348-2008）中</w:t>
            </w:r>
            <w:r>
              <w:rPr>
                <w:rFonts w:hint="eastAsia"/>
                <w:color w:val="000000"/>
                <w:sz w:val="24"/>
                <w:lang w:val="en-US" w:eastAsia="zh-CN"/>
              </w:rPr>
              <w:t>3</w:t>
            </w:r>
            <w:r>
              <w:rPr>
                <w:rFonts w:hint="eastAsia"/>
                <w:color w:val="000000"/>
                <w:sz w:val="24"/>
              </w:rPr>
              <w:t>类标准，建设单位拟采取了以下噪声防治措施：</w:t>
            </w:r>
          </w:p>
          <w:p w14:paraId="43D2DCFD">
            <w:pPr>
              <w:keepNext w:val="0"/>
              <w:keepLines w:val="0"/>
              <w:pageBreakBefore w:val="0"/>
              <w:kinsoku/>
              <w:wordWrap/>
              <w:overflowPunct/>
              <w:topLinePunct w:val="0"/>
              <w:autoSpaceDE/>
              <w:autoSpaceDN/>
              <w:bidi w:val="0"/>
              <w:adjustRightInd/>
              <w:spacing w:beforeAutospacing="0" w:afterAutospacing="0" w:line="360" w:lineRule="auto"/>
              <w:ind w:firstLine="480" w:firstLineChars="200"/>
              <w:textAlignment w:val="auto"/>
              <w:rPr>
                <w:rFonts w:hint="eastAsia"/>
                <w:color w:val="000000"/>
                <w:sz w:val="24"/>
              </w:rPr>
            </w:pPr>
            <w:r>
              <w:rPr>
                <w:rFonts w:hint="eastAsia"/>
                <w:color w:val="000000"/>
                <w:sz w:val="24"/>
              </w:rPr>
              <w:t>①选用先进的低噪声生产设备，从声源上降低噪声。</w:t>
            </w:r>
          </w:p>
          <w:p w14:paraId="027988AE">
            <w:pPr>
              <w:keepNext w:val="0"/>
              <w:keepLines w:val="0"/>
              <w:pageBreakBefore w:val="0"/>
              <w:kinsoku/>
              <w:wordWrap/>
              <w:overflowPunct/>
              <w:topLinePunct w:val="0"/>
              <w:autoSpaceDE/>
              <w:autoSpaceDN/>
              <w:bidi w:val="0"/>
              <w:adjustRightInd/>
              <w:spacing w:beforeAutospacing="0" w:afterAutospacing="0" w:line="360" w:lineRule="auto"/>
              <w:ind w:firstLine="480" w:firstLineChars="200"/>
              <w:textAlignment w:val="auto"/>
              <w:rPr>
                <w:rFonts w:hint="eastAsia"/>
                <w:color w:val="000000"/>
                <w:sz w:val="24"/>
              </w:rPr>
            </w:pPr>
            <w:r>
              <w:rPr>
                <w:rFonts w:hint="eastAsia"/>
                <w:color w:val="000000"/>
                <w:sz w:val="24"/>
              </w:rPr>
              <w:t>②合理布置噪声源。项目在进行工艺布局时，将高噪声设备集中摆放，所有生产工序产噪设备均布置在厂房车间内，利用墙体进行隔声。</w:t>
            </w:r>
          </w:p>
          <w:p w14:paraId="36C87A26">
            <w:pPr>
              <w:keepNext w:val="0"/>
              <w:keepLines w:val="0"/>
              <w:pageBreakBefore w:val="0"/>
              <w:kinsoku/>
              <w:wordWrap/>
              <w:overflowPunct/>
              <w:topLinePunct w:val="0"/>
              <w:autoSpaceDE/>
              <w:autoSpaceDN/>
              <w:bidi w:val="0"/>
              <w:adjustRightInd/>
              <w:spacing w:beforeAutospacing="0" w:afterAutospacing="0" w:line="360" w:lineRule="auto"/>
              <w:ind w:firstLine="480" w:firstLineChars="200"/>
              <w:textAlignment w:val="auto"/>
              <w:rPr>
                <w:rFonts w:hint="eastAsia"/>
                <w:color w:val="000000"/>
                <w:sz w:val="24"/>
              </w:rPr>
            </w:pPr>
            <w:r>
              <w:rPr>
                <w:rFonts w:hint="eastAsia" w:ascii="宋体" w:hAnsi="宋体" w:eastAsia="宋体" w:cs="宋体"/>
                <w:color w:val="000000"/>
                <w:sz w:val="24"/>
              </w:rPr>
              <w:t>③</w:t>
            </w:r>
            <w:r>
              <w:rPr>
                <w:rFonts w:hint="eastAsia" w:ascii="宋体" w:hAnsi="宋体" w:eastAsia="宋体" w:cs="宋体"/>
                <w:color w:val="000000"/>
                <w:sz w:val="24"/>
                <w:lang w:eastAsia="zh-CN"/>
              </w:rPr>
              <w:t>设备</w:t>
            </w:r>
            <w:r>
              <w:rPr>
                <w:rFonts w:hint="eastAsia"/>
                <w:color w:val="000000"/>
                <w:sz w:val="24"/>
              </w:rPr>
              <w:t>设置基础</w:t>
            </w:r>
            <w:r>
              <w:rPr>
                <w:rFonts w:hint="eastAsia"/>
                <w:color w:val="000000"/>
                <w:sz w:val="24"/>
                <w:lang w:eastAsia="zh-CN"/>
              </w:rPr>
              <w:t>减振</w:t>
            </w:r>
            <w:r>
              <w:rPr>
                <w:rFonts w:hint="eastAsia"/>
                <w:color w:val="000000"/>
                <w:sz w:val="24"/>
              </w:rPr>
              <w:t>，并加设减振垫，风机安装消声器等以降低噪声对外环境的影响。</w:t>
            </w:r>
          </w:p>
          <w:p w14:paraId="52729A0D">
            <w:pPr>
              <w:pStyle w:val="10"/>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auto"/>
              <w:ind w:right="0" w:firstLine="480" w:firstLineChars="200"/>
              <w:textAlignment w:val="auto"/>
              <w:rPr>
                <w:rFonts w:hint="eastAsia"/>
                <w:color w:val="000000"/>
                <w:sz w:val="24"/>
                <w:szCs w:val="24"/>
              </w:rPr>
            </w:pPr>
            <w:r>
              <w:rPr>
                <w:rFonts w:hint="eastAsia" w:ascii="宋体" w:hAnsi="宋体" w:eastAsia="宋体" w:cs="宋体"/>
                <w:color w:val="000000"/>
                <w:sz w:val="24"/>
                <w:szCs w:val="24"/>
              </w:rPr>
              <w:t>④本项目生产厂房进行整体封闭设计，从传播途径上减少噪声对外环境的影响。</w:t>
            </w:r>
          </w:p>
          <w:p w14:paraId="50A5DEC8">
            <w:pPr>
              <w:pStyle w:val="27"/>
              <w:keepNext w:val="0"/>
              <w:keepLines w:val="0"/>
              <w:pageBreakBefore w:val="0"/>
              <w:kinsoku/>
              <w:wordWrap/>
              <w:overflowPunct/>
              <w:topLinePunct w:val="0"/>
              <w:autoSpaceDE/>
              <w:autoSpaceDN/>
              <w:bidi w:val="0"/>
              <w:adjustRightInd/>
              <w:spacing w:before="0" w:beforeAutospacing="0" w:after="0" w:afterAutospacing="0" w:line="360" w:lineRule="auto"/>
              <w:ind w:firstLine="480" w:firstLineChars="200"/>
              <w:jc w:val="both"/>
              <w:textAlignment w:val="auto"/>
              <w:outlineLvl w:val="0"/>
              <w:rPr>
                <w:rFonts w:hint="eastAsia"/>
                <w:b/>
                <w:bCs/>
                <w:color w:val="000000"/>
                <w:sz w:val="24"/>
                <w:szCs w:val="24"/>
              </w:rPr>
            </w:pPr>
            <w:bookmarkStart w:id="39" w:name="_Toc2175"/>
            <w:r>
              <w:rPr>
                <w:rFonts w:hint="eastAsia" w:ascii="宋体" w:hAnsi="宋体" w:eastAsia="宋体" w:cs="宋体"/>
                <w:color w:val="000000"/>
                <w:sz w:val="24"/>
              </w:rPr>
              <w:t>⑤</w:t>
            </w:r>
            <w:r>
              <w:rPr>
                <w:rFonts w:hint="eastAsia"/>
                <w:color w:val="000000"/>
                <w:sz w:val="24"/>
              </w:rPr>
              <w:t>加强管理：建立设备定期维护、保养的管理制度，保证设备正常运转，防止设备故障</w:t>
            </w:r>
            <w:r>
              <w:rPr>
                <w:rFonts w:hint="eastAsia"/>
                <w:color w:val="000000"/>
                <w:sz w:val="24"/>
                <w:lang w:eastAsia="zh-CN"/>
              </w:rPr>
              <w:t>造成</w:t>
            </w:r>
            <w:r>
              <w:rPr>
                <w:rFonts w:hint="eastAsia"/>
                <w:color w:val="000000"/>
                <w:sz w:val="24"/>
              </w:rPr>
              <w:t>非正常生产噪声；加强职工环保意识教育。</w:t>
            </w:r>
            <w:bookmarkEnd w:id="39"/>
          </w:p>
          <w:p w14:paraId="1452FE24">
            <w:pPr>
              <w:pStyle w:val="10"/>
              <w:keepNext w:val="0"/>
              <w:keepLines w:val="0"/>
              <w:pageBreakBefore w:val="0"/>
              <w:kinsoku/>
              <w:wordWrap/>
              <w:overflowPunct/>
              <w:topLinePunct w:val="0"/>
              <w:autoSpaceDE/>
              <w:autoSpaceDN/>
              <w:bidi w:val="0"/>
              <w:adjustRightInd/>
              <w:spacing w:before="0" w:after="0" w:line="360" w:lineRule="auto"/>
              <w:ind w:right="0" w:firstLine="482" w:firstLineChars="200"/>
              <w:textAlignment w:val="auto"/>
              <w:rPr>
                <w:rFonts w:hint="eastAsia"/>
                <w:color w:val="000000"/>
                <w:sz w:val="24"/>
                <w:szCs w:val="24"/>
              </w:rPr>
            </w:pPr>
            <w:r>
              <w:rPr>
                <w:rFonts w:hint="eastAsia"/>
                <w:b/>
                <w:bCs/>
                <w:color w:val="000000"/>
                <w:sz w:val="24"/>
                <w:szCs w:val="24"/>
                <w:lang w:eastAsia="zh-CN"/>
              </w:rPr>
              <w:t>2.</w:t>
            </w:r>
            <w:r>
              <w:rPr>
                <w:rFonts w:hint="eastAsia"/>
                <w:b/>
                <w:bCs/>
                <w:color w:val="000000"/>
                <w:sz w:val="24"/>
                <w:szCs w:val="24"/>
              </w:rPr>
              <w:t>噪声环境影响分析</w:t>
            </w:r>
          </w:p>
          <w:p w14:paraId="049132C6">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eastAsia="宋体"/>
                <w:b/>
                <w:color w:val="000000"/>
                <w:sz w:val="24"/>
                <w:lang w:eastAsia="zh-CN"/>
              </w:rPr>
            </w:pPr>
            <w:r>
              <w:rPr>
                <w:rFonts w:hint="eastAsia"/>
                <w:b/>
                <w:color w:val="000000"/>
                <w:sz w:val="24"/>
                <w:lang w:eastAsia="zh-CN"/>
              </w:rPr>
              <w:t>（</w:t>
            </w:r>
            <w:r>
              <w:rPr>
                <w:rFonts w:hint="eastAsia"/>
                <w:b/>
                <w:color w:val="000000"/>
                <w:sz w:val="24"/>
                <w:lang w:val="en-US" w:eastAsia="zh-CN"/>
              </w:rPr>
              <w:t>1</w:t>
            </w:r>
            <w:r>
              <w:rPr>
                <w:rFonts w:hint="eastAsia"/>
                <w:b/>
                <w:color w:val="000000"/>
                <w:sz w:val="24"/>
                <w:lang w:eastAsia="zh-CN"/>
              </w:rPr>
              <w:t>）噪声预测模式</w:t>
            </w:r>
          </w:p>
          <w:p w14:paraId="24A13EE2">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根据《环境影响评价技术导则声环境》（HJ2.4-2021）的技术要求，本次评价按照噪声距离衰减预测模式和噪声叠加公式预测四周场界噪声值。预测模式如下：</w:t>
            </w:r>
          </w:p>
          <w:p w14:paraId="6E262789">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b/>
                <w:color w:val="000000"/>
                <w:sz w:val="24"/>
              </w:rPr>
            </w:pPr>
            <w:r>
              <w:rPr>
                <w:rFonts w:hint="eastAsia" w:ascii="宋体" w:hAnsi="宋体" w:eastAsia="宋体" w:cs="宋体"/>
                <w:b/>
                <w:color w:val="000000"/>
                <w:sz w:val="24"/>
              </w:rPr>
              <w:t>①室外声源</w:t>
            </w:r>
          </w:p>
          <w:p w14:paraId="2E160C8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在不能取得声源倍频带声功率级或倍频带声压级，只能获得A声功率级或某点的A声级时，可按下式作近似计算：</w:t>
            </w:r>
          </w:p>
          <w:p w14:paraId="100B3B44">
            <w:pPr>
              <w:keepNext w:val="0"/>
              <w:keepLines w:val="0"/>
              <w:pageBreakBefore w:val="0"/>
              <w:kinsoku/>
              <w:wordWrap/>
              <w:overflowPunct/>
              <w:topLinePunct w:val="0"/>
              <w:autoSpaceDE/>
              <w:autoSpaceDN/>
              <w:bidi w:val="0"/>
              <w:adjustRightInd/>
              <w:spacing w:line="360" w:lineRule="auto"/>
              <w:ind w:firstLine="420" w:firstLineChars="200"/>
              <w:jc w:val="center"/>
              <w:textAlignment w:val="auto"/>
              <w:rPr>
                <w:rFonts w:hint="eastAsia"/>
                <w:b w:val="0"/>
                <w:bCs/>
                <w:color w:val="000000"/>
                <w:sz w:val="24"/>
              </w:rPr>
            </w:pPr>
            <w:r>
              <w:rPr>
                <w:color w:val="000000"/>
              </w:rPr>
              <w:drawing>
                <wp:inline distT="0" distB="0" distL="114300" distR="114300">
                  <wp:extent cx="1695450" cy="314325"/>
                  <wp:effectExtent l="0" t="0" r="0" b="9525"/>
                  <wp:docPr id="23"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51"/>
                          <pic:cNvPicPr>
                            <a:picLocks noChangeAspect="1"/>
                          </pic:cNvPicPr>
                        </pic:nvPicPr>
                        <pic:blipFill>
                          <a:blip r:embed="rId41"/>
                          <a:stretch>
                            <a:fillRect/>
                          </a:stretch>
                        </pic:blipFill>
                        <pic:spPr>
                          <a:xfrm>
                            <a:off x="0" y="0"/>
                            <a:ext cx="1695450" cy="314325"/>
                          </a:xfrm>
                          <a:prstGeom prst="rect">
                            <a:avLst/>
                          </a:prstGeom>
                          <a:noFill/>
                          <a:ln>
                            <a:noFill/>
                          </a:ln>
                        </pic:spPr>
                      </pic:pic>
                    </a:graphicData>
                  </a:graphic>
                </wp:inline>
              </w:drawing>
            </w:r>
          </w:p>
          <w:p w14:paraId="01EC20B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室外线源可分为若干线的分区，而每个线的分区可用处于中心位置的点声源表示。</w:t>
            </w:r>
          </w:p>
          <w:p w14:paraId="54CDCE99">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②在室内声源采用等效室外声源声功率级法进行计算。先计算出某个室内靠近围护结构处产生的倍频带声压级：</w:t>
            </w:r>
          </w:p>
          <w:p w14:paraId="16DF7787">
            <w:pPr>
              <w:keepNext w:val="0"/>
              <w:keepLines w:val="0"/>
              <w:pageBreakBefore w:val="0"/>
              <w:kinsoku/>
              <w:wordWrap/>
              <w:overflowPunct/>
              <w:topLinePunct w:val="0"/>
              <w:autoSpaceDE/>
              <w:autoSpaceDN/>
              <w:bidi w:val="0"/>
              <w:adjustRightInd/>
              <w:spacing w:line="360" w:lineRule="auto"/>
              <w:ind w:firstLine="420" w:firstLineChars="200"/>
              <w:jc w:val="center"/>
              <w:textAlignment w:val="auto"/>
              <w:rPr>
                <w:rFonts w:hint="eastAsia"/>
                <w:b w:val="0"/>
                <w:bCs/>
                <w:color w:val="000000"/>
                <w:sz w:val="24"/>
              </w:rPr>
            </w:pPr>
            <w:r>
              <w:rPr>
                <w:color w:val="000000"/>
              </w:rPr>
              <w:drawing>
                <wp:inline distT="0" distB="0" distL="114300" distR="114300">
                  <wp:extent cx="2140585" cy="500380"/>
                  <wp:effectExtent l="0" t="0" r="12065" b="13970"/>
                  <wp:docPr id="24"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52"/>
                          <pic:cNvPicPr>
                            <a:picLocks noChangeAspect="1"/>
                          </pic:cNvPicPr>
                        </pic:nvPicPr>
                        <pic:blipFill>
                          <a:blip r:embed="rId42"/>
                          <a:stretch>
                            <a:fillRect/>
                          </a:stretch>
                        </pic:blipFill>
                        <pic:spPr>
                          <a:xfrm>
                            <a:off x="0" y="0"/>
                            <a:ext cx="2140585" cy="500380"/>
                          </a:xfrm>
                          <a:prstGeom prst="rect">
                            <a:avLst/>
                          </a:prstGeom>
                          <a:noFill/>
                          <a:ln>
                            <a:noFill/>
                          </a:ln>
                        </pic:spPr>
                      </pic:pic>
                    </a:graphicData>
                  </a:graphic>
                </wp:inline>
              </w:drawing>
            </w:r>
          </w:p>
          <w:p w14:paraId="1E08CECA">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然后计算出所有室内声源在围护结构处产生的i倍频带叠加声压级：</w:t>
            </w:r>
          </w:p>
          <w:p w14:paraId="2C1989A2">
            <w:pPr>
              <w:keepNext w:val="0"/>
              <w:keepLines w:val="0"/>
              <w:pageBreakBefore w:val="0"/>
              <w:kinsoku/>
              <w:wordWrap/>
              <w:overflowPunct/>
              <w:topLinePunct w:val="0"/>
              <w:autoSpaceDE/>
              <w:autoSpaceDN/>
              <w:bidi w:val="0"/>
              <w:adjustRightInd/>
              <w:spacing w:line="360" w:lineRule="auto"/>
              <w:ind w:firstLine="420" w:firstLineChars="200"/>
              <w:jc w:val="center"/>
              <w:textAlignment w:val="auto"/>
              <w:rPr>
                <w:rFonts w:hint="eastAsia"/>
                <w:b w:val="0"/>
                <w:bCs/>
                <w:color w:val="000000"/>
                <w:sz w:val="24"/>
              </w:rPr>
            </w:pPr>
            <w:r>
              <w:rPr>
                <w:color w:val="000000"/>
              </w:rPr>
              <w:drawing>
                <wp:inline distT="0" distB="0" distL="114300" distR="114300">
                  <wp:extent cx="1952625" cy="576580"/>
                  <wp:effectExtent l="0" t="0" r="9525" b="13970"/>
                  <wp:docPr id="25"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53"/>
                          <pic:cNvPicPr>
                            <a:picLocks noChangeAspect="1"/>
                          </pic:cNvPicPr>
                        </pic:nvPicPr>
                        <pic:blipFill>
                          <a:blip r:embed="rId43"/>
                          <a:stretch>
                            <a:fillRect/>
                          </a:stretch>
                        </pic:blipFill>
                        <pic:spPr>
                          <a:xfrm>
                            <a:off x="0" y="0"/>
                            <a:ext cx="1952625" cy="576580"/>
                          </a:xfrm>
                          <a:prstGeom prst="rect">
                            <a:avLst/>
                          </a:prstGeom>
                          <a:noFill/>
                          <a:ln>
                            <a:noFill/>
                          </a:ln>
                        </pic:spPr>
                      </pic:pic>
                    </a:graphicData>
                  </a:graphic>
                </wp:inline>
              </w:drawing>
            </w:r>
          </w:p>
          <w:p w14:paraId="08DE170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在室内近似为扩散声场时，按下式计算出靠近室外围护结构处的声压级：</w:t>
            </w:r>
          </w:p>
          <w:p w14:paraId="42F769D4">
            <w:pPr>
              <w:keepNext w:val="0"/>
              <w:keepLines w:val="0"/>
              <w:pageBreakBefore w:val="0"/>
              <w:kinsoku/>
              <w:wordWrap/>
              <w:overflowPunct/>
              <w:topLinePunct w:val="0"/>
              <w:autoSpaceDE/>
              <w:autoSpaceDN/>
              <w:bidi w:val="0"/>
              <w:adjustRightInd/>
              <w:spacing w:line="360" w:lineRule="auto"/>
              <w:ind w:firstLine="420" w:firstLineChars="200"/>
              <w:jc w:val="center"/>
              <w:textAlignment w:val="auto"/>
              <w:rPr>
                <w:rFonts w:hint="eastAsia"/>
                <w:b w:val="0"/>
                <w:bCs/>
                <w:color w:val="000000"/>
                <w:sz w:val="24"/>
              </w:rPr>
            </w:pPr>
            <w:r>
              <w:rPr>
                <w:color w:val="000000"/>
              </w:rPr>
              <w:drawing>
                <wp:inline distT="0" distB="0" distL="114300" distR="114300">
                  <wp:extent cx="2152650" cy="381000"/>
                  <wp:effectExtent l="0" t="0" r="0" b="0"/>
                  <wp:docPr id="26"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54"/>
                          <pic:cNvPicPr>
                            <a:picLocks noChangeAspect="1"/>
                          </pic:cNvPicPr>
                        </pic:nvPicPr>
                        <pic:blipFill>
                          <a:blip r:embed="rId44"/>
                          <a:stretch>
                            <a:fillRect/>
                          </a:stretch>
                        </pic:blipFill>
                        <pic:spPr>
                          <a:xfrm>
                            <a:off x="0" y="0"/>
                            <a:ext cx="2152650" cy="381000"/>
                          </a:xfrm>
                          <a:prstGeom prst="rect">
                            <a:avLst/>
                          </a:prstGeom>
                          <a:noFill/>
                          <a:ln>
                            <a:noFill/>
                          </a:ln>
                        </pic:spPr>
                      </pic:pic>
                    </a:graphicData>
                  </a:graphic>
                </wp:inline>
              </w:drawing>
            </w:r>
          </w:p>
          <w:p w14:paraId="00347FCE">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将室外声源的声压级和透过面积换算成等效的室外声源，计算出中心位置位于透声面积处的等效声源的倍频带声功率级：</w:t>
            </w:r>
          </w:p>
          <w:p w14:paraId="2422836C">
            <w:pPr>
              <w:keepNext w:val="0"/>
              <w:keepLines w:val="0"/>
              <w:pageBreakBefore w:val="0"/>
              <w:kinsoku/>
              <w:wordWrap/>
              <w:overflowPunct/>
              <w:topLinePunct w:val="0"/>
              <w:autoSpaceDE/>
              <w:autoSpaceDN/>
              <w:bidi w:val="0"/>
              <w:adjustRightInd/>
              <w:spacing w:line="360" w:lineRule="auto"/>
              <w:ind w:firstLine="420" w:firstLineChars="200"/>
              <w:jc w:val="center"/>
              <w:textAlignment w:val="auto"/>
              <w:rPr>
                <w:rFonts w:hint="eastAsia"/>
                <w:b w:val="0"/>
                <w:bCs/>
                <w:color w:val="000000"/>
                <w:sz w:val="24"/>
              </w:rPr>
            </w:pPr>
            <w:r>
              <w:rPr>
                <w:color w:val="000000"/>
              </w:rPr>
              <w:drawing>
                <wp:inline distT="0" distB="0" distL="114300" distR="114300">
                  <wp:extent cx="1790700" cy="381000"/>
                  <wp:effectExtent l="0" t="0" r="0" b="0"/>
                  <wp:docPr id="27"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55"/>
                          <pic:cNvPicPr>
                            <a:picLocks noChangeAspect="1"/>
                          </pic:cNvPicPr>
                        </pic:nvPicPr>
                        <pic:blipFill>
                          <a:blip r:embed="rId45"/>
                          <a:stretch>
                            <a:fillRect/>
                          </a:stretch>
                        </pic:blipFill>
                        <pic:spPr>
                          <a:xfrm>
                            <a:off x="0" y="0"/>
                            <a:ext cx="1790700" cy="381000"/>
                          </a:xfrm>
                          <a:prstGeom prst="rect">
                            <a:avLst/>
                          </a:prstGeom>
                          <a:noFill/>
                          <a:ln>
                            <a:noFill/>
                          </a:ln>
                        </pic:spPr>
                      </pic:pic>
                    </a:graphicData>
                  </a:graphic>
                </wp:inline>
              </w:drawing>
            </w:r>
          </w:p>
          <w:p w14:paraId="4A646EF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然后按室外声源预测方法计算预测点处的A声级。</w:t>
            </w:r>
          </w:p>
          <w:p w14:paraId="361C44D4">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ascii="宋体" w:hAnsi="宋体" w:eastAsia="宋体" w:cs="宋体"/>
                <w:b w:val="0"/>
                <w:bCs/>
                <w:color w:val="000000"/>
                <w:sz w:val="24"/>
              </w:rPr>
              <w:t>③噪声贡献值计算</w:t>
            </w:r>
          </w:p>
          <w:p w14:paraId="5131D846">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b w:val="0"/>
                <w:bCs/>
                <w:color w:val="000000"/>
                <w:sz w:val="24"/>
              </w:rPr>
            </w:pPr>
            <w:r>
              <w:rPr>
                <w:rFonts w:hint="eastAsia"/>
                <w:b w:val="0"/>
                <w:bCs/>
                <w:color w:val="000000"/>
                <w:sz w:val="24"/>
              </w:rPr>
              <w:t>设第i个室外声源在预测点产生的A声级为L</w:t>
            </w:r>
            <w:r>
              <w:rPr>
                <w:rFonts w:hint="eastAsia"/>
                <w:b w:val="0"/>
                <w:bCs/>
                <w:color w:val="000000"/>
                <w:sz w:val="24"/>
                <w:vertAlign w:val="subscript"/>
              </w:rPr>
              <w:t>Ai</w:t>
            </w:r>
            <w:r>
              <w:rPr>
                <w:rFonts w:hint="eastAsia"/>
                <w:b w:val="0"/>
                <w:bCs/>
                <w:color w:val="000000"/>
                <w:sz w:val="24"/>
              </w:rPr>
              <w:t>，在T时间内该声源工作时间为t</w:t>
            </w:r>
            <w:r>
              <w:rPr>
                <w:rFonts w:hint="eastAsia"/>
                <w:b w:val="0"/>
                <w:bCs/>
                <w:color w:val="000000"/>
                <w:sz w:val="24"/>
                <w:vertAlign w:val="subscript"/>
              </w:rPr>
              <w:t>i</w:t>
            </w:r>
            <w:r>
              <w:rPr>
                <w:rFonts w:hint="eastAsia"/>
                <w:b w:val="0"/>
                <w:bCs/>
                <w:color w:val="000000"/>
                <w:sz w:val="24"/>
              </w:rPr>
              <w:t>；第j个等效室外声源在预测点产生的A声级为L</w:t>
            </w:r>
            <w:r>
              <w:rPr>
                <w:rFonts w:hint="eastAsia"/>
                <w:b w:val="0"/>
                <w:bCs/>
                <w:color w:val="000000"/>
                <w:sz w:val="24"/>
                <w:vertAlign w:val="subscript"/>
              </w:rPr>
              <w:t>Aj</w:t>
            </w:r>
            <w:r>
              <w:rPr>
                <w:rFonts w:hint="eastAsia"/>
                <w:b w:val="0"/>
                <w:bCs/>
                <w:color w:val="000000"/>
                <w:sz w:val="24"/>
              </w:rPr>
              <w:t>，在T时间内该声源工作时间为t</w:t>
            </w:r>
            <w:r>
              <w:rPr>
                <w:rFonts w:hint="eastAsia"/>
                <w:b w:val="0"/>
                <w:bCs/>
                <w:color w:val="000000"/>
                <w:sz w:val="24"/>
                <w:vertAlign w:val="subscript"/>
              </w:rPr>
              <w:t>j</w:t>
            </w:r>
            <w:r>
              <w:rPr>
                <w:rFonts w:hint="eastAsia"/>
                <w:b w:val="0"/>
                <w:bCs/>
                <w:color w:val="000000"/>
                <w:sz w:val="24"/>
              </w:rPr>
              <w:t>，则拟建工程声源对预测点产生的贡献值为：</w:t>
            </w:r>
          </w:p>
          <w:p w14:paraId="41D3C8F5">
            <w:pPr>
              <w:spacing w:line="360" w:lineRule="auto"/>
              <w:ind w:firstLine="420" w:firstLineChars="200"/>
              <w:jc w:val="center"/>
              <w:rPr>
                <w:rFonts w:hint="eastAsia"/>
                <w:b w:val="0"/>
                <w:bCs/>
                <w:color w:val="000000"/>
                <w:sz w:val="24"/>
              </w:rPr>
            </w:pPr>
            <w:r>
              <w:rPr>
                <w:color w:val="000000"/>
              </w:rPr>
              <w:drawing>
                <wp:inline distT="0" distB="0" distL="114300" distR="114300">
                  <wp:extent cx="3030220" cy="471170"/>
                  <wp:effectExtent l="0" t="0" r="17780" b="5080"/>
                  <wp:docPr id="28"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56"/>
                          <pic:cNvPicPr>
                            <a:picLocks noChangeAspect="1"/>
                          </pic:cNvPicPr>
                        </pic:nvPicPr>
                        <pic:blipFill>
                          <a:blip r:embed="rId46"/>
                          <a:stretch>
                            <a:fillRect/>
                          </a:stretch>
                        </pic:blipFill>
                        <pic:spPr>
                          <a:xfrm>
                            <a:off x="0" y="0"/>
                            <a:ext cx="3030220" cy="471170"/>
                          </a:xfrm>
                          <a:prstGeom prst="rect">
                            <a:avLst/>
                          </a:prstGeom>
                          <a:noFill/>
                          <a:ln>
                            <a:noFill/>
                          </a:ln>
                        </pic:spPr>
                      </pic:pic>
                    </a:graphicData>
                  </a:graphic>
                </wp:inline>
              </w:drawing>
            </w:r>
          </w:p>
          <w:p w14:paraId="6F1F683A">
            <w:pPr>
              <w:spacing w:line="360" w:lineRule="auto"/>
              <w:ind w:firstLine="480" w:firstLineChars="200"/>
              <w:rPr>
                <w:rFonts w:hint="eastAsia"/>
                <w:b w:val="0"/>
                <w:bCs/>
                <w:color w:val="000000"/>
                <w:sz w:val="24"/>
              </w:rPr>
            </w:pPr>
            <w:r>
              <w:rPr>
                <w:rFonts w:hint="eastAsia"/>
                <w:b w:val="0"/>
                <w:bCs/>
                <w:color w:val="000000"/>
                <w:sz w:val="24"/>
              </w:rPr>
              <w:t>式中：Leqg——建设项目声源在预测点产生的噪声贡献值，dB；</w:t>
            </w:r>
          </w:p>
          <w:p w14:paraId="55222DA6">
            <w:pPr>
              <w:spacing w:line="360" w:lineRule="auto"/>
              <w:ind w:firstLine="480" w:firstLineChars="200"/>
              <w:rPr>
                <w:rFonts w:hint="eastAsia"/>
                <w:b w:val="0"/>
                <w:bCs/>
                <w:color w:val="000000"/>
                <w:sz w:val="24"/>
              </w:rPr>
            </w:pPr>
            <w:r>
              <w:rPr>
                <w:rFonts w:hint="eastAsia"/>
                <w:b w:val="0"/>
                <w:bCs/>
                <w:color w:val="000000"/>
                <w:sz w:val="24"/>
              </w:rPr>
              <w:t>T—用于计算等效声级的时间，s；</w:t>
            </w:r>
          </w:p>
          <w:p w14:paraId="179993F9">
            <w:pPr>
              <w:spacing w:line="360" w:lineRule="auto"/>
              <w:ind w:firstLine="480" w:firstLineChars="200"/>
              <w:rPr>
                <w:rFonts w:hint="eastAsia"/>
                <w:b w:val="0"/>
                <w:bCs/>
                <w:color w:val="000000"/>
                <w:sz w:val="24"/>
              </w:rPr>
            </w:pPr>
            <w:r>
              <w:rPr>
                <w:rFonts w:hint="eastAsia"/>
                <w:b w:val="0"/>
                <w:bCs/>
                <w:color w:val="000000"/>
                <w:sz w:val="24"/>
              </w:rPr>
              <w:t>N—室外声源个数；</w:t>
            </w:r>
          </w:p>
          <w:p w14:paraId="1918D424">
            <w:pPr>
              <w:spacing w:line="360" w:lineRule="auto"/>
              <w:ind w:firstLine="480" w:firstLineChars="200"/>
              <w:rPr>
                <w:rFonts w:hint="eastAsia"/>
                <w:b w:val="0"/>
                <w:bCs/>
                <w:color w:val="000000"/>
                <w:sz w:val="24"/>
              </w:rPr>
            </w:pPr>
            <w:r>
              <w:rPr>
                <w:rFonts w:hint="eastAsia"/>
                <w:b w:val="0"/>
                <w:bCs/>
                <w:color w:val="000000"/>
                <w:sz w:val="24"/>
              </w:rPr>
              <w:t>t</w:t>
            </w:r>
            <w:r>
              <w:rPr>
                <w:rFonts w:hint="eastAsia"/>
                <w:b w:val="0"/>
                <w:bCs/>
                <w:color w:val="000000"/>
                <w:sz w:val="24"/>
                <w:vertAlign w:val="subscript"/>
              </w:rPr>
              <w:t>i</w:t>
            </w:r>
            <w:r>
              <w:rPr>
                <w:rFonts w:hint="eastAsia"/>
                <w:b w:val="0"/>
                <w:bCs/>
                <w:color w:val="000000"/>
                <w:sz w:val="24"/>
              </w:rPr>
              <w:t>—在T时间内i声源工作时间，s；</w:t>
            </w:r>
          </w:p>
          <w:p w14:paraId="6F1C6DE9">
            <w:pPr>
              <w:spacing w:line="360" w:lineRule="auto"/>
              <w:ind w:firstLine="480" w:firstLineChars="200"/>
              <w:rPr>
                <w:rFonts w:hint="eastAsia"/>
                <w:b w:val="0"/>
                <w:bCs/>
                <w:color w:val="000000"/>
                <w:sz w:val="24"/>
              </w:rPr>
            </w:pPr>
            <w:r>
              <w:rPr>
                <w:rFonts w:hint="eastAsia"/>
                <w:b w:val="0"/>
                <w:bCs/>
                <w:color w:val="000000"/>
                <w:sz w:val="24"/>
              </w:rPr>
              <w:t>M—等效室外声源个数；</w:t>
            </w:r>
          </w:p>
          <w:p w14:paraId="7C4E6D51">
            <w:pPr>
              <w:spacing w:line="360" w:lineRule="auto"/>
              <w:ind w:firstLine="480" w:firstLineChars="200"/>
              <w:rPr>
                <w:rFonts w:hint="eastAsia"/>
                <w:b w:val="0"/>
                <w:bCs/>
                <w:color w:val="000000"/>
                <w:sz w:val="24"/>
              </w:rPr>
            </w:pPr>
            <w:r>
              <w:rPr>
                <w:rFonts w:hint="eastAsia"/>
                <w:b w:val="0"/>
                <w:bCs/>
                <w:color w:val="000000"/>
                <w:sz w:val="24"/>
              </w:rPr>
              <w:t>t</w:t>
            </w:r>
            <w:r>
              <w:rPr>
                <w:rFonts w:hint="eastAsia"/>
                <w:b w:val="0"/>
                <w:bCs/>
                <w:color w:val="000000"/>
                <w:sz w:val="24"/>
                <w:vertAlign w:val="subscript"/>
              </w:rPr>
              <w:t>j</w:t>
            </w:r>
            <w:r>
              <w:rPr>
                <w:rFonts w:hint="eastAsia"/>
                <w:b w:val="0"/>
                <w:bCs/>
                <w:color w:val="000000"/>
                <w:sz w:val="24"/>
              </w:rPr>
              <w:t>—在T时间内j声源工作时间，s。</w:t>
            </w:r>
          </w:p>
          <w:p w14:paraId="2E9017E6">
            <w:pPr>
              <w:spacing w:line="360" w:lineRule="auto"/>
              <w:ind w:firstLine="480" w:firstLineChars="200"/>
              <w:rPr>
                <w:rFonts w:hint="eastAsia"/>
                <w:b w:val="0"/>
                <w:bCs/>
                <w:color w:val="000000"/>
                <w:sz w:val="24"/>
              </w:rPr>
            </w:pPr>
            <w:r>
              <w:rPr>
                <w:rFonts w:hint="eastAsia"/>
                <w:b w:val="0"/>
                <w:bCs/>
                <w:color w:val="000000"/>
                <w:sz w:val="24"/>
              </w:rPr>
              <w:t>④预测值计算</w:t>
            </w:r>
          </w:p>
          <w:p w14:paraId="5F12DD65">
            <w:pPr>
              <w:spacing w:line="360" w:lineRule="auto"/>
              <w:ind w:firstLine="480" w:firstLineChars="200"/>
              <w:rPr>
                <w:rFonts w:hint="eastAsia"/>
                <w:b w:val="0"/>
                <w:bCs/>
                <w:color w:val="000000"/>
                <w:sz w:val="24"/>
              </w:rPr>
            </w:pPr>
            <w:r>
              <w:rPr>
                <w:rFonts w:hint="eastAsia"/>
                <w:b w:val="0"/>
                <w:bCs/>
                <w:color w:val="000000"/>
                <w:sz w:val="24"/>
              </w:rPr>
              <w:t>预测点的预测等效声级（Leq）计算公式：</w:t>
            </w:r>
          </w:p>
          <w:p w14:paraId="77A93904">
            <w:pPr>
              <w:spacing w:line="360" w:lineRule="auto"/>
              <w:ind w:firstLine="420" w:firstLineChars="200"/>
              <w:jc w:val="center"/>
              <w:rPr>
                <w:rFonts w:hint="eastAsia"/>
                <w:b w:val="0"/>
                <w:bCs/>
                <w:color w:val="000000"/>
                <w:sz w:val="24"/>
              </w:rPr>
            </w:pPr>
            <w:r>
              <w:rPr>
                <w:color w:val="000000"/>
              </w:rPr>
              <w:drawing>
                <wp:inline distT="0" distB="0" distL="114300" distR="114300">
                  <wp:extent cx="3068320" cy="347345"/>
                  <wp:effectExtent l="0" t="0" r="17780" b="14605"/>
                  <wp:docPr id="29"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57"/>
                          <pic:cNvPicPr>
                            <a:picLocks noChangeAspect="1"/>
                          </pic:cNvPicPr>
                        </pic:nvPicPr>
                        <pic:blipFill>
                          <a:blip r:embed="rId47"/>
                          <a:stretch>
                            <a:fillRect/>
                          </a:stretch>
                        </pic:blipFill>
                        <pic:spPr>
                          <a:xfrm>
                            <a:off x="0" y="0"/>
                            <a:ext cx="3068320" cy="347345"/>
                          </a:xfrm>
                          <a:prstGeom prst="rect">
                            <a:avLst/>
                          </a:prstGeom>
                          <a:noFill/>
                          <a:ln>
                            <a:noFill/>
                          </a:ln>
                        </pic:spPr>
                      </pic:pic>
                    </a:graphicData>
                  </a:graphic>
                </wp:inline>
              </w:drawing>
            </w:r>
          </w:p>
          <w:p w14:paraId="6B255A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color w:val="000000"/>
                <w:sz w:val="24"/>
              </w:rPr>
            </w:pPr>
            <w:r>
              <w:rPr>
                <w:rFonts w:hint="eastAsia"/>
                <w:b w:val="0"/>
                <w:bCs/>
                <w:color w:val="000000"/>
                <w:sz w:val="24"/>
              </w:rPr>
              <w:t>式中：Leq—预测点的噪声预测值，dB；</w:t>
            </w:r>
          </w:p>
          <w:p w14:paraId="286290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color w:val="000000"/>
                <w:sz w:val="24"/>
              </w:rPr>
            </w:pPr>
            <w:r>
              <w:rPr>
                <w:rFonts w:hint="eastAsia"/>
                <w:b w:val="0"/>
                <w:bCs/>
                <w:color w:val="000000"/>
                <w:sz w:val="24"/>
              </w:rPr>
              <w:t>Leqg—建设项目声源在预测点产生的噪声贡献值，dB；</w:t>
            </w:r>
          </w:p>
          <w:p w14:paraId="3E99C7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color w:val="000000"/>
                <w:sz w:val="24"/>
              </w:rPr>
            </w:pPr>
            <w:r>
              <w:rPr>
                <w:rFonts w:hint="eastAsia"/>
                <w:b w:val="0"/>
                <w:bCs/>
                <w:color w:val="000000"/>
                <w:sz w:val="24"/>
              </w:rPr>
              <w:t>Leqb—预测点的背景噪声值，dB。</w:t>
            </w:r>
          </w:p>
          <w:p w14:paraId="0D054F99">
            <w:pPr>
              <w:spacing w:line="360" w:lineRule="auto"/>
              <w:ind w:firstLine="482" w:firstLineChars="200"/>
              <w:rPr>
                <w:rFonts w:hint="eastAsia" w:eastAsia="宋体"/>
                <w:b/>
                <w:color w:val="000000"/>
                <w:sz w:val="24"/>
                <w:lang w:val="en-US" w:eastAsia="zh-CN"/>
              </w:rPr>
            </w:pPr>
            <w:r>
              <w:rPr>
                <w:rFonts w:hint="eastAsia"/>
                <w:b/>
                <w:color w:val="000000"/>
                <w:sz w:val="24"/>
                <w:lang w:val="en-US" w:eastAsia="zh-CN"/>
              </w:rPr>
              <w:t>（2）噪声预测</w:t>
            </w:r>
          </w:p>
          <w:p w14:paraId="2EADAD67">
            <w:pPr>
              <w:spacing w:line="360" w:lineRule="auto"/>
              <w:ind w:firstLine="480" w:firstLineChars="200"/>
              <w:rPr>
                <w:rFonts w:hint="eastAsia"/>
                <w:b/>
                <w:bCs/>
                <w:color w:val="000000"/>
                <w:sz w:val="24"/>
              </w:rPr>
            </w:pPr>
            <w:r>
              <w:rPr>
                <w:rFonts w:hint="eastAsia"/>
                <w:b w:val="0"/>
                <w:bCs/>
                <w:color w:val="000000"/>
                <w:sz w:val="24"/>
              </w:rPr>
              <w:t>根据噪声衰减公式对噪声源在不同距离的衰减量进行计算可得出本项目噪声的贡献值见表</w:t>
            </w:r>
            <w:r>
              <w:rPr>
                <w:rFonts w:hint="eastAsia"/>
                <w:b w:val="0"/>
                <w:bCs/>
                <w:color w:val="000000"/>
                <w:sz w:val="24"/>
                <w:lang w:val="en-US" w:eastAsia="zh-CN"/>
              </w:rPr>
              <w:t>4-7。</w:t>
            </w:r>
          </w:p>
          <w:p w14:paraId="34207F18">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项目主要噪声源对各厂界噪声预测值（贡献值）一览表单位：dB(A)</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666"/>
              <w:gridCol w:w="810"/>
              <w:gridCol w:w="795"/>
              <w:gridCol w:w="1020"/>
              <w:gridCol w:w="960"/>
              <w:gridCol w:w="1004"/>
              <w:gridCol w:w="1020"/>
              <w:gridCol w:w="684"/>
            </w:tblGrid>
            <w:tr w14:paraId="35D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vMerge w:val="restart"/>
                  <w:noWrap w:val="0"/>
                  <w:vAlign w:val="center"/>
                </w:tcPr>
                <w:p w14:paraId="40C9E80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4"/>
                      <w:sz w:val="21"/>
                      <w:szCs w:val="21"/>
                    </w:rPr>
                    <w:t>序号</w:t>
                  </w:r>
                </w:p>
              </w:tc>
              <w:tc>
                <w:tcPr>
                  <w:tcW w:w="1666" w:type="dxa"/>
                  <w:vMerge w:val="restart"/>
                  <w:noWrap w:val="0"/>
                  <w:vAlign w:val="center"/>
                </w:tcPr>
                <w:p w14:paraId="0376C27E">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3"/>
                      <w:sz w:val="21"/>
                      <w:szCs w:val="21"/>
                    </w:rPr>
                    <w:t>位置</w:t>
                  </w:r>
                </w:p>
              </w:tc>
              <w:tc>
                <w:tcPr>
                  <w:tcW w:w="1605" w:type="dxa"/>
                  <w:gridSpan w:val="2"/>
                  <w:vMerge w:val="restart"/>
                  <w:noWrap w:val="0"/>
                  <w:vAlign w:val="center"/>
                </w:tcPr>
                <w:p w14:paraId="4DACBD8A">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000000"/>
                      <w:sz w:val="21"/>
                      <w:szCs w:val="21"/>
                      <w:vertAlign w:val="baseline"/>
                    </w:rPr>
                  </w:pPr>
                  <w:r>
                    <w:rPr>
                      <w:b/>
                      <w:bCs/>
                      <w:spacing w:val="5"/>
                      <w:sz w:val="21"/>
                      <w:szCs w:val="21"/>
                    </w:rPr>
                    <w:t>本项目贡</w:t>
                  </w:r>
                  <w:r>
                    <w:rPr>
                      <w:b/>
                      <w:bCs/>
                      <w:spacing w:val="3"/>
                      <w:sz w:val="21"/>
                      <w:szCs w:val="21"/>
                    </w:rPr>
                    <w:t>献值</w:t>
                  </w:r>
                </w:p>
              </w:tc>
              <w:tc>
                <w:tcPr>
                  <w:tcW w:w="1980" w:type="dxa"/>
                  <w:gridSpan w:val="2"/>
                  <w:noWrap w:val="0"/>
                  <w:vAlign w:val="center"/>
                </w:tcPr>
                <w:p w14:paraId="451940B8">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7"/>
                      <w:sz w:val="21"/>
                      <w:szCs w:val="21"/>
                    </w:rPr>
                    <w:t>现有工程监测值</w:t>
                  </w:r>
                </w:p>
              </w:tc>
              <w:tc>
                <w:tcPr>
                  <w:tcW w:w="2024" w:type="dxa"/>
                  <w:gridSpan w:val="2"/>
                  <w:noWrap w:val="0"/>
                  <w:vAlign w:val="center"/>
                </w:tcPr>
                <w:p w14:paraId="2705C40A">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7"/>
                      <w:sz w:val="21"/>
                      <w:szCs w:val="21"/>
                    </w:rPr>
                    <w:t>扩建后叠加噪声</w:t>
                  </w:r>
                </w:p>
              </w:tc>
              <w:tc>
                <w:tcPr>
                  <w:tcW w:w="684" w:type="dxa"/>
                  <w:vMerge w:val="restart"/>
                  <w:noWrap w:val="0"/>
                  <w:vAlign w:val="center"/>
                </w:tcPr>
                <w:p w14:paraId="04C24C3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6"/>
                      <w:sz w:val="21"/>
                      <w:szCs w:val="21"/>
                    </w:rPr>
                    <w:t>达标情况</w:t>
                  </w:r>
                </w:p>
              </w:tc>
            </w:tr>
            <w:tr w14:paraId="3F36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vMerge w:val="continue"/>
                  <w:noWrap w:val="0"/>
                  <w:vAlign w:val="center"/>
                </w:tcPr>
                <w:p w14:paraId="51D0FBD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000000"/>
                      <w:sz w:val="21"/>
                      <w:szCs w:val="21"/>
                      <w:vertAlign w:val="baseline"/>
                    </w:rPr>
                  </w:pPr>
                </w:p>
              </w:tc>
              <w:tc>
                <w:tcPr>
                  <w:tcW w:w="1666" w:type="dxa"/>
                  <w:vMerge w:val="continue"/>
                  <w:noWrap w:val="0"/>
                  <w:vAlign w:val="center"/>
                </w:tcPr>
                <w:p w14:paraId="56CA564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000000"/>
                      <w:sz w:val="21"/>
                      <w:szCs w:val="21"/>
                      <w:vertAlign w:val="baseline"/>
                    </w:rPr>
                  </w:pPr>
                </w:p>
              </w:tc>
              <w:tc>
                <w:tcPr>
                  <w:tcW w:w="1605" w:type="dxa"/>
                  <w:gridSpan w:val="2"/>
                  <w:vMerge w:val="continue"/>
                  <w:noWrap w:val="0"/>
                  <w:vAlign w:val="center"/>
                </w:tcPr>
                <w:p w14:paraId="0FB5146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000000"/>
                      <w:sz w:val="21"/>
                      <w:szCs w:val="21"/>
                      <w:vertAlign w:val="baseline"/>
                    </w:rPr>
                  </w:pPr>
                </w:p>
              </w:tc>
              <w:tc>
                <w:tcPr>
                  <w:tcW w:w="1020" w:type="dxa"/>
                  <w:noWrap w:val="0"/>
                  <w:vAlign w:val="center"/>
                </w:tcPr>
                <w:p w14:paraId="7246FD23">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1"/>
                      <w:sz w:val="21"/>
                      <w:szCs w:val="21"/>
                    </w:rPr>
                    <w:t>昼</w:t>
                  </w:r>
                </w:p>
              </w:tc>
              <w:tc>
                <w:tcPr>
                  <w:tcW w:w="960" w:type="dxa"/>
                  <w:noWrap w:val="0"/>
                  <w:vAlign w:val="center"/>
                </w:tcPr>
                <w:p w14:paraId="0D02A3C5">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sz w:val="21"/>
                      <w:szCs w:val="21"/>
                    </w:rPr>
                  </w:pPr>
                  <w:r>
                    <w:rPr>
                      <w:b/>
                      <w:bCs/>
                      <w:spacing w:val="-3"/>
                      <w:sz w:val="21"/>
                      <w:szCs w:val="21"/>
                    </w:rPr>
                    <w:t>夜</w:t>
                  </w:r>
                </w:p>
              </w:tc>
              <w:tc>
                <w:tcPr>
                  <w:tcW w:w="1004" w:type="dxa"/>
                  <w:noWrap w:val="0"/>
                  <w:vAlign w:val="center"/>
                </w:tcPr>
                <w:p w14:paraId="12A6F199">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b/>
                      <w:bCs/>
                      <w:spacing w:val="-1"/>
                      <w:sz w:val="21"/>
                      <w:szCs w:val="21"/>
                    </w:rPr>
                    <w:t>昼</w:t>
                  </w:r>
                </w:p>
              </w:tc>
              <w:tc>
                <w:tcPr>
                  <w:tcW w:w="1020" w:type="dxa"/>
                  <w:noWrap w:val="0"/>
                  <w:vAlign w:val="center"/>
                </w:tcPr>
                <w:p w14:paraId="42AEC6A4">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sz w:val="21"/>
                      <w:szCs w:val="21"/>
                    </w:rPr>
                  </w:pPr>
                  <w:r>
                    <w:rPr>
                      <w:b/>
                      <w:bCs/>
                      <w:spacing w:val="-3"/>
                      <w:sz w:val="21"/>
                      <w:szCs w:val="21"/>
                    </w:rPr>
                    <w:t>夜</w:t>
                  </w:r>
                </w:p>
              </w:tc>
              <w:tc>
                <w:tcPr>
                  <w:tcW w:w="684" w:type="dxa"/>
                  <w:vMerge w:val="continue"/>
                  <w:noWrap w:val="0"/>
                  <w:vAlign w:val="center"/>
                </w:tcPr>
                <w:p w14:paraId="5F80365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000000"/>
                      <w:sz w:val="21"/>
                      <w:szCs w:val="21"/>
                      <w:vertAlign w:val="baseline"/>
                    </w:rPr>
                  </w:pPr>
                </w:p>
              </w:tc>
            </w:tr>
            <w:tr w14:paraId="142D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noWrap w:val="0"/>
                  <w:vAlign w:val="center"/>
                </w:tcPr>
                <w:p w14:paraId="65EABDB8">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rFonts w:ascii="Times New Roman" w:hAnsi="Times New Roman" w:eastAsia="Times New Roman" w:cs="Times New Roman"/>
                      <w:sz w:val="21"/>
                      <w:szCs w:val="21"/>
                    </w:rPr>
                    <w:t>1</w:t>
                  </w:r>
                </w:p>
              </w:tc>
              <w:tc>
                <w:tcPr>
                  <w:tcW w:w="1666" w:type="dxa"/>
                  <w:noWrap w:val="0"/>
                  <w:vAlign w:val="center"/>
                </w:tcPr>
                <w:p w14:paraId="00E9B99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3"/>
                      <w:sz w:val="21"/>
                      <w:szCs w:val="21"/>
                    </w:rPr>
                    <w:t>东侧厂界外</w:t>
                  </w:r>
                  <w:r>
                    <w:rPr>
                      <w:spacing w:val="-23"/>
                      <w:sz w:val="21"/>
                      <w:szCs w:val="21"/>
                    </w:rPr>
                    <w:t xml:space="preserve"> </w:t>
                  </w:r>
                  <w:r>
                    <w:rPr>
                      <w:rFonts w:ascii="Times New Roman" w:hAnsi="Times New Roman" w:eastAsia="Times New Roman" w:cs="Times New Roman"/>
                      <w:spacing w:val="3"/>
                      <w:sz w:val="21"/>
                      <w:szCs w:val="21"/>
                    </w:rPr>
                    <w:t>1m</w:t>
                  </w:r>
                </w:p>
              </w:tc>
              <w:tc>
                <w:tcPr>
                  <w:tcW w:w="810" w:type="dxa"/>
                  <w:noWrap w:val="0"/>
                  <w:vAlign w:val="center"/>
                </w:tcPr>
                <w:p w14:paraId="291E1CD3">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29.33</w:t>
                  </w:r>
                </w:p>
              </w:tc>
              <w:tc>
                <w:tcPr>
                  <w:tcW w:w="795" w:type="dxa"/>
                  <w:noWrap w:val="0"/>
                  <w:vAlign w:val="center"/>
                </w:tcPr>
                <w:p w14:paraId="32D15A2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23.15</w:t>
                  </w:r>
                </w:p>
              </w:tc>
              <w:tc>
                <w:tcPr>
                  <w:tcW w:w="1020" w:type="dxa"/>
                  <w:noWrap w:val="0"/>
                  <w:vAlign w:val="center"/>
                </w:tcPr>
                <w:p w14:paraId="0BB9FED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59</w:t>
                  </w:r>
                </w:p>
              </w:tc>
              <w:tc>
                <w:tcPr>
                  <w:tcW w:w="960" w:type="dxa"/>
                  <w:noWrap w:val="0"/>
                  <w:vAlign w:val="center"/>
                </w:tcPr>
                <w:p w14:paraId="0F509C9A">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46</w:t>
                  </w:r>
                </w:p>
              </w:tc>
              <w:tc>
                <w:tcPr>
                  <w:tcW w:w="1004" w:type="dxa"/>
                  <w:noWrap w:val="0"/>
                  <w:vAlign w:val="center"/>
                </w:tcPr>
                <w:p w14:paraId="652D977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59.00</w:t>
                  </w:r>
                </w:p>
              </w:tc>
              <w:tc>
                <w:tcPr>
                  <w:tcW w:w="1020" w:type="dxa"/>
                  <w:noWrap w:val="0"/>
                  <w:vAlign w:val="center"/>
                </w:tcPr>
                <w:p w14:paraId="657AD00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46.02</w:t>
                  </w:r>
                </w:p>
              </w:tc>
              <w:tc>
                <w:tcPr>
                  <w:tcW w:w="684" w:type="dxa"/>
                  <w:noWrap w:val="0"/>
                  <w:vAlign w:val="center"/>
                </w:tcPr>
                <w:p w14:paraId="07F6DCB3">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5"/>
                      <w:sz w:val="21"/>
                      <w:szCs w:val="21"/>
                    </w:rPr>
                    <w:t>达标</w:t>
                  </w:r>
                </w:p>
              </w:tc>
            </w:tr>
            <w:tr w14:paraId="0C77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noWrap w:val="0"/>
                  <w:vAlign w:val="center"/>
                </w:tcPr>
                <w:p w14:paraId="0C80204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rFonts w:ascii="Times New Roman" w:hAnsi="Times New Roman" w:eastAsia="Times New Roman" w:cs="Times New Roman"/>
                      <w:sz w:val="21"/>
                      <w:szCs w:val="21"/>
                    </w:rPr>
                    <w:t>2</w:t>
                  </w:r>
                </w:p>
              </w:tc>
              <w:tc>
                <w:tcPr>
                  <w:tcW w:w="1666" w:type="dxa"/>
                  <w:noWrap w:val="0"/>
                  <w:vAlign w:val="center"/>
                </w:tcPr>
                <w:p w14:paraId="4101E2AB">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3"/>
                      <w:sz w:val="21"/>
                      <w:szCs w:val="21"/>
                    </w:rPr>
                    <w:t>南侧厂界外</w:t>
                  </w:r>
                  <w:r>
                    <w:rPr>
                      <w:spacing w:val="-19"/>
                      <w:sz w:val="21"/>
                      <w:szCs w:val="21"/>
                    </w:rPr>
                    <w:t xml:space="preserve"> </w:t>
                  </w:r>
                  <w:r>
                    <w:rPr>
                      <w:rFonts w:ascii="Times New Roman" w:hAnsi="Times New Roman" w:eastAsia="Times New Roman" w:cs="Times New Roman"/>
                      <w:spacing w:val="3"/>
                      <w:sz w:val="21"/>
                      <w:szCs w:val="21"/>
                    </w:rPr>
                    <w:t>1m</w:t>
                  </w:r>
                </w:p>
              </w:tc>
              <w:tc>
                <w:tcPr>
                  <w:tcW w:w="810" w:type="dxa"/>
                  <w:noWrap w:val="0"/>
                  <w:vAlign w:val="center"/>
                </w:tcPr>
                <w:p w14:paraId="40006CF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59.55</w:t>
                  </w:r>
                </w:p>
              </w:tc>
              <w:tc>
                <w:tcPr>
                  <w:tcW w:w="795" w:type="dxa"/>
                  <w:noWrap w:val="0"/>
                  <w:vAlign w:val="center"/>
                </w:tcPr>
                <w:p w14:paraId="4BCF3EF3">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25.59</w:t>
                  </w:r>
                </w:p>
              </w:tc>
              <w:tc>
                <w:tcPr>
                  <w:tcW w:w="1020" w:type="dxa"/>
                  <w:noWrap w:val="0"/>
                  <w:vAlign w:val="center"/>
                </w:tcPr>
                <w:p w14:paraId="554E4038">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56</w:t>
                  </w:r>
                </w:p>
              </w:tc>
              <w:tc>
                <w:tcPr>
                  <w:tcW w:w="960" w:type="dxa"/>
                  <w:noWrap w:val="0"/>
                  <w:vAlign w:val="center"/>
                </w:tcPr>
                <w:p w14:paraId="46B79F7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47</w:t>
                  </w:r>
                </w:p>
              </w:tc>
              <w:tc>
                <w:tcPr>
                  <w:tcW w:w="1004" w:type="dxa"/>
                  <w:noWrap w:val="0"/>
                  <w:vAlign w:val="center"/>
                </w:tcPr>
                <w:p w14:paraId="13A46E3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ascii="Times New Roman" w:hAnsi="Times New Roman" w:eastAsia="宋体" w:cs="Times New Roman"/>
                      <w:spacing w:val="1"/>
                      <w:sz w:val="21"/>
                      <w:szCs w:val="21"/>
                      <w:lang w:val="en-US" w:eastAsia="zh-CN"/>
                    </w:rPr>
                    <w:t>61.14</w:t>
                  </w:r>
                </w:p>
              </w:tc>
              <w:tc>
                <w:tcPr>
                  <w:tcW w:w="1020" w:type="dxa"/>
                  <w:noWrap w:val="0"/>
                  <w:vAlign w:val="center"/>
                </w:tcPr>
                <w:p w14:paraId="445C8AE8">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47.03</w:t>
                  </w:r>
                </w:p>
              </w:tc>
              <w:tc>
                <w:tcPr>
                  <w:tcW w:w="684" w:type="dxa"/>
                  <w:noWrap w:val="0"/>
                  <w:vAlign w:val="center"/>
                </w:tcPr>
                <w:p w14:paraId="0C43F08A">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5"/>
                      <w:sz w:val="21"/>
                      <w:szCs w:val="21"/>
                    </w:rPr>
                    <w:t>达标</w:t>
                  </w:r>
                </w:p>
              </w:tc>
            </w:tr>
            <w:tr w14:paraId="4DC3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noWrap w:val="0"/>
                  <w:vAlign w:val="center"/>
                </w:tcPr>
                <w:p w14:paraId="015EF10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rFonts w:ascii="Times New Roman" w:hAnsi="Times New Roman" w:eastAsia="Times New Roman" w:cs="Times New Roman"/>
                      <w:sz w:val="21"/>
                      <w:szCs w:val="21"/>
                    </w:rPr>
                    <w:t>3</w:t>
                  </w:r>
                </w:p>
              </w:tc>
              <w:tc>
                <w:tcPr>
                  <w:tcW w:w="1666" w:type="dxa"/>
                  <w:noWrap w:val="0"/>
                  <w:vAlign w:val="center"/>
                </w:tcPr>
                <w:p w14:paraId="51E6CF9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3"/>
                      <w:sz w:val="21"/>
                      <w:szCs w:val="21"/>
                    </w:rPr>
                    <w:t>西侧厂界外</w:t>
                  </w:r>
                  <w:r>
                    <w:rPr>
                      <w:spacing w:val="-22"/>
                      <w:sz w:val="21"/>
                      <w:szCs w:val="21"/>
                    </w:rPr>
                    <w:t xml:space="preserve"> </w:t>
                  </w:r>
                  <w:r>
                    <w:rPr>
                      <w:rFonts w:ascii="Times New Roman" w:hAnsi="Times New Roman" w:eastAsia="Times New Roman" w:cs="Times New Roman"/>
                      <w:spacing w:val="3"/>
                      <w:sz w:val="21"/>
                      <w:szCs w:val="21"/>
                    </w:rPr>
                    <w:t>1m</w:t>
                  </w:r>
                </w:p>
              </w:tc>
              <w:tc>
                <w:tcPr>
                  <w:tcW w:w="810" w:type="dxa"/>
                  <w:noWrap w:val="0"/>
                  <w:vAlign w:val="center"/>
                </w:tcPr>
                <w:p w14:paraId="095F40A5">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53.63</w:t>
                  </w:r>
                </w:p>
              </w:tc>
              <w:tc>
                <w:tcPr>
                  <w:tcW w:w="795" w:type="dxa"/>
                  <w:noWrap w:val="0"/>
                  <w:vAlign w:val="center"/>
                </w:tcPr>
                <w:p w14:paraId="2CC0E4D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53.63</w:t>
                  </w:r>
                </w:p>
              </w:tc>
              <w:tc>
                <w:tcPr>
                  <w:tcW w:w="1020" w:type="dxa"/>
                  <w:noWrap w:val="0"/>
                  <w:vAlign w:val="center"/>
                </w:tcPr>
                <w:p w14:paraId="1A88D17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56</w:t>
                  </w:r>
                </w:p>
              </w:tc>
              <w:tc>
                <w:tcPr>
                  <w:tcW w:w="960" w:type="dxa"/>
                  <w:noWrap w:val="0"/>
                  <w:vAlign w:val="center"/>
                </w:tcPr>
                <w:p w14:paraId="08EADFC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45</w:t>
                  </w:r>
                </w:p>
              </w:tc>
              <w:tc>
                <w:tcPr>
                  <w:tcW w:w="1004" w:type="dxa"/>
                  <w:noWrap w:val="0"/>
                  <w:vAlign w:val="center"/>
                </w:tcPr>
                <w:p w14:paraId="452240CF">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57.99</w:t>
                  </w:r>
                </w:p>
              </w:tc>
              <w:tc>
                <w:tcPr>
                  <w:tcW w:w="1020" w:type="dxa"/>
                  <w:noWrap w:val="0"/>
                  <w:vAlign w:val="center"/>
                </w:tcPr>
                <w:p w14:paraId="65A2BD1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54.19</w:t>
                  </w:r>
                </w:p>
              </w:tc>
              <w:tc>
                <w:tcPr>
                  <w:tcW w:w="684" w:type="dxa"/>
                  <w:noWrap w:val="0"/>
                  <w:vAlign w:val="center"/>
                </w:tcPr>
                <w:p w14:paraId="09197C17">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5"/>
                      <w:sz w:val="21"/>
                      <w:szCs w:val="21"/>
                    </w:rPr>
                    <w:t>达标</w:t>
                  </w:r>
                </w:p>
              </w:tc>
            </w:tr>
            <w:tr w14:paraId="16F3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noWrap w:val="0"/>
                  <w:vAlign w:val="center"/>
                </w:tcPr>
                <w:p w14:paraId="53C0031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rFonts w:ascii="Times New Roman" w:hAnsi="Times New Roman" w:eastAsia="Times New Roman" w:cs="Times New Roman"/>
                      <w:spacing w:val="1"/>
                      <w:sz w:val="21"/>
                      <w:szCs w:val="21"/>
                    </w:rPr>
                    <w:t>4</w:t>
                  </w:r>
                </w:p>
              </w:tc>
              <w:tc>
                <w:tcPr>
                  <w:tcW w:w="1666" w:type="dxa"/>
                  <w:noWrap w:val="0"/>
                  <w:vAlign w:val="center"/>
                </w:tcPr>
                <w:p w14:paraId="5F4267FF">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3"/>
                      <w:sz w:val="21"/>
                      <w:szCs w:val="21"/>
                    </w:rPr>
                    <w:t>北侧厂界外</w:t>
                  </w:r>
                  <w:r>
                    <w:rPr>
                      <w:spacing w:val="-20"/>
                      <w:sz w:val="21"/>
                      <w:szCs w:val="21"/>
                    </w:rPr>
                    <w:t xml:space="preserve"> </w:t>
                  </w:r>
                  <w:r>
                    <w:rPr>
                      <w:rFonts w:ascii="Times New Roman" w:hAnsi="Times New Roman" w:eastAsia="Times New Roman" w:cs="Times New Roman"/>
                      <w:spacing w:val="3"/>
                      <w:sz w:val="21"/>
                      <w:szCs w:val="21"/>
                    </w:rPr>
                    <w:t>1m</w:t>
                  </w:r>
                </w:p>
              </w:tc>
              <w:tc>
                <w:tcPr>
                  <w:tcW w:w="810" w:type="dxa"/>
                  <w:noWrap w:val="0"/>
                  <w:vAlign w:val="center"/>
                </w:tcPr>
                <w:p w14:paraId="7FD67F13">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41.60</w:t>
                  </w:r>
                </w:p>
              </w:tc>
              <w:tc>
                <w:tcPr>
                  <w:tcW w:w="795" w:type="dxa"/>
                  <w:noWrap w:val="0"/>
                  <w:vAlign w:val="center"/>
                </w:tcPr>
                <w:p w14:paraId="4281B3BB">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color w:val="000000"/>
                      <w:sz w:val="21"/>
                      <w:szCs w:val="21"/>
                      <w:vertAlign w:val="baseline"/>
                      <w:lang w:val="en-US" w:eastAsia="zh-CN"/>
                    </w:rPr>
                  </w:pPr>
                  <w:r>
                    <w:rPr>
                      <w:rFonts w:hint="eastAsia"/>
                      <w:color w:val="000000"/>
                      <w:sz w:val="21"/>
                      <w:szCs w:val="21"/>
                      <w:vertAlign w:val="baseline"/>
                      <w:lang w:val="en-US" w:eastAsia="zh-CN"/>
                    </w:rPr>
                    <w:t>40.01</w:t>
                  </w:r>
                </w:p>
              </w:tc>
              <w:tc>
                <w:tcPr>
                  <w:tcW w:w="1020" w:type="dxa"/>
                  <w:noWrap w:val="0"/>
                  <w:vAlign w:val="center"/>
                </w:tcPr>
                <w:p w14:paraId="280585BA">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57</w:t>
                  </w:r>
                </w:p>
              </w:tc>
              <w:tc>
                <w:tcPr>
                  <w:tcW w:w="960" w:type="dxa"/>
                  <w:noWrap w:val="0"/>
                  <w:vAlign w:val="center"/>
                </w:tcPr>
                <w:p w14:paraId="7788A61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47</w:t>
                  </w:r>
                </w:p>
              </w:tc>
              <w:tc>
                <w:tcPr>
                  <w:tcW w:w="1004" w:type="dxa"/>
                  <w:noWrap w:val="0"/>
                  <w:vAlign w:val="center"/>
                </w:tcPr>
                <w:p w14:paraId="1590414A">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color w:val="000000"/>
                      <w:sz w:val="21"/>
                      <w:szCs w:val="21"/>
                      <w:vertAlign w:val="baseline"/>
                      <w:lang w:val="en-US" w:eastAsia="zh-CN"/>
                    </w:rPr>
                  </w:pPr>
                  <w:r>
                    <w:rPr>
                      <w:rFonts w:hint="eastAsia"/>
                      <w:color w:val="000000"/>
                      <w:sz w:val="21"/>
                      <w:szCs w:val="21"/>
                      <w:vertAlign w:val="baseline"/>
                      <w:lang w:val="en-US" w:eastAsia="zh-CN"/>
                    </w:rPr>
                    <w:t>57.12</w:t>
                  </w:r>
                </w:p>
              </w:tc>
              <w:tc>
                <w:tcPr>
                  <w:tcW w:w="1020" w:type="dxa"/>
                  <w:noWrap w:val="0"/>
                  <w:vAlign w:val="center"/>
                </w:tcPr>
                <w:p w14:paraId="6B4718C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eastAsia="宋体"/>
                      <w:sz w:val="21"/>
                      <w:szCs w:val="21"/>
                      <w:lang w:val="en-US" w:eastAsia="zh-CN"/>
                    </w:rPr>
                  </w:pPr>
                  <w:r>
                    <w:rPr>
                      <w:rFonts w:hint="eastAsia"/>
                      <w:sz w:val="21"/>
                      <w:szCs w:val="21"/>
                      <w:lang w:val="en-US" w:eastAsia="zh-CN"/>
                    </w:rPr>
                    <w:t>47.79</w:t>
                  </w:r>
                </w:p>
              </w:tc>
              <w:tc>
                <w:tcPr>
                  <w:tcW w:w="684" w:type="dxa"/>
                  <w:noWrap w:val="0"/>
                  <w:vAlign w:val="center"/>
                </w:tcPr>
                <w:p w14:paraId="6BF6B882">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000000"/>
                      <w:sz w:val="21"/>
                      <w:szCs w:val="21"/>
                      <w:vertAlign w:val="baseline"/>
                    </w:rPr>
                  </w:pPr>
                  <w:r>
                    <w:rPr>
                      <w:spacing w:val="5"/>
                      <w:sz w:val="21"/>
                      <w:szCs w:val="21"/>
                    </w:rPr>
                    <w:t>达标</w:t>
                  </w:r>
                </w:p>
              </w:tc>
            </w:tr>
            <w:tr w14:paraId="7D42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3" w:type="dxa"/>
                  <w:gridSpan w:val="9"/>
                  <w:noWrap w:val="0"/>
                  <w:vAlign w:val="center"/>
                </w:tcPr>
                <w:p w14:paraId="312C9350">
                  <w:pPr>
                    <w:pStyle w:val="10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left"/>
                    <w:textAlignment w:val="auto"/>
                    <w:rPr>
                      <w:spacing w:val="5"/>
                      <w:sz w:val="21"/>
                      <w:szCs w:val="21"/>
                    </w:rPr>
                  </w:pPr>
                  <w:r>
                    <w:rPr>
                      <w:spacing w:val="8"/>
                      <w:sz w:val="20"/>
                      <w:szCs w:val="20"/>
                    </w:rPr>
                    <w:t>备注：背景值来源于</w:t>
                  </w:r>
                  <w:r>
                    <w:rPr>
                      <w:rFonts w:hint="eastAsia"/>
                      <w:spacing w:val="8"/>
                      <w:sz w:val="20"/>
                      <w:szCs w:val="20"/>
                      <w:lang w:val="en-US" w:eastAsia="zh-CN"/>
                    </w:rPr>
                    <w:t>厂区例行监测报告</w:t>
                  </w:r>
                  <w:r>
                    <w:rPr>
                      <w:spacing w:val="8"/>
                      <w:sz w:val="20"/>
                      <w:szCs w:val="20"/>
                    </w:rPr>
                    <w:t>。</w:t>
                  </w:r>
                </w:p>
              </w:tc>
            </w:tr>
          </w:tbl>
          <w:p w14:paraId="7A179251">
            <w:pPr>
              <w:rPr>
                <w:color w:val="000000"/>
              </w:rPr>
            </w:pPr>
          </w:p>
          <w:p w14:paraId="3FCBE06E">
            <w:pPr>
              <w:spacing w:line="360" w:lineRule="auto"/>
              <w:ind w:firstLine="480" w:firstLineChars="200"/>
              <w:rPr>
                <w:color w:val="000000"/>
                <w:sz w:val="24"/>
              </w:rPr>
            </w:pPr>
            <w:r>
              <w:rPr>
                <w:color w:val="000000"/>
                <w:sz w:val="24"/>
              </w:rPr>
              <w:t>由上表预测结果可知，项目厂界</w:t>
            </w:r>
            <w:r>
              <w:rPr>
                <w:rFonts w:hint="eastAsia"/>
                <w:color w:val="000000"/>
                <w:sz w:val="24"/>
              </w:rPr>
              <w:t>昼间</w:t>
            </w:r>
            <w:r>
              <w:rPr>
                <w:rFonts w:hint="eastAsia"/>
                <w:color w:val="000000"/>
                <w:sz w:val="24"/>
                <w:lang w:eastAsia="zh-CN"/>
              </w:rPr>
              <w:t>、夜间</w:t>
            </w:r>
            <w:r>
              <w:rPr>
                <w:rFonts w:hint="eastAsia"/>
                <w:color w:val="000000"/>
                <w:sz w:val="24"/>
              </w:rPr>
              <w:t>噪声预测值</w:t>
            </w:r>
            <w:r>
              <w:rPr>
                <w:rFonts w:hint="eastAsia"/>
                <w:color w:val="000000"/>
                <w:sz w:val="24"/>
                <w:lang w:eastAsia="zh-CN"/>
              </w:rPr>
              <w:t>（</w:t>
            </w:r>
            <w:r>
              <w:rPr>
                <w:rFonts w:hint="eastAsia"/>
                <w:color w:val="000000"/>
                <w:sz w:val="24"/>
              </w:rPr>
              <w:t>贡献值）均满足</w:t>
            </w:r>
            <w:r>
              <w:rPr>
                <w:color w:val="000000"/>
                <w:sz w:val="24"/>
              </w:rPr>
              <w:t>《工业企业厂界环境噪声排放标准》（GB12348-2008）</w:t>
            </w:r>
            <w:r>
              <w:rPr>
                <w:rFonts w:hint="eastAsia"/>
                <w:color w:val="000000"/>
                <w:sz w:val="24"/>
                <w:lang w:val="en-US" w:eastAsia="zh-CN"/>
              </w:rPr>
              <w:t>3</w:t>
            </w:r>
            <w:r>
              <w:rPr>
                <w:color w:val="000000"/>
                <w:sz w:val="24"/>
              </w:rPr>
              <w:t>类标准要求。</w:t>
            </w:r>
          </w:p>
          <w:p w14:paraId="0055C660">
            <w:pPr>
              <w:spacing w:line="360" w:lineRule="auto"/>
              <w:ind w:firstLine="480" w:firstLineChars="200"/>
              <w:rPr>
                <w:color w:val="000000"/>
                <w:sz w:val="24"/>
              </w:rPr>
            </w:pPr>
            <w:r>
              <w:rPr>
                <w:color w:val="000000"/>
                <w:sz w:val="24"/>
              </w:rPr>
              <w:t>综合上述分析，建设单位只要严格采取隔声</w:t>
            </w:r>
            <w:r>
              <w:rPr>
                <w:rFonts w:hint="eastAsia"/>
                <w:color w:val="000000"/>
                <w:sz w:val="24"/>
              </w:rPr>
              <w:t>、减振</w:t>
            </w:r>
            <w:r>
              <w:rPr>
                <w:color w:val="000000"/>
                <w:sz w:val="24"/>
              </w:rPr>
              <w:t>等降噪措施后，设备噪声可实现达标排放，不会对</w:t>
            </w:r>
            <w:r>
              <w:rPr>
                <w:rFonts w:hint="eastAsia"/>
                <w:color w:val="000000"/>
                <w:sz w:val="24"/>
              </w:rPr>
              <w:t>厂界</w:t>
            </w:r>
            <w:r>
              <w:rPr>
                <w:color w:val="000000"/>
                <w:sz w:val="24"/>
              </w:rPr>
              <w:t>及外环境造成明显影响，可做到噪声不扰民。</w:t>
            </w:r>
          </w:p>
          <w:p w14:paraId="484E1AFF">
            <w:pPr>
              <w:spacing w:line="360" w:lineRule="auto"/>
              <w:ind w:firstLine="482" w:firstLineChars="200"/>
              <w:rPr>
                <w:rFonts w:ascii="宋体" w:hAnsi="宋体" w:cs="宋体"/>
                <w:b/>
                <w:bCs/>
                <w:color w:val="000000"/>
                <w:sz w:val="24"/>
              </w:rPr>
            </w:pPr>
            <w:r>
              <w:rPr>
                <w:rFonts w:hint="eastAsia" w:ascii="宋体" w:hAnsi="宋体" w:cs="宋体"/>
                <w:b/>
                <w:bCs/>
                <w:color w:val="000000"/>
                <w:sz w:val="24"/>
                <w:lang w:eastAsia="zh-CN"/>
              </w:rPr>
              <w:t>3.</w:t>
            </w:r>
            <w:r>
              <w:rPr>
                <w:rFonts w:hint="eastAsia" w:ascii="宋体" w:hAnsi="宋体" w:cs="宋体"/>
                <w:b/>
                <w:bCs/>
                <w:color w:val="000000"/>
                <w:sz w:val="24"/>
              </w:rPr>
              <w:t>监测计划</w:t>
            </w:r>
          </w:p>
          <w:p w14:paraId="24E1B78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根据《排污单位自行监测技术指南总则》（HJ819-2017）</w:t>
            </w:r>
            <w:r>
              <w:rPr>
                <w:rFonts w:hint="eastAsia" w:ascii="宋体" w:hAnsi="宋体" w:cs="宋体"/>
                <w:color w:val="000000"/>
                <w:sz w:val="24"/>
                <w:lang w:eastAsia="zh-CN"/>
              </w:rPr>
              <w:t>等要求</w:t>
            </w:r>
            <w:r>
              <w:rPr>
                <w:rFonts w:hint="eastAsia" w:ascii="宋体" w:hAnsi="宋体" w:cs="宋体"/>
                <w:color w:val="000000"/>
                <w:sz w:val="24"/>
              </w:rPr>
              <w:t>，本次评价针对项目运营期噪声提出监测计划要求，具体监测计划见下表。</w:t>
            </w:r>
          </w:p>
          <w:p w14:paraId="6CED0F9A">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ascii="宋体" w:hAnsi="宋体" w:cs="宋体"/>
                <w:b/>
                <w:bCs/>
                <w:color w:val="000000"/>
                <w:sz w:val="24"/>
                <w:szCs w:val="24"/>
              </w:rPr>
            </w:pPr>
            <w:r>
              <w:rPr>
                <w:rFonts w:hint="eastAsia" w:ascii="Times New Roman" w:hAnsi="Times New Roman" w:eastAsia="宋体" w:cs="Times New Roman"/>
                <w:b/>
                <w:bCs/>
                <w:color w:val="000000"/>
                <w:spacing w:val="7"/>
                <w:sz w:val="24"/>
                <w:szCs w:val="24"/>
                <w:lang w:val="en-US" w:eastAsia="zh-CN"/>
              </w:rPr>
              <w:t xml:space="preserve"> 项目运营期噪声监测计划一览表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80"/>
              <w:gridCol w:w="1098"/>
              <w:gridCol w:w="1175"/>
              <w:gridCol w:w="1125"/>
              <w:gridCol w:w="3324"/>
            </w:tblGrid>
            <w:tr w14:paraId="4841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93" w:type="dxa"/>
                  <w:noWrap w:val="0"/>
                  <w:vAlign w:val="center"/>
                </w:tcPr>
                <w:p w14:paraId="10876476">
                  <w:pPr>
                    <w:jc w:val="center"/>
                    <w:rPr>
                      <w:rFonts w:hint="eastAsia" w:ascii="宋体" w:hAnsi="宋体" w:cs="宋体"/>
                      <w:color w:val="000000"/>
                      <w:szCs w:val="21"/>
                    </w:rPr>
                  </w:pPr>
                  <w:r>
                    <w:rPr>
                      <w:rFonts w:hint="eastAsia" w:ascii="宋体" w:hAnsi="宋体" w:cs="宋体"/>
                      <w:color w:val="000000"/>
                      <w:szCs w:val="21"/>
                    </w:rPr>
                    <w:t>类型</w:t>
                  </w:r>
                </w:p>
              </w:tc>
              <w:tc>
                <w:tcPr>
                  <w:tcW w:w="1180" w:type="dxa"/>
                  <w:noWrap w:val="0"/>
                  <w:vAlign w:val="center"/>
                </w:tcPr>
                <w:p w14:paraId="6908EB6D">
                  <w:pPr>
                    <w:jc w:val="center"/>
                    <w:rPr>
                      <w:rFonts w:hint="eastAsia" w:ascii="宋体" w:hAnsi="宋体" w:cs="宋体"/>
                      <w:color w:val="000000"/>
                      <w:szCs w:val="21"/>
                    </w:rPr>
                  </w:pPr>
                  <w:r>
                    <w:rPr>
                      <w:rFonts w:hint="eastAsia" w:ascii="宋体" w:hAnsi="宋体" w:cs="宋体"/>
                      <w:color w:val="000000"/>
                      <w:szCs w:val="21"/>
                    </w:rPr>
                    <w:t>监测因子</w:t>
                  </w:r>
                </w:p>
              </w:tc>
              <w:tc>
                <w:tcPr>
                  <w:tcW w:w="1098" w:type="dxa"/>
                  <w:noWrap w:val="0"/>
                  <w:vAlign w:val="center"/>
                </w:tcPr>
                <w:p w14:paraId="29B976F1">
                  <w:pPr>
                    <w:jc w:val="center"/>
                    <w:rPr>
                      <w:rFonts w:hint="eastAsia" w:ascii="宋体" w:hAnsi="宋体" w:cs="宋体"/>
                      <w:color w:val="000000"/>
                      <w:szCs w:val="21"/>
                    </w:rPr>
                  </w:pPr>
                  <w:r>
                    <w:rPr>
                      <w:rFonts w:hint="eastAsia" w:ascii="宋体" w:hAnsi="宋体" w:cs="宋体"/>
                      <w:color w:val="000000"/>
                      <w:szCs w:val="21"/>
                    </w:rPr>
                    <w:t>监测点位</w:t>
                  </w:r>
                </w:p>
              </w:tc>
              <w:tc>
                <w:tcPr>
                  <w:tcW w:w="1175" w:type="dxa"/>
                  <w:noWrap w:val="0"/>
                  <w:vAlign w:val="center"/>
                </w:tcPr>
                <w:p w14:paraId="184E3AA3">
                  <w:pPr>
                    <w:jc w:val="center"/>
                    <w:rPr>
                      <w:rFonts w:hint="eastAsia" w:ascii="宋体" w:hAnsi="宋体" w:cs="宋体"/>
                      <w:color w:val="000000"/>
                      <w:szCs w:val="21"/>
                    </w:rPr>
                  </w:pPr>
                  <w:r>
                    <w:rPr>
                      <w:rFonts w:hint="eastAsia" w:ascii="宋体" w:hAnsi="宋体" w:cs="宋体"/>
                      <w:color w:val="000000"/>
                      <w:szCs w:val="21"/>
                    </w:rPr>
                    <w:t>监测指标</w:t>
                  </w:r>
                </w:p>
              </w:tc>
              <w:tc>
                <w:tcPr>
                  <w:tcW w:w="1125" w:type="dxa"/>
                  <w:noWrap w:val="0"/>
                  <w:vAlign w:val="center"/>
                </w:tcPr>
                <w:p w14:paraId="1ECC03D8">
                  <w:pPr>
                    <w:jc w:val="center"/>
                    <w:rPr>
                      <w:rFonts w:hint="eastAsia" w:ascii="宋体" w:hAnsi="宋体" w:cs="宋体"/>
                      <w:color w:val="000000"/>
                      <w:szCs w:val="21"/>
                    </w:rPr>
                  </w:pPr>
                  <w:r>
                    <w:rPr>
                      <w:rFonts w:hint="eastAsia" w:ascii="宋体" w:hAnsi="宋体" w:cs="宋体"/>
                      <w:color w:val="000000"/>
                      <w:szCs w:val="21"/>
                    </w:rPr>
                    <w:t>监测频次</w:t>
                  </w:r>
                </w:p>
              </w:tc>
              <w:tc>
                <w:tcPr>
                  <w:tcW w:w="3324" w:type="dxa"/>
                  <w:noWrap w:val="0"/>
                  <w:vAlign w:val="center"/>
                </w:tcPr>
                <w:p w14:paraId="24FB352C">
                  <w:pPr>
                    <w:jc w:val="center"/>
                    <w:rPr>
                      <w:rFonts w:hint="eastAsia" w:ascii="宋体" w:hAnsi="宋体" w:cs="宋体"/>
                      <w:color w:val="000000"/>
                      <w:szCs w:val="21"/>
                    </w:rPr>
                  </w:pPr>
                  <w:r>
                    <w:rPr>
                      <w:rFonts w:hint="eastAsia" w:ascii="宋体" w:hAnsi="宋体" w:cs="宋体"/>
                      <w:color w:val="000000"/>
                      <w:szCs w:val="21"/>
                    </w:rPr>
                    <w:t>执行排放标准</w:t>
                  </w:r>
                </w:p>
              </w:tc>
            </w:tr>
            <w:tr w14:paraId="0019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93" w:type="dxa"/>
                  <w:noWrap w:val="0"/>
                  <w:vAlign w:val="center"/>
                </w:tcPr>
                <w:p w14:paraId="79C09310">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噪声</w:t>
                  </w:r>
                </w:p>
              </w:tc>
              <w:tc>
                <w:tcPr>
                  <w:tcW w:w="1180" w:type="dxa"/>
                  <w:noWrap w:val="0"/>
                  <w:vAlign w:val="center"/>
                </w:tcPr>
                <w:p w14:paraId="724B945B">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等效连续A声级</w:t>
                  </w:r>
                </w:p>
              </w:tc>
              <w:tc>
                <w:tcPr>
                  <w:tcW w:w="1098" w:type="dxa"/>
                  <w:noWrap w:val="0"/>
                  <w:vAlign w:val="center"/>
                </w:tcPr>
                <w:p w14:paraId="740ED651">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厂界四周</w:t>
                  </w:r>
                </w:p>
              </w:tc>
              <w:tc>
                <w:tcPr>
                  <w:tcW w:w="1175" w:type="dxa"/>
                  <w:noWrap w:val="0"/>
                  <w:vAlign w:val="center"/>
                </w:tcPr>
                <w:p w14:paraId="2B0DA390">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昼间噪声</w:t>
                  </w:r>
                </w:p>
              </w:tc>
              <w:tc>
                <w:tcPr>
                  <w:tcW w:w="1125" w:type="dxa"/>
                  <w:noWrap w:val="0"/>
                  <w:vAlign w:val="center"/>
                </w:tcPr>
                <w:p w14:paraId="50479DE2">
                  <w:pPr>
                    <w:jc w:val="center"/>
                    <w:rPr>
                      <w:rFonts w:hint="default" w:ascii="Times New Roman" w:hAnsi="Times New Roman" w:cs="Times New Roman"/>
                      <w:color w:val="000000"/>
                      <w:szCs w:val="21"/>
                    </w:rPr>
                  </w:pPr>
                  <w:r>
                    <w:rPr>
                      <w:rFonts w:hint="default" w:ascii="Times New Roman" w:hAnsi="Times New Roman" w:cs="Times New Roman"/>
                      <w:color w:val="000000"/>
                      <w:szCs w:val="21"/>
                    </w:rPr>
                    <w:t>1次/季度</w:t>
                  </w:r>
                </w:p>
              </w:tc>
              <w:tc>
                <w:tcPr>
                  <w:tcW w:w="3324" w:type="dxa"/>
                  <w:noWrap w:val="0"/>
                  <w:vAlign w:val="center"/>
                </w:tcPr>
                <w:p w14:paraId="349685CB">
                  <w:pPr>
                    <w:jc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rPr>
                    <w:t>《工业企业厂界环境噪声排放标准》</w:t>
                  </w:r>
                  <w:r>
                    <w:rPr>
                      <w:rFonts w:hint="default" w:ascii="Times New Roman" w:hAnsi="Times New Roman" w:cs="Times New Roman"/>
                      <w:color w:val="000000"/>
                      <w:szCs w:val="21"/>
                      <w:lang w:eastAsia="zh-CN"/>
                    </w:rPr>
                    <w:t>（</w:t>
                  </w:r>
                  <w:r>
                    <w:rPr>
                      <w:rFonts w:hint="default" w:ascii="Times New Roman" w:hAnsi="Times New Roman" w:cs="Times New Roman"/>
                      <w:color w:val="000000"/>
                      <w:szCs w:val="21"/>
                    </w:rPr>
                    <w:t>GB12348-2008</w:t>
                  </w:r>
                  <w:r>
                    <w:rPr>
                      <w:rFonts w:hint="default" w:ascii="Times New Roman" w:hAnsi="Times New Roman" w:cs="Times New Roman"/>
                      <w:color w:val="000000"/>
                      <w:szCs w:val="21"/>
                      <w:lang w:eastAsia="zh-CN"/>
                    </w:rPr>
                    <w:t>）</w:t>
                  </w:r>
                  <w:r>
                    <w:rPr>
                      <w:rFonts w:hint="default" w:ascii="Times New Roman" w:hAnsi="Times New Roman" w:cs="Times New Roman"/>
                      <w:color w:val="000000"/>
                      <w:szCs w:val="21"/>
                    </w:rPr>
                    <w:t>中</w:t>
                  </w:r>
                  <w:r>
                    <w:rPr>
                      <w:rFonts w:hint="default" w:ascii="Times New Roman" w:hAnsi="Times New Roman" w:cs="Times New Roman"/>
                      <w:color w:val="000000"/>
                      <w:szCs w:val="21"/>
                      <w:lang w:val="en-US" w:eastAsia="zh-CN"/>
                    </w:rPr>
                    <w:t>3</w:t>
                  </w:r>
                  <w:r>
                    <w:rPr>
                      <w:rFonts w:hint="default" w:ascii="Times New Roman" w:hAnsi="Times New Roman" w:cs="Times New Roman"/>
                      <w:color w:val="000000"/>
                      <w:szCs w:val="21"/>
                    </w:rPr>
                    <w:t>类</w:t>
                  </w:r>
                </w:p>
              </w:tc>
            </w:tr>
          </w:tbl>
          <w:p w14:paraId="3FBB963E">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0"/>
              <w:textAlignment w:val="auto"/>
              <w:rPr>
                <w:rFonts w:hint="eastAsia"/>
                <w:color w:val="000000"/>
              </w:rPr>
            </w:pPr>
            <w:r>
              <w:rPr>
                <w:rFonts w:hint="eastAsia" w:ascii="宋体" w:hAnsi="宋体" w:cs="宋体"/>
                <w:b/>
                <w:bCs/>
                <w:color w:val="000000"/>
                <w:sz w:val="28"/>
                <w:szCs w:val="28"/>
              </w:rPr>
              <w:t>四、固废</w:t>
            </w:r>
          </w:p>
          <w:p w14:paraId="6A654B5B">
            <w:pPr>
              <w:pStyle w:val="106"/>
              <w:spacing w:before="181" w:line="359" w:lineRule="auto"/>
              <w:ind w:left="112" w:right="102" w:firstLine="478"/>
              <w:jc w:val="both"/>
            </w:pPr>
            <w:r>
              <w:rPr>
                <w:spacing w:val="-3"/>
              </w:rPr>
              <w:t>依据《固体废物鉴别标准 通则》（</w:t>
            </w:r>
            <w:r>
              <w:rPr>
                <w:rFonts w:ascii="Times New Roman" w:hAnsi="Times New Roman" w:eastAsia="Times New Roman" w:cs="Times New Roman"/>
                <w:spacing w:val="-3"/>
              </w:rPr>
              <w:t>GB34330-2017</w:t>
            </w:r>
            <w:r>
              <w:rPr>
                <w:spacing w:val="5"/>
              </w:rPr>
              <w:t>），</w:t>
            </w:r>
            <w:r>
              <w:rPr>
                <w:spacing w:val="-3"/>
              </w:rPr>
              <w:t>固体废物是指在生产、生活和其他</w:t>
            </w:r>
            <w:r>
              <w:rPr>
                <w:spacing w:val="1"/>
              </w:rPr>
              <w:t>活动中产生的丧失原有利用价值或虽未丧失利用价值但被抛弃或者放弃的固态、半固态和置</w:t>
            </w:r>
            <w:r>
              <w:t>于容器中的气态物品、物质以及法律、行政法规规定</w:t>
            </w:r>
            <w:r>
              <w:rPr>
                <w:spacing w:val="-1"/>
              </w:rPr>
              <w:t>纳入固体废物管理的物品、物质。</w:t>
            </w:r>
          </w:p>
          <w:p w14:paraId="271734E0">
            <w:pPr>
              <w:pStyle w:val="106"/>
              <w:spacing w:before="2" w:line="358" w:lineRule="auto"/>
              <w:ind w:left="107" w:right="102" w:firstLine="481"/>
              <w:jc w:val="both"/>
            </w:pPr>
            <w:r>
              <w:rPr>
                <w:spacing w:val="1"/>
              </w:rPr>
              <w:t>本项目除尘设施收集粉尘均回用于生产，仍满足生产利用价值，且不属于国家法律、环保法规规定纳入固废管理的物品。因此，本次评价不将除尘设施收集粉尘纳入固废分析。根</w:t>
            </w:r>
            <w:r>
              <w:t>据项目生产工艺流程，项目运营期固废产生</w:t>
            </w:r>
            <w:r>
              <w:rPr>
                <w:spacing w:val="-1"/>
              </w:rPr>
              <w:t>情况及治理措施如下。</w:t>
            </w:r>
          </w:p>
          <w:p w14:paraId="021F3B70">
            <w:pPr>
              <w:pStyle w:val="106"/>
              <w:spacing w:line="360" w:lineRule="auto"/>
              <w:ind w:left="600"/>
            </w:pPr>
            <w:r>
              <w:rPr>
                <w:b/>
                <w:bCs/>
                <w:spacing w:val="-5"/>
              </w:rPr>
              <w:t>（</w:t>
            </w:r>
            <w:r>
              <w:rPr>
                <w:rFonts w:ascii="Times New Roman" w:hAnsi="Times New Roman" w:eastAsia="Times New Roman" w:cs="Times New Roman"/>
                <w:b/>
                <w:bCs/>
                <w:spacing w:val="-5"/>
              </w:rPr>
              <w:t>1</w:t>
            </w:r>
            <w:r>
              <w:rPr>
                <w:b/>
                <w:bCs/>
                <w:spacing w:val="-5"/>
              </w:rPr>
              <w:t>）一般固废</w:t>
            </w:r>
          </w:p>
          <w:p w14:paraId="6288EECE">
            <w:pPr>
              <w:pStyle w:val="106"/>
              <w:spacing w:before="1" w:line="360" w:lineRule="auto"/>
              <w:ind w:left="106" w:right="102" w:firstLine="485"/>
              <w:jc w:val="both"/>
              <w:rPr>
                <w:rFonts w:hint="default" w:ascii="Times New Roman" w:hAnsi="Times New Roman" w:eastAsia="宋体" w:cs="Times New Roman"/>
                <w:spacing w:val="1"/>
              </w:rPr>
            </w:pPr>
            <w:r>
              <w:rPr>
                <w:rFonts w:hint="default" w:ascii="Times New Roman" w:hAnsi="Times New Roman" w:eastAsia="宋体" w:cs="Times New Roman"/>
                <w:b/>
                <w:bCs/>
                <w:spacing w:val="1"/>
              </w:rPr>
              <w:t>生活垃圾：</w:t>
            </w:r>
            <w:r>
              <w:rPr>
                <w:rFonts w:hint="default" w:ascii="Times New Roman" w:hAnsi="Times New Roman" w:eastAsia="宋体" w:cs="Times New Roman"/>
                <w:spacing w:val="1"/>
              </w:rPr>
              <w:t>员工生活垃圾按 0.5kg/人·d ，本项目新增员工人数为</w:t>
            </w:r>
            <w:r>
              <w:rPr>
                <w:rFonts w:hint="default" w:ascii="Times New Roman" w:hAnsi="Times New Roman" w:eastAsia="宋体" w:cs="Times New Roman"/>
                <w:spacing w:val="1"/>
                <w:lang w:val="en-US" w:eastAsia="zh-CN"/>
              </w:rPr>
              <w:t>16</w:t>
            </w:r>
            <w:r>
              <w:rPr>
                <w:rFonts w:hint="default" w:ascii="Times New Roman" w:hAnsi="Times New Roman" w:eastAsia="宋体" w:cs="Times New Roman"/>
                <w:spacing w:val="1"/>
              </w:rPr>
              <w:t>人</w:t>
            </w:r>
            <w:r>
              <w:rPr>
                <w:rFonts w:hint="default" w:ascii="Times New Roman" w:hAnsi="Times New Roman" w:eastAsia="宋体" w:cs="Times New Roman"/>
                <w:spacing w:val="1"/>
                <w:lang w:eastAsia="zh-CN"/>
              </w:rPr>
              <w:t>，</w:t>
            </w:r>
            <w:r>
              <w:rPr>
                <w:rFonts w:hint="default" w:ascii="Times New Roman" w:hAnsi="Times New Roman" w:eastAsia="宋体" w:cs="Times New Roman"/>
                <w:spacing w:val="1"/>
              </w:rPr>
              <w:t>年工作日 330天，则本项目实施后生活垃圾产生量约</w:t>
            </w:r>
            <w:r>
              <w:rPr>
                <w:rFonts w:hint="default" w:ascii="Times New Roman" w:hAnsi="Times New Roman" w:eastAsia="宋体" w:cs="Times New Roman"/>
                <w:spacing w:val="1"/>
                <w:lang w:val="en-US" w:eastAsia="zh-CN"/>
              </w:rPr>
              <w:t>2.64</w:t>
            </w:r>
            <w:r>
              <w:rPr>
                <w:rFonts w:hint="default" w:ascii="Times New Roman" w:hAnsi="Times New Roman" w:eastAsia="宋体" w:cs="Times New Roman"/>
                <w:spacing w:val="1"/>
              </w:rPr>
              <w:t>t/a 。收集后交由环卫部门统一清运处置。</w:t>
            </w:r>
          </w:p>
          <w:p w14:paraId="68CDF7BB">
            <w:pPr>
              <w:pStyle w:val="106"/>
              <w:spacing w:before="21" w:line="359" w:lineRule="auto"/>
              <w:ind w:left="108" w:right="102" w:firstLine="483"/>
              <w:jc w:val="both"/>
              <w:rPr>
                <w:spacing w:val="-4"/>
              </w:rPr>
            </w:pPr>
            <w:r>
              <w:rPr>
                <w:b/>
                <w:bCs/>
                <w:spacing w:val="-1"/>
              </w:rPr>
              <w:t>废包装材料：</w:t>
            </w:r>
            <w:r>
              <w:rPr>
                <w:spacing w:val="-1"/>
              </w:rPr>
              <w:t>本项目生产过程中，原料使用会产生废弃的包装材料，根据建设单位提</w:t>
            </w:r>
            <w:r>
              <w:rPr>
                <w:spacing w:val="-3"/>
              </w:rPr>
              <w:t>供资料，废弃包装材料约</w:t>
            </w:r>
            <w:r>
              <w:rPr>
                <w:spacing w:val="-32"/>
              </w:rPr>
              <w:t xml:space="preserve"> </w:t>
            </w:r>
            <w:r>
              <w:rPr>
                <w:rFonts w:ascii="Times New Roman" w:hAnsi="Times New Roman" w:eastAsia="Times New Roman" w:cs="Times New Roman"/>
                <w:spacing w:val="-3"/>
              </w:rPr>
              <w:t>1t/a</w:t>
            </w:r>
            <w:r>
              <w:rPr>
                <w:spacing w:val="-3"/>
              </w:rPr>
              <w:t>，该部分固</w:t>
            </w:r>
            <w:r>
              <w:rPr>
                <w:spacing w:val="-4"/>
              </w:rPr>
              <w:t>体废物统一收集后暂存于一般固废暂存间，进行外售处理。</w:t>
            </w:r>
          </w:p>
          <w:p w14:paraId="483F96B3">
            <w:pPr>
              <w:pStyle w:val="106"/>
              <w:spacing w:before="1" w:line="359" w:lineRule="auto"/>
              <w:ind w:left="106" w:right="102" w:firstLine="485"/>
              <w:jc w:val="both"/>
              <w:rPr>
                <w:spacing w:val="-2"/>
              </w:rPr>
            </w:pPr>
            <w:r>
              <w:rPr>
                <w:b/>
                <w:bCs/>
                <w:spacing w:val="1"/>
              </w:rPr>
              <w:t>脱硫石膏</w:t>
            </w:r>
            <w:r>
              <w:rPr>
                <w:rFonts w:hint="default" w:ascii="Times New Roman" w:hAnsi="Times New Roman" w:cs="Times New Roman"/>
                <w:b/>
                <w:bCs/>
                <w:spacing w:val="1"/>
              </w:rPr>
              <w:t>：</w:t>
            </w:r>
            <w:r>
              <w:rPr>
                <w:rFonts w:hint="default" w:ascii="Times New Roman" w:hAnsi="Times New Roman" w:cs="Times New Roman"/>
                <w:spacing w:val="1"/>
              </w:rPr>
              <w:t>经前文计算，本项目</w:t>
            </w:r>
            <w:r>
              <w:rPr>
                <w:rFonts w:hint="default" w:ascii="Times New Roman" w:hAnsi="Times New Roman" w:cs="Times New Roman"/>
                <w:spacing w:val="-38"/>
              </w:rPr>
              <w:t xml:space="preserve"> </w:t>
            </w:r>
            <w:r>
              <w:rPr>
                <w:rFonts w:hint="default" w:ascii="Times New Roman" w:hAnsi="Times New Roman" w:eastAsia="Times New Roman" w:cs="Times New Roman"/>
              </w:rPr>
              <w:t>SO</w:t>
            </w:r>
            <w:r>
              <w:rPr>
                <w:rFonts w:hint="default" w:ascii="Times New Roman" w:hAnsi="Times New Roman" w:eastAsia="Times New Roman" w:cs="Times New Roman"/>
                <w:spacing w:val="1"/>
                <w:position w:val="-1"/>
                <w:sz w:val="15"/>
                <w:szCs w:val="15"/>
              </w:rPr>
              <w:t>2</w:t>
            </w:r>
            <w:r>
              <w:rPr>
                <w:rFonts w:hint="default" w:ascii="Times New Roman" w:hAnsi="Times New Roman" w:eastAsia="Times New Roman" w:cs="Times New Roman"/>
                <w:spacing w:val="19"/>
                <w:position w:val="-1"/>
                <w:sz w:val="15"/>
                <w:szCs w:val="15"/>
              </w:rPr>
              <w:t xml:space="preserve"> </w:t>
            </w:r>
            <w:r>
              <w:rPr>
                <w:rFonts w:hint="default" w:ascii="Times New Roman" w:hAnsi="Times New Roman" w:cs="Times New Roman"/>
                <w:spacing w:val="1"/>
              </w:rPr>
              <w:t>产生量</w:t>
            </w:r>
            <w:r>
              <w:rPr>
                <w:rFonts w:hint="default" w:ascii="Times New Roman" w:hAnsi="Times New Roman" w:cs="Times New Roman"/>
                <w:spacing w:val="-27"/>
              </w:rPr>
              <w:t xml:space="preserve"> </w:t>
            </w:r>
            <w:r>
              <w:rPr>
                <w:rFonts w:hint="default" w:ascii="Times New Roman" w:hAnsi="Times New Roman" w:eastAsia="宋体" w:cs="Times New Roman"/>
                <w:spacing w:val="1"/>
                <w:lang w:val="en-US" w:eastAsia="zh-CN"/>
              </w:rPr>
              <w:t>23.44</w:t>
            </w:r>
            <w:r>
              <w:rPr>
                <w:rFonts w:hint="default" w:ascii="Times New Roman" w:hAnsi="Times New Roman" w:eastAsia="Times New Roman" w:cs="Times New Roman"/>
              </w:rPr>
              <w:t>t/a</w:t>
            </w:r>
            <w:r>
              <w:rPr>
                <w:rFonts w:hint="default" w:ascii="Times New Roman" w:hAnsi="Times New Roman" w:eastAsia="Times New Roman" w:cs="Times New Roman"/>
                <w:spacing w:val="-22"/>
              </w:rPr>
              <w:t xml:space="preserve"> </w:t>
            </w:r>
            <w:r>
              <w:rPr>
                <w:rFonts w:hint="default" w:ascii="Times New Roman" w:hAnsi="Times New Roman" w:cs="Times New Roman"/>
              </w:rPr>
              <w:t>，</w:t>
            </w:r>
            <w:r>
              <w:rPr>
                <w:rFonts w:hint="default" w:ascii="Times New Roman" w:hAnsi="Times New Roman" w:eastAsia="宋体" w:cs="Times New Roman"/>
                <w:spacing w:val="1"/>
              </w:rPr>
              <w:t>排放量为</w:t>
            </w:r>
            <w:r>
              <w:rPr>
                <w:rFonts w:hint="default" w:ascii="Times New Roman" w:hAnsi="Times New Roman" w:eastAsia="宋体" w:cs="Times New Roman"/>
                <w:spacing w:val="1"/>
                <w:lang w:val="en-US" w:eastAsia="zh-CN"/>
              </w:rPr>
              <w:t>1.172</w:t>
            </w:r>
            <w:r>
              <w:rPr>
                <w:rFonts w:hint="default" w:ascii="Times New Roman" w:hAnsi="Times New Roman" w:eastAsia="宋体" w:cs="Times New Roman"/>
                <w:spacing w:val="1"/>
              </w:rPr>
              <w:t>t/a ，处理量为</w:t>
            </w:r>
            <w:r>
              <w:rPr>
                <w:rFonts w:hint="default" w:ascii="Times New Roman" w:hAnsi="Times New Roman" w:eastAsia="宋体" w:cs="Times New Roman"/>
                <w:spacing w:val="1"/>
                <w:lang w:val="en-US" w:eastAsia="zh-CN"/>
              </w:rPr>
              <w:t>22.268</w:t>
            </w:r>
            <w:r>
              <w:rPr>
                <w:rFonts w:hint="default" w:ascii="Times New Roman" w:hAnsi="Times New Roman" w:eastAsia="宋体" w:cs="Times New Roman"/>
                <w:spacing w:val="1"/>
              </w:rPr>
              <w:t>t/a ，预计脱硫设施新增的固废（脱硫石膏CaSO4 ·2H2O）按照两者分</w:t>
            </w:r>
            <w:r>
              <w:rPr>
                <w:rFonts w:hint="default" w:ascii="Times New Roman" w:hAnsi="Times New Roman" w:cs="Times New Roman"/>
                <w:spacing w:val="-2"/>
              </w:rPr>
              <w:t>子质量和处理量进行估算，含水率按</w:t>
            </w:r>
            <w:r>
              <w:rPr>
                <w:rFonts w:hint="default" w:ascii="Times New Roman" w:hAnsi="Times New Roman" w:cs="Times New Roman"/>
                <w:spacing w:val="-37"/>
              </w:rPr>
              <w:t xml:space="preserve"> </w:t>
            </w:r>
            <w:r>
              <w:rPr>
                <w:rFonts w:hint="default" w:ascii="Times New Roman" w:hAnsi="Times New Roman" w:eastAsia="Times New Roman" w:cs="Times New Roman"/>
                <w:spacing w:val="-2"/>
              </w:rPr>
              <w:t>70%</w:t>
            </w:r>
            <w:r>
              <w:rPr>
                <w:rFonts w:hint="default" w:ascii="Times New Roman" w:hAnsi="Times New Roman" w:cs="Times New Roman"/>
                <w:spacing w:val="-2"/>
              </w:rPr>
              <w:t>考虑，新增产生的脱硫石膏为</w:t>
            </w:r>
            <w:r>
              <w:rPr>
                <w:rFonts w:hint="default" w:ascii="Times New Roman" w:hAnsi="Times New Roman" w:cs="Times New Roman"/>
                <w:spacing w:val="-32"/>
              </w:rPr>
              <w:t xml:space="preserve"> </w:t>
            </w:r>
            <w:r>
              <w:rPr>
                <w:rFonts w:hint="default" w:ascii="Times New Roman" w:hAnsi="Times New Roman" w:eastAsia="宋体" w:cs="Times New Roman"/>
                <w:spacing w:val="-2"/>
                <w:lang w:val="en-US" w:eastAsia="zh-CN"/>
              </w:rPr>
              <w:t>199.52</w:t>
            </w:r>
            <w:r>
              <w:rPr>
                <w:rFonts w:hint="default" w:ascii="Times New Roman" w:hAnsi="Times New Roman" w:eastAsia="Times New Roman" w:cs="Times New Roman"/>
                <w:spacing w:val="-2"/>
              </w:rPr>
              <w:t>t/a</w:t>
            </w:r>
            <w:r>
              <w:rPr>
                <w:rFonts w:hint="default" w:ascii="Times New Roman" w:hAnsi="Times New Roman" w:cs="Times New Roman"/>
                <w:spacing w:val="-2"/>
              </w:rPr>
              <w:t>（绝对干重</w:t>
            </w:r>
            <w:r>
              <w:rPr>
                <w:rFonts w:hint="default" w:ascii="Times New Roman" w:hAnsi="Times New Roman" w:cs="Times New Roman"/>
                <w:spacing w:val="-50"/>
              </w:rPr>
              <w:t xml:space="preserve"> </w:t>
            </w:r>
            <w:r>
              <w:rPr>
                <w:rFonts w:hint="eastAsia" w:ascii="Times New Roman" w:hAnsi="Times New Roman" w:eastAsia="宋体" w:cs="Times New Roman"/>
                <w:spacing w:val="-2"/>
                <w:lang w:val="en-US" w:eastAsia="zh-CN"/>
              </w:rPr>
              <w:t>59.85</w:t>
            </w:r>
            <w:r>
              <w:rPr>
                <w:rFonts w:ascii="Times New Roman" w:hAnsi="Times New Roman" w:eastAsia="Times New Roman" w:cs="Times New Roman"/>
                <w:spacing w:val="-2"/>
              </w:rPr>
              <w:t>t/a</w:t>
            </w:r>
            <w:r>
              <w:rPr>
                <w:spacing w:val="-2"/>
              </w:rPr>
              <w:t>）。</w:t>
            </w:r>
          </w:p>
          <w:p w14:paraId="54983FE7">
            <w:pPr>
              <w:spacing w:line="360" w:lineRule="auto"/>
              <w:ind w:firstLine="482" w:firstLineChars="200"/>
              <w:rPr>
                <w:rFonts w:hint="eastAsia"/>
                <w:color w:val="000000"/>
              </w:rPr>
            </w:pPr>
            <w:r>
              <w:rPr>
                <w:rFonts w:hint="default" w:ascii="Times New Roman" w:hAnsi="Times New Roman" w:cs="Times New Roman"/>
                <w:b/>
                <w:bCs/>
                <w:color w:val="000000"/>
                <w:sz w:val="24"/>
                <w:lang w:eastAsia="zh-CN"/>
              </w:rPr>
              <w:t>废油脂：</w:t>
            </w:r>
            <w:r>
              <w:rPr>
                <w:rFonts w:hint="default" w:ascii="Times New Roman" w:hAnsi="Times New Roman" w:cs="Times New Roman"/>
                <w:b w:val="0"/>
                <w:bCs w:val="0"/>
                <w:color w:val="000000"/>
                <w:sz w:val="24"/>
                <w:lang w:eastAsia="zh-CN"/>
              </w:rPr>
              <w:t>项目产生的废油脂主要为油烟净化器捕集下来的油烟凝结形成的废油脂和隔油池隔离出的废油脂，</w:t>
            </w:r>
            <w:r>
              <w:rPr>
                <w:rFonts w:hint="eastAsia" w:ascii="Times New Roman" w:hAnsi="Times New Roman" w:cs="Times New Roman"/>
                <w:b w:val="0"/>
                <w:bCs w:val="0"/>
                <w:color w:val="000000"/>
                <w:sz w:val="24"/>
                <w:lang w:val="en-US" w:eastAsia="zh-CN"/>
              </w:rPr>
              <w:t>新增</w:t>
            </w:r>
            <w:r>
              <w:rPr>
                <w:rFonts w:hint="default" w:ascii="Times New Roman" w:hAnsi="Times New Roman" w:cs="Times New Roman"/>
                <w:b w:val="0"/>
                <w:bCs w:val="0"/>
                <w:color w:val="000000"/>
                <w:sz w:val="24"/>
                <w:lang w:eastAsia="zh-CN"/>
              </w:rPr>
              <w:t>产生量约</w:t>
            </w:r>
            <w:r>
              <w:rPr>
                <w:rFonts w:hint="eastAsia" w:ascii="Times New Roman" w:hAnsi="Times New Roman" w:cs="Times New Roman"/>
                <w:b w:val="0"/>
                <w:bCs w:val="0"/>
                <w:color w:val="000000"/>
                <w:sz w:val="24"/>
                <w:lang w:val="en-US" w:eastAsia="zh-CN"/>
              </w:rPr>
              <w:t>0.3</w:t>
            </w:r>
            <w:r>
              <w:rPr>
                <w:rFonts w:hint="default" w:ascii="Times New Roman" w:hAnsi="Times New Roman" w:cs="Times New Roman"/>
                <w:b w:val="0"/>
                <w:bCs w:val="0"/>
                <w:color w:val="000000"/>
                <w:sz w:val="24"/>
                <w:lang w:eastAsia="zh-CN"/>
              </w:rPr>
              <w:t>t</w:t>
            </w:r>
            <w:r>
              <w:rPr>
                <w:rFonts w:hint="default" w:ascii="Times New Roman" w:hAnsi="Times New Roman" w:cs="Times New Roman"/>
                <w:b w:val="0"/>
                <w:bCs w:val="0"/>
                <w:color w:val="000000"/>
                <w:sz w:val="24"/>
                <w:lang w:val="en-US" w:eastAsia="zh-CN"/>
              </w:rPr>
              <w:t>/</w:t>
            </w:r>
            <w:r>
              <w:rPr>
                <w:rFonts w:hint="default" w:ascii="Times New Roman" w:hAnsi="Times New Roman" w:cs="Times New Roman"/>
                <w:b w:val="0"/>
                <w:bCs w:val="0"/>
                <w:color w:val="000000"/>
                <w:sz w:val="24"/>
                <w:lang w:eastAsia="zh-CN"/>
              </w:rPr>
              <w:t>a，定期清理后交由有餐厨垃圾资质单位处理。</w:t>
            </w:r>
          </w:p>
          <w:p w14:paraId="33802D99">
            <w:pPr>
              <w:spacing w:line="360" w:lineRule="auto"/>
              <w:ind w:firstLine="482" w:firstLineChars="200"/>
              <w:rPr>
                <w:rFonts w:hint="default" w:ascii="Times New Roman" w:hAnsi="Times New Roman" w:eastAsia="宋体" w:cs="Times New Roman"/>
                <w:b w:val="0"/>
                <w:bCs w:val="0"/>
                <w:color w:val="000000"/>
                <w:sz w:val="24"/>
              </w:rPr>
            </w:pPr>
            <w:r>
              <w:rPr>
                <w:rFonts w:hint="default" w:ascii="Times New Roman" w:hAnsi="Times New Roman" w:cs="Times New Roman"/>
                <w:b/>
                <w:bCs/>
                <w:color w:val="000000"/>
                <w:sz w:val="24"/>
              </w:rPr>
              <w:t>食堂餐厨垃圾</w:t>
            </w:r>
            <w:r>
              <w:rPr>
                <w:rFonts w:hint="default" w:ascii="Times New Roman" w:hAnsi="Times New Roman" w:cs="Times New Roman"/>
                <w:b/>
                <w:bCs/>
                <w:color w:val="000000"/>
                <w:sz w:val="24"/>
                <w:lang w:eastAsia="zh-CN"/>
              </w:rPr>
              <w:t>：</w:t>
            </w:r>
            <w:r>
              <w:rPr>
                <w:rFonts w:hint="default" w:ascii="Times New Roman" w:hAnsi="Times New Roman" w:cs="Times New Roman"/>
                <w:bCs/>
                <w:color w:val="000000"/>
                <w:sz w:val="24"/>
              </w:rPr>
              <w:t>本项目</w:t>
            </w:r>
            <w:r>
              <w:rPr>
                <w:rFonts w:hint="eastAsia" w:ascii="Times New Roman" w:hAnsi="Times New Roman" w:cs="Times New Roman"/>
                <w:bCs/>
                <w:color w:val="000000"/>
                <w:sz w:val="24"/>
                <w:lang w:val="en-US" w:eastAsia="zh-CN"/>
              </w:rPr>
              <w:t>新增</w:t>
            </w:r>
            <w:r>
              <w:rPr>
                <w:rFonts w:hint="default" w:ascii="Times New Roman" w:hAnsi="Times New Roman" w:cs="Times New Roman"/>
                <w:bCs/>
                <w:color w:val="000000"/>
                <w:sz w:val="24"/>
              </w:rPr>
              <w:t>劳动定员</w:t>
            </w:r>
            <w:r>
              <w:rPr>
                <w:rFonts w:hint="eastAsia" w:ascii="Times New Roman" w:hAnsi="Times New Roman" w:cs="Times New Roman"/>
                <w:bCs/>
                <w:color w:val="000000"/>
                <w:sz w:val="24"/>
                <w:lang w:val="en-US" w:eastAsia="zh-CN"/>
              </w:rPr>
              <w:t>16</w:t>
            </w:r>
            <w:r>
              <w:rPr>
                <w:rFonts w:hint="default" w:ascii="Times New Roman" w:hAnsi="Times New Roman" w:cs="Times New Roman"/>
                <w:bCs/>
                <w:color w:val="000000"/>
                <w:sz w:val="24"/>
              </w:rPr>
              <w:t>人，餐厨垃圾产生量按照 0.1kg/d.人计，则</w:t>
            </w:r>
            <w:r>
              <w:rPr>
                <w:rFonts w:hint="eastAsia" w:ascii="Times New Roman" w:hAnsi="Times New Roman" w:cs="Times New Roman"/>
                <w:bCs/>
                <w:color w:val="000000"/>
                <w:sz w:val="24"/>
                <w:lang w:val="en-US" w:eastAsia="zh-CN"/>
              </w:rPr>
              <w:t>本项目新增</w:t>
            </w:r>
            <w:r>
              <w:rPr>
                <w:rFonts w:hint="default" w:ascii="Times New Roman" w:hAnsi="Times New Roman" w:cs="Times New Roman"/>
                <w:bCs/>
                <w:color w:val="000000"/>
                <w:sz w:val="24"/>
              </w:rPr>
              <w:t>餐厨垃圾产生量为</w:t>
            </w:r>
            <w:r>
              <w:rPr>
                <w:rFonts w:hint="eastAsia" w:ascii="Times New Roman" w:hAnsi="Times New Roman" w:cs="Times New Roman"/>
                <w:bCs/>
                <w:color w:val="000000"/>
                <w:sz w:val="24"/>
                <w:lang w:val="en-US" w:eastAsia="zh-CN"/>
              </w:rPr>
              <w:t>1.6</w:t>
            </w:r>
            <w:r>
              <w:rPr>
                <w:rFonts w:hint="default" w:ascii="Times New Roman" w:hAnsi="Times New Roman" w:cs="Times New Roman"/>
                <w:bCs/>
                <w:color w:val="000000"/>
                <w:sz w:val="24"/>
              </w:rPr>
              <w:t>kg/d，</w:t>
            </w:r>
            <w:r>
              <w:rPr>
                <w:rFonts w:hint="eastAsia" w:ascii="Times New Roman" w:hAnsi="Times New Roman" w:cs="Times New Roman"/>
                <w:bCs/>
                <w:color w:val="000000"/>
                <w:sz w:val="24"/>
                <w:lang w:val="en-US" w:eastAsia="zh-CN"/>
              </w:rPr>
              <w:t>0.528</w:t>
            </w:r>
            <w:r>
              <w:rPr>
                <w:rFonts w:hint="default" w:ascii="Times New Roman" w:hAnsi="Times New Roman" w:cs="Times New Roman"/>
                <w:bCs/>
                <w:color w:val="000000"/>
                <w:sz w:val="24"/>
              </w:rPr>
              <w:t>t/a，由垃圾桶集中收集后交由有餐厨处</w:t>
            </w:r>
            <w:r>
              <w:rPr>
                <w:rFonts w:hint="default" w:ascii="Times New Roman" w:hAnsi="Times New Roman" w:eastAsia="宋体" w:cs="Times New Roman"/>
                <w:b w:val="0"/>
                <w:bCs w:val="0"/>
                <w:color w:val="000000"/>
                <w:sz w:val="24"/>
              </w:rPr>
              <w:t>理资质的单位处置。</w:t>
            </w:r>
          </w:p>
          <w:p w14:paraId="4E0F1FDB">
            <w:pPr>
              <w:spacing w:line="360" w:lineRule="auto"/>
              <w:ind w:firstLine="482" w:firstLineChars="200"/>
              <w:rPr>
                <w:rFonts w:hint="default" w:ascii="Times New Roman" w:hAnsi="Times New Roman" w:eastAsia="宋体" w:cs="Times New Roman"/>
                <w:b w:val="0"/>
                <w:bCs w:val="0"/>
                <w:color w:val="000000"/>
                <w:sz w:val="24"/>
                <w:lang w:val="en-US" w:eastAsia="zh-CN"/>
              </w:rPr>
            </w:pPr>
            <w:r>
              <w:rPr>
                <w:rFonts w:hint="eastAsia" w:ascii="Times New Roman" w:hAnsi="Times New Roman" w:eastAsia="宋体" w:cs="Times New Roman"/>
                <w:b/>
                <w:bCs/>
                <w:color w:val="000000"/>
                <w:sz w:val="24"/>
                <w:lang w:val="en-US" w:eastAsia="zh-CN"/>
              </w:rPr>
              <w:t>预处理池污泥：</w:t>
            </w:r>
            <w:r>
              <w:rPr>
                <w:rFonts w:hint="eastAsia" w:ascii="Times New Roman" w:hAnsi="Times New Roman" w:eastAsia="宋体" w:cs="Times New Roman"/>
                <w:b w:val="0"/>
                <w:bCs w:val="0"/>
                <w:color w:val="000000"/>
                <w:sz w:val="24"/>
                <w:lang w:val="en-US" w:eastAsia="zh-CN"/>
              </w:rPr>
              <w:t>本项目新增劳动定员16人，生活废水经预处理池处理后排放，本项目新增预处理池污泥约0.5t/a，定期委托环卫部门清运。</w:t>
            </w:r>
          </w:p>
          <w:p w14:paraId="289BF02E">
            <w:pPr>
              <w:pStyle w:val="106"/>
              <w:spacing w:line="360" w:lineRule="auto"/>
              <w:ind w:left="600"/>
            </w:pPr>
            <w:r>
              <w:rPr>
                <w:b/>
                <w:bCs/>
                <w:spacing w:val="-5"/>
              </w:rPr>
              <w:t>（</w:t>
            </w:r>
            <w:r>
              <w:rPr>
                <w:rFonts w:ascii="Times New Roman" w:hAnsi="Times New Roman" w:eastAsia="Times New Roman" w:cs="Times New Roman"/>
                <w:b/>
                <w:bCs/>
                <w:spacing w:val="-5"/>
              </w:rPr>
              <w:t>2</w:t>
            </w:r>
            <w:r>
              <w:rPr>
                <w:b/>
                <w:bCs/>
                <w:spacing w:val="-5"/>
              </w:rPr>
              <w:t>）危险废物</w:t>
            </w:r>
          </w:p>
          <w:p w14:paraId="7EBAB541">
            <w:pPr>
              <w:spacing w:line="360" w:lineRule="auto"/>
              <w:ind w:firstLine="482" w:firstLineChars="200"/>
              <w:rPr>
                <w:rFonts w:hint="eastAsia"/>
                <w:bCs/>
                <w:color w:val="000000"/>
                <w:sz w:val="24"/>
                <w:szCs w:val="24"/>
              </w:rPr>
            </w:pPr>
            <w:r>
              <w:rPr>
                <w:rFonts w:hint="eastAsia"/>
                <w:b/>
                <w:color w:val="000000"/>
                <w:sz w:val="24"/>
                <w:szCs w:val="24"/>
              </w:rPr>
              <w:t>废</w:t>
            </w:r>
            <w:r>
              <w:rPr>
                <w:rFonts w:hint="eastAsia"/>
                <w:b/>
                <w:color w:val="000000"/>
                <w:sz w:val="24"/>
                <w:szCs w:val="24"/>
                <w:lang w:val="en-US" w:eastAsia="zh-CN"/>
              </w:rPr>
              <w:t>机油/</w:t>
            </w:r>
            <w:r>
              <w:rPr>
                <w:rFonts w:hint="eastAsia"/>
                <w:b/>
                <w:color w:val="000000"/>
                <w:sz w:val="24"/>
                <w:szCs w:val="24"/>
                <w:lang w:eastAsia="zh-CN"/>
              </w:rPr>
              <w:t>润滑油</w:t>
            </w:r>
            <w:r>
              <w:rPr>
                <w:b/>
                <w:color w:val="000000"/>
                <w:sz w:val="24"/>
                <w:szCs w:val="24"/>
              </w:rPr>
              <w:t>：</w:t>
            </w:r>
            <w:r>
              <w:rPr>
                <w:rStyle w:val="36"/>
                <w:rFonts w:hint="eastAsia"/>
                <w:color w:val="000000"/>
                <w:sz w:val="24"/>
                <w:szCs w:val="24"/>
                <w:lang w:val="en-US" w:eastAsia="zh-CN"/>
              </w:rPr>
              <w:t>设备维护新增废机油/润滑油</w:t>
            </w:r>
            <w:r>
              <w:rPr>
                <w:color w:val="000000"/>
                <w:sz w:val="24"/>
                <w:szCs w:val="24"/>
              </w:rPr>
              <w:t>产生量约为0.</w:t>
            </w:r>
            <w:r>
              <w:rPr>
                <w:rFonts w:hint="eastAsia"/>
                <w:color w:val="000000"/>
                <w:sz w:val="24"/>
                <w:szCs w:val="24"/>
                <w:lang w:val="en-US" w:eastAsia="zh-CN"/>
              </w:rPr>
              <w:t>05</w:t>
            </w:r>
            <w:r>
              <w:rPr>
                <w:color w:val="000000"/>
                <w:sz w:val="24"/>
                <w:szCs w:val="24"/>
              </w:rPr>
              <w:t>t/a</w:t>
            </w:r>
            <w:r>
              <w:rPr>
                <w:rFonts w:hint="eastAsia"/>
                <w:color w:val="000000"/>
                <w:sz w:val="24"/>
                <w:szCs w:val="24"/>
                <w:lang w:eastAsia="zh-CN"/>
              </w:rPr>
              <w:t>，</w:t>
            </w:r>
            <w:r>
              <w:rPr>
                <w:rFonts w:hint="eastAsia"/>
                <w:bCs/>
                <w:color w:val="000000"/>
                <w:sz w:val="24"/>
                <w:szCs w:val="24"/>
              </w:rPr>
              <w:t>根据《国家危险废物名录》（202</w:t>
            </w:r>
            <w:r>
              <w:rPr>
                <w:rFonts w:hint="eastAsia"/>
                <w:bCs/>
                <w:color w:val="000000"/>
                <w:sz w:val="24"/>
                <w:szCs w:val="24"/>
                <w:lang w:val="en-US" w:eastAsia="zh-CN"/>
              </w:rPr>
              <w:t>5年版</w:t>
            </w:r>
            <w:r>
              <w:rPr>
                <w:rFonts w:hint="eastAsia"/>
                <w:bCs/>
                <w:color w:val="000000"/>
                <w:sz w:val="24"/>
                <w:szCs w:val="24"/>
              </w:rPr>
              <w:t>），</w:t>
            </w:r>
            <w:r>
              <w:rPr>
                <w:rStyle w:val="36"/>
                <w:rFonts w:hint="eastAsia"/>
                <w:color w:val="000000"/>
                <w:sz w:val="24"/>
                <w:szCs w:val="24"/>
                <w:lang w:val="en-US" w:eastAsia="zh-CN"/>
              </w:rPr>
              <w:t>废机油/润滑油</w:t>
            </w:r>
            <w:r>
              <w:rPr>
                <w:rFonts w:hint="eastAsia"/>
                <w:bCs/>
                <w:color w:val="000000"/>
                <w:sz w:val="24"/>
                <w:szCs w:val="24"/>
              </w:rPr>
              <w:t>属于危险废物。废物类别：HW08（废矿物油与含矿物油废物），废物代码：900-214-08，储存于危废暂存间定期交由资质单位处置。</w:t>
            </w:r>
          </w:p>
          <w:p w14:paraId="4C52BF74">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bCs/>
                <w:color w:val="000000"/>
                <w:sz w:val="24"/>
                <w:szCs w:val="24"/>
              </w:rPr>
            </w:pPr>
            <w:r>
              <w:rPr>
                <w:b/>
                <w:color w:val="000000"/>
                <w:sz w:val="24"/>
                <w:szCs w:val="24"/>
              </w:rPr>
              <w:t>含油手套、抹布等</w:t>
            </w:r>
            <w:r>
              <w:rPr>
                <w:bCs/>
                <w:color w:val="000000"/>
                <w:sz w:val="24"/>
                <w:szCs w:val="24"/>
              </w:rPr>
              <w:t>：</w:t>
            </w:r>
            <w:r>
              <w:rPr>
                <w:rFonts w:hint="eastAsia"/>
                <w:bCs/>
                <w:color w:val="000000"/>
                <w:sz w:val="24"/>
                <w:szCs w:val="24"/>
                <w:lang w:eastAsia="zh-CN"/>
              </w:rPr>
              <w:t>本项目</w:t>
            </w:r>
            <w:r>
              <w:rPr>
                <w:rFonts w:hint="eastAsia"/>
                <w:bCs/>
                <w:color w:val="000000"/>
                <w:sz w:val="24"/>
                <w:szCs w:val="24"/>
              </w:rPr>
              <w:t>含油抹布、手套产生量约0.0</w:t>
            </w:r>
            <w:r>
              <w:rPr>
                <w:rFonts w:hint="eastAsia"/>
                <w:bCs/>
                <w:color w:val="000000"/>
                <w:sz w:val="24"/>
                <w:szCs w:val="24"/>
                <w:lang w:val="en-US" w:eastAsia="zh-CN"/>
              </w:rPr>
              <w:t>2</w:t>
            </w:r>
            <w:r>
              <w:rPr>
                <w:rFonts w:hint="eastAsia"/>
                <w:bCs/>
                <w:color w:val="000000"/>
                <w:sz w:val="24"/>
                <w:szCs w:val="24"/>
              </w:rPr>
              <w:t>t/a，属于《国家危险废物名录》（202</w:t>
            </w:r>
            <w:r>
              <w:rPr>
                <w:rFonts w:hint="eastAsia"/>
                <w:bCs/>
                <w:color w:val="000000"/>
                <w:sz w:val="24"/>
                <w:szCs w:val="24"/>
                <w:lang w:val="en-US" w:eastAsia="zh-CN"/>
              </w:rPr>
              <w:t>5</w:t>
            </w:r>
            <w:r>
              <w:rPr>
                <w:rFonts w:hint="eastAsia"/>
                <w:bCs/>
                <w:color w:val="000000"/>
                <w:sz w:val="24"/>
                <w:szCs w:val="24"/>
              </w:rPr>
              <w:t>年</w:t>
            </w:r>
            <w:r>
              <w:rPr>
                <w:rFonts w:hint="eastAsia"/>
                <w:bCs/>
                <w:color w:val="000000"/>
                <w:sz w:val="24"/>
                <w:szCs w:val="24"/>
                <w:lang w:eastAsia="zh-CN"/>
              </w:rPr>
              <w:t>版</w:t>
            </w:r>
            <w:r>
              <w:rPr>
                <w:rFonts w:hint="eastAsia"/>
                <w:bCs/>
                <w:color w:val="000000"/>
                <w:sz w:val="24"/>
                <w:szCs w:val="24"/>
              </w:rPr>
              <w:t>）中的HW</w:t>
            </w:r>
            <w:r>
              <w:rPr>
                <w:rFonts w:hint="eastAsia"/>
                <w:bCs/>
                <w:color w:val="000000"/>
                <w:sz w:val="24"/>
                <w:szCs w:val="24"/>
                <w:lang w:val="en-US" w:eastAsia="zh-CN"/>
              </w:rPr>
              <w:t>49</w:t>
            </w:r>
            <w:r>
              <w:rPr>
                <w:rFonts w:hint="eastAsia"/>
                <w:bCs/>
                <w:color w:val="000000"/>
                <w:sz w:val="24"/>
                <w:szCs w:val="24"/>
              </w:rPr>
              <w:t>，废物代码为</w:t>
            </w:r>
            <w:r>
              <w:rPr>
                <w:rFonts w:hint="eastAsia"/>
                <w:bCs/>
                <w:color w:val="000000"/>
                <w:sz w:val="24"/>
                <w:szCs w:val="24"/>
                <w:lang w:eastAsia="zh-CN"/>
              </w:rPr>
              <w:t>900-041-49</w:t>
            </w:r>
            <w:r>
              <w:rPr>
                <w:rFonts w:hint="eastAsia"/>
                <w:bCs/>
                <w:color w:val="000000"/>
                <w:sz w:val="24"/>
                <w:szCs w:val="24"/>
              </w:rPr>
              <w:t>，储存于危废暂存间定期交由资质单位处置</w:t>
            </w:r>
          </w:p>
          <w:p w14:paraId="4D290D41">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hint="eastAsia"/>
                <w:bCs/>
                <w:color w:val="000000"/>
                <w:sz w:val="24"/>
              </w:rPr>
            </w:pPr>
            <w:r>
              <w:rPr>
                <w:rFonts w:hint="eastAsia"/>
                <w:b/>
                <w:bCs/>
                <w:color w:val="000000"/>
                <w:sz w:val="24"/>
                <w:szCs w:val="24"/>
              </w:rPr>
              <w:t>废机油/润滑油桶</w:t>
            </w:r>
            <w:r>
              <w:rPr>
                <w:rFonts w:hint="eastAsia"/>
                <w:b/>
                <w:bCs/>
                <w:color w:val="000000"/>
                <w:sz w:val="24"/>
                <w:szCs w:val="24"/>
                <w:lang w:eastAsia="zh-CN"/>
              </w:rPr>
              <w:t>：</w:t>
            </w:r>
            <w:r>
              <w:rPr>
                <w:bCs/>
                <w:color w:val="000000"/>
                <w:sz w:val="24"/>
                <w:szCs w:val="24"/>
              </w:rPr>
              <w:t>此类固废主要包括</w:t>
            </w:r>
            <w:r>
              <w:rPr>
                <w:rFonts w:hint="eastAsia"/>
                <w:bCs/>
                <w:color w:val="000000"/>
                <w:sz w:val="24"/>
                <w:szCs w:val="24"/>
                <w:lang w:eastAsia="zh-CN"/>
              </w:rPr>
              <w:t>废</w:t>
            </w:r>
            <w:r>
              <w:rPr>
                <w:rFonts w:hint="eastAsia"/>
                <w:bCs/>
                <w:color w:val="000000"/>
                <w:sz w:val="24"/>
                <w:szCs w:val="24"/>
                <w:lang w:val="en-US" w:eastAsia="zh-CN"/>
              </w:rPr>
              <w:t>机油/</w:t>
            </w:r>
            <w:r>
              <w:rPr>
                <w:rFonts w:hint="eastAsia"/>
                <w:bCs/>
                <w:color w:val="000000"/>
                <w:sz w:val="24"/>
                <w:szCs w:val="24"/>
                <w:lang w:eastAsia="zh-CN"/>
              </w:rPr>
              <w:t>润滑桶，产生量</w:t>
            </w:r>
            <w:r>
              <w:rPr>
                <w:rFonts w:hint="eastAsia"/>
                <w:bCs/>
                <w:color w:val="000000"/>
                <w:sz w:val="24"/>
                <w:szCs w:val="24"/>
              </w:rPr>
              <w:t>约0.</w:t>
            </w:r>
            <w:r>
              <w:rPr>
                <w:rFonts w:hint="eastAsia"/>
                <w:bCs/>
                <w:color w:val="000000"/>
                <w:sz w:val="24"/>
                <w:szCs w:val="24"/>
                <w:lang w:val="en-US" w:eastAsia="zh-CN"/>
              </w:rPr>
              <w:t>1</w:t>
            </w:r>
            <w:r>
              <w:rPr>
                <w:rFonts w:hint="eastAsia"/>
                <w:bCs/>
                <w:color w:val="000000"/>
                <w:sz w:val="24"/>
                <w:szCs w:val="24"/>
              </w:rPr>
              <w:t>t/a，属于《国家危险废物名录》（202</w:t>
            </w:r>
            <w:r>
              <w:rPr>
                <w:rFonts w:hint="eastAsia"/>
                <w:bCs/>
                <w:color w:val="000000"/>
                <w:sz w:val="24"/>
                <w:szCs w:val="24"/>
                <w:lang w:val="en-US" w:eastAsia="zh-CN"/>
              </w:rPr>
              <w:t>5</w:t>
            </w:r>
            <w:r>
              <w:rPr>
                <w:rFonts w:hint="eastAsia"/>
                <w:bCs/>
                <w:color w:val="000000"/>
                <w:sz w:val="24"/>
                <w:szCs w:val="24"/>
              </w:rPr>
              <w:t>年</w:t>
            </w:r>
            <w:r>
              <w:rPr>
                <w:rFonts w:hint="eastAsia"/>
                <w:bCs/>
                <w:color w:val="000000"/>
                <w:sz w:val="24"/>
                <w:szCs w:val="24"/>
                <w:lang w:eastAsia="zh-CN"/>
              </w:rPr>
              <w:t>版</w:t>
            </w:r>
            <w:r>
              <w:rPr>
                <w:rFonts w:hint="eastAsia"/>
                <w:bCs/>
                <w:color w:val="000000"/>
                <w:sz w:val="24"/>
                <w:szCs w:val="24"/>
              </w:rPr>
              <w:t>）中的HW</w:t>
            </w:r>
            <w:r>
              <w:rPr>
                <w:rFonts w:hint="eastAsia"/>
                <w:bCs/>
                <w:color w:val="000000"/>
                <w:sz w:val="24"/>
              </w:rPr>
              <w:t>08，废物代码为900-249-08。储存于危废暂存间定期交由有资质单位进行处置。</w:t>
            </w:r>
          </w:p>
          <w:p w14:paraId="4A630153">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本项目一般固体废物产生及处置情况</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1542"/>
              <w:gridCol w:w="1577"/>
              <w:gridCol w:w="850"/>
              <w:gridCol w:w="2848"/>
            </w:tblGrid>
            <w:tr w14:paraId="67FE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shd w:val="clear" w:color="auto" w:fill="D7D7D7"/>
                  <w:noWrap w:val="0"/>
                  <w:vAlign w:val="center"/>
                </w:tcPr>
                <w:p w14:paraId="7786242F">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bCs/>
                      <w:color w:val="000000"/>
                      <w:sz w:val="21"/>
                    </w:rPr>
                  </w:pPr>
                  <w:r>
                    <w:rPr>
                      <w:bCs/>
                      <w:color w:val="000000"/>
                      <w:sz w:val="21"/>
                    </w:rPr>
                    <w:t>固体废物种类</w:t>
                  </w:r>
                </w:p>
              </w:tc>
              <w:tc>
                <w:tcPr>
                  <w:tcW w:w="1542" w:type="dxa"/>
                  <w:shd w:val="clear" w:color="auto" w:fill="D7D7D7"/>
                  <w:noWrap w:val="0"/>
                  <w:vAlign w:val="center"/>
                </w:tcPr>
                <w:p w14:paraId="342FA866">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bCs/>
                      <w:color w:val="000000"/>
                      <w:sz w:val="21"/>
                    </w:rPr>
                  </w:pPr>
                  <w:r>
                    <w:rPr>
                      <w:bCs/>
                      <w:color w:val="000000"/>
                      <w:sz w:val="21"/>
                    </w:rPr>
                    <w:t>产生地点</w:t>
                  </w:r>
                </w:p>
              </w:tc>
              <w:tc>
                <w:tcPr>
                  <w:tcW w:w="1577" w:type="dxa"/>
                  <w:shd w:val="clear" w:color="auto" w:fill="D7D7D7"/>
                  <w:noWrap w:val="0"/>
                  <w:vAlign w:val="center"/>
                </w:tcPr>
                <w:p w14:paraId="351F230D">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bCs/>
                      <w:color w:val="000000"/>
                      <w:sz w:val="21"/>
                    </w:rPr>
                  </w:pPr>
                  <w:r>
                    <w:rPr>
                      <w:bCs/>
                      <w:color w:val="000000"/>
                      <w:sz w:val="21"/>
                    </w:rPr>
                    <w:t>年产生量（t）</w:t>
                  </w:r>
                </w:p>
              </w:tc>
              <w:tc>
                <w:tcPr>
                  <w:tcW w:w="850" w:type="dxa"/>
                  <w:shd w:val="clear" w:color="auto" w:fill="D7D7D7"/>
                  <w:noWrap w:val="0"/>
                  <w:vAlign w:val="center"/>
                </w:tcPr>
                <w:p w14:paraId="63E0C6EB">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bCs/>
                      <w:color w:val="000000"/>
                      <w:sz w:val="21"/>
                    </w:rPr>
                  </w:pPr>
                  <w:r>
                    <w:rPr>
                      <w:bCs/>
                      <w:color w:val="000000"/>
                      <w:sz w:val="21"/>
                    </w:rPr>
                    <w:t>性质</w:t>
                  </w:r>
                </w:p>
              </w:tc>
              <w:tc>
                <w:tcPr>
                  <w:tcW w:w="2848" w:type="dxa"/>
                  <w:shd w:val="clear" w:color="auto" w:fill="D7D7D7"/>
                  <w:noWrap w:val="0"/>
                  <w:vAlign w:val="center"/>
                </w:tcPr>
                <w:p w14:paraId="7AED9E83">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bCs/>
                      <w:color w:val="000000"/>
                      <w:sz w:val="21"/>
                    </w:rPr>
                  </w:pPr>
                  <w:r>
                    <w:rPr>
                      <w:bCs/>
                      <w:color w:val="000000"/>
                      <w:sz w:val="21"/>
                    </w:rPr>
                    <w:t>处理方式</w:t>
                  </w:r>
                </w:p>
              </w:tc>
            </w:tr>
            <w:tr w14:paraId="0862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noWrap w:val="0"/>
                  <w:vAlign w:val="center"/>
                </w:tcPr>
                <w:p w14:paraId="0F3DBFB8">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r>
                    <w:rPr>
                      <w:rFonts w:hint="eastAsia"/>
                      <w:color w:val="000000"/>
                      <w:sz w:val="21"/>
                    </w:rPr>
                    <w:t>生活垃圾</w:t>
                  </w:r>
                </w:p>
              </w:tc>
              <w:tc>
                <w:tcPr>
                  <w:tcW w:w="1542" w:type="dxa"/>
                  <w:noWrap w:val="0"/>
                  <w:vAlign w:val="center"/>
                </w:tcPr>
                <w:p w14:paraId="4265A68A">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rPr>
                  </w:pPr>
                  <w:r>
                    <w:rPr>
                      <w:rFonts w:hint="eastAsia"/>
                      <w:color w:val="000000"/>
                      <w:sz w:val="21"/>
                    </w:rPr>
                    <w:t>员工办公生活</w:t>
                  </w:r>
                </w:p>
              </w:tc>
              <w:tc>
                <w:tcPr>
                  <w:tcW w:w="1577" w:type="dxa"/>
                  <w:noWrap w:val="0"/>
                  <w:vAlign w:val="center"/>
                </w:tcPr>
                <w:p w14:paraId="08E57B87">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bCs/>
                      <w:color w:val="000000"/>
                      <w:sz w:val="21"/>
                    </w:rPr>
                  </w:pPr>
                  <w:r>
                    <w:rPr>
                      <w:rFonts w:hint="eastAsia"/>
                      <w:bCs/>
                      <w:color w:val="000000"/>
                      <w:sz w:val="21"/>
                      <w:lang w:val="en-US" w:eastAsia="zh-CN"/>
                    </w:rPr>
                    <w:t>2.64</w:t>
                  </w:r>
                </w:p>
              </w:tc>
              <w:tc>
                <w:tcPr>
                  <w:tcW w:w="850" w:type="dxa"/>
                  <w:vMerge w:val="restart"/>
                  <w:noWrap w:val="0"/>
                  <w:vAlign w:val="center"/>
                </w:tcPr>
                <w:p w14:paraId="592D99B5">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r>
                    <w:rPr>
                      <w:color w:val="000000"/>
                      <w:sz w:val="21"/>
                    </w:rPr>
                    <w:t>一般固废</w:t>
                  </w:r>
                </w:p>
              </w:tc>
              <w:tc>
                <w:tcPr>
                  <w:tcW w:w="2848" w:type="dxa"/>
                  <w:noWrap w:val="0"/>
                  <w:vAlign w:val="center"/>
                </w:tcPr>
                <w:p w14:paraId="5A847857">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rPr>
                  </w:pPr>
                  <w:r>
                    <w:rPr>
                      <w:rFonts w:hint="eastAsia"/>
                      <w:color w:val="000000"/>
                      <w:sz w:val="21"/>
                    </w:rPr>
                    <w:t>交环卫部门处置</w:t>
                  </w:r>
                </w:p>
              </w:tc>
            </w:tr>
            <w:tr w14:paraId="7498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noWrap w:val="0"/>
                  <w:vAlign w:val="center"/>
                </w:tcPr>
                <w:p w14:paraId="7DDC6BE4">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rPr>
                  </w:pPr>
                  <w:r>
                    <w:rPr>
                      <w:rFonts w:hint="eastAsia"/>
                      <w:color w:val="000000"/>
                      <w:sz w:val="21"/>
                    </w:rPr>
                    <w:t>废包装材料和废原料包装袋</w:t>
                  </w:r>
                </w:p>
              </w:tc>
              <w:tc>
                <w:tcPr>
                  <w:tcW w:w="1542" w:type="dxa"/>
                  <w:noWrap w:val="0"/>
                  <w:vAlign w:val="center"/>
                </w:tcPr>
                <w:p w14:paraId="6531660E">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eastAsia="宋体"/>
                      <w:color w:val="000000"/>
                      <w:sz w:val="21"/>
                      <w:lang w:val="en-US" w:eastAsia="zh-CN"/>
                    </w:rPr>
                  </w:pPr>
                  <w:r>
                    <w:rPr>
                      <w:rFonts w:hint="eastAsia" w:eastAsia="宋体"/>
                      <w:color w:val="000000"/>
                      <w:sz w:val="21"/>
                      <w:lang w:val="en-US" w:eastAsia="zh-CN"/>
                    </w:rPr>
                    <w:t>/</w:t>
                  </w:r>
                </w:p>
              </w:tc>
              <w:tc>
                <w:tcPr>
                  <w:tcW w:w="1577" w:type="dxa"/>
                  <w:noWrap w:val="0"/>
                  <w:vAlign w:val="center"/>
                </w:tcPr>
                <w:p w14:paraId="52BAC0B3">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bCs/>
                      <w:color w:val="000000"/>
                      <w:sz w:val="21"/>
                      <w:lang w:val="en-US" w:eastAsia="zh-CN"/>
                    </w:rPr>
                  </w:pPr>
                  <w:r>
                    <w:rPr>
                      <w:rFonts w:hint="eastAsia"/>
                      <w:bCs/>
                      <w:color w:val="000000"/>
                      <w:sz w:val="21"/>
                      <w:lang w:val="en-US" w:eastAsia="zh-CN"/>
                    </w:rPr>
                    <w:t>1</w:t>
                  </w:r>
                </w:p>
              </w:tc>
              <w:tc>
                <w:tcPr>
                  <w:tcW w:w="850" w:type="dxa"/>
                  <w:vMerge w:val="continue"/>
                  <w:noWrap w:val="0"/>
                  <w:vAlign w:val="center"/>
                </w:tcPr>
                <w:p w14:paraId="1801CF75">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p>
              </w:tc>
              <w:tc>
                <w:tcPr>
                  <w:tcW w:w="2848" w:type="dxa"/>
                  <w:noWrap w:val="0"/>
                  <w:vAlign w:val="center"/>
                </w:tcPr>
                <w:p w14:paraId="49B1DD4F">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r>
                    <w:rPr>
                      <w:rFonts w:hint="eastAsia"/>
                      <w:color w:val="000000"/>
                      <w:sz w:val="21"/>
                    </w:rPr>
                    <w:t>外售废品回收站</w:t>
                  </w:r>
                </w:p>
              </w:tc>
            </w:tr>
            <w:tr w14:paraId="768B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noWrap w:val="0"/>
                  <w:vAlign w:val="center"/>
                </w:tcPr>
                <w:p w14:paraId="5B4C5A8C">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eastAsia="宋体"/>
                      <w:color w:val="000000"/>
                      <w:sz w:val="21"/>
                      <w:lang w:val="en-US" w:eastAsia="zh-CN"/>
                    </w:rPr>
                  </w:pPr>
                  <w:r>
                    <w:rPr>
                      <w:rFonts w:hint="eastAsia"/>
                      <w:color w:val="000000"/>
                      <w:sz w:val="21"/>
                      <w:lang w:val="en-US" w:eastAsia="zh-CN"/>
                    </w:rPr>
                    <w:t>脱硫石膏</w:t>
                  </w:r>
                </w:p>
              </w:tc>
              <w:tc>
                <w:tcPr>
                  <w:tcW w:w="1542" w:type="dxa"/>
                  <w:noWrap w:val="0"/>
                  <w:vAlign w:val="center"/>
                </w:tcPr>
                <w:p w14:paraId="3318270F">
                  <w:pPr>
                    <w:pStyle w:val="92"/>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auto"/>
                    <w:rPr>
                      <w:rFonts w:hint="default" w:eastAsia="宋体"/>
                      <w:color w:val="000000"/>
                      <w:sz w:val="21"/>
                      <w:lang w:val="en-US" w:eastAsia="zh-CN"/>
                    </w:rPr>
                  </w:pPr>
                  <w:r>
                    <w:rPr>
                      <w:rFonts w:hint="eastAsia"/>
                      <w:color w:val="000000"/>
                      <w:sz w:val="21"/>
                      <w:lang w:val="en-US" w:eastAsia="zh-CN"/>
                    </w:rPr>
                    <w:t>废气处理设施</w:t>
                  </w:r>
                </w:p>
              </w:tc>
              <w:tc>
                <w:tcPr>
                  <w:tcW w:w="1577" w:type="dxa"/>
                  <w:noWrap w:val="0"/>
                  <w:vAlign w:val="center"/>
                </w:tcPr>
                <w:p w14:paraId="5A433E3F">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bCs/>
                      <w:color w:val="000000"/>
                      <w:sz w:val="21"/>
                      <w:lang w:val="en-US" w:eastAsia="zh-CN"/>
                    </w:rPr>
                  </w:pPr>
                  <w:r>
                    <w:rPr>
                      <w:rFonts w:hint="eastAsia"/>
                      <w:bCs/>
                      <w:color w:val="000000"/>
                      <w:sz w:val="21"/>
                      <w:lang w:val="en-US" w:eastAsia="zh-CN"/>
                    </w:rPr>
                    <w:t>199.52</w:t>
                  </w:r>
                </w:p>
              </w:tc>
              <w:tc>
                <w:tcPr>
                  <w:tcW w:w="850" w:type="dxa"/>
                  <w:vMerge w:val="continue"/>
                  <w:noWrap w:val="0"/>
                  <w:vAlign w:val="center"/>
                </w:tcPr>
                <w:p w14:paraId="1C9CC6B4">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p>
              </w:tc>
              <w:tc>
                <w:tcPr>
                  <w:tcW w:w="2848" w:type="dxa"/>
                  <w:noWrap w:val="0"/>
                  <w:vAlign w:val="center"/>
                </w:tcPr>
                <w:p w14:paraId="444E8CDE">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rPr>
                  </w:pPr>
                  <w:r>
                    <w:rPr>
                      <w:rFonts w:hint="eastAsia"/>
                      <w:color w:val="000000"/>
                      <w:sz w:val="21"/>
                    </w:rPr>
                    <w:t>外售综合利用</w:t>
                  </w:r>
                </w:p>
              </w:tc>
            </w:tr>
            <w:tr w14:paraId="62E7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noWrap w:val="0"/>
                  <w:vAlign w:val="center"/>
                </w:tcPr>
                <w:p w14:paraId="55B18286">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lang w:val="en-US" w:eastAsia="zh-CN"/>
                    </w:rPr>
                  </w:pPr>
                  <w:r>
                    <w:rPr>
                      <w:rFonts w:hint="eastAsia"/>
                      <w:color w:val="000000"/>
                      <w:sz w:val="21"/>
                      <w:lang w:val="en-US" w:eastAsia="zh-CN"/>
                    </w:rPr>
                    <w:t>废油脂</w:t>
                  </w:r>
                </w:p>
              </w:tc>
              <w:tc>
                <w:tcPr>
                  <w:tcW w:w="1542" w:type="dxa"/>
                  <w:noWrap w:val="0"/>
                  <w:vAlign w:val="center"/>
                </w:tcPr>
                <w:p w14:paraId="35A794C4">
                  <w:pPr>
                    <w:pStyle w:val="92"/>
                    <w:keepNext w:val="0"/>
                    <w:keepLines w:val="0"/>
                    <w:pageBreakBefore w:val="0"/>
                    <w:widowControl w:val="0"/>
                    <w:kinsoku/>
                    <w:wordWrap/>
                    <w:overflowPunct/>
                    <w:topLinePunct w:val="0"/>
                    <w:autoSpaceDE/>
                    <w:autoSpaceDN/>
                    <w:bidi w:val="0"/>
                    <w:adjustRightInd w:val="0"/>
                    <w:snapToGrid/>
                    <w:spacing w:line="240" w:lineRule="auto"/>
                    <w:ind w:firstLine="0"/>
                    <w:jc w:val="center"/>
                    <w:textAlignment w:val="auto"/>
                    <w:rPr>
                      <w:rFonts w:hint="default"/>
                      <w:color w:val="000000"/>
                      <w:sz w:val="21"/>
                      <w:lang w:val="en-US" w:eastAsia="zh-CN"/>
                    </w:rPr>
                  </w:pPr>
                  <w:r>
                    <w:rPr>
                      <w:rFonts w:hint="eastAsia"/>
                      <w:color w:val="000000"/>
                      <w:sz w:val="21"/>
                      <w:lang w:val="en-US" w:eastAsia="zh-CN"/>
                    </w:rPr>
                    <w:t>食堂、隔油池</w:t>
                  </w:r>
                </w:p>
              </w:tc>
              <w:tc>
                <w:tcPr>
                  <w:tcW w:w="1577" w:type="dxa"/>
                  <w:noWrap w:val="0"/>
                  <w:vAlign w:val="center"/>
                </w:tcPr>
                <w:p w14:paraId="46AB1C8D">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bCs/>
                      <w:color w:val="000000"/>
                      <w:sz w:val="21"/>
                      <w:lang w:val="en-US" w:eastAsia="zh-CN"/>
                    </w:rPr>
                  </w:pPr>
                  <w:r>
                    <w:rPr>
                      <w:rFonts w:hint="eastAsia"/>
                      <w:bCs/>
                      <w:color w:val="000000"/>
                      <w:sz w:val="21"/>
                      <w:lang w:val="en-US" w:eastAsia="zh-CN"/>
                    </w:rPr>
                    <w:t>0.3</w:t>
                  </w:r>
                </w:p>
              </w:tc>
              <w:tc>
                <w:tcPr>
                  <w:tcW w:w="850" w:type="dxa"/>
                  <w:vMerge w:val="continue"/>
                  <w:noWrap w:val="0"/>
                  <w:vAlign w:val="center"/>
                </w:tcPr>
                <w:p w14:paraId="19922E7E">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p>
              </w:tc>
              <w:tc>
                <w:tcPr>
                  <w:tcW w:w="2848" w:type="dxa"/>
                  <w:vMerge w:val="restart"/>
                  <w:noWrap w:val="0"/>
                  <w:vAlign w:val="center"/>
                </w:tcPr>
                <w:p w14:paraId="3BF9F8FD">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eastAsia="宋体"/>
                      <w:color w:val="000000"/>
                      <w:sz w:val="21"/>
                      <w:lang w:val="en-US" w:eastAsia="zh-CN"/>
                    </w:rPr>
                  </w:pPr>
                  <w:r>
                    <w:rPr>
                      <w:rFonts w:hint="default" w:eastAsia="宋体"/>
                      <w:color w:val="000000"/>
                      <w:sz w:val="21"/>
                      <w:lang w:val="en-US" w:eastAsia="zh-CN"/>
                    </w:rPr>
                    <w:t>交由有餐厨处理资质的单位处置</w:t>
                  </w:r>
                </w:p>
              </w:tc>
            </w:tr>
            <w:tr w14:paraId="0494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noWrap w:val="0"/>
                  <w:vAlign w:val="center"/>
                </w:tcPr>
                <w:p w14:paraId="0C0E0D94">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lang w:val="en-US" w:eastAsia="zh-CN"/>
                    </w:rPr>
                  </w:pPr>
                  <w:r>
                    <w:rPr>
                      <w:rFonts w:hint="eastAsia"/>
                      <w:color w:val="000000"/>
                      <w:sz w:val="21"/>
                      <w:lang w:val="en-US" w:eastAsia="zh-CN"/>
                    </w:rPr>
                    <w:t>食堂餐厨垃圾</w:t>
                  </w:r>
                </w:p>
              </w:tc>
              <w:tc>
                <w:tcPr>
                  <w:tcW w:w="1542" w:type="dxa"/>
                  <w:noWrap w:val="0"/>
                  <w:vAlign w:val="center"/>
                </w:tcPr>
                <w:p w14:paraId="6E7EE69E">
                  <w:pPr>
                    <w:pStyle w:val="92"/>
                    <w:keepNext w:val="0"/>
                    <w:keepLines w:val="0"/>
                    <w:pageBreakBefore w:val="0"/>
                    <w:widowControl w:val="0"/>
                    <w:kinsoku/>
                    <w:wordWrap/>
                    <w:overflowPunct/>
                    <w:topLinePunct w:val="0"/>
                    <w:autoSpaceDE/>
                    <w:autoSpaceDN/>
                    <w:bidi w:val="0"/>
                    <w:adjustRightInd w:val="0"/>
                    <w:snapToGrid/>
                    <w:spacing w:line="240" w:lineRule="auto"/>
                    <w:ind w:firstLine="0"/>
                    <w:jc w:val="center"/>
                    <w:textAlignment w:val="auto"/>
                    <w:rPr>
                      <w:rFonts w:hint="default"/>
                      <w:color w:val="000000"/>
                      <w:sz w:val="21"/>
                      <w:lang w:val="en-US" w:eastAsia="zh-CN"/>
                    </w:rPr>
                  </w:pPr>
                  <w:r>
                    <w:rPr>
                      <w:rFonts w:hint="eastAsia"/>
                      <w:color w:val="000000"/>
                      <w:sz w:val="21"/>
                      <w:lang w:val="en-US" w:eastAsia="zh-CN"/>
                    </w:rPr>
                    <w:t>食堂</w:t>
                  </w:r>
                </w:p>
              </w:tc>
              <w:tc>
                <w:tcPr>
                  <w:tcW w:w="1577" w:type="dxa"/>
                  <w:noWrap w:val="0"/>
                  <w:vAlign w:val="center"/>
                </w:tcPr>
                <w:p w14:paraId="6B91C141">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bCs/>
                      <w:color w:val="000000"/>
                      <w:sz w:val="21"/>
                      <w:lang w:val="en-US" w:eastAsia="zh-CN"/>
                    </w:rPr>
                  </w:pPr>
                  <w:r>
                    <w:rPr>
                      <w:rFonts w:hint="eastAsia"/>
                      <w:bCs/>
                      <w:color w:val="000000"/>
                      <w:sz w:val="21"/>
                      <w:lang w:val="en-US" w:eastAsia="zh-CN"/>
                    </w:rPr>
                    <w:t>0.528</w:t>
                  </w:r>
                </w:p>
              </w:tc>
              <w:tc>
                <w:tcPr>
                  <w:tcW w:w="850" w:type="dxa"/>
                  <w:vMerge w:val="continue"/>
                  <w:noWrap w:val="0"/>
                  <w:vAlign w:val="center"/>
                </w:tcPr>
                <w:p w14:paraId="6A768F43">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p>
              </w:tc>
              <w:tc>
                <w:tcPr>
                  <w:tcW w:w="2848" w:type="dxa"/>
                  <w:vMerge w:val="continue"/>
                  <w:noWrap w:val="0"/>
                  <w:vAlign w:val="center"/>
                </w:tcPr>
                <w:p w14:paraId="74F635BA">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eastAsia"/>
                      <w:color w:val="000000"/>
                      <w:sz w:val="21"/>
                    </w:rPr>
                  </w:pPr>
                </w:p>
              </w:tc>
            </w:tr>
            <w:tr w14:paraId="0EA5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2" w:type="dxa"/>
                  <w:noWrap w:val="0"/>
                  <w:vAlign w:val="center"/>
                </w:tcPr>
                <w:p w14:paraId="0CD6F36D">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color w:val="000000"/>
                      <w:sz w:val="21"/>
                      <w:lang w:val="en-US" w:eastAsia="zh-CN"/>
                    </w:rPr>
                  </w:pPr>
                  <w:r>
                    <w:rPr>
                      <w:rFonts w:hint="eastAsia"/>
                      <w:color w:val="000000"/>
                      <w:sz w:val="21"/>
                      <w:lang w:val="en-US" w:eastAsia="zh-CN"/>
                    </w:rPr>
                    <w:t>预处理池污泥</w:t>
                  </w:r>
                </w:p>
              </w:tc>
              <w:tc>
                <w:tcPr>
                  <w:tcW w:w="1542" w:type="dxa"/>
                  <w:noWrap w:val="0"/>
                  <w:vAlign w:val="center"/>
                </w:tcPr>
                <w:p w14:paraId="0C92F527">
                  <w:pPr>
                    <w:pStyle w:val="92"/>
                    <w:keepNext w:val="0"/>
                    <w:keepLines w:val="0"/>
                    <w:pageBreakBefore w:val="0"/>
                    <w:widowControl w:val="0"/>
                    <w:kinsoku/>
                    <w:wordWrap/>
                    <w:overflowPunct/>
                    <w:topLinePunct w:val="0"/>
                    <w:autoSpaceDE/>
                    <w:autoSpaceDN/>
                    <w:bidi w:val="0"/>
                    <w:adjustRightInd w:val="0"/>
                    <w:snapToGrid/>
                    <w:spacing w:line="240" w:lineRule="auto"/>
                    <w:ind w:firstLine="0"/>
                    <w:jc w:val="center"/>
                    <w:textAlignment w:val="auto"/>
                    <w:rPr>
                      <w:rFonts w:hint="default"/>
                      <w:color w:val="000000"/>
                      <w:sz w:val="21"/>
                      <w:lang w:val="en-US" w:eastAsia="zh-CN"/>
                    </w:rPr>
                  </w:pPr>
                  <w:r>
                    <w:rPr>
                      <w:rFonts w:hint="eastAsia"/>
                      <w:color w:val="000000"/>
                      <w:sz w:val="21"/>
                      <w:lang w:val="en-US" w:eastAsia="zh-CN"/>
                    </w:rPr>
                    <w:t>预处理池</w:t>
                  </w:r>
                </w:p>
              </w:tc>
              <w:tc>
                <w:tcPr>
                  <w:tcW w:w="1577" w:type="dxa"/>
                  <w:noWrap w:val="0"/>
                  <w:vAlign w:val="center"/>
                </w:tcPr>
                <w:p w14:paraId="220D7499">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bCs/>
                      <w:color w:val="000000"/>
                      <w:sz w:val="21"/>
                      <w:lang w:val="en-US" w:eastAsia="zh-CN"/>
                    </w:rPr>
                  </w:pPr>
                  <w:r>
                    <w:rPr>
                      <w:rFonts w:hint="eastAsia"/>
                      <w:bCs/>
                      <w:color w:val="000000"/>
                      <w:sz w:val="21"/>
                      <w:lang w:val="en-US" w:eastAsia="zh-CN"/>
                    </w:rPr>
                    <w:t>0.5</w:t>
                  </w:r>
                </w:p>
              </w:tc>
              <w:tc>
                <w:tcPr>
                  <w:tcW w:w="850" w:type="dxa"/>
                  <w:vMerge w:val="continue"/>
                  <w:noWrap w:val="0"/>
                  <w:vAlign w:val="center"/>
                </w:tcPr>
                <w:p w14:paraId="01A2E6A0">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color w:val="000000"/>
                      <w:sz w:val="21"/>
                    </w:rPr>
                  </w:pPr>
                </w:p>
              </w:tc>
              <w:tc>
                <w:tcPr>
                  <w:tcW w:w="2848" w:type="dxa"/>
                  <w:noWrap w:val="0"/>
                  <w:vAlign w:val="center"/>
                </w:tcPr>
                <w:p w14:paraId="271EE77F">
                  <w:pPr>
                    <w:pStyle w:val="92"/>
                    <w:keepNext w:val="0"/>
                    <w:keepLines w:val="0"/>
                    <w:pageBreakBefore w:val="0"/>
                    <w:widowControl w:val="0"/>
                    <w:kinsoku/>
                    <w:wordWrap/>
                    <w:overflowPunct/>
                    <w:topLinePunct w:val="0"/>
                    <w:autoSpaceDE/>
                    <w:autoSpaceDN/>
                    <w:bidi w:val="0"/>
                    <w:adjustRightInd w:val="0"/>
                    <w:snapToGrid/>
                    <w:spacing w:line="240" w:lineRule="auto"/>
                    <w:ind w:firstLine="0"/>
                    <w:textAlignment w:val="auto"/>
                    <w:rPr>
                      <w:rFonts w:hint="default" w:eastAsia="宋体"/>
                      <w:color w:val="000000"/>
                      <w:sz w:val="21"/>
                      <w:lang w:val="en-US" w:eastAsia="zh-CN"/>
                    </w:rPr>
                  </w:pPr>
                  <w:r>
                    <w:rPr>
                      <w:rFonts w:hint="eastAsia"/>
                      <w:color w:val="000000"/>
                      <w:sz w:val="21"/>
                      <w:lang w:val="en-US" w:eastAsia="zh-CN"/>
                    </w:rPr>
                    <w:t>定期委托环卫部门清运</w:t>
                  </w:r>
                </w:p>
              </w:tc>
            </w:tr>
          </w:tbl>
          <w:p w14:paraId="0DABEE6A">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本项目危险固废汇总表（t/a）</w:t>
            </w:r>
          </w:p>
          <w:tbl>
            <w:tblPr>
              <w:tblStyle w:val="31"/>
              <w:tblW w:w="87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8"/>
              <w:gridCol w:w="740"/>
              <w:gridCol w:w="1234"/>
              <w:gridCol w:w="839"/>
              <w:gridCol w:w="665"/>
              <w:gridCol w:w="575"/>
              <w:gridCol w:w="701"/>
              <w:gridCol w:w="886"/>
              <w:gridCol w:w="761"/>
              <w:gridCol w:w="1573"/>
            </w:tblGrid>
            <w:tr w14:paraId="3CBB1A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88" w:type="dxa"/>
                  <w:shd w:val="clear" w:color="auto" w:fill="D7D7D7"/>
                  <w:noWrap w:val="0"/>
                  <w:vAlign w:val="center"/>
                </w:tcPr>
                <w:p w14:paraId="0F3D6932">
                  <w:pPr>
                    <w:ind w:left="-105" w:leftChars="-50" w:right="-105" w:rightChars="-50"/>
                    <w:jc w:val="center"/>
                    <w:rPr>
                      <w:bCs/>
                      <w:color w:val="000000"/>
                      <w:szCs w:val="21"/>
                    </w:rPr>
                  </w:pPr>
                  <w:r>
                    <w:rPr>
                      <w:bCs/>
                      <w:color w:val="000000"/>
                      <w:szCs w:val="21"/>
                    </w:rPr>
                    <w:t>危险废物名称</w:t>
                  </w:r>
                </w:p>
              </w:tc>
              <w:tc>
                <w:tcPr>
                  <w:tcW w:w="740" w:type="dxa"/>
                  <w:shd w:val="clear" w:color="auto" w:fill="D7D7D7"/>
                  <w:noWrap w:val="0"/>
                  <w:vAlign w:val="center"/>
                </w:tcPr>
                <w:p w14:paraId="094CE3B9">
                  <w:pPr>
                    <w:ind w:left="-105" w:leftChars="-50" w:right="-105" w:rightChars="-50"/>
                    <w:jc w:val="center"/>
                    <w:rPr>
                      <w:bCs/>
                      <w:color w:val="000000"/>
                      <w:szCs w:val="21"/>
                    </w:rPr>
                  </w:pPr>
                  <w:r>
                    <w:rPr>
                      <w:bCs/>
                      <w:color w:val="000000"/>
                      <w:szCs w:val="21"/>
                    </w:rPr>
                    <w:t>危险废物类别</w:t>
                  </w:r>
                </w:p>
              </w:tc>
              <w:tc>
                <w:tcPr>
                  <w:tcW w:w="1234" w:type="dxa"/>
                  <w:shd w:val="clear" w:color="auto" w:fill="D7D7D7"/>
                  <w:noWrap w:val="0"/>
                  <w:vAlign w:val="center"/>
                </w:tcPr>
                <w:p w14:paraId="31C1D6F5">
                  <w:pPr>
                    <w:ind w:left="-105" w:leftChars="-50" w:right="-105" w:rightChars="-50"/>
                    <w:jc w:val="center"/>
                    <w:rPr>
                      <w:bCs/>
                      <w:color w:val="000000"/>
                      <w:szCs w:val="21"/>
                    </w:rPr>
                  </w:pPr>
                  <w:r>
                    <w:rPr>
                      <w:bCs/>
                      <w:color w:val="000000"/>
                      <w:szCs w:val="21"/>
                    </w:rPr>
                    <w:t>危险废物代码</w:t>
                  </w:r>
                </w:p>
              </w:tc>
              <w:tc>
                <w:tcPr>
                  <w:tcW w:w="839" w:type="dxa"/>
                  <w:shd w:val="clear" w:color="auto" w:fill="D7D7D7"/>
                  <w:noWrap w:val="0"/>
                  <w:vAlign w:val="center"/>
                </w:tcPr>
                <w:p w14:paraId="4FF25567">
                  <w:pPr>
                    <w:ind w:left="-105" w:leftChars="-50" w:right="-105" w:rightChars="-50"/>
                    <w:jc w:val="center"/>
                    <w:rPr>
                      <w:bCs/>
                      <w:color w:val="000000"/>
                      <w:szCs w:val="21"/>
                    </w:rPr>
                  </w:pPr>
                  <w:r>
                    <w:rPr>
                      <w:bCs/>
                      <w:color w:val="000000"/>
                      <w:szCs w:val="21"/>
                    </w:rPr>
                    <w:t>产生量（吨/年）</w:t>
                  </w:r>
                </w:p>
              </w:tc>
              <w:tc>
                <w:tcPr>
                  <w:tcW w:w="665" w:type="dxa"/>
                  <w:shd w:val="clear" w:color="auto" w:fill="D7D7D7"/>
                  <w:noWrap w:val="0"/>
                  <w:vAlign w:val="center"/>
                </w:tcPr>
                <w:p w14:paraId="62D3F370">
                  <w:pPr>
                    <w:ind w:left="-105" w:leftChars="-50" w:right="-105" w:rightChars="-50"/>
                    <w:jc w:val="center"/>
                    <w:rPr>
                      <w:bCs/>
                      <w:color w:val="000000"/>
                      <w:szCs w:val="21"/>
                    </w:rPr>
                  </w:pPr>
                  <w:r>
                    <w:rPr>
                      <w:bCs/>
                      <w:color w:val="000000"/>
                      <w:szCs w:val="21"/>
                    </w:rPr>
                    <w:t>产生工序及装置</w:t>
                  </w:r>
                </w:p>
              </w:tc>
              <w:tc>
                <w:tcPr>
                  <w:tcW w:w="575" w:type="dxa"/>
                  <w:shd w:val="clear" w:color="auto" w:fill="D7D7D7"/>
                  <w:noWrap w:val="0"/>
                  <w:vAlign w:val="center"/>
                </w:tcPr>
                <w:p w14:paraId="0A3EE63B">
                  <w:pPr>
                    <w:ind w:left="-105" w:leftChars="-50" w:right="-105" w:rightChars="-50"/>
                    <w:jc w:val="center"/>
                    <w:rPr>
                      <w:bCs/>
                      <w:color w:val="000000"/>
                      <w:szCs w:val="21"/>
                    </w:rPr>
                  </w:pPr>
                  <w:r>
                    <w:rPr>
                      <w:bCs/>
                      <w:color w:val="000000"/>
                      <w:szCs w:val="21"/>
                    </w:rPr>
                    <w:t>形态</w:t>
                  </w:r>
                </w:p>
              </w:tc>
              <w:tc>
                <w:tcPr>
                  <w:tcW w:w="701" w:type="dxa"/>
                  <w:shd w:val="clear" w:color="auto" w:fill="D7D7D7"/>
                  <w:noWrap w:val="0"/>
                  <w:vAlign w:val="center"/>
                </w:tcPr>
                <w:p w14:paraId="6177B72A">
                  <w:pPr>
                    <w:ind w:left="-105" w:leftChars="-50" w:right="-105" w:rightChars="-50"/>
                    <w:jc w:val="center"/>
                    <w:rPr>
                      <w:rFonts w:hint="eastAsia"/>
                      <w:bCs/>
                      <w:color w:val="000000"/>
                      <w:szCs w:val="21"/>
                    </w:rPr>
                  </w:pPr>
                  <w:r>
                    <w:rPr>
                      <w:rFonts w:hint="eastAsia"/>
                      <w:bCs/>
                      <w:color w:val="000000"/>
                      <w:szCs w:val="21"/>
                    </w:rPr>
                    <w:t>有害</w:t>
                  </w:r>
                </w:p>
                <w:p w14:paraId="1773E9FD">
                  <w:pPr>
                    <w:ind w:left="-105" w:leftChars="-50" w:right="-105" w:rightChars="-50"/>
                    <w:jc w:val="center"/>
                    <w:rPr>
                      <w:rFonts w:hint="eastAsia"/>
                      <w:bCs/>
                      <w:color w:val="000000"/>
                      <w:szCs w:val="21"/>
                    </w:rPr>
                  </w:pPr>
                  <w:r>
                    <w:rPr>
                      <w:rFonts w:hint="eastAsia"/>
                      <w:bCs/>
                      <w:color w:val="000000"/>
                      <w:szCs w:val="21"/>
                    </w:rPr>
                    <w:t>成分</w:t>
                  </w:r>
                </w:p>
              </w:tc>
              <w:tc>
                <w:tcPr>
                  <w:tcW w:w="886" w:type="dxa"/>
                  <w:shd w:val="clear" w:color="auto" w:fill="D7D7D7"/>
                  <w:noWrap w:val="0"/>
                  <w:vAlign w:val="center"/>
                </w:tcPr>
                <w:p w14:paraId="5F2B75D8">
                  <w:pPr>
                    <w:ind w:left="-105" w:leftChars="-50" w:right="-105" w:rightChars="-50"/>
                    <w:jc w:val="center"/>
                    <w:rPr>
                      <w:rFonts w:hint="eastAsia"/>
                      <w:bCs/>
                      <w:color w:val="000000"/>
                      <w:szCs w:val="21"/>
                    </w:rPr>
                  </w:pPr>
                  <w:r>
                    <w:rPr>
                      <w:rFonts w:hint="eastAsia"/>
                      <w:bCs/>
                      <w:color w:val="000000"/>
                      <w:szCs w:val="21"/>
                    </w:rPr>
                    <w:t>产生</w:t>
                  </w:r>
                </w:p>
                <w:p w14:paraId="60A44FA7">
                  <w:pPr>
                    <w:ind w:left="-105" w:leftChars="-50" w:right="-105" w:rightChars="-50"/>
                    <w:jc w:val="center"/>
                    <w:rPr>
                      <w:rFonts w:hint="eastAsia"/>
                      <w:bCs/>
                      <w:color w:val="000000"/>
                      <w:szCs w:val="21"/>
                    </w:rPr>
                  </w:pPr>
                  <w:r>
                    <w:rPr>
                      <w:rFonts w:hint="eastAsia"/>
                      <w:bCs/>
                      <w:color w:val="000000"/>
                      <w:szCs w:val="21"/>
                    </w:rPr>
                    <w:t>周期</w:t>
                  </w:r>
                </w:p>
              </w:tc>
              <w:tc>
                <w:tcPr>
                  <w:tcW w:w="761" w:type="dxa"/>
                  <w:shd w:val="clear" w:color="auto" w:fill="D7D7D7"/>
                  <w:noWrap w:val="0"/>
                  <w:vAlign w:val="center"/>
                </w:tcPr>
                <w:p w14:paraId="0B0122D5">
                  <w:pPr>
                    <w:ind w:left="-105" w:leftChars="-50" w:right="-105" w:rightChars="-50"/>
                    <w:jc w:val="center"/>
                    <w:rPr>
                      <w:bCs/>
                      <w:color w:val="000000"/>
                      <w:szCs w:val="21"/>
                    </w:rPr>
                  </w:pPr>
                  <w:r>
                    <w:rPr>
                      <w:bCs/>
                      <w:color w:val="000000"/>
                      <w:szCs w:val="21"/>
                    </w:rPr>
                    <w:t>危险</w:t>
                  </w:r>
                </w:p>
                <w:p w14:paraId="3F12FCAA">
                  <w:pPr>
                    <w:ind w:left="-105" w:leftChars="-50" w:right="-105" w:rightChars="-50"/>
                    <w:jc w:val="center"/>
                    <w:rPr>
                      <w:bCs/>
                      <w:color w:val="000000"/>
                      <w:szCs w:val="21"/>
                    </w:rPr>
                  </w:pPr>
                  <w:r>
                    <w:rPr>
                      <w:bCs/>
                      <w:color w:val="000000"/>
                      <w:szCs w:val="21"/>
                    </w:rPr>
                    <w:t>特性</w:t>
                  </w:r>
                </w:p>
              </w:tc>
              <w:tc>
                <w:tcPr>
                  <w:tcW w:w="1573" w:type="dxa"/>
                  <w:shd w:val="clear" w:color="auto" w:fill="D7D7D7"/>
                  <w:noWrap w:val="0"/>
                  <w:vAlign w:val="center"/>
                </w:tcPr>
                <w:p w14:paraId="5F999A79">
                  <w:pPr>
                    <w:ind w:left="-105" w:leftChars="-50" w:right="-105" w:rightChars="-50"/>
                    <w:jc w:val="center"/>
                    <w:rPr>
                      <w:bCs/>
                      <w:color w:val="000000"/>
                      <w:szCs w:val="21"/>
                    </w:rPr>
                  </w:pPr>
                  <w:r>
                    <w:rPr>
                      <w:bCs/>
                      <w:color w:val="000000"/>
                      <w:szCs w:val="21"/>
                    </w:rPr>
                    <w:t>污染防治措施</w:t>
                  </w:r>
                </w:p>
              </w:tc>
            </w:tr>
            <w:tr w14:paraId="562B8D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noWrap w:val="0"/>
                  <w:vAlign w:val="center"/>
                </w:tcPr>
                <w:p w14:paraId="5E42737F">
                  <w:pPr>
                    <w:ind w:left="-105" w:leftChars="-50" w:right="-105" w:rightChars="-50"/>
                    <w:jc w:val="center"/>
                    <w:rPr>
                      <w:bCs/>
                      <w:color w:val="000000"/>
                      <w:szCs w:val="21"/>
                    </w:rPr>
                  </w:pPr>
                  <w:r>
                    <w:rPr>
                      <w:rFonts w:hint="eastAsia"/>
                      <w:bCs/>
                      <w:color w:val="000000"/>
                      <w:szCs w:val="21"/>
                    </w:rPr>
                    <w:t>废</w:t>
                  </w:r>
                  <w:r>
                    <w:rPr>
                      <w:rFonts w:hint="eastAsia"/>
                      <w:bCs/>
                      <w:color w:val="000000"/>
                      <w:szCs w:val="21"/>
                      <w:lang w:val="en-US" w:eastAsia="zh-CN"/>
                    </w:rPr>
                    <w:t>机油/</w:t>
                  </w:r>
                  <w:r>
                    <w:rPr>
                      <w:rFonts w:hint="eastAsia"/>
                      <w:bCs/>
                      <w:color w:val="000000"/>
                      <w:szCs w:val="21"/>
                      <w:lang w:eastAsia="zh-CN"/>
                    </w:rPr>
                    <w:t>润滑油</w:t>
                  </w:r>
                </w:p>
              </w:tc>
              <w:tc>
                <w:tcPr>
                  <w:tcW w:w="740" w:type="dxa"/>
                  <w:noWrap w:val="0"/>
                  <w:vAlign w:val="center"/>
                </w:tcPr>
                <w:p w14:paraId="3B9C0D5C">
                  <w:pPr>
                    <w:ind w:left="-50" w:right="-50"/>
                    <w:jc w:val="center"/>
                    <w:rPr>
                      <w:bCs/>
                      <w:color w:val="000000"/>
                      <w:szCs w:val="21"/>
                    </w:rPr>
                  </w:pPr>
                  <w:r>
                    <w:rPr>
                      <w:bCs/>
                      <w:color w:val="000000"/>
                      <w:szCs w:val="21"/>
                    </w:rPr>
                    <w:t>HW</w:t>
                  </w:r>
                  <w:r>
                    <w:rPr>
                      <w:rFonts w:hint="eastAsia"/>
                      <w:bCs/>
                      <w:color w:val="000000"/>
                      <w:szCs w:val="21"/>
                    </w:rPr>
                    <w:t>08</w:t>
                  </w:r>
                </w:p>
              </w:tc>
              <w:tc>
                <w:tcPr>
                  <w:tcW w:w="1234" w:type="dxa"/>
                  <w:noWrap w:val="0"/>
                  <w:vAlign w:val="center"/>
                </w:tcPr>
                <w:p w14:paraId="2C3ADC96">
                  <w:pPr>
                    <w:ind w:left="-50" w:right="-50"/>
                    <w:jc w:val="center"/>
                    <w:rPr>
                      <w:bCs/>
                      <w:color w:val="000000"/>
                      <w:szCs w:val="21"/>
                    </w:rPr>
                  </w:pPr>
                  <w:r>
                    <w:rPr>
                      <w:bCs/>
                      <w:color w:val="000000"/>
                      <w:szCs w:val="21"/>
                    </w:rPr>
                    <w:t>900-214-08</w:t>
                  </w:r>
                </w:p>
              </w:tc>
              <w:tc>
                <w:tcPr>
                  <w:tcW w:w="839" w:type="dxa"/>
                  <w:noWrap w:val="0"/>
                  <w:vAlign w:val="center"/>
                </w:tcPr>
                <w:p w14:paraId="72571341">
                  <w:pPr>
                    <w:ind w:left="-50" w:right="-50"/>
                    <w:jc w:val="center"/>
                    <w:rPr>
                      <w:rFonts w:hint="default" w:eastAsia="宋体"/>
                      <w:bCs/>
                      <w:color w:val="000000"/>
                      <w:szCs w:val="21"/>
                      <w:lang w:val="en-US" w:eastAsia="zh-CN"/>
                    </w:rPr>
                  </w:pPr>
                  <w:r>
                    <w:rPr>
                      <w:rFonts w:hint="eastAsia" w:eastAsia="宋体"/>
                      <w:bCs/>
                      <w:color w:val="000000"/>
                      <w:szCs w:val="21"/>
                      <w:lang w:val="en-US" w:eastAsia="zh-CN"/>
                    </w:rPr>
                    <w:t>0.05</w:t>
                  </w:r>
                </w:p>
              </w:tc>
              <w:tc>
                <w:tcPr>
                  <w:tcW w:w="665" w:type="dxa"/>
                  <w:noWrap w:val="0"/>
                  <w:vAlign w:val="center"/>
                </w:tcPr>
                <w:p w14:paraId="488CCB98">
                  <w:pPr>
                    <w:ind w:left="-50" w:right="-50"/>
                    <w:jc w:val="center"/>
                    <w:rPr>
                      <w:bCs/>
                      <w:color w:val="000000"/>
                      <w:szCs w:val="21"/>
                    </w:rPr>
                  </w:pPr>
                  <w:r>
                    <w:rPr>
                      <w:rFonts w:hint="eastAsia"/>
                      <w:bCs/>
                      <w:color w:val="000000"/>
                      <w:szCs w:val="21"/>
                    </w:rPr>
                    <w:t>机械设备</w:t>
                  </w:r>
                </w:p>
              </w:tc>
              <w:tc>
                <w:tcPr>
                  <w:tcW w:w="575" w:type="dxa"/>
                  <w:noWrap w:val="0"/>
                  <w:vAlign w:val="center"/>
                </w:tcPr>
                <w:p w14:paraId="225E802C">
                  <w:pPr>
                    <w:ind w:left="-50" w:right="-50"/>
                    <w:jc w:val="center"/>
                    <w:rPr>
                      <w:bCs/>
                      <w:color w:val="000000"/>
                      <w:szCs w:val="21"/>
                    </w:rPr>
                  </w:pPr>
                  <w:r>
                    <w:rPr>
                      <w:rFonts w:hint="eastAsia"/>
                      <w:bCs/>
                      <w:color w:val="000000"/>
                      <w:szCs w:val="21"/>
                      <w:lang w:eastAsia="zh-CN"/>
                    </w:rPr>
                    <w:t>液</w:t>
                  </w:r>
                  <w:r>
                    <w:rPr>
                      <w:bCs/>
                      <w:color w:val="000000"/>
                      <w:szCs w:val="21"/>
                    </w:rPr>
                    <w:t>态</w:t>
                  </w:r>
                </w:p>
              </w:tc>
              <w:tc>
                <w:tcPr>
                  <w:tcW w:w="701" w:type="dxa"/>
                  <w:noWrap w:val="0"/>
                  <w:vAlign w:val="center"/>
                </w:tcPr>
                <w:p w14:paraId="672BBF7A">
                  <w:pPr>
                    <w:ind w:left="-50" w:right="-50"/>
                    <w:jc w:val="center"/>
                    <w:rPr>
                      <w:rFonts w:hint="eastAsia"/>
                      <w:bCs/>
                      <w:color w:val="000000"/>
                      <w:szCs w:val="21"/>
                    </w:rPr>
                  </w:pPr>
                  <w:r>
                    <w:rPr>
                      <w:rFonts w:hint="eastAsia"/>
                      <w:bCs/>
                      <w:color w:val="000000"/>
                      <w:szCs w:val="21"/>
                    </w:rPr>
                    <w:t>废矿物油</w:t>
                  </w:r>
                </w:p>
              </w:tc>
              <w:tc>
                <w:tcPr>
                  <w:tcW w:w="886" w:type="dxa"/>
                  <w:noWrap w:val="0"/>
                  <w:vAlign w:val="center"/>
                </w:tcPr>
                <w:p w14:paraId="4750D613">
                  <w:pPr>
                    <w:ind w:left="-50" w:right="-50"/>
                    <w:jc w:val="center"/>
                    <w:rPr>
                      <w:rFonts w:hint="eastAsia"/>
                      <w:bCs/>
                      <w:color w:val="000000"/>
                      <w:szCs w:val="21"/>
                    </w:rPr>
                  </w:pPr>
                  <w:r>
                    <w:rPr>
                      <w:rFonts w:hint="eastAsia"/>
                      <w:bCs/>
                      <w:color w:val="000000"/>
                      <w:szCs w:val="21"/>
                    </w:rPr>
                    <w:t>半年/次</w:t>
                  </w:r>
                </w:p>
              </w:tc>
              <w:tc>
                <w:tcPr>
                  <w:tcW w:w="761" w:type="dxa"/>
                  <w:noWrap w:val="0"/>
                  <w:vAlign w:val="center"/>
                </w:tcPr>
                <w:p w14:paraId="24B22CE5">
                  <w:pPr>
                    <w:ind w:left="-50" w:right="-50"/>
                    <w:jc w:val="center"/>
                    <w:rPr>
                      <w:bCs/>
                      <w:color w:val="000000"/>
                      <w:szCs w:val="21"/>
                    </w:rPr>
                  </w:pPr>
                  <w:r>
                    <w:rPr>
                      <w:rFonts w:hint="eastAsia"/>
                      <w:bCs/>
                      <w:color w:val="000000"/>
                      <w:szCs w:val="21"/>
                    </w:rPr>
                    <w:t>T</w:t>
                  </w:r>
                  <w:r>
                    <w:rPr>
                      <w:rFonts w:hint="eastAsia"/>
                      <w:bCs/>
                      <w:color w:val="000000"/>
                      <w:szCs w:val="21"/>
                      <w:lang w:eastAsia="zh-CN"/>
                    </w:rPr>
                    <w:t>,</w:t>
                  </w:r>
                  <w:r>
                    <w:rPr>
                      <w:rFonts w:hint="eastAsia"/>
                      <w:bCs/>
                      <w:color w:val="000000"/>
                      <w:szCs w:val="21"/>
                    </w:rPr>
                    <w:t>I</w:t>
                  </w:r>
                </w:p>
              </w:tc>
              <w:tc>
                <w:tcPr>
                  <w:tcW w:w="1573" w:type="dxa"/>
                  <w:vMerge w:val="restart"/>
                  <w:noWrap w:val="0"/>
                  <w:vAlign w:val="center"/>
                </w:tcPr>
                <w:p w14:paraId="504BA214">
                  <w:pPr>
                    <w:ind w:left="-50" w:right="-50"/>
                    <w:jc w:val="center"/>
                    <w:rPr>
                      <w:bCs/>
                      <w:color w:val="000000"/>
                      <w:szCs w:val="21"/>
                    </w:rPr>
                  </w:pPr>
                  <w:r>
                    <w:rPr>
                      <w:bCs/>
                      <w:color w:val="000000"/>
                      <w:szCs w:val="21"/>
                    </w:rPr>
                    <w:t>暂存于危废暂存间，最终委托有危废处置资质单位处置</w:t>
                  </w:r>
                </w:p>
              </w:tc>
            </w:tr>
            <w:tr w14:paraId="315544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788" w:type="dxa"/>
                  <w:noWrap w:val="0"/>
                  <w:vAlign w:val="center"/>
                </w:tcPr>
                <w:p w14:paraId="4CC4BC35">
                  <w:pPr>
                    <w:ind w:left="-105" w:leftChars="-50" w:right="-105" w:rightChars="-50"/>
                    <w:jc w:val="center"/>
                    <w:rPr>
                      <w:rFonts w:hint="eastAsia"/>
                      <w:bCs/>
                      <w:color w:val="000000"/>
                      <w:szCs w:val="21"/>
                    </w:rPr>
                  </w:pPr>
                  <w:r>
                    <w:rPr>
                      <w:rFonts w:hint="eastAsia"/>
                      <w:bCs/>
                      <w:color w:val="000000"/>
                      <w:szCs w:val="21"/>
                    </w:rPr>
                    <w:t>含油手套、抹布等</w:t>
                  </w:r>
                </w:p>
              </w:tc>
              <w:tc>
                <w:tcPr>
                  <w:tcW w:w="740" w:type="dxa"/>
                  <w:noWrap w:val="0"/>
                  <w:vAlign w:val="center"/>
                </w:tcPr>
                <w:p w14:paraId="7DE8BBEE">
                  <w:pPr>
                    <w:ind w:left="-50" w:right="-50"/>
                    <w:jc w:val="center"/>
                    <w:rPr>
                      <w:rFonts w:hint="default" w:eastAsia="宋体"/>
                      <w:bCs/>
                      <w:color w:val="000000"/>
                      <w:szCs w:val="21"/>
                      <w:lang w:val="en-US" w:eastAsia="zh-CN"/>
                    </w:rPr>
                  </w:pPr>
                  <w:r>
                    <w:rPr>
                      <w:bCs/>
                      <w:color w:val="000000"/>
                      <w:szCs w:val="21"/>
                    </w:rPr>
                    <w:t>HW</w:t>
                  </w:r>
                  <w:r>
                    <w:rPr>
                      <w:rFonts w:hint="eastAsia"/>
                      <w:bCs/>
                      <w:color w:val="000000"/>
                      <w:szCs w:val="21"/>
                      <w:lang w:val="en-US" w:eastAsia="zh-CN"/>
                    </w:rPr>
                    <w:t>49</w:t>
                  </w:r>
                </w:p>
              </w:tc>
              <w:tc>
                <w:tcPr>
                  <w:tcW w:w="1234" w:type="dxa"/>
                  <w:noWrap w:val="0"/>
                  <w:vAlign w:val="center"/>
                </w:tcPr>
                <w:p w14:paraId="7C85A1D4">
                  <w:pPr>
                    <w:ind w:left="-50" w:right="-50"/>
                    <w:jc w:val="center"/>
                    <w:rPr>
                      <w:rFonts w:hint="default" w:eastAsia="宋体"/>
                      <w:bCs/>
                      <w:color w:val="000000"/>
                      <w:szCs w:val="21"/>
                      <w:lang w:val="en-US" w:eastAsia="zh-CN"/>
                    </w:rPr>
                  </w:pPr>
                  <w:r>
                    <w:rPr>
                      <w:rFonts w:hint="eastAsia"/>
                      <w:bCs/>
                      <w:color w:val="000000"/>
                      <w:szCs w:val="21"/>
                    </w:rPr>
                    <w:t>900-</w:t>
                  </w:r>
                  <w:r>
                    <w:rPr>
                      <w:rFonts w:hint="eastAsia"/>
                      <w:bCs/>
                      <w:color w:val="000000"/>
                      <w:szCs w:val="21"/>
                      <w:lang w:val="en-US" w:eastAsia="zh-CN"/>
                    </w:rPr>
                    <w:t>041</w:t>
                  </w:r>
                  <w:r>
                    <w:rPr>
                      <w:rFonts w:hint="eastAsia"/>
                      <w:bCs/>
                      <w:color w:val="000000"/>
                      <w:szCs w:val="21"/>
                    </w:rPr>
                    <w:t>-</w:t>
                  </w:r>
                  <w:r>
                    <w:rPr>
                      <w:rFonts w:hint="eastAsia"/>
                      <w:bCs/>
                      <w:color w:val="000000"/>
                      <w:szCs w:val="21"/>
                      <w:lang w:val="en-US" w:eastAsia="zh-CN"/>
                    </w:rPr>
                    <w:t>49</w:t>
                  </w:r>
                </w:p>
              </w:tc>
              <w:tc>
                <w:tcPr>
                  <w:tcW w:w="839" w:type="dxa"/>
                  <w:noWrap w:val="0"/>
                  <w:vAlign w:val="center"/>
                </w:tcPr>
                <w:p w14:paraId="1CCF14A6">
                  <w:pPr>
                    <w:ind w:left="-50" w:right="-50"/>
                    <w:jc w:val="center"/>
                    <w:rPr>
                      <w:rFonts w:hint="eastAsia" w:eastAsia="宋体"/>
                      <w:bCs/>
                      <w:color w:val="000000"/>
                      <w:szCs w:val="21"/>
                      <w:lang w:eastAsia="zh-CN"/>
                    </w:rPr>
                  </w:pPr>
                  <w:r>
                    <w:rPr>
                      <w:bCs/>
                      <w:color w:val="000000"/>
                      <w:szCs w:val="21"/>
                    </w:rPr>
                    <w:t>0.</w:t>
                  </w:r>
                  <w:r>
                    <w:rPr>
                      <w:rFonts w:hint="eastAsia"/>
                      <w:bCs/>
                      <w:color w:val="000000"/>
                      <w:szCs w:val="21"/>
                      <w:lang w:val="en-US" w:eastAsia="zh-CN"/>
                    </w:rPr>
                    <w:t>02</w:t>
                  </w:r>
                </w:p>
              </w:tc>
              <w:tc>
                <w:tcPr>
                  <w:tcW w:w="665" w:type="dxa"/>
                  <w:noWrap w:val="0"/>
                  <w:vAlign w:val="center"/>
                </w:tcPr>
                <w:p w14:paraId="515400A0">
                  <w:pPr>
                    <w:ind w:left="-50" w:right="-50"/>
                    <w:jc w:val="center"/>
                    <w:rPr>
                      <w:bCs/>
                      <w:color w:val="000000"/>
                      <w:szCs w:val="21"/>
                    </w:rPr>
                  </w:pPr>
                  <w:r>
                    <w:rPr>
                      <w:rFonts w:hint="eastAsia"/>
                      <w:bCs/>
                      <w:color w:val="000000"/>
                      <w:szCs w:val="21"/>
                    </w:rPr>
                    <w:t>设备保养</w:t>
                  </w:r>
                </w:p>
              </w:tc>
              <w:tc>
                <w:tcPr>
                  <w:tcW w:w="575" w:type="dxa"/>
                  <w:noWrap w:val="0"/>
                  <w:vAlign w:val="center"/>
                </w:tcPr>
                <w:p w14:paraId="7F34E1BB">
                  <w:pPr>
                    <w:ind w:left="-50" w:right="-50"/>
                    <w:jc w:val="center"/>
                    <w:rPr>
                      <w:bCs/>
                      <w:color w:val="000000"/>
                      <w:szCs w:val="21"/>
                    </w:rPr>
                  </w:pPr>
                  <w:r>
                    <w:rPr>
                      <w:bCs/>
                      <w:color w:val="000000"/>
                      <w:szCs w:val="21"/>
                    </w:rPr>
                    <w:t>固态</w:t>
                  </w:r>
                </w:p>
              </w:tc>
              <w:tc>
                <w:tcPr>
                  <w:tcW w:w="701" w:type="dxa"/>
                  <w:noWrap w:val="0"/>
                  <w:vAlign w:val="center"/>
                </w:tcPr>
                <w:p w14:paraId="6D34EA71">
                  <w:pPr>
                    <w:ind w:left="-50" w:right="-50"/>
                    <w:jc w:val="center"/>
                    <w:rPr>
                      <w:bCs/>
                      <w:color w:val="000000"/>
                      <w:szCs w:val="21"/>
                    </w:rPr>
                  </w:pPr>
                  <w:r>
                    <w:rPr>
                      <w:rFonts w:hint="eastAsia"/>
                      <w:bCs/>
                      <w:color w:val="000000"/>
                      <w:szCs w:val="21"/>
                    </w:rPr>
                    <w:t>废矿物油</w:t>
                  </w:r>
                </w:p>
              </w:tc>
              <w:tc>
                <w:tcPr>
                  <w:tcW w:w="886" w:type="dxa"/>
                  <w:noWrap w:val="0"/>
                  <w:vAlign w:val="center"/>
                </w:tcPr>
                <w:p w14:paraId="6752737E">
                  <w:pPr>
                    <w:ind w:left="-50" w:right="-50"/>
                    <w:jc w:val="center"/>
                    <w:rPr>
                      <w:rFonts w:hint="eastAsia"/>
                      <w:bCs/>
                      <w:color w:val="000000"/>
                      <w:szCs w:val="21"/>
                    </w:rPr>
                  </w:pPr>
                  <w:r>
                    <w:rPr>
                      <w:rFonts w:hint="eastAsia"/>
                      <w:bCs/>
                      <w:color w:val="000000"/>
                      <w:szCs w:val="21"/>
                    </w:rPr>
                    <w:t>季度/次</w:t>
                  </w:r>
                </w:p>
              </w:tc>
              <w:tc>
                <w:tcPr>
                  <w:tcW w:w="761" w:type="dxa"/>
                  <w:noWrap w:val="0"/>
                  <w:vAlign w:val="center"/>
                </w:tcPr>
                <w:p w14:paraId="072200EC">
                  <w:pPr>
                    <w:ind w:left="-50" w:right="-50"/>
                    <w:jc w:val="center"/>
                    <w:rPr>
                      <w:bCs/>
                      <w:color w:val="000000"/>
                      <w:szCs w:val="21"/>
                    </w:rPr>
                  </w:pPr>
                  <w:r>
                    <w:rPr>
                      <w:rFonts w:hint="eastAsia"/>
                      <w:bCs/>
                      <w:color w:val="000000"/>
                      <w:szCs w:val="21"/>
                    </w:rPr>
                    <w:t>T</w:t>
                  </w:r>
                  <w:r>
                    <w:rPr>
                      <w:rFonts w:hint="eastAsia"/>
                      <w:bCs/>
                      <w:color w:val="000000"/>
                      <w:szCs w:val="21"/>
                      <w:lang w:eastAsia="zh-CN"/>
                    </w:rPr>
                    <w:t>,</w:t>
                  </w:r>
                  <w:r>
                    <w:rPr>
                      <w:rFonts w:hint="eastAsia"/>
                      <w:bCs/>
                      <w:color w:val="000000"/>
                      <w:szCs w:val="21"/>
                    </w:rPr>
                    <w:t>I</w:t>
                  </w:r>
                </w:p>
              </w:tc>
              <w:tc>
                <w:tcPr>
                  <w:tcW w:w="1573" w:type="dxa"/>
                  <w:vMerge w:val="continue"/>
                  <w:noWrap w:val="0"/>
                  <w:vAlign w:val="center"/>
                </w:tcPr>
                <w:p w14:paraId="24FDBC4F">
                  <w:pPr>
                    <w:ind w:left="-50" w:right="-50"/>
                    <w:jc w:val="center"/>
                    <w:rPr>
                      <w:bCs/>
                      <w:color w:val="000000"/>
                      <w:szCs w:val="21"/>
                    </w:rPr>
                  </w:pPr>
                </w:p>
              </w:tc>
            </w:tr>
            <w:tr w14:paraId="2CD42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noWrap w:val="0"/>
                  <w:vAlign w:val="center"/>
                </w:tcPr>
                <w:p w14:paraId="5087D874">
                  <w:pPr>
                    <w:ind w:left="-105" w:leftChars="-50" w:right="-105" w:rightChars="-50"/>
                    <w:jc w:val="center"/>
                    <w:rPr>
                      <w:rFonts w:hint="eastAsia"/>
                      <w:bCs/>
                      <w:color w:val="000000"/>
                      <w:szCs w:val="21"/>
                    </w:rPr>
                  </w:pPr>
                  <w:r>
                    <w:rPr>
                      <w:rFonts w:hint="eastAsia"/>
                      <w:bCs/>
                      <w:color w:val="000000"/>
                      <w:szCs w:val="21"/>
                    </w:rPr>
                    <w:t>废</w:t>
                  </w:r>
                  <w:r>
                    <w:rPr>
                      <w:rFonts w:hint="eastAsia"/>
                      <w:bCs/>
                      <w:color w:val="000000"/>
                      <w:szCs w:val="21"/>
                      <w:lang w:val="en-US" w:eastAsia="zh-CN"/>
                    </w:rPr>
                    <w:t>机油/</w:t>
                  </w:r>
                  <w:r>
                    <w:rPr>
                      <w:rFonts w:hint="eastAsia"/>
                      <w:bCs/>
                      <w:color w:val="000000"/>
                      <w:szCs w:val="21"/>
                    </w:rPr>
                    <w:t>润滑油桶</w:t>
                  </w:r>
                </w:p>
              </w:tc>
              <w:tc>
                <w:tcPr>
                  <w:tcW w:w="740" w:type="dxa"/>
                  <w:noWrap w:val="0"/>
                  <w:vAlign w:val="center"/>
                </w:tcPr>
                <w:p w14:paraId="079F6D16">
                  <w:pPr>
                    <w:ind w:left="-50" w:right="-50"/>
                    <w:jc w:val="center"/>
                    <w:rPr>
                      <w:bCs/>
                      <w:color w:val="000000"/>
                      <w:szCs w:val="21"/>
                    </w:rPr>
                  </w:pPr>
                  <w:r>
                    <w:rPr>
                      <w:bCs/>
                      <w:color w:val="000000"/>
                      <w:szCs w:val="21"/>
                    </w:rPr>
                    <w:t>HW08</w:t>
                  </w:r>
                </w:p>
              </w:tc>
              <w:tc>
                <w:tcPr>
                  <w:tcW w:w="1234" w:type="dxa"/>
                  <w:noWrap w:val="0"/>
                  <w:vAlign w:val="center"/>
                </w:tcPr>
                <w:p w14:paraId="0E95AA66">
                  <w:pPr>
                    <w:ind w:left="-50" w:right="-50"/>
                    <w:jc w:val="center"/>
                    <w:rPr>
                      <w:bCs/>
                      <w:color w:val="000000"/>
                      <w:szCs w:val="21"/>
                    </w:rPr>
                  </w:pPr>
                  <w:r>
                    <w:rPr>
                      <w:rFonts w:hint="eastAsia"/>
                      <w:bCs/>
                      <w:color w:val="000000"/>
                      <w:szCs w:val="21"/>
                    </w:rPr>
                    <w:t>900-249-08</w:t>
                  </w:r>
                </w:p>
              </w:tc>
              <w:tc>
                <w:tcPr>
                  <w:tcW w:w="839" w:type="dxa"/>
                  <w:noWrap w:val="0"/>
                  <w:vAlign w:val="center"/>
                </w:tcPr>
                <w:p w14:paraId="50B3ADC8">
                  <w:pPr>
                    <w:ind w:left="-50" w:right="-50"/>
                    <w:jc w:val="center"/>
                    <w:rPr>
                      <w:rFonts w:hint="default"/>
                      <w:bCs/>
                      <w:color w:val="000000"/>
                      <w:szCs w:val="21"/>
                      <w:lang w:val="en-US"/>
                    </w:rPr>
                  </w:pPr>
                  <w:r>
                    <w:rPr>
                      <w:bCs/>
                      <w:color w:val="000000"/>
                      <w:szCs w:val="21"/>
                    </w:rPr>
                    <w:t>0.</w:t>
                  </w:r>
                  <w:r>
                    <w:rPr>
                      <w:rFonts w:hint="eastAsia"/>
                      <w:bCs/>
                      <w:color w:val="000000"/>
                      <w:szCs w:val="21"/>
                      <w:lang w:val="en-US" w:eastAsia="zh-CN"/>
                    </w:rPr>
                    <w:t>10</w:t>
                  </w:r>
                </w:p>
              </w:tc>
              <w:tc>
                <w:tcPr>
                  <w:tcW w:w="665" w:type="dxa"/>
                  <w:noWrap w:val="0"/>
                  <w:vAlign w:val="center"/>
                </w:tcPr>
                <w:p w14:paraId="641B0B74">
                  <w:pPr>
                    <w:ind w:left="-50" w:right="-50"/>
                    <w:jc w:val="center"/>
                    <w:rPr>
                      <w:rFonts w:hint="eastAsia"/>
                      <w:bCs/>
                      <w:color w:val="000000"/>
                      <w:szCs w:val="21"/>
                    </w:rPr>
                  </w:pPr>
                  <w:r>
                    <w:rPr>
                      <w:rFonts w:hint="eastAsia"/>
                      <w:bCs/>
                      <w:color w:val="000000"/>
                      <w:szCs w:val="21"/>
                    </w:rPr>
                    <w:t>设备保养</w:t>
                  </w:r>
                </w:p>
              </w:tc>
              <w:tc>
                <w:tcPr>
                  <w:tcW w:w="575" w:type="dxa"/>
                  <w:noWrap w:val="0"/>
                  <w:vAlign w:val="center"/>
                </w:tcPr>
                <w:p w14:paraId="6F7D082D">
                  <w:pPr>
                    <w:ind w:left="-50" w:right="-50"/>
                    <w:jc w:val="center"/>
                    <w:rPr>
                      <w:bCs/>
                      <w:color w:val="000000"/>
                      <w:szCs w:val="21"/>
                    </w:rPr>
                  </w:pPr>
                  <w:r>
                    <w:rPr>
                      <w:bCs/>
                      <w:color w:val="000000"/>
                      <w:szCs w:val="21"/>
                    </w:rPr>
                    <w:t>固态</w:t>
                  </w:r>
                </w:p>
              </w:tc>
              <w:tc>
                <w:tcPr>
                  <w:tcW w:w="701" w:type="dxa"/>
                  <w:noWrap w:val="0"/>
                  <w:vAlign w:val="center"/>
                </w:tcPr>
                <w:p w14:paraId="5B2C21C5">
                  <w:pPr>
                    <w:ind w:left="-50" w:right="-50"/>
                    <w:jc w:val="center"/>
                    <w:rPr>
                      <w:rFonts w:hint="eastAsia"/>
                      <w:bCs/>
                      <w:color w:val="000000"/>
                      <w:szCs w:val="21"/>
                    </w:rPr>
                  </w:pPr>
                  <w:r>
                    <w:rPr>
                      <w:rFonts w:hint="eastAsia"/>
                      <w:bCs/>
                      <w:color w:val="000000"/>
                      <w:szCs w:val="21"/>
                    </w:rPr>
                    <w:t>废矿物油</w:t>
                  </w:r>
                </w:p>
              </w:tc>
              <w:tc>
                <w:tcPr>
                  <w:tcW w:w="886" w:type="dxa"/>
                  <w:noWrap w:val="0"/>
                  <w:vAlign w:val="center"/>
                </w:tcPr>
                <w:p w14:paraId="5A900EB7">
                  <w:pPr>
                    <w:ind w:left="-50" w:right="-50"/>
                    <w:jc w:val="center"/>
                    <w:rPr>
                      <w:rFonts w:hint="eastAsia"/>
                      <w:bCs/>
                      <w:color w:val="000000"/>
                      <w:szCs w:val="21"/>
                    </w:rPr>
                  </w:pPr>
                  <w:r>
                    <w:rPr>
                      <w:rFonts w:hint="eastAsia"/>
                      <w:bCs/>
                      <w:color w:val="000000"/>
                      <w:szCs w:val="21"/>
                    </w:rPr>
                    <w:t>半年/次</w:t>
                  </w:r>
                </w:p>
              </w:tc>
              <w:tc>
                <w:tcPr>
                  <w:tcW w:w="761" w:type="dxa"/>
                  <w:noWrap w:val="0"/>
                  <w:vAlign w:val="center"/>
                </w:tcPr>
                <w:p w14:paraId="476DC6E5">
                  <w:pPr>
                    <w:ind w:left="-50" w:right="-50"/>
                    <w:jc w:val="center"/>
                    <w:rPr>
                      <w:bCs/>
                      <w:color w:val="000000"/>
                      <w:szCs w:val="21"/>
                    </w:rPr>
                  </w:pPr>
                  <w:r>
                    <w:rPr>
                      <w:rFonts w:hint="eastAsia"/>
                      <w:bCs/>
                      <w:color w:val="000000"/>
                      <w:szCs w:val="21"/>
                    </w:rPr>
                    <w:t>T</w:t>
                  </w:r>
                  <w:r>
                    <w:rPr>
                      <w:rFonts w:hint="eastAsia"/>
                      <w:bCs/>
                      <w:color w:val="000000"/>
                      <w:szCs w:val="21"/>
                      <w:lang w:eastAsia="zh-CN"/>
                    </w:rPr>
                    <w:t>,</w:t>
                  </w:r>
                  <w:r>
                    <w:rPr>
                      <w:rFonts w:hint="eastAsia"/>
                      <w:bCs/>
                      <w:color w:val="000000"/>
                      <w:szCs w:val="21"/>
                    </w:rPr>
                    <w:t>I</w:t>
                  </w:r>
                </w:p>
              </w:tc>
              <w:tc>
                <w:tcPr>
                  <w:tcW w:w="1573" w:type="dxa"/>
                  <w:vMerge w:val="continue"/>
                  <w:noWrap w:val="0"/>
                  <w:vAlign w:val="center"/>
                </w:tcPr>
                <w:p w14:paraId="4CCD7C48">
                  <w:pPr>
                    <w:ind w:left="-50" w:right="-50"/>
                    <w:jc w:val="center"/>
                    <w:rPr>
                      <w:bCs/>
                      <w:color w:val="000000"/>
                      <w:szCs w:val="21"/>
                    </w:rPr>
                  </w:pPr>
                </w:p>
              </w:tc>
            </w:tr>
          </w:tbl>
          <w:p w14:paraId="671F0173">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项目危险废物贮存场所（设施）基本情况</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20"/>
              <w:gridCol w:w="1125"/>
              <w:gridCol w:w="810"/>
              <w:gridCol w:w="1320"/>
              <w:gridCol w:w="645"/>
              <w:gridCol w:w="765"/>
              <w:gridCol w:w="945"/>
              <w:gridCol w:w="825"/>
              <w:gridCol w:w="747"/>
            </w:tblGrid>
            <w:tr w14:paraId="096D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42207FC0">
                  <w:pPr>
                    <w:pStyle w:val="5"/>
                    <w:spacing w:line="240" w:lineRule="auto"/>
                    <w:ind w:firstLine="0"/>
                    <w:jc w:val="center"/>
                    <w:rPr>
                      <w:rFonts w:hint="eastAsia"/>
                      <w:color w:val="000000"/>
                      <w:sz w:val="21"/>
                      <w:szCs w:val="21"/>
                    </w:rPr>
                  </w:pPr>
                  <w:r>
                    <w:rPr>
                      <w:rFonts w:hint="eastAsia"/>
                      <w:color w:val="000000"/>
                      <w:sz w:val="21"/>
                      <w:szCs w:val="21"/>
                    </w:rPr>
                    <w:t>序号</w:t>
                  </w:r>
                </w:p>
              </w:tc>
              <w:tc>
                <w:tcPr>
                  <w:tcW w:w="720" w:type="dxa"/>
                  <w:noWrap w:val="0"/>
                  <w:vAlign w:val="center"/>
                </w:tcPr>
                <w:p w14:paraId="79688070">
                  <w:pPr>
                    <w:pStyle w:val="5"/>
                    <w:spacing w:line="240" w:lineRule="auto"/>
                    <w:ind w:firstLine="0"/>
                    <w:jc w:val="center"/>
                    <w:rPr>
                      <w:rFonts w:hint="eastAsia"/>
                      <w:color w:val="000000"/>
                      <w:sz w:val="21"/>
                      <w:szCs w:val="21"/>
                    </w:rPr>
                  </w:pPr>
                  <w:r>
                    <w:rPr>
                      <w:rFonts w:hint="eastAsia"/>
                      <w:color w:val="000000"/>
                      <w:sz w:val="21"/>
                      <w:szCs w:val="21"/>
                    </w:rPr>
                    <w:t>贮存场所</w:t>
                  </w:r>
                </w:p>
              </w:tc>
              <w:tc>
                <w:tcPr>
                  <w:tcW w:w="1125" w:type="dxa"/>
                  <w:noWrap w:val="0"/>
                  <w:vAlign w:val="center"/>
                </w:tcPr>
                <w:p w14:paraId="4B525B45">
                  <w:pPr>
                    <w:pStyle w:val="5"/>
                    <w:spacing w:line="240" w:lineRule="auto"/>
                    <w:ind w:firstLine="0"/>
                    <w:jc w:val="center"/>
                    <w:rPr>
                      <w:rFonts w:hint="eastAsia"/>
                      <w:color w:val="000000"/>
                      <w:sz w:val="21"/>
                      <w:szCs w:val="21"/>
                    </w:rPr>
                  </w:pPr>
                  <w:r>
                    <w:rPr>
                      <w:rFonts w:hint="eastAsia"/>
                      <w:color w:val="000000"/>
                      <w:sz w:val="21"/>
                      <w:szCs w:val="21"/>
                    </w:rPr>
                    <w:t>危险废物名称</w:t>
                  </w:r>
                </w:p>
              </w:tc>
              <w:tc>
                <w:tcPr>
                  <w:tcW w:w="810" w:type="dxa"/>
                  <w:noWrap w:val="0"/>
                  <w:vAlign w:val="center"/>
                </w:tcPr>
                <w:p w14:paraId="778323B8">
                  <w:pPr>
                    <w:pStyle w:val="5"/>
                    <w:spacing w:line="240" w:lineRule="auto"/>
                    <w:ind w:firstLine="0"/>
                    <w:jc w:val="center"/>
                    <w:rPr>
                      <w:rFonts w:hint="eastAsia"/>
                      <w:color w:val="000000"/>
                      <w:sz w:val="21"/>
                      <w:szCs w:val="21"/>
                    </w:rPr>
                  </w:pPr>
                  <w:r>
                    <w:rPr>
                      <w:rFonts w:hint="eastAsia"/>
                      <w:color w:val="000000"/>
                      <w:sz w:val="21"/>
                      <w:szCs w:val="21"/>
                    </w:rPr>
                    <w:t>危险废物类别</w:t>
                  </w:r>
                </w:p>
              </w:tc>
              <w:tc>
                <w:tcPr>
                  <w:tcW w:w="1320" w:type="dxa"/>
                  <w:noWrap w:val="0"/>
                  <w:vAlign w:val="center"/>
                </w:tcPr>
                <w:p w14:paraId="112B2763">
                  <w:pPr>
                    <w:pStyle w:val="5"/>
                    <w:spacing w:line="240" w:lineRule="auto"/>
                    <w:ind w:firstLine="0"/>
                    <w:jc w:val="center"/>
                    <w:rPr>
                      <w:rFonts w:hint="eastAsia"/>
                      <w:color w:val="000000"/>
                      <w:sz w:val="21"/>
                      <w:szCs w:val="21"/>
                    </w:rPr>
                  </w:pPr>
                  <w:r>
                    <w:rPr>
                      <w:rFonts w:hint="eastAsia"/>
                      <w:color w:val="000000"/>
                      <w:sz w:val="21"/>
                      <w:szCs w:val="21"/>
                    </w:rPr>
                    <w:t>危险废物</w:t>
                  </w:r>
                </w:p>
                <w:p w14:paraId="2B03DFF2">
                  <w:pPr>
                    <w:pStyle w:val="5"/>
                    <w:spacing w:line="240" w:lineRule="auto"/>
                    <w:ind w:firstLine="0"/>
                    <w:jc w:val="center"/>
                    <w:rPr>
                      <w:rFonts w:hint="eastAsia"/>
                      <w:color w:val="000000"/>
                      <w:sz w:val="21"/>
                      <w:szCs w:val="21"/>
                    </w:rPr>
                  </w:pPr>
                  <w:r>
                    <w:rPr>
                      <w:rFonts w:hint="eastAsia"/>
                      <w:color w:val="000000"/>
                      <w:sz w:val="21"/>
                      <w:szCs w:val="21"/>
                    </w:rPr>
                    <w:t>代码</w:t>
                  </w:r>
                </w:p>
              </w:tc>
              <w:tc>
                <w:tcPr>
                  <w:tcW w:w="645" w:type="dxa"/>
                  <w:noWrap w:val="0"/>
                  <w:vAlign w:val="center"/>
                </w:tcPr>
                <w:p w14:paraId="495C25FE">
                  <w:pPr>
                    <w:pStyle w:val="5"/>
                    <w:spacing w:line="240" w:lineRule="auto"/>
                    <w:ind w:firstLine="0"/>
                    <w:jc w:val="center"/>
                    <w:rPr>
                      <w:rFonts w:hint="eastAsia"/>
                      <w:color w:val="000000"/>
                      <w:sz w:val="21"/>
                      <w:szCs w:val="21"/>
                    </w:rPr>
                  </w:pPr>
                  <w:r>
                    <w:rPr>
                      <w:rFonts w:hint="eastAsia"/>
                      <w:color w:val="000000"/>
                      <w:sz w:val="21"/>
                      <w:szCs w:val="21"/>
                    </w:rPr>
                    <w:t>位置</w:t>
                  </w:r>
                </w:p>
              </w:tc>
              <w:tc>
                <w:tcPr>
                  <w:tcW w:w="765" w:type="dxa"/>
                  <w:noWrap w:val="0"/>
                  <w:vAlign w:val="center"/>
                </w:tcPr>
                <w:p w14:paraId="23D331B1">
                  <w:pPr>
                    <w:pStyle w:val="5"/>
                    <w:spacing w:line="240" w:lineRule="auto"/>
                    <w:ind w:firstLine="0"/>
                    <w:jc w:val="center"/>
                    <w:rPr>
                      <w:rFonts w:hint="eastAsia"/>
                      <w:color w:val="000000"/>
                      <w:sz w:val="21"/>
                      <w:szCs w:val="21"/>
                    </w:rPr>
                  </w:pPr>
                  <w:r>
                    <w:rPr>
                      <w:rFonts w:hint="eastAsia"/>
                      <w:color w:val="000000"/>
                      <w:sz w:val="21"/>
                      <w:szCs w:val="21"/>
                    </w:rPr>
                    <w:t>占地面积</w:t>
                  </w:r>
                </w:p>
              </w:tc>
              <w:tc>
                <w:tcPr>
                  <w:tcW w:w="945" w:type="dxa"/>
                  <w:noWrap w:val="0"/>
                  <w:vAlign w:val="center"/>
                </w:tcPr>
                <w:p w14:paraId="46C916CD">
                  <w:pPr>
                    <w:pStyle w:val="5"/>
                    <w:spacing w:line="240" w:lineRule="auto"/>
                    <w:ind w:firstLine="0"/>
                    <w:jc w:val="center"/>
                    <w:rPr>
                      <w:rFonts w:hint="eastAsia"/>
                      <w:color w:val="000000"/>
                      <w:sz w:val="21"/>
                      <w:szCs w:val="21"/>
                    </w:rPr>
                  </w:pPr>
                  <w:r>
                    <w:rPr>
                      <w:rFonts w:hint="eastAsia"/>
                      <w:color w:val="000000"/>
                      <w:sz w:val="21"/>
                      <w:szCs w:val="21"/>
                    </w:rPr>
                    <w:t>贮存方式</w:t>
                  </w:r>
                </w:p>
              </w:tc>
              <w:tc>
                <w:tcPr>
                  <w:tcW w:w="825" w:type="dxa"/>
                  <w:noWrap w:val="0"/>
                  <w:vAlign w:val="center"/>
                </w:tcPr>
                <w:p w14:paraId="6E825352">
                  <w:pPr>
                    <w:pStyle w:val="5"/>
                    <w:spacing w:line="240" w:lineRule="auto"/>
                    <w:ind w:firstLine="0"/>
                    <w:jc w:val="center"/>
                    <w:rPr>
                      <w:rFonts w:hint="eastAsia"/>
                      <w:color w:val="000000"/>
                      <w:sz w:val="21"/>
                      <w:szCs w:val="21"/>
                    </w:rPr>
                  </w:pPr>
                  <w:r>
                    <w:rPr>
                      <w:rFonts w:hint="eastAsia"/>
                      <w:color w:val="000000"/>
                      <w:sz w:val="21"/>
                      <w:szCs w:val="21"/>
                    </w:rPr>
                    <w:t>贮存能力</w:t>
                  </w:r>
                </w:p>
              </w:tc>
              <w:tc>
                <w:tcPr>
                  <w:tcW w:w="747" w:type="dxa"/>
                  <w:noWrap w:val="0"/>
                  <w:vAlign w:val="center"/>
                </w:tcPr>
                <w:p w14:paraId="64C6ABE1">
                  <w:pPr>
                    <w:pStyle w:val="5"/>
                    <w:spacing w:line="240" w:lineRule="auto"/>
                    <w:ind w:firstLine="0"/>
                    <w:jc w:val="center"/>
                    <w:rPr>
                      <w:rFonts w:hint="eastAsia"/>
                      <w:color w:val="000000"/>
                      <w:sz w:val="21"/>
                      <w:szCs w:val="21"/>
                    </w:rPr>
                  </w:pPr>
                  <w:r>
                    <w:rPr>
                      <w:rFonts w:hint="eastAsia"/>
                      <w:color w:val="000000"/>
                      <w:sz w:val="21"/>
                      <w:szCs w:val="21"/>
                    </w:rPr>
                    <w:t>贮存周期</w:t>
                  </w:r>
                </w:p>
              </w:tc>
            </w:tr>
            <w:tr w14:paraId="3B92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334E4EF1">
                  <w:pPr>
                    <w:pStyle w:val="5"/>
                    <w:spacing w:line="240" w:lineRule="auto"/>
                    <w:ind w:firstLine="0"/>
                    <w:jc w:val="center"/>
                    <w:rPr>
                      <w:color w:val="000000"/>
                      <w:sz w:val="21"/>
                      <w:szCs w:val="21"/>
                    </w:rPr>
                  </w:pPr>
                  <w:r>
                    <w:rPr>
                      <w:rFonts w:hint="eastAsia"/>
                      <w:color w:val="000000"/>
                      <w:sz w:val="21"/>
                      <w:szCs w:val="21"/>
                    </w:rPr>
                    <w:t>1</w:t>
                  </w:r>
                </w:p>
              </w:tc>
              <w:tc>
                <w:tcPr>
                  <w:tcW w:w="720" w:type="dxa"/>
                  <w:vMerge w:val="restart"/>
                  <w:noWrap w:val="0"/>
                  <w:vAlign w:val="center"/>
                </w:tcPr>
                <w:p w14:paraId="13CAED9A">
                  <w:pPr>
                    <w:pStyle w:val="5"/>
                    <w:spacing w:line="240" w:lineRule="auto"/>
                    <w:ind w:firstLine="0"/>
                    <w:jc w:val="center"/>
                    <w:rPr>
                      <w:rFonts w:hint="eastAsia"/>
                      <w:color w:val="000000"/>
                      <w:sz w:val="21"/>
                      <w:szCs w:val="21"/>
                    </w:rPr>
                  </w:pPr>
                  <w:r>
                    <w:rPr>
                      <w:rFonts w:hint="eastAsia"/>
                      <w:color w:val="000000"/>
                      <w:sz w:val="21"/>
                      <w:szCs w:val="21"/>
                    </w:rPr>
                    <w:t>危废暂存间</w:t>
                  </w:r>
                </w:p>
              </w:tc>
              <w:tc>
                <w:tcPr>
                  <w:tcW w:w="1125" w:type="dxa"/>
                  <w:noWrap w:val="0"/>
                  <w:vAlign w:val="center"/>
                </w:tcPr>
                <w:p w14:paraId="4B56BB09">
                  <w:pPr>
                    <w:ind w:left="-105" w:leftChars="-50" w:right="-105" w:rightChars="-50"/>
                    <w:jc w:val="center"/>
                    <w:rPr>
                      <w:rFonts w:hint="eastAsia"/>
                      <w:color w:val="000000"/>
                      <w:szCs w:val="21"/>
                    </w:rPr>
                  </w:pPr>
                  <w:r>
                    <w:rPr>
                      <w:rFonts w:hint="eastAsia"/>
                      <w:bCs/>
                      <w:color w:val="000000"/>
                      <w:szCs w:val="21"/>
                    </w:rPr>
                    <w:t>废</w:t>
                  </w:r>
                  <w:r>
                    <w:rPr>
                      <w:rFonts w:hint="eastAsia"/>
                      <w:bCs/>
                      <w:color w:val="000000"/>
                      <w:szCs w:val="21"/>
                      <w:lang w:val="en-US" w:eastAsia="zh-CN"/>
                    </w:rPr>
                    <w:t>机油/</w:t>
                  </w:r>
                  <w:r>
                    <w:rPr>
                      <w:rFonts w:hint="eastAsia"/>
                      <w:bCs/>
                      <w:color w:val="000000"/>
                      <w:szCs w:val="21"/>
                      <w:lang w:eastAsia="zh-CN"/>
                    </w:rPr>
                    <w:t>润滑油</w:t>
                  </w:r>
                </w:p>
              </w:tc>
              <w:tc>
                <w:tcPr>
                  <w:tcW w:w="810" w:type="dxa"/>
                  <w:noWrap w:val="0"/>
                  <w:vAlign w:val="center"/>
                </w:tcPr>
                <w:p w14:paraId="0EBADC69">
                  <w:pPr>
                    <w:ind w:left="-50" w:leftChars="0" w:right="-50" w:rightChars="0"/>
                    <w:jc w:val="center"/>
                    <w:rPr>
                      <w:rFonts w:hint="eastAsia"/>
                      <w:color w:val="000000"/>
                      <w:szCs w:val="21"/>
                    </w:rPr>
                  </w:pPr>
                  <w:r>
                    <w:rPr>
                      <w:bCs/>
                      <w:color w:val="000000"/>
                      <w:szCs w:val="21"/>
                    </w:rPr>
                    <w:t>HW</w:t>
                  </w:r>
                  <w:r>
                    <w:rPr>
                      <w:rFonts w:hint="eastAsia"/>
                      <w:bCs/>
                      <w:color w:val="000000"/>
                      <w:szCs w:val="21"/>
                    </w:rPr>
                    <w:t>08</w:t>
                  </w:r>
                </w:p>
              </w:tc>
              <w:tc>
                <w:tcPr>
                  <w:tcW w:w="1320" w:type="dxa"/>
                  <w:noWrap w:val="0"/>
                  <w:vAlign w:val="center"/>
                </w:tcPr>
                <w:p w14:paraId="4E9E3D9A">
                  <w:pPr>
                    <w:ind w:left="-50" w:leftChars="0" w:right="-50" w:rightChars="0"/>
                    <w:jc w:val="center"/>
                    <w:rPr>
                      <w:rFonts w:hint="eastAsia"/>
                      <w:color w:val="000000"/>
                      <w:szCs w:val="21"/>
                    </w:rPr>
                  </w:pPr>
                  <w:r>
                    <w:rPr>
                      <w:bCs/>
                      <w:color w:val="000000"/>
                      <w:szCs w:val="21"/>
                    </w:rPr>
                    <w:t>900-214-08</w:t>
                  </w:r>
                </w:p>
              </w:tc>
              <w:tc>
                <w:tcPr>
                  <w:tcW w:w="645" w:type="dxa"/>
                  <w:vMerge w:val="restart"/>
                  <w:noWrap w:val="0"/>
                  <w:vAlign w:val="center"/>
                </w:tcPr>
                <w:p w14:paraId="491E8B93">
                  <w:pPr>
                    <w:pStyle w:val="5"/>
                    <w:spacing w:line="240" w:lineRule="auto"/>
                    <w:ind w:firstLine="0"/>
                    <w:jc w:val="center"/>
                    <w:rPr>
                      <w:rFonts w:hint="default" w:eastAsia="宋体"/>
                      <w:color w:val="000000"/>
                      <w:sz w:val="21"/>
                      <w:szCs w:val="21"/>
                      <w:lang w:val="en-US" w:eastAsia="zh-CN"/>
                    </w:rPr>
                  </w:pPr>
                  <w:r>
                    <w:rPr>
                      <w:rFonts w:hint="eastAsia"/>
                      <w:color w:val="000000"/>
                      <w:sz w:val="21"/>
                      <w:szCs w:val="21"/>
                      <w:lang w:eastAsia="zh-CN"/>
                    </w:rPr>
                    <w:t>位于</w:t>
                  </w:r>
                  <w:r>
                    <w:rPr>
                      <w:rFonts w:hint="eastAsia"/>
                      <w:color w:val="000000"/>
                      <w:sz w:val="21"/>
                      <w:szCs w:val="21"/>
                      <w:lang w:val="en-US" w:eastAsia="zh-CN"/>
                    </w:rPr>
                    <w:t>2#车间北侧</w:t>
                  </w:r>
                </w:p>
              </w:tc>
              <w:tc>
                <w:tcPr>
                  <w:tcW w:w="765" w:type="dxa"/>
                  <w:vMerge w:val="restart"/>
                  <w:noWrap w:val="0"/>
                  <w:vAlign w:val="center"/>
                </w:tcPr>
                <w:p w14:paraId="6D9EFDD5">
                  <w:pPr>
                    <w:pStyle w:val="5"/>
                    <w:spacing w:line="240" w:lineRule="auto"/>
                    <w:ind w:firstLine="0"/>
                    <w:jc w:val="center"/>
                    <w:rPr>
                      <w:color w:val="000000"/>
                      <w:sz w:val="21"/>
                      <w:szCs w:val="21"/>
                    </w:rPr>
                  </w:pPr>
                  <w:r>
                    <w:rPr>
                      <w:rFonts w:hint="eastAsia"/>
                      <w:color w:val="000000"/>
                      <w:sz w:val="21"/>
                      <w:szCs w:val="21"/>
                    </w:rPr>
                    <w:t>占地面积</w:t>
                  </w:r>
                  <w:r>
                    <w:rPr>
                      <w:rFonts w:hint="eastAsia"/>
                      <w:color w:val="000000"/>
                      <w:sz w:val="21"/>
                      <w:szCs w:val="21"/>
                      <w:lang w:val="en-US" w:eastAsia="zh-CN"/>
                    </w:rPr>
                    <w:t>25</w:t>
                  </w:r>
                  <w:r>
                    <w:rPr>
                      <w:rFonts w:hint="eastAsia"/>
                      <w:color w:val="000000"/>
                      <w:sz w:val="21"/>
                      <w:szCs w:val="21"/>
                    </w:rPr>
                    <w:t>m</w:t>
                  </w:r>
                  <w:r>
                    <w:rPr>
                      <w:rFonts w:hint="eastAsia"/>
                      <w:color w:val="000000"/>
                      <w:sz w:val="21"/>
                      <w:szCs w:val="21"/>
                      <w:vertAlign w:val="superscript"/>
                    </w:rPr>
                    <w:t>2</w:t>
                  </w:r>
                </w:p>
              </w:tc>
              <w:tc>
                <w:tcPr>
                  <w:tcW w:w="945" w:type="dxa"/>
                  <w:noWrap w:val="0"/>
                  <w:vAlign w:val="center"/>
                </w:tcPr>
                <w:p w14:paraId="40D4ABBF">
                  <w:pPr>
                    <w:pStyle w:val="5"/>
                    <w:spacing w:line="240" w:lineRule="auto"/>
                    <w:ind w:firstLine="0"/>
                    <w:jc w:val="center"/>
                    <w:rPr>
                      <w:rFonts w:hint="eastAsia"/>
                      <w:color w:val="000000"/>
                      <w:sz w:val="21"/>
                      <w:szCs w:val="21"/>
                    </w:rPr>
                  </w:pPr>
                  <w:r>
                    <w:rPr>
                      <w:rFonts w:hint="eastAsia"/>
                      <w:color w:val="000000"/>
                      <w:sz w:val="21"/>
                      <w:szCs w:val="21"/>
                    </w:rPr>
                    <w:t>桶装</w:t>
                  </w:r>
                </w:p>
              </w:tc>
              <w:tc>
                <w:tcPr>
                  <w:tcW w:w="825" w:type="dxa"/>
                  <w:vMerge w:val="restart"/>
                  <w:noWrap w:val="0"/>
                  <w:vAlign w:val="center"/>
                </w:tcPr>
                <w:p w14:paraId="022BE855">
                  <w:pPr>
                    <w:pStyle w:val="5"/>
                    <w:spacing w:line="240" w:lineRule="auto"/>
                    <w:ind w:firstLine="0"/>
                    <w:jc w:val="center"/>
                    <w:rPr>
                      <w:rFonts w:hint="default" w:eastAsia="宋体"/>
                      <w:color w:val="000000"/>
                      <w:sz w:val="21"/>
                      <w:szCs w:val="21"/>
                      <w:lang w:val="en-US" w:eastAsia="zh-CN"/>
                    </w:rPr>
                  </w:pPr>
                  <w:r>
                    <w:rPr>
                      <w:rFonts w:hint="eastAsia"/>
                      <w:color w:val="000000"/>
                      <w:sz w:val="21"/>
                      <w:szCs w:val="21"/>
                      <w:lang w:val="en-US" w:eastAsia="zh-CN"/>
                    </w:rPr>
                    <w:t>12.5吨</w:t>
                  </w:r>
                </w:p>
              </w:tc>
              <w:tc>
                <w:tcPr>
                  <w:tcW w:w="747" w:type="dxa"/>
                  <w:noWrap w:val="0"/>
                  <w:vAlign w:val="center"/>
                </w:tcPr>
                <w:p w14:paraId="73CBCF3D">
                  <w:pPr>
                    <w:pStyle w:val="5"/>
                    <w:spacing w:line="240" w:lineRule="auto"/>
                    <w:ind w:firstLine="0"/>
                    <w:jc w:val="center"/>
                    <w:rPr>
                      <w:rFonts w:hint="eastAsia" w:eastAsia="宋体"/>
                      <w:color w:val="000000"/>
                      <w:sz w:val="21"/>
                      <w:szCs w:val="21"/>
                      <w:lang w:eastAsia="zh-CN"/>
                    </w:rPr>
                  </w:pPr>
                  <w:r>
                    <w:rPr>
                      <w:rFonts w:hint="eastAsia"/>
                      <w:color w:val="000000"/>
                      <w:sz w:val="21"/>
                      <w:szCs w:val="21"/>
                      <w:lang w:val="en-US" w:eastAsia="zh-CN"/>
                    </w:rPr>
                    <w:t>一年</w:t>
                  </w:r>
                </w:p>
              </w:tc>
            </w:tr>
            <w:tr w14:paraId="60A9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9" w:type="dxa"/>
                  <w:noWrap w:val="0"/>
                  <w:vAlign w:val="center"/>
                </w:tcPr>
                <w:p w14:paraId="29CC73B6">
                  <w:pPr>
                    <w:pStyle w:val="5"/>
                    <w:spacing w:line="240" w:lineRule="auto"/>
                    <w:ind w:firstLine="0"/>
                    <w:jc w:val="center"/>
                    <w:rPr>
                      <w:rFonts w:hint="eastAsia"/>
                      <w:color w:val="000000"/>
                      <w:sz w:val="21"/>
                      <w:szCs w:val="21"/>
                    </w:rPr>
                  </w:pPr>
                  <w:r>
                    <w:rPr>
                      <w:rFonts w:hint="eastAsia"/>
                      <w:color w:val="000000"/>
                      <w:sz w:val="21"/>
                      <w:szCs w:val="21"/>
                    </w:rPr>
                    <w:t>2</w:t>
                  </w:r>
                </w:p>
              </w:tc>
              <w:tc>
                <w:tcPr>
                  <w:tcW w:w="720" w:type="dxa"/>
                  <w:vMerge w:val="continue"/>
                  <w:noWrap w:val="0"/>
                  <w:vAlign w:val="center"/>
                </w:tcPr>
                <w:p w14:paraId="7F87B8E7">
                  <w:pPr>
                    <w:pStyle w:val="5"/>
                    <w:spacing w:line="240" w:lineRule="auto"/>
                    <w:ind w:firstLine="0"/>
                    <w:jc w:val="center"/>
                    <w:rPr>
                      <w:rFonts w:hint="eastAsia"/>
                      <w:color w:val="000000"/>
                      <w:sz w:val="21"/>
                      <w:szCs w:val="21"/>
                    </w:rPr>
                  </w:pPr>
                </w:p>
              </w:tc>
              <w:tc>
                <w:tcPr>
                  <w:tcW w:w="1125" w:type="dxa"/>
                  <w:noWrap w:val="0"/>
                  <w:vAlign w:val="center"/>
                </w:tcPr>
                <w:p w14:paraId="5C47F15F">
                  <w:pPr>
                    <w:ind w:left="-105" w:leftChars="-50" w:right="-105" w:rightChars="-50"/>
                    <w:jc w:val="center"/>
                    <w:rPr>
                      <w:rFonts w:hint="eastAsia"/>
                      <w:bCs/>
                      <w:color w:val="000000"/>
                      <w:szCs w:val="21"/>
                    </w:rPr>
                  </w:pPr>
                  <w:r>
                    <w:rPr>
                      <w:rFonts w:hint="eastAsia"/>
                      <w:bCs/>
                      <w:color w:val="000000"/>
                      <w:szCs w:val="21"/>
                    </w:rPr>
                    <w:t>含油手套、抹布等</w:t>
                  </w:r>
                </w:p>
              </w:tc>
              <w:tc>
                <w:tcPr>
                  <w:tcW w:w="810" w:type="dxa"/>
                  <w:noWrap w:val="0"/>
                  <w:vAlign w:val="center"/>
                </w:tcPr>
                <w:p w14:paraId="7376CFDC">
                  <w:pPr>
                    <w:ind w:left="-50" w:leftChars="0" w:right="-50" w:rightChars="0"/>
                    <w:jc w:val="center"/>
                    <w:rPr>
                      <w:rFonts w:hint="default" w:eastAsia="宋体"/>
                      <w:bCs/>
                      <w:color w:val="000000"/>
                      <w:szCs w:val="21"/>
                      <w:lang w:val="en-US" w:eastAsia="zh-CN"/>
                    </w:rPr>
                  </w:pPr>
                  <w:r>
                    <w:rPr>
                      <w:bCs/>
                      <w:color w:val="000000"/>
                      <w:szCs w:val="21"/>
                    </w:rPr>
                    <w:t>HW</w:t>
                  </w:r>
                  <w:r>
                    <w:rPr>
                      <w:rFonts w:hint="eastAsia"/>
                      <w:bCs/>
                      <w:color w:val="000000"/>
                      <w:szCs w:val="21"/>
                      <w:lang w:val="en-US" w:eastAsia="zh-CN"/>
                    </w:rPr>
                    <w:t>49</w:t>
                  </w:r>
                </w:p>
              </w:tc>
              <w:tc>
                <w:tcPr>
                  <w:tcW w:w="1320" w:type="dxa"/>
                  <w:noWrap w:val="0"/>
                  <w:vAlign w:val="center"/>
                </w:tcPr>
                <w:p w14:paraId="00E31B91">
                  <w:pPr>
                    <w:ind w:left="-50" w:leftChars="0" w:right="-50" w:rightChars="0"/>
                    <w:jc w:val="center"/>
                    <w:rPr>
                      <w:bCs/>
                      <w:color w:val="000000"/>
                      <w:szCs w:val="21"/>
                    </w:rPr>
                  </w:pPr>
                  <w:r>
                    <w:rPr>
                      <w:rFonts w:hint="eastAsia"/>
                      <w:bCs/>
                      <w:color w:val="000000"/>
                      <w:szCs w:val="21"/>
                    </w:rPr>
                    <w:t>900-</w:t>
                  </w:r>
                  <w:r>
                    <w:rPr>
                      <w:rFonts w:hint="eastAsia"/>
                      <w:bCs/>
                      <w:color w:val="000000"/>
                      <w:szCs w:val="21"/>
                      <w:lang w:val="en-US" w:eastAsia="zh-CN"/>
                    </w:rPr>
                    <w:t>041</w:t>
                  </w:r>
                  <w:r>
                    <w:rPr>
                      <w:rFonts w:hint="eastAsia"/>
                      <w:bCs/>
                      <w:color w:val="000000"/>
                      <w:szCs w:val="21"/>
                    </w:rPr>
                    <w:t>-</w:t>
                  </w:r>
                  <w:r>
                    <w:rPr>
                      <w:rFonts w:hint="eastAsia"/>
                      <w:bCs/>
                      <w:color w:val="000000"/>
                      <w:szCs w:val="21"/>
                      <w:lang w:val="en-US" w:eastAsia="zh-CN"/>
                    </w:rPr>
                    <w:t>49</w:t>
                  </w:r>
                </w:p>
              </w:tc>
              <w:tc>
                <w:tcPr>
                  <w:tcW w:w="645" w:type="dxa"/>
                  <w:vMerge w:val="continue"/>
                  <w:noWrap w:val="0"/>
                  <w:vAlign w:val="center"/>
                </w:tcPr>
                <w:p w14:paraId="4F3B1CB3">
                  <w:pPr>
                    <w:pStyle w:val="5"/>
                    <w:spacing w:line="240" w:lineRule="auto"/>
                    <w:ind w:firstLine="0"/>
                    <w:jc w:val="center"/>
                    <w:rPr>
                      <w:rFonts w:hint="eastAsia"/>
                      <w:color w:val="000000"/>
                      <w:sz w:val="21"/>
                      <w:szCs w:val="21"/>
                    </w:rPr>
                  </w:pPr>
                </w:p>
              </w:tc>
              <w:tc>
                <w:tcPr>
                  <w:tcW w:w="765" w:type="dxa"/>
                  <w:vMerge w:val="continue"/>
                  <w:noWrap w:val="0"/>
                  <w:vAlign w:val="center"/>
                </w:tcPr>
                <w:p w14:paraId="4ADC8157">
                  <w:pPr>
                    <w:pStyle w:val="5"/>
                    <w:spacing w:line="240" w:lineRule="auto"/>
                    <w:ind w:firstLine="0"/>
                    <w:jc w:val="center"/>
                    <w:rPr>
                      <w:rFonts w:hint="eastAsia"/>
                      <w:color w:val="000000"/>
                      <w:sz w:val="21"/>
                      <w:szCs w:val="21"/>
                    </w:rPr>
                  </w:pPr>
                </w:p>
              </w:tc>
              <w:tc>
                <w:tcPr>
                  <w:tcW w:w="945" w:type="dxa"/>
                  <w:noWrap w:val="0"/>
                  <w:vAlign w:val="center"/>
                </w:tcPr>
                <w:p w14:paraId="33726056">
                  <w:pPr>
                    <w:pStyle w:val="5"/>
                    <w:spacing w:line="240" w:lineRule="auto"/>
                    <w:ind w:firstLine="0"/>
                    <w:jc w:val="center"/>
                    <w:rPr>
                      <w:rFonts w:hint="eastAsia"/>
                      <w:color w:val="000000"/>
                      <w:sz w:val="21"/>
                      <w:szCs w:val="21"/>
                    </w:rPr>
                  </w:pPr>
                  <w:r>
                    <w:rPr>
                      <w:rFonts w:hint="eastAsia"/>
                      <w:color w:val="000000"/>
                      <w:sz w:val="21"/>
                      <w:szCs w:val="21"/>
                    </w:rPr>
                    <w:t>袋装</w:t>
                  </w:r>
                </w:p>
              </w:tc>
              <w:tc>
                <w:tcPr>
                  <w:tcW w:w="825" w:type="dxa"/>
                  <w:vMerge w:val="continue"/>
                  <w:noWrap w:val="0"/>
                  <w:vAlign w:val="center"/>
                </w:tcPr>
                <w:p w14:paraId="02661D59">
                  <w:pPr>
                    <w:pStyle w:val="5"/>
                    <w:spacing w:line="240" w:lineRule="auto"/>
                    <w:ind w:firstLine="0"/>
                    <w:jc w:val="center"/>
                    <w:rPr>
                      <w:rFonts w:hint="eastAsia"/>
                      <w:color w:val="000000"/>
                      <w:sz w:val="21"/>
                      <w:szCs w:val="21"/>
                    </w:rPr>
                  </w:pPr>
                </w:p>
              </w:tc>
              <w:tc>
                <w:tcPr>
                  <w:tcW w:w="747" w:type="dxa"/>
                  <w:noWrap w:val="0"/>
                  <w:vAlign w:val="center"/>
                </w:tcPr>
                <w:p w14:paraId="33F1D8CB">
                  <w:pPr>
                    <w:pStyle w:val="5"/>
                    <w:spacing w:line="240" w:lineRule="auto"/>
                    <w:ind w:firstLine="0"/>
                    <w:jc w:val="center"/>
                    <w:rPr>
                      <w:rFonts w:hint="default" w:eastAsia="宋体"/>
                      <w:color w:val="000000"/>
                      <w:sz w:val="21"/>
                      <w:szCs w:val="21"/>
                      <w:lang w:val="en-US" w:eastAsia="zh-CN"/>
                    </w:rPr>
                  </w:pPr>
                  <w:r>
                    <w:rPr>
                      <w:rFonts w:hint="eastAsia"/>
                      <w:color w:val="000000"/>
                      <w:sz w:val="21"/>
                      <w:szCs w:val="21"/>
                      <w:lang w:val="en-US" w:eastAsia="zh-CN"/>
                    </w:rPr>
                    <w:t>一年</w:t>
                  </w:r>
                </w:p>
              </w:tc>
            </w:tr>
            <w:tr w14:paraId="6343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6C6B1E5D">
                  <w:pPr>
                    <w:pStyle w:val="5"/>
                    <w:spacing w:line="240" w:lineRule="auto"/>
                    <w:ind w:firstLine="0"/>
                    <w:jc w:val="center"/>
                    <w:rPr>
                      <w:rFonts w:hint="eastAsia" w:eastAsia="宋体"/>
                      <w:color w:val="000000"/>
                      <w:sz w:val="21"/>
                      <w:szCs w:val="21"/>
                      <w:lang w:eastAsia="zh-CN"/>
                    </w:rPr>
                  </w:pPr>
                  <w:r>
                    <w:rPr>
                      <w:rFonts w:hint="eastAsia"/>
                      <w:color w:val="000000"/>
                      <w:sz w:val="21"/>
                      <w:szCs w:val="21"/>
                      <w:lang w:val="en-US" w:eastAsia="zh-CN"/>
                    </w:rPr>
                    <w:t>3</w:t>
                  </w:r>
                </w:p>
              </w:tc>
              <w:tc>
                <w:tcPr>
                  <w:tcW w:w="720" w:type="dxa"/>
                  <w:vMerge w:val="continue"/>
                  <w:noWrap w:val="0"/>
                  <w:vAlign w:val="center"/>
                </w:tcPr>
                <w:p w14:paraId="1D8B71D0">
                  <w:pPr>
                    <w:pStyle w:val="5"/>
                    <w:spacing w:line="240" w:lineRule="auto"/>
                    <w:ind w:firstLine="0"/>
                    <w:jc w:val="center"/>
                    <w:rPr>
                      <w:rFonts w:hint="eastAsia"/>
                      <w:color w:val="000000"/>
                      <w:sz w:val="21"/>
                      <w:szCs w:val="21"/>
                    </w:rPr>
                  </w:pPr>
                </w:p>
              </w:tc>
              <w:tc>
                <w:tcPr>
                  <w:tcW w:w="1125" w:type="dxa"/>
                  <w:noWrap w:val="0"/>
                  <w:vAlign w:val="center"/>
                </w:tcPr>
                <w:p w14:paraId="0500AB59">
                  <w:pPr>
                    <w:ind w:left="-105" w:leftChars="-50" w:right="-105" w:rightChars="-50"/>
                    <w:jc w:val="center"/>
                    <w:rPr>
                      <w:rFonts w:hint="eastAsia"/>
                      <w:color w:val="000000"/>
                      <w:szCs w:val="21"/>
                    </w:rPr>
                  </w:pPr>
                  <w:r>
                    <w:rPr>
                      <w:rFonts w:hint="eastAsia"/>
                      <w:bCs/>
                      <w:color w:val="000000"/>
                      <w:szCs w:val="21"/>
                    </w:rPr>
                    <w:t>废</w:t>
                  </w:r>
                  <w:r>
                    <w:rPr>
                      <w:rFonts w:hint="eastAsia"/>
                      <w:bCs/>
                      <w:color w:val="000000"/>
                      <w:szCs w:val="21"/>
                      <w:lang w:val="en-US" w:eastAsia="zh-CN"/>
                    </w:rPr>
                    <w:t>机油/</w:t>
                  </w:r>
                  <w:r>
                    <w:rPr>
                      <w:rFonts w:hint="eastAsia"/>
                      <w:bCs/>
                      <w:color w:val="000000"/>
                      <w:szCs w:val="21"/>
                    </w:rPr>
                    <w:t>润滑油桶</w:t>
                  </w:r>
                </w:p>
              </w:tc>
              <w:tc>
                <w:tcPr>
                  <w:tcW w:w="810" w:type="dxa"/>
                  <w:noWrap w:val="0"/>
                  <w:vAlign w:val="center"/>
                </w:tcPr>
                <w:p w14:paraId="10A5B988">
                  <w:pPr>
                    <w:ind w:left="-50" w:leftChars="0" w:right="-50" w:rightChars="0"/>
                    <w:jc w:val="center"/>
                    <w:rPr>
                      <w:rFonts w:hint="eastAsia"/>
                      <w:color w:val="000000"/>
                      <w:szCs w:val="21"/>
                    </w:rPr>
                  </w:pPr>
                  <w:r>
                    <w:rPr>
                      <w:bCs/>
                      <w:color w:val="000000"/>
                      <w:szCs w:val="21"/>
                    </w:rPr>
                    <w:t>HW08</w:t>
                  </w:r>
                </w:p>
              </w:tc>
              <w:tc>
                <w:tcPr>
                  <w:tcW w:w="1320" w:type="dxa"/>
                  <w:noWrap w:val="0"/>
                  <w:vAlign w:val="center"/>
                </w:tcPr>
                <w:p w14:paraId="5A9E993D">
                  <w:pPr>
                    <w:ind w:left="-50" w:leftChars="0" w:right="-50" w:rightChars="0"/>
                    <w:jc w:val="center"/>
                    <w:rPr>
                      <w:rFonts w:hint="eastAsia"/>
                      <w:color w:val="000000"/>
                      <w:szCs w:val="21"/>
                    </w:rPr>
                  </w:pPr>
                  <w:r>
                    <w:rPr>
                      <w:rFonts w:hint="eastAsia"/>
                      <w:bCs/>
                      <w:color w:val="000000"/>
                      <w:szCs w:val="21"/>
                    </w:rPr>
                    <w:t>900-249-08</w:t>
                  </w:r>
                </w:p>
              </w:tc>
              <w:tc>
                <w:tcPr>
                  <w:tcW w:w="645" w:type="dxa"/>
                  <w:vMerge w:val="continue"/>
                  <w:noWrap w:val="0"/>
                  <w:vAlign w:val="center"/>
                </w:tcPr>
                <w:p w14:paraId="70169532">
                  <w:pPr>
                    <w:pStyle w:val="5"/>
                    <w:spacing w:line="240" w:lineRule="auto"/>
                    <w:ind w:firstLine="0"/>
                    <w:jc w:val="center"/>
                    <w:rPr>
                      <w:rFonts w:hint="eastAsia"/>
                      <w:color w:val="000000"/>
                      <w:sz w:val="21"/>
                      <w:szCs w:val="21"/>
                    </w:rPr>
                  </w:pPr>
                </w:p>
              </w:tc>
              <w:tc>
                <w:tcPr>
                  <w:tcW w:w="765" w:type="dxa"/>
                  <w:vMerge w:val="continue"/>
                  <w:noWrap w:val="0"/>
                  <w:vAlign w:val="center"/>
                </w:tcPr>
                <w:p w14:paraId="73D29386">
                  <w:pPr>
                    <w:pStyle w:val="5"/>
                    <w:spacing w:line="240" w:lineRule="auto"/>
                    <w:ind w:firstLine="0"/>
                    <w:jc w:val="center"/>
                    <w:rPr>
                      <w:rFonts w:hint="eastAsia"/>
                      <w:color w:val="000000"/>
                      <w:sz w:val="21"/>
                      <w:szCs w:val="21"/>
                    </w:rPr>
                  </w:pPr>
                </w:p>
              </w:tc>
              <w:tc>
                <w:tcPr>
                  <w:tcW w:w="945" w:type="dxa"/>
                  <w:noWrap w:val="0"/>
                  <w:vAlign w:val="center"/>
                </w:tcPr>
                <w:p w14:paraId="2F6B1E54">
                  <w:pPr>
                    <w:pStyle w:val="5"/>
                    <w:spacing w:line="240" w:lineRule="auto"/>
                    <w:ind w:firstLine="0"/>
                    <w:jc w:val="center"/>
                    <w:rPr>
                      <w:rFonts w:hint="eastAsia"/>
                      <w:color w:val="000000"/>
                      <w:sz w:val="21"/>
                      <w:szCs w:val="21"/>
                    </w:rPr>
                  </w:pPr>
                  <w:r>
                    <w:rPr>
                      <w:rFonts w:hint="eastAsia"/>
                      <w:color w:val="000000"/>
                      <w:sz w:val="21"/>
                      <w:szCs w:val="21"/>
                    </w:rPr>
                    <w:t>包装桶</w:t>
                  </w:r>
                </w:p>
              </w:tc>
              <w:tc>
                <w:tcPr>
                  <w:tcW w:w="825" w:type="dxa"/>
                  <w:vMerge w:val="continue"/>
                  <w:noWrap w:val="0"/>
                  <w:vAlign w:val="center"/>
                </w:tcPr>
                <w:p w14:paraId="78364083">
                  <w:pPr>
                    <w:pStyle w:val="5"/>
                    <w:spacing w:line="240" w:lineRule="auto"/>
                    <w:ind w:firstLine="0"/>
                    <w:jc w:val="center"/>
                    <w:rPr>
                      <w:rFonts w:hint="eastAsia"/>
                      <w:color w:val="000000"/>
                      <w:sz w:val="21"/>
                      <w:szCs w:val="21"/>
                    </w:rPr>
                  </w:pPr>
                </w:p>
              </w:tc>
              <w:tc>
                <w:tcPr>
                  <w:tcW w:w="747" w:type="dxa"/>
                  <w:noWrap w:val="0"/>
                  <w:vAlign w:val="center"/>
                </w:tcPr>
                <w:p w14:paraId="1C17BE18">
                  <w:pPr>
                    <w:pStyle w:val="5"/>
                    <w:spacing w:line="240" w:lineRule="auto"/>
                    <w:ind w:firstLine="0"/>
                    <w:jc w:val="center"/>
                    <w:rPr>
                      <w:rFonts w:hint="eastAsia" w:eastAsia="宋体"/>
                      <w:color w:val="000000"/>
                      <w:sz w:val="21"/>
                      <w:szCs w:val="21"/>
                      <w:lang w:eastAsia="zh-CN"/>
                    </w:rPr>
                  </w:pPr>
                  <w:r>
                    <w:rPr>
                      <w:rFonts w:hint="eastAsia"/>
                      <w:color w:val="000000"/>
                      <w:sz w:val="21"/>
                      <w:szCs w:val="21"/>
                      <w:lang w:val="en-US" w:eastAsia="zh-CN"/>
                    </w:rPr>
                    <w:t>一年</w:t>
                  </w:r>
                </w:p>
              </w:tc>
            </w:tr>
          </w:tbl>
          <w:p w14:paraId="4B5D4714">
            <w:pPr>
              <w:spacing w:line="360" w:lineRule="auto"/>
              <w:ind w:firstLine="480" w:firstLineChars="200"/>
              <w:rPr>
                <w:color w:val="000000"/>
                <w:sz w:val="24"/>
              </w:rPr>
            </w:pPr>
          </w:p>
          <w:p w14:paraId="09787056">
            <w:pPr>
              <w:spacing w:line="360" w:lineRule="auto"/>
              <w:ind w:firstLine="482" w:firstLineChars="200"/>
              <w:rPr>
                <w:b/>
                <w:color w:val="000000"/>
                <w:sz w:val="24"/>
              </w:rPr>
            </w:pPr>
            <w:r>
              <w:rPr>
                <w:rFonts w:hint="eastAsia"/>
                <w:b/>
                <w:color w:val="000000"/>
                <w:sz w:val="24"/>
                <w:lang w:eastAsia="zh-CN"/>
              </w:rPr>
              <w:t>2.</w:t>
            </w:r>
            <w:r>
              <w:rPr>
                <w:b/>
                <w:color w:val="000000"/>
                <w:sz w:val="24"/>
              </w:rPr>
              <w:t>拟采取的固废处置措施</w:t>
            </w:r>
          </w:p>
          <w:p w14:paraId="798654C8">
            <w:pPr>
              <w:pStyle w:val="10"/>
              <w:spacing w:before="0" w:after="0" w:line="360" w:lineRule="auto"/>
              <w:ind w:right="0" w:firstLine="482" w:firstLineChars="200"/>
              <w:rPr>
                <w:rFonts w:hint="eastAsia"/>
                <w:b/>
                <w:bCs/>
                <w:color w:val="000000"/>
                <w:sz w:val="24"/>
                <w:szCs w:val="24"/>
              </w:rPr>
            </w:pPr>
            <w:r>
              <w:rPr>
                <w:rFonts w:hint="eastAsia"/>
                <w:b/>
                <w:bCs/>
                <w:color w:val="000000"/>
                <w:sz w:val="24"/>
                <w:szCs w:val="24"/>
              </w:rPr>
              <w:t>（1）一般固废</w:t>
            </w:r>
          </w:p>
          <w:p w14:paraId="336A3D3C">
            <w:pPr>
              <w:spacing w:line="360" w:lineRule="auto"/>
              <w:ind w:firstLine="480" w:firstLineChars="200"/>
              <w:rPr>
                <w:color w:val="000000"/>
                <w:sz w:val="24"/>
              </w:rPr>
            </w:pPr>
            <w:r>
              <w:rPr>
                <w:rFonts w:hint="eastAsia"/>
                <w:color w:val="000000"/>
                <w:sz w:val="24"/>
              </w:rPr>
              <w:t>一般固废暂存区：本项目</w:t>
            </w:r>
            <w:r>
              <w:rPr>
                <w:rFonts w:hint="eastAsia"/>
                <w:color w:val="000000"/>
                <w:sz w:val="24"/>
                <w:lang w:eastAsia="zh-CN"/>
              </w:rPr>
              <w:t>设置</w:t>
            </w:r>
            <w:r>
              <w:rPr>
                <w:rFonts w:hint="eastAsia"/>
                <w:color w:val="000000"/>
                <w:sz w:val="24"/>
              </w:rPr>
              <w:t>一般固废暂</w:t>
            </w:r>
            <w:r>
              <w:rPr>
                <w:rFonts w:hint="eastAsia"/>
                <w:color w:val="000000"/>
                <w:sz w:val="24"/>
                <w:lang w:eastAsia="zh-CN"/>
              </w:rPr>
              <w:t>间</w:t>
            </w:r>
            <w:r>
              <w:rPr>
                <w:rFonts w:hint="eastAsia"/>
                <w:color w:val="000000"/>
                <w:sz w:val="24"/>
              </w:rPr>
              <w:t>，建筑面积约为</w:t>
            </w:r>
            <w:r>
              <w:rPr>
                <w:rFonts w:hint="eastAsia"/>
                <w:color w:val="000000"/>
                <w:sz w:val="24"/>
                <w:lang w:val="en-US" w:eastAsia="zh-CN"/>
              </w:rPr>
              <w:t>20</w:t>
            </w:r>
            <w:r>
              <w:rPr>
                <w:rFonts w:hint="eastAsia"/>
                <w:color w:val="000000"/>
                <w:sz w:val="24"/>
              </w:rPr>
              <w:t>m</w:t>
            </w:r>
            <w:r>
              <w:rPr>
                <w:rFonts w:hint="eastAsia"/>
                <w:color w:val="000000"/>
                <w:sz w:val="24"/>
                <w:vertAlign w:val="superscript"/>
              </w:rPr>
              <w:t>2</w:t>
            </w:r>
            <w:r>
              <w:rPr>
                <w:rFonts w:hint="eastAsia"/>
                <w:color w:val="000000"/>
                <w:sz w:val="24"/>
              </w:rPr>
              <w:t>，</w:t>
            </w:r>
            <w:r>
              <w:rPr>
                <w:rFonts w:hint="eastAsia"/>
                <w:color w:val="000000"/>
                <w:sz w:val="24"/>
                <w:lang w:eastAsia="zh-CN"/>
              </w:rPr>
              <w:t>生活垃圾</w:t>
            </w:r>
            <w:r>
              <w:rPr>
                <w:rFonts w:hint="eastAsia"/>
                <w:color w:val="000000"/>
                <w:sz w:val="24"/>
              </w:rPr>
              <w:t>由厂区袋装收集后，收集后交由环卫部门统一清运；</w:t>
            </w:r>
            <w:r>
              <w:rPr>
                <w:rFonts w:hint="eastAsia"/>
                <w:color w:val="000000"/>
                <w:sz w:val="24"/>
                <w:lang w:eastAsia="zh-CN"/>
              </w:rPr>
              <w:t>废</w:t>
            </w:r>
            <w:r>
              <w:rPr>
                <w:rFonts w:hint="eastAsia"/>
                <w:color w:val="000000"/>
                <w:sz w:val="24"/>
              </w:rPr>
              <w:t>包装材料集中暂存在一般固废暂存</w:t>
            </w:r>
            <w:r>
              <w:rPr>
                <w:rFonts w:hint="eastAsia"/>
                <w:color w:val="000000"/>
                <w:sz w:val="24"/>
                <w:lang w:eastAsia="zh-CN"/>
              </w:rPr>
              <w:t>间</w:t>
            </w:r>
            <w:r>
              <w:rPr>
                <w:rFonts w:hint="eastAsia"/>
                <w:color w:val="000000"/>
                <w:sz w:val="24"/>
              </w:rPr>
              <w:t>，外售废品收购站</w:t>
            </w:r>
            <w:r>
              <w:rPr>
                <w:rFonts w:hint="eastAsia"/>
                <w:color w:val="000000"/>
                <w:sz w:val="24"/>
                <w:lang w:eastAsia="zh-CN"/>
              </w:rPr>
              <w:t>；</w:t>
            </w:r>
            <w:r>
              <w:rPr>
                <w:rFonts w:hint="eastAsia"/>
                <w:color w:val="000000"/>
                <w:sz w:val="24"/>
                <w:lang w:val="en-US" w:eastAsia="zh-CN"/>
              </w:rPr>
              <w:t>预</w:t>
            </w:r>
            <w:r>
              <w:rPr>
                <w:rFonts w:hint="eastAsia"/>
                <w:color w:val="000000"/>
                <w:sz w:val="24"/>
                <w:lang w:eastAsia="zh-CN"/>
              </w:rPr>
              <w:t>碳化工序除尘灰</w:t>
            </w:r>
            <w:r>
              <w:rPr>
                <w:rFonts w:hint="eastAsia"/>
                <w:color w:val="000000"/>
                <w:sz w:val="24"/>
                <w:lang w:val="en-US" w:eastAsia="zh-CN"/>
              </w:rPr>
              <w:t>经收集后回用于生产</w:t>
            </w:r>
            <w:r>
              <w:rPr>
                <w:rFonts w:hint="eastAsia"/>
                <w:color w:val="000000"/>
                <w:sz w:val="24"/>
                <w:lang w:eastAsia="zh-CN"/>
              </w:rPr>
              <w:t>；食堂餐厨垃圾及废油脂定期清理后，交由具备餐厨垃圾处理资质的单位处置；</w:t>
            </w:r>
            <w:r>
              <w:rPr>
                <w:rFonts w:hint="eastAsia"/>
                <w:color w:val="000000"/>
                <w:sz w:val="24"/>
                <w:lang w:val="en-US" w:eastAsia="zh-CN"/>
              </w:rPr>
              <w:t>脱硫石膏外售砖厂综合利用</w:t>
            </w:r>
            <w:r>
              <w:rPr>
                <w:rFonts w:hint="eastAsia"/>
                <w:color w:val="000000"/>
                <w:sz w:val="24"/>
                <w:lang w:eastAsia="zh-CN"/>
              </w:rPr>
              <w:t>。</w:t>
            </w:r>
          </w:p>
          <w:p w14:paraId="6CA9DCCA">
            <w:pPr>
              <w:pStyle w:val="10"/>
              <w:spacing w:before="0" w:after="0" w:line="360" w:lineRule="auto"/>
              <w:ind w:right="0" w:firstLine="482" w:firstLineChars="200"/>
              <w:rPr>
                <w:rFonts w:hint="eastAsia"/>
                <w:color w:val="000000"/>
                <w:sz w:val="24"/>
                <w:szCs w:val="24"/>
              </w:rPr>
            </w:pPr>
            <w:r>
              <w:rPr>
                <w:rFonts w:hint="eastAsia"/>
                <w:b/>
                <w:bCs/>
                <w:color w:val="000000"/>
                <w:sz w:val="24"/>
                <w:szCs w:val="24"/>
              </w:rPr>
              <w:t>（2）危险废物</w:t>
            </w:r>
          </w:p>
          <w:p w14:paraId="25FBE829">
            <w:pPr>
              <w:pStyle w:val="10"/>
              <w:spacing w:before="0" w:after="0" w:line="360" w:lineRule="auto"/>
              <w:ind w:right="0" w:firstLine="480" w:firstLineChars="200"/>
              <w:rPr>
                <w:color w:val="000000"/>
              </w:rPr>
            </w:pPr>
            <w:r>
              <w:rPr>
                <w:rFonts w:hint="eastAsia"/>
                <w:color w:val="000000"/>
                <w:sz w:val="24"/>
              </w:rPr>
              <w:t>本项目</w:t>
            </w:r>
            <w:r>
              <w:rPr>
                <w:rFonts w:hint="eastAsia"/>
                <w:color w:val="000000"/>
                <w:sz w:val="24"/>
                <w:lang w:val="en-US" w:eastAsia="zh-CN"/>
              </w:rPr>
              <w:t>拆除原危废暂存间，在厂区西南侧新建危废暂存间1个</w:t>
            </w:r>
            <w:r>
              <w:rPr>
                <w:rFonts w:hint="eastAsia"/>
                <w:color w:val="000000"/>
                <w:sz w:val="24"/>
                <w:lang w:eastAsia="zh-CN"/>
              </w:rPr>
              <w:t>，</w:t>
            </w:r>
            <w:r>
              <w:rPr>
                <w:rFonts w:hint="eastAsia"/>
                <w:color w:val="000000"/>
                <w:sz w:val="24"/>
              </w:rPr>
              <w:t>面积</w:t>
            </w:r>
            <w:r>
              <w:rPr>
                <w:rFonts w:hint="eastAsia"/>
                <w:color w:val="000000"/>
                <w:sz w:val="24"/>
                <w:lang w:val="en-US" w:eastAsia="zh-CN"/>
              </w:rPr>
              <w:t>约10</w:t>
            </w:r>
            <w:r>
              <w:rPr>
                <w:rFonts w:hint="eastAsia"/>
                <w:color w:val="000000"/>
                <w:sz w:val="24"/>
              </w:rPr>
              <w:t>m</w:t>
            </w:r>
            <w:r>
              <w:rPr>
                <w:rFonts w:hint="eastAsia"/>
                <w:color w:val="000000"/>
                <w:sz w:val="24"/>
                <w:vertAlign w:val="superscript"/>
              </w:rPr>
              <w:t>2</w:t>
            </w:r>
            <w:r>
              <w:rPr>
                <w:rFonts w:hint="eastAsia"/>
                <w:color w:val="000000"/>
                <w:sz w:val="24"/>
              </w:rPr>
              <w:t>，</w:t>
            </w:r>
            <w:r>
              <w:rPr>
                <w:rFonts w:hint="eastAsia"/>
                <w:color w:val="000000"/>
                <w:sz w:val="24"/>
                <w:szCs w:val="24"/>
                <w:lang w:eastAsia="zh-CN"/>
              </w:rPr>
              <w:t>用于</w:t>
            </w:r>
            <w:r>
              <w:rPr>
                <w:rFonts w:hint="eastAsia"/>
                <w:color w:val="000000"/>
                <w:sz w:val="24"/>
                <w:szCs w:val="24"/>
                <w:lang w:val="en-US" w:eastAsia="zh-CN"/>
              </w:rPr>
              <w:t>本</w:t>
            </w:r>
            <w:r>
              <w:rPr>
                <w:rFonts w:hint="eastAsia"/>
                <w:color w:val="000000"/>
                <w:sz w:val="24"/>
                <w:szCs w:val="24"/>
                <w:lang w:eastAsia="zh-CN"/>
              </w:rPr>
              <w:t>项目</w:t>
            </w:r>
            <w:r>
              <w:rPr>
                <w:rFonts w:hint="eastAsia"/>
                <w:color w:val="000000"/>
                <w:sz w:val="24"/>
                <w:szCs w:val="24"/>
                <w:lang w:val="en-US" w:eastAsia="zh-CN"/>
              </w:rPr>
              <w:t>机现有项目</w:t>
            </w:r>
            <w:r>
              <w:rPr>
                <w:rFonts w:hint="eastAsia"/>
                <w:color w:val="000000"/>
                <w:sz w:val="24"/>
                <w:szCs w:val="24"/>
                <w:lang w:eastAsia="zh-CN"/>
              </w:rPr>
              <w:t>生产过程产生的危险废物。危废暂存间</w:t>
            </w:r>
            <w:r>
              <w:rPr>
                <w:rFonts w:hint="eastAsia"/>
                <w:color w:val="000000"/>
                <w:sz w:val="24"/>
                <w:szCs w:val="24"/>
                <w:lang w:val="en-US" w:eastAsia="zh-CN"/>
              </w:rPr>
              <w:t>拟采取防渗混凝土+ 2mm厚高密度聚乙烯膜进行防渗，液态危废桶下方设置防渗漏托盘对危废进行暂存</w:t>
            </w:r>
            <w:r>
              <w:rPr>
                <w:rFonts w:hint="eastAsia"/>
                <w:color w:val="000000"/>
                <w:sz w:val="24"/>
                <w:szCs w:val="24"/>
                <w:lang w:eastAsia="zh-CN"/>
              </w:rPr>
              <w:t>。</w:t>
            </w:r>
            <w:r>
              <w:rPr>
                <w:rFonts w:hint="eastAsia"/>
                <w:color w:val="000000"/>
                <w:sz w:val="24"/>
                <w:szCs w:val="24"/>
              </w:rPr>
              <w:t>危废暂存场所按照《危险废物识别标志设置技术规范》（HJ 1276-2022）设置警示标识，危险废物的容器和包装物必须设置危险废物识别标志。危险废物需经分类收集后暂存于危废暂存间，定期交由具资质单位处理，落实联单责任制。不得随意倾倒、直接倒入下水管或与其他一般废弃物混合丢弃。</w:t>
            </w:r>
          </w:p>
          <w:p w14:paraId="3752F574">
            <w:pPr>
              <w:pStyle w:val="10"/>
              <w:spacing w:before="0" w:after="0" w:line="360" w:lineRule="auto"/>
              <w:ind w:right="0" w:firstLine="482" w:firstLineChars="200"/>
              <w:rPr>
                <w:rFonts w:hint="eastAsia" w:ascii="宋体" w:hAnsi="宋体" w:cs="宋体"/>
                <w:color w:val="000000"/>
                <w:sz w:val="24"/>
                <w:szCs w:val="24"/>
              </w:rPr>
            </w:pPr>
            <w:r>
              <w:rPr>
                <w:rFonts w:hint="eastAsia"/>
                <w:b/>
                <w:bCs/>
                <w:color w:val="000000"/>
                <w:sz w:val="24"/>
                <w:szCs w:val="24"/>
                <w:lang w:eastAsia="zh-CN"/>
              </w:rPr>
              <w:t>3.</w:t>
            </w:r>
            <w:r>
              <w:rPr>
                <w:rFonts w:hint="eastAsia"/>
                <w:b/>
                <w:bCs/>
                <w:color w:val="000000"/>
                <w:sz w:val="24"/>
                <w:szCs w:val="24"/>
              </w:rPr>
              <w:t>环境管理要求</w:t>
            </w:r>
          </w:p>
          <w:p w14:paraId="6897B5C5">
            <w:pPr>
              <w:pStyle w:val="10"/>
              <w:spacing w:before="0" w:after="0" w:line="360" w:lineRule="auto"/>
              <w:ind w:right="0" w:firstLine="482" w:firstLineChars="200"/>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（1）一般固体废物</w:t>
            </w:r>
          </w:p>
          <w:p w14:paraId="75B4087C">
            <w:pPr>
              <w:pStyle w:val="10"/>
              <w:spacing w:before="0" w:after="0" w:line="360" w:lineRule="auto"/>
              <w:ind w:right="0"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一般固废暂存</w:t>
            </w:r>
            <w:r>
              <w:rPr>
                <w:rFonts w:hint="default" w:ascii="Times New Roman" w:hAnsi="Times New Roman" w:cs="Times New Roman"/>
                <w:color w:val="000000"/>
                <w:sz w:val="24"/>
                <w:szCs w:val="24"/>
                <w:lang w:eastAsia="zh-CN"/>
              </w:rPr>
              <w:t>区</w:t>
            </w:r>
            <w:r>
              <w:rPr>
                <w:rFonts w:hint="default" w:ascii="Times New Roman" w:hAnsi="Times New Roman" w:cs="Times New Roman"/>
                <w:color w:val="000000"/>
                <w:sz w:val="24"/>
                <w:szCs w:val="24"/>
              </w:rPr>
              <w:t>按照《一般工业固体废物贮存和填埋污染控制标准》（GB18599-2020）中相关要求建设，应满足防渗漏、防雨淋、防扬尘等环境保护要求。本项目一般固废暂存间使用防水混凝土，地面做防滑处理，渗透系数能达到1.0×10</w:t>
            </w:r>
            <w:r>
              <w:rPr>
                <w:rFonts w:hint="default" w:ascii="Times New Roman" w:hAnsi="Times New Roman" w:cs="Times New Roman"/>
                <w:color w:val="000000"/>
                <w:sz w:val="24"/>
                <w:szCs w:val="24"/>
                <w:vertAlign w:val="superscript"/>
              </w:rPr>
              <w:t>-7</w:t>
            </w:r>
            <w:r>
              <w:rPr>
                <w:rFonts w:hint="default" w:ascii="Times New Roman" w:hAnsi="Times New Roman" w:cs="Times New Roman"/>
                <w:color w:val="000000"/>
                <w:sz w:val="24"/>
                <w:szCs w:val="24"/>
              </w:rPr>
              <w:t>cm/s。建设单位应建立档案制度，将一般工业固体废物的种类、数量以及转运资料详细记录在案，长期保存，供随时查阅。</w:t>
            </w:r>
          </w:p>
          <w:p w14:paraId="16968170">
            <w:pPr>
              <w:pStyle w:val="10"/>
              <w:spacing w:before="0" w:after="0" w:line="360" w:lineRule="auto"/>
              <w:ind w:right="0" w:firstLine="482" w:firstLineChars="200"/>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（2）危</w:t>
            </w:r>
            <w:r>
              <w:rPr>
                <w:rFonts w:hint="eastAsia" w:ascii="Times New Roman" w:hAnsi="Times New Roman" w:cs="Times New Roman"/>
                <w:b/>
                <w:bCs/>
                <w:color w:val="000000"/>
                <w:sz w:val="24"/>
                <w:szCs w:val="24"/>
                <w:lang w:val="en-US" w:eastAsia="zh-CN"/>
              </w:rPr>
              <w:t>险</w:t>
            </w:r>
            <w:r>
              <w:rPr>
                <w:rFonts w:hint="default" w:ascii="Times New Roman" w:hAnsi="Times New Roman" w:cs="Times New Roman"/>
                <w:b/>
                <w:bCs/>
                <w:color w:val="000000"/>
                <w:sz w:val="24"/>
                <w:szCs w:val="24"/>
              </w:rPr>
              <w:t>废物</w:t>
            </w:r>
          </w:p>
          <w:p w14:paraId="37197C4A">
            <w:pPr>
              <w:pStyle w:val="10"/>
              <w:spacing w:before="0" w:after="0" w:line="360" w:lineRule="auto"/>
              <w:ind w:right="0" w:firstLine="480" w:firstLineChars="200"/>
              <w:rPr>
                <w:rFonts w:hint="eastAsia" w:ascii="宋体" w:hAnsi="宋体" w:cs="宋体"/>
                <w:color w:val="000000"/>
                <w:sz w:val="24"/>
                <w:szCs w:val="24"/>
              </w:rPr>
            </w:pPr>
            <w:r>
              <w:rPr>
                <w:rFonts w:hint="default" w:ascii="Times New Roman" w:hAnsi="Times New Roman" w:cs="Times New Roman"/>
                <w:color w:val="000000"/>
                <w:sz w:val="24"/>
                <w:szCs w:val="24"/>
              </w:rPr>
              <w:t>按照《危险废物贮存污染控制标准》（GB18597-2023）、《危险废物识别标志设置技术规范》（HJ1276-2022），结合本项目产生的危险废物性质，本项目应做到</w:t>
            </w:r>
            <w:r>
              <w:rPr>
                <w:rFonts w:hint="eastAsia" w:ascii="宋体" w:hAnsi="宋体" w:cs="宋体"/>
                <w:color w:val="000000"/>
                <w:sz w:val="24"/>
                <w:szCs w:val="24"/>
              </w:rPr>
              <w:t>：</w:t>
            </w:r>
          </w:p>
          <w:p w14:paraId="33775902">
            <w:pPr>
              <w:pStyle w:val="10"/>
              <w:spacing w:before="0" w:after="0" w:line="360" w:lineRule="auto"/>
              <w:ind w:right="0" w:firstLine="482" w:firstLineChars="200"/>
              <w:rPr>
                <w:rFonts w:hint="eastAsia" w:ascii="宋体" w:hAnsi="宋体" w:cs="宋体"/>
                <w:b/>
                <w:bCs/>
                <w:color w:val="000000"/>
                <w:sz w:val="24"/>
                <w:szCs w:val="24"/>
              </w:rPr>
            </w:pPr>
            <w:r>
              <w:rPr>
                <w:rFonts w:hint="eastAsia" w:ascii="宋体" w:hAnsi="宋体" w:cs="宋体"/>
                <w:b/>
                <w:bCs/>
                <w:color w:val="000000"/>
                <w:sz w:val="24"/>
                <w:szCs w:val="24"/>
              </w:rPr>
              <w:t>危废暂存间设置要求：</w:t>
            </w:r>
          </w:p>
          <w:p w14:paraId="75D8DF9D">
            <w:pPr>
              <w:pStyle w:val="10"/>
              <w:spacing w:before="0" w:after="0" w:line="360" w:lineRule="auto"/>
              <w:ind w:right="0" w:firstLine="480" w:firstLineChars="200"/>
              <w:rPr>
                <w:rFonts w:hint="eastAsia"/>
                <w:color w:val="000000"/>
                <w:sz w:val="24"/>
                <w:szCs w:val="24"/>
              </w:rPr>
            </w:pPr>
            <w:r>
              <w:rPr>
                <w:rFonts w:hint="eastAsia"/>
                <w:color w:val="000000"/>
                <w:sz w:val="24"/>
                <w:szCs w:val="24"/>
              </w:rPr>
              <w:t>①应按《危险废物识别标志设置技术规范》（HJ1276-2022</w:t>
            </w:r>
            <w:r>
              <w:rPr>
                <w:rFonts w:hint="eastAsia"/>
                <w:color w:val="000000"/>
                <w:sz w:val="24"/>
                <w:szCs w:val="24"/>
                <w:lang w:eastAsia="zh-CN"/>
              </w:rPr>
              <w:t>）</w:t>
            </w:r>
            <w:r>
              <w:rPr>
                <w:rFonts w:hint="eastAsia"/>
                <w:color w:val="000000"/>
                <w:sz w:val="24"/>
                <w:szCs w:val="24"/>
              </w:rPr>
              <w:t>要求设置危险废物贮存设施或场所标志、危险废物贮存分区标志和危险废物标签等危险废物识别标志；</w:t>
            </w:r>
          </w:p>
          <w:p w14:paraId="19527C07">
            <w:pPr>
              <w:pStyle w:val="10"/>
              <w:spacing w:before="0" w:after="0" w:line="360" w:lineRule="auto"/>
              <w:ind w:right="0" w:firstLine="480" w:firstLineChars="200"/>
              <w:rPr>
                <w:rFonts w:hint="eastAsia"/>
                <w:color w:val="000000"/>
                <w:sz w:val="24"/>
                <w:szCs w:val="24"/>
              </w:rPr>
            </w:pPr>
            <w:r>
              <w:rPr>
                <w:rFonts w:hint="eastAsia"/>
                <w:color w:val="000000"/>
                <w:sz w:val="24"/>
                <w:szCs w:val="24"/>
              </w:rPr>
              <w:t>②危废暂存间应配备通讯设备、照明设施、安全防护服装及工具，并设有应急防护设施；</w:t>
            </w:r>
            <w:r>
              <w:rPr>
                <w:rFonts w:hint="eastAsia"/>
                <w:color w:val="000000"/>
                <w:sz w:val="24"/>
                <w:szCs w:val="24"/>
                <w:lang w:eastAsia="zh-CN"/>
              </w:rPr>
              <w:t>室内</w:t>
            </w:r>
            <w:r>
              <w:rPr>
                <w:rFonts w:hint="eastAsia" w:ascii="宋体" w:hAnsi="宋体" w:cs="宋体"/>
                <w:color w:val="000000"/>
                <w:sz w:val="24"/>
                <w:szCs w:val="24"/>
              </w:rPr>
              <w:t>张贴企业《危险废物管理制度》。</w:t>
            </w:r>
          </w:p>
          <w:p w14:paraId="2AAD53A5">
            <w:pPr>
              <w:pStyle w:val="10"/>
              <w:spacing w:before="0" w:after="0" w:line="360" w:lineRule="auto"/>
              <w:ind w:right="0" w:firstLine="480" w:firstLineChars="200"/>
              <w:rPr>
                <w:rFonts w:hint="eastAsia"/>
                <w:color w:val="000000"/>
                <w:sz w:val="24"/>
                <w:szCs w:val="24"/>
              </w:rPr>
            </w:pPr>
            <w:r>
              <w:rPr>
                <w:rFonts w:hint="eastAsia"/>
                <w:color w:val="000000"/>
                <w:sz w:val="24"/>
                <w:szCs w:val="24"/>
              </w:rPr>
              <w:t>③危废暂存间内清理出来的泄漏物，一律按危险废物处理；</w:t>
            </w:r>
          </w:p>
          <w:p w14:paraId="230A94A4">
            <w:pPr>
              <w:pStyle w:val="10"/>
              <w:spacing w:before="0" w:after="0" w:line="360" w:lineRule="auto"/>
              <w:ind w:right="0" w:firstLine="480" w:firstLineChars="200"/>
              <w:rPr>
                <w:rFonts w:hint="eastAsia"/>
                <w:color w:val="000000"/>
                <w:sz w:val="24"/>
                <w:szCs w:val="24"/>
              </w:rPr>
            </w:pPr>
            <w:r>
              <w:rPr>
                <w:rFonts w:hint="eastAsia"/>
                <w:color w:val="000000"/>
                <w:sz w:val="24"/>
                <w:szCs w:val="24"/>
              </w:rPr>
              <w:t>④危废暂存间须严格按照《危险废物贮存污染控制标准》（GB18597-2023）中的“防风、防晒、防雨、防漏、防渗、防腐</w:t>
            </w:r>
            <w:r>
              <w:rPr>
                <w:rFonts w:hint="eastAsia"/>
                <w:color w:val="000000"/>
                <w:sz w:val="24"/>
                <w:szCs w:val="24"/>
                <w:lang w:eastAsia="zh-CN"/>
              </w:rPr>
              <w:t>”</w:t>
            </w:r>
            <w:r>
              <w:rPr>
                <w:rFonts w:hint="eastAsia"/>
                <w:color w:val="000000"/>
                <w:sz w:val="24"/>
                <w:szCs w:val="24"/>
              </w:rPr>
              <w:t>以及其他环境污染防治措施要求建设；</w:t>
            </w:r>
          </w:p>
          <w:p w14:paraId="58611768">
            <w:pPr>
              <w:pStyle w:val="10"/>
              <w:spacing w:before="0" w:after="0" w:line="360" w:lineRule="auto"/>
              <w:ind w:right="0" w:firstLine="480" w:firstLineChars="200"/>
              <w:rPr>
                <w:rFonts w:hint="eastAsia"/>
                <w:color w:val="000000"/>
                <w:sz w:val="24"/>
                <w:szCs w:val="24"/>
              </w:rPr>
            </w:pPr>
            <w:r>
              <w:rPr>
                <w:rFonts w:hint="eastAsia"/>
                <w:color w:val="000000"/>
                <w:sz w:val="24"/>
                <w:szCs w:val="24"/>
              </w:rPr>
              <w:t>⑤危废暂存间应根据危险废物的类别、数量、形态、物理化学性质和污染防治等要求设置必要的贮存分区，避免不相容的危险废物接触、混合；</w:t>
            </w:r>
          </w:p>
          <w:p w14:paraId="721BB91C">
            <w:pPr>
              <w:pStyle w:val="10"/>
              <w:spacing w:before="0" w:after="0" w:line="360" w:lineRule="auto"/>
              <w:ind w:right="0" w:firstLine="480" w:firstLineChars="200"/>
              <w:rPr>
                <w:rFonts w:hint="eastAsia" w:ascii="宋体" w:hAnsi="宋体" w:cs="宋体"/>
                <w:color w:val="000000"/>
                <w:sz w:val="24"/>
                <w:szCs w:val="24"/>
              </w:rPr>
            </w:pPr>
            <w:r>
              <w:rPr>
                <w:rFonts w:hint="eastAsia" w:ascii="宋体" w:hAnsi="宋体" w:cs="宋体"/>
                <w:color w:val="000000"/>
                <w:sz w:val="24"/>
                <w:szCs w:val="24"/>
              </w:rPr>
              <w:t>⑥危废暂存间应设置隔离安全门锁，门锁需按照“双人双锁”制度管理。（两把钥匙分别由两个危废负责人管理，不得一人管理）</w:t>
            </w:r>
          </w:p>
          <w:p w14:paraId="787B2554">
            <w:pPr>
              <w:pStyle w:val="10"/>
              <w:spacing w:before="0" w:after="0" w:line="360" w:lineRule="auto"/>
              <w:ind w:right="0" w:firstLine="480" w:firstLineChars="200"/>
              <w:rPr>
                <w:rFonts w:hint="eastAsia" w:ascii="宋体" w:hAnsi="宋体" w:cs="宋体"/>
                <w:color w:val="000000"/>
                <w:sz w:val="24"/>
                <w:szCs w:val="24"/>
              </w:rPr>
            </w:pPr>
            <w:r>
              <w:rPr>
                <w:rFonts w:hint="eastAsia" w:ascii="宋体" w:hAnsi="宋体" w:cs="宋体"/>
                <w:color w:val="000000"/>
                <w:sz w:val="24"/>
                <w:szCs w:val="24"/>
              </w:rPr>
              <w:t>⑦建立台账并悬挂于危废暂存间内，转入及转出（处置、自利用）需要填写危废种类、数量、时间及负责人员姓名。</w:t>
            </w:r>
          </w:p>
          <w:p w14:paraId="1DA6DABD">
            <w:pPr>
              <w:spacing w:line="360" w:lineRule="auto"/>
              <w:ind w:firstLine="482" w:firstLineChars="200"/>
              <w:rPr>
                <w:rFonts w:hint="eastAsia"/>
                <w:b/>
                <w:bCs/>
                <w:color w:val="000000"/>
                <w:sz w:val="24"/>
              </w:rPr>
            </w:pPr>
            <w:r>
              <w:rPr>
                <w:rFonts w:hint="eastAsia"/>
                <w:b/>
                <w:bCs/>
                <w:color w:val="000000"/>
                <w:sz w:val="24"/>
              </w:rPr>
              <w:t>危险废物运输管理要求：</w:t>
            </w:r>
          </w:p>
          <w:p w14:paraId="19BFA312">
            <w:pPr>
              <w:spacing w:line="360" w:lineRule="auto"/>
              <w:ind w:firstLine="480" w:firstLineChars="200"/>
              <w:rPr>
                <w:rFonts w:hint="eastAsia"/>
                <w:color w:val="000000"/>
                <w:sz w:val="24"/>
              </w:rPr>
            </w:pPr>
            <w:r>
              <w:rPr>
                <w:rFonts w:hint="eastAsia"/>
                <w:color w:val="000000"/>
                <w:sz w:val="24"/>
              </w:rPr>
              <w:t>危险废物运输中应做到以下几点：</w:t>
            </w:r>
          </w:p>
          <w:p w14:paraId="01685D94">
            <w:pPr>
              <w:spacing w:line="360" w:lineRule="auto"/>
              <w:ind w:firstLine="480" w:firstLineChars="200"/>
              <w:rPr>
                <w:rFonts w:hint="eastAsia"/>
                <w:color w:val="000000"/>
                <w:sz w:val="24"/>
              </w:rPr>
            </w:pPr>
            <w:r>
              <w:rPr>
                <w:rFonts w:hint="eastAsia"/>
                <w:color w:val="000000"/>
                <w:sz w:val="24"/>
              </w:rPr>
              <w:t>①危险废物的运输车辆须经主管单位检查，并持有有关单位签发的许可证，负责运输的司机应通过培训，持有证明文件；</w:t>
            </w:r>
          </w:p>
          <w:p w14:paraId="6219FDE0">
            <w:pPr>
              <w:pStyle w:val="10"/>
              <w:spacing w:before="0" w:after="0" w:line="360" w:lineRule="auto"/>
              <w:ind w:right="0" w:firstLine="480" w:firstLineChars="200"/>
              <w:rPr>
                <w:rFonts w:hint="eastAsia"/>
                <w:color w:val="000000"/>
                <w:sz w:val="24"/>
                <w:szCs w:val="24"/>
              </w:rPr>
            </w:pPr>
            <w:r>
              <w:rPr>
                <w:rFonts w:hint="eastAsia"/>
                <w:color w:val="000000"/>
                <w:sz w:val="24"/>
                <w:szCs w:val="24"/>
              </w:rPr>
              <w:t>②承载危险废物的车辆须有明显的标志或适当的危险符号，以引起注意；</w:t>
            </w:r>
          </w:p>
          <w:p w14:paraId="26E545B7">
            <w:pPr>
              <w:pStyle w:val="10"/>
              <w:spacing w:before="0" w:after="0" w:line="360" w:lineRule="auto"/>
              <w:ind w:right="0" w:firstLine="480" w:firstLineChars="200"/>
              <w:rPr>
                <w:rFonts w:hint="eastAsia"/>
                <w:color w:val="000000"/>
                <w:sz w:val="24"/>
                <w:szCs w:val="24"/>
              </w:rPr>
            </w:pPr>
            <w:r>
              <w:rPr>
                <w:rFonts w:hint="eastAsia"/>
                <w:color w:val="000000"/>
                <w:sz w:val="24"/>
                <w:szCs w:val="24"/>
              </w:rPr>
              <w:t>③载有危险废物的车辆在公路上行驶时，需持有运输许可证，其上应注明废物来源和运往地点；</w:t>
            </w:r>
          </w:p>
          <w:p w14:paraId="32E0F037">
            <w:pPr>
              <w:pStyle w:val="10"/>
              <w:spacing w:before="0" w:after="0" w:line="360" w:lineRule="auto"/>
              <w:ind w:right="0" w:firstLine="480" w:firstLineChars="200"/>
              <w:rPr>
                <w:rFonts w:hint="eastAsia"/>
                <w:color w:val="000000"/>
                <w:sz w:val="24"/>
                <w:szCs w:val="24"/>
              </w:rPr>
            </w:pPr>
            <w:r>
              <w:rPr>
                <w:rFonts w:hint="eastAsia"/>
                <w:color w:val="000000"/>
                <w:sz w:val="24"/>
                <w:szCs w:val="24"/>
              </w:rPr>
              <w:t>④组织危险废物的运输单位，在事先需</w:t>
            </w:r>
            <w:r>
              <w:rPr>
                <w:rFonts w:hint="eastAsia"/>
                <w:color w:val="000000"/>
                <w:sz w:val="24"/>
                <w:szCs w:val="24"/>
                <w:lang w:eastAsia="zh-CN"/>
              </w:rPr>
              <w:t>做出</w:t>
            </w:r>
            <w:r>
              <w:rPr>
                <w:rFonts w:hint="eastAsia"/>
                <w:color w:val="000000"/>
                <w:sz w:val="24"/>
                <w:szCs w:val="24"/>
              </w:rPr>
              <w:t>周密的运输计划和行驶路线，其中包括有效的废物泄漏情况下的应急措施。</w:t>
            </w:r>
          </w:p>
          <w:p w14:paraId="7613E06D">
            <w:pPr>
              <w:spacing w:line="360" w:lineRule="auto"/>
              <w:ind w:firstLine="482" w:firstLineChars="200"/>
              <w:rPr>
                <w:rFonts w:hint="eastAsia"/>
                <w:b/>
                <w:bCs/>
                <w:color w:val="000000"/>
                <w:sz w:val="24"/>
              </w:rPr>
            </w:pPr>
            <w:r>
              <w:rPr>
                <w:rFonts w:hint="eastAsia"/>
                <w:b/>
                <w:bCs/>
                <w:color w:val="000000"/>
                <w:sz w:val="24"/>
                <w:lang w:eastAsia="zh-CN"/>
              </w:rPr>
              <w:t>4.</w:t>
            </w:r>
            <w:r>
              <w:rPr>
                <w:rFonts w:hint="eastAsia"/>
                <w:b/>
                <w:bCs/>
                <w:color w:val="000000"/>
                <w:sz w:val="24"/>
              </w:rPr>
              <w:t>固废治理措施可行性分析</w:t>
            </w:r>
          </w:p>
          <w:p w14:paraId="77E9BD31">
            <w:pPr>
              <w:spacing w:line="360" w:lineRule="auto"/>
              <w:ind w:firstLine="480" w:firstLineChars="200"/>
              <w:rPr>
                <w:rFonts w:hint="eastAsia"/>
                <w:color w:val="000000"/>
                <w:sz w:val="24"/>
              </w:rPr>
            </w:pPr>
            <w:r>
              <w:rPr>
                <w:rFonts w:hint="eastAsia"/>
                <w:color w:val="000000"/>
                <w:sz w:val="24"/>
              </w:rPr>
              <w:t>环评要求本项目产生的一般固废需妥善处置，危险废物须委托具有相应危险废物处置资质的单位进行处理。营运期间固体废物均能够实现减量化和无害化，建设项目强化固体废物产生、收集、贮运各环节的管理，杜绝固废在厂区内的散失、渗漏，做好固废在厂区内的收集和储存相关防护工作，收集后进行有效处置。建立完善的规章制度，以降低固废散落对周围环境的影响。因此，项目采取固体废物污染防治措施是可行的。</w:t>
            </w:r>
          </w:p>
          <w:p w14:paraId="2210C2AB">
            <w:pPr>
              <w:spacing w:line="360" w:lineRule="auto"/>
              <w:ind w:firstLine="480" w:firstLineChars="200"/>
              <w:rPr>
                <w:rFonts w:hint="eastAsia" w:ascii="宋体" w:hAnsi="宋体" w:eastAsia="宋体" w:cs="宋体"/>
                <w:snapToGrid w:val="0"/>
                <w:color w:val="000000"/>
                <w:sz w:val="24"/>
                <w:szCs w:val="24"/>
                <w:vertAlign w:val="baseline"/>
              </w:rPr>
            </w:pPr>
            <w:r>
              <w:rPr>
                <w:rFonts w:hint="eastAsia"/>
                <w:color w:val="000000"/>
                <w:sz w:val="24"/>
              </w:rPr>
              <w:t>综上所述，本项目固体废物经采取上述处理措施，不对外排放，项目固废处置去向合理，同时配套有规范的暂存设施、完善的管理制度。项目通过对危险废物的暂存场所采取防风、防晒、防雨、防漏、防渗、防腐措施，能够避免危险废物暂存可能对水环境和土壤的影响；通过规范暂存并及时清运，能够减少固废带来的二次污染影响。因此，企业只要能严格落实各类固废暂存及处理措施，加强危废收集、转运和管理，确保固废去向明确妥当，可避免对环境造成二次污染。</w:t>
            </w:r>
          </w:p>
          <w:p w14:paraId="7EA90470">
            <w:pPr>
              <w:pStyle w:val="10"/>
              <w:spacing w:before="0" w:after="0" w:line="360" w:lineRule="auto"/>
              <w:ind w:right="0"/>
              <w:rPr>
                <w:rFonts w:hint="eastAsia"/>
                <w:b/>
                <w:bCs/>
                <w:color w:val="000000"/>
                <w:sz w:val="28"/>
                <w:szCs w:val="28"/>
              </w:rPr>
            </w:pPr>
            <w:r>
              <w:rPr>
                <w:rFonts w:hint="eastAsia"/>
                <w:b/>
                <w:bCs/>
                <w:color w:val="000000"/>
                <w:sz w:val="28"/>
                <w:szCs w:val="28"/>
              </w:rPr>
              <w:t>五、地下水、土壤</w:t>
            </w:r>
          </w:p>
          <w:p w14:paraId="3E40ABF3">
            <w:pPr>
              <w:spacing w:line="360" w:lineRule="auto"/>
              <w:ind w:firstLine="482" w:firstLineChars="200"/>
              <w:rPr>
                <w:rFonts w:hint="eastAsia"/>
                <w:color w:val="000000"/>
                <w:sz w:val="24"/>
              </w:rPr>
            </w:pPr>
            <w:r>
              <w:rPr>
                <w:rFonts w:hint="eastAsia"/>
                <w:b/>
                <w:bCs/>
                <w:color w:val="000000"/>
                <w:sz w:val="24"/>
                <w:lang w:eastAsia="zh-CN"/>
              </w:rPr>
              <w:t>1.</w:t>
            </w:r>
            <w:r>
              <w:rPr>
                <w:rFonts w:hint="eastAsia"/>
                <w:b/>
                <w:bCs/>
                <w:color w:val="000000"/>
                <w:sz w:val="24"/>
              </w:rPr>
              <w:t>对地下水、土壤环境的影响</w:t>
            </w:r>
          </w:p>
          <w:p w14:paraId="7439854F">
            <w:pPr>
              <w:spacing w:line="360" w:lineRule="auto"/>
              <w:ind w:firstLine="480" w:firstLineChars="200"/>
              <w:rPr>
                <w:rFonts w:hint="eastAsia"/>
                <w:color w:val="000000"/>
                <w:sz w:val="24"/>
              </w:rPr>
            </w:pPr>
            <w:r>
              <w:rPr>
                <w:rFonts w:hint="eastAsia"/>
                <w:color w:val="000000"/>
                <w:sz w:val="24"/>
              </w:rPr>
              <w:t>本项目营运期用水由市政供水管网提供，不取用地下水，所产生的</w:t>
            </w:r>
            <w:r>
              <w:rPr>
                <w:rFonts w:hint="eastAsia"/>
                <w:color w:val="000000"/>
                <w:sz w:val="24"/>
                <w:lang w:eastAsia="zh-CN"/>
              </w:rPr>
              <w:t>废水</w:t>
            </w:r>
            <w:r>
              <w:rPr>
                <w:rFonts w:hint="eastAsia"/>
                <w:color w:val="000000"/>
                <w:sz w:val="24"/>
              </w:rPr>
              <w:t>全部进入</w:t>
            </w:r>
            <w:r>
              <w:rPr>
                <w:rFonts w:hint="eastAsia"/>
                <w:color w:val="000000"/>
                <w:sz w:val="24"/>
                <w:lang w:eastAsia="zh-CN"/>
              </w:rPr>
              <w:t>星光工业园区污水处理厂</w:t>
            </w:r>
            <w:r>
              <w:rPr>
                <w:rFonts w:hint="eastAsia"/>
                <w:color w:val="000000"/>
                <w:sz w:val="24"/>
              </w:rPr>
              <w:t>处理，不向地下注水和排水。因此，本项目给、排水均不会与地下水直接发生联系，项目正常情况下不会对地下水造成污染影响。</w:t>
            </w:r>
          </w:p>
          <w:p w14:paraId="564F2CE3">
            <w:pPr>
              <w:spacing w:line="360" w:lineRule="auto"/>
              <w:ind w:firstLine="482" w:firstLineChars="200"/>
              <w:rPr>
                <w:rFonts w:hint="eastAsia"/>
                <w:b/>
                <w:bCs/>
                <w:color w:val="000000"/>
                <w:sz w:val="24"/>
              </w:rPr>
            </w:pPr>
            <w:r>
              <w:rPr>
                <w:rFonts w:hint="eastAsia"/>
                <w:b/>
                <w:bCs/>
                <w:color w:val="000000"/>
                <w:sz w:val="24"/>
              </w:rPr>
              <w:t>（1）源头控制措施</w:t>
            </w:r>
          </w:p>
          <w:p w14:paraId="09BA8584">
            <w:pPr>
              <w:spacing w:line="360" w:lineRule="auto"/>
              <w:ind w:firstLine="480" w:firstLineChars="200"/>
              <w:rPr>
                <w:rFonts w:hint="eastAsia"/>
                <w:color w:val="000000"/>
                <w:sz w:val="24"/>
              </w:rPr>
            </w:pPr>
            <w:r>
              <w:rPr>
                <w:rFonts w:hint="eastAsia"/>
                <w:color w:val="000000"/>
                <w:sz w:val="24"/>
              </w:rPr>
              <w:t>①项目应根据国家现行相关规范加强环境管理，采取防止和降低污染物跑、冒、滴、漏的措施。正常运营过程中应加强巡检及时处理污染物跑、冒、滴、漏，同时应加强对防渗工程的检查，若发现防渗密封材料老化或损坏，应及时维修更换；</w:t>
            </w:r>
          </w:p>
          <w:p w14:paraId="7C276A7F">
            <w:pPr>
              <w:spacing w:line="360" w:lineRule="auto"/>
              <w:ind w:firstLine="480" w:firstLineChars="200"/>
              <w:rPr>
                <w:rFonts w:hint="eastAsia"/>
                <w:color w:val="000000"/>
                <w:sz w:val="24"/>
              </w:rPr>
            </w:pPr>
            <w:r>
              <w:rPr>
                <w:rFonts w:hint="eastAsia"/>
                <w:color w:val="000000"/>
                <w:sz w:val="24"/>
              </w:rPr>
              <w:t>②对危废暂存间</w:t>
            </w:r>
            <w:r>
              <w:rPr>
                <w:rFonts w:hint="eastAsia"/>
                <w:color w:val="000000"/>
                <w:sz w:val="24"/>
                <w:lang w:eastAsia="zh-CN"/>
              </w:rPr>
              <w:t>、</w:t>
            </w:r>
            <w:r>
              <w:rPr>
                <w:rFonts w:hint="eastAsia"/>
                <w:color w:val="000000"/>
                <w:sz w:val="24"/>
                <w:lang w:val="en-US" w:eastAsia="zh-CN"/>
              </w:rPr>
              <w:t>废气处理系统</w:t>
            </w:r>
            <w:r>
              <w:rPr>
                <w:rFonts w:hint="eastAsia"/>
                <w:color w:val="000000"/>
                <w:sz w:val="24"/>
                <w:lang w:eastAsia="zh-CN"/>
              </w:rPr>
              <w:t>沉淀</w:t>
            </w:r>
            <w:r>
              <w:rPr>
                <w:rFonts w:hint="eastAsia"/>
                <w:color w:val="000000"/>
                <w:sz w:val="24"/>
                <w:lang w:val="en-US" w:eastAsia="zh-CN"/>
              </w:rPr>
              <w:t>循环水</w:t>
            </w:r>
            <w:r>
              <w:rPr>
                <w:rFonts w:hint="eastAsia"/>
                <w:color w:val="000000"/>
                <w:sz w:val="24"/>
                <w:lang w:eastAsia="zh-CN"/>
              </w:rPr>
              <w:t>池、事故废水收集池</w:t>
            </w:r>
            <w:r>
              <w:rPr>
                <w:rFonts w:hint="eastAsia"/>
                <w:color w:val="000000"/>
                <w:sz w:val="24"/>
              </w:rPr>
              <w:t>采取防渗措施，防止污染物的跑、冒、滴、漏，将污染物泄漏的环境风险事故降到最低限度；</w:t>
            </w:r>
          </w:p>
          <w:p w14:paraId="07B3D0B4">
            <w:pPr>
              <w:pStyle w:val="10"/>
              <w:ind w:firstLine="480" w:firstLineChars="200"/>
              <w:rPr>
                <w:color w:val="000000"/>
              </w:rPr>
            </w:pPr>
            <w:r>
              <w:rPr>
                <w:rFonts w:hint="eastAsia"/>
                <w:color w:val="000000"/>
                <w:sz w:val="24"/>
                <w:szCs w:val="24"/>
              </w:rPr>
              <w:t>③污水管线：</w:t>
            </w:r>
            <w:r>
              <w:rPr>
                <w:rFonts w:hint="eastAsia"/>
                <w:color w:val="000000"/>
                <w:sz w:val="24"/>
                <w:szCs w:val="24"/>
                <w:lang w:eastAsia="zh-CN"/>
              </w:rPr>
              <w:t>污水管网</w:t>
            </w:r>
            <w:r>
              <w:rPr>
                <w:rFonts w:hint="eastAsia"/>
                <w:color w:val="000000"/>
                <w:sz w:val="24"/>
                <w:szCs w:val="24"/>
              </w:rPr>
              <w:t>均采用地埋式，已采用有效的防渗材料铺设。</w:t>
            </w:r>
          </w:p>
          <w:p w14:paraId="32BF2AC6">
            <w:pPr>
              <w:spacing w:line="360" w:lineRule="auto"/>
              <w:ind w:firstLine="482" w:firstLineChars="200"/>
              <w:rPr>
                <w:rFonts w:hint="eastAsia"/>
                <w:b/>
                <w:bCs/>
                <w:color w:val="000000"/>
                <w:sz w:val="24"/>
              </w:rPr>
            </w:pPr>
            <w:r>
              <w:rPr>
                <w:rFonts w:hint="eastAsia"/>
                <w:b/>
                <w:bCs/>
                <w:color w:val="000000"/>
                <w:sz w:val="24"/>
              </w:rPr>
              <w:t>（2）分区防渗措施</w:t>
            </w:r>
          </w:p>
          <w:p w14:paraId="05EC69B3">
            <w:pPr>
              <w:spacing w:line="360" w:lineRule="auto"/>
              <w:ind w:firstLine="480" w:firstLineChars="200"/>
              <w:rPr>
                <w:rFonts w:hint="eastAsia"/>
                <w:color w:val="000000"/>
                <w:sz w:val="24"/>
              </w:rPr>
            </w:pPr>
            <w:r>
              <w:rPr>
                <w:rFonts w:hint="eastAsia"/>
                <w:color w:val="000000"/>
                <w:sz w:val="24"/>
              </w:rPr>
              <w:t>根据《环境影响评价技术导则地下水环境》（HJ610-2016）中相关要求，项目分为重点防渗区、一般防渗区、简单防渗区。</w:t>
            </w:r>
          </w:p>
          <w:p w14:paraId="24C70C5E">
            <w:pPr>
              <w:spacing w:line="360" w:lineRule="auto"/>
              <w:ind w:firstLine="480" w:firstLineChars="200"/>
              <w:rPr>
                <w:rFonts w:hint="eastAsia"/>
                <w:color w:val="000000"/>
                <w:sz w:val="24"/>
              </w:rPr>
            </w:pPr>
            <w:r>
              <w:rPr>
                <w:rFonts w:hint="eastAsia"/>
                <w:color w:val="000000"/>
                <w:sz w:val="24"/>
              </w:rPr>
              <w:t>重点防渗区：危废暂存间</w:t>
            </w:r>
            <w:r>
              <w:rPr>
                <w:rFonts w:hint="eastAsia"/>
                <w:color w:val="000000"/>
                <w:sz w:val="24"/>
                <w:lang w:eastAsia="zh-CN"/>
              </w:rPr>
              <w:t>、</w:t>
            </w:r>
            <w:r>
              <w:rPr>
                <w:rFonts w:hint="eastAsia"/>
                <w:color w:val="000000"/>
                <w:sz w:val="24"/>
                <w:lang w:val="en-US" w:eastAsia="zh-CN"/>
              </w:rPr>
              <w:t>废气处理系统</w:t>
            </w:r>
            <w:r>
              <w:rPr>
                <w:rFonts w:hint="eastAsia"/>
                <w:color w:val="000000"/>
                <w:sz w:val="24"/>
                <w:lang w:eastAsia="zh-CN"/>
              </w:rPr>
              <w:t>沉淀</w:t>
            </w:r>
            <w:r>
              <w:rPr>
                <w:rFonts w:hint="eastAsia"/>
                <w:color w:val="000000"/>
                <w:sz w:val="24"/>
                <w:lang w:val="en-US" w:eastAsia="zh-CN"/>
              </w:rPr>
              <w:t>循环水</w:t>
            </w:r>
            <w:r>
              <w:rPr>
                <w:rFonts w:hint="eastAsia"/>
                <w:color w:val="000000"/>
                <w:sz w:val="24"/>
                <w:lang w:eastAsia="zh-CN"/>
              </w:rPr>
              <w:t>池、事故废水收集池</w:t>
            </w:r>
            <w:r>
              <w:rPr>
                <w:rFonts w:hint="eastAsia"/>
                <w:color w:val="000000"/>
                <w:sz w:val="24"/>
              </w:rPr>
              <w:t>；</w:t>
            </w:r>
          </w:p>
          <w:p w14:paraId="3EE9011F">
            <w:pPr>
              <w:spacing w:line="360" w:lineRule="auto"/>
              <w:ind w:firstLine="480" w:firstLineChars="200"/>
              <w:rPr>
                <w:rFonts w:hint="eastAsia"/>
                <w:color w:val="000000"/>
                <w:sz w:val="24"/>
              </w:rPr>
            </w:pPr>
            <w:r>
              <w:rPr>
                <w:rFonts w:hint="eastAsia"/>
                <w:color w:val="000000"/>
                <w:sz w:val="24"/>
              </w:rPr>
              <w:t>一般防渗区：</w:t>
            </w:r>
            <w:r>
              <w:rPr>
                <w:rFonts w:hint="eastAsia"/>
                <w:color w:val="000000"/>
                <w:sz w:val="24"/>
                <w:lang w:eastAsia="zh-CN"/>
              </w:rPr>
              <w:t>除重点防渗、简单防渗区以外的区域</w:t>
            </w:r>
            <w:r>
              <w:rPr>
                <w:rFonts w:hint="eastAsia"/>
                <w:color w:val="000000"/>
                <w:sz w:val="24"/>
              </w:rPr>
              <w:t>；</w:t>
            </w:r>
          </w:p>
          <w:p w14:paraId="784590E9">
            <w:pPr>
              <w:spacing w:line="360" w:lineRule="auto"/>
              <w:ind w:firstLine="480" w:firstLineChars="200"/>
              <w:rPr>
                <w:rFonts w:hint="eastAsia" w:eastAsia="宋体"/>
                <w:color w:val="000000"/>
                <w:sz w:val="24"/>
                <w:lang w:eastAsia="zh-CN"/>
              </w:rPr>
            </w:pPr>
            <w:r>
              <w:rPr>
                <w:rFonts w:hint="eastAsia"/>
                <w:color w:val="000000"/>
                <w:sz w:val="24"/>
              </w:rPr>
              <w:t>简单防渗区：办公区域</w:t>
            </w:r>
            <w:r>
              <w:rPr>
                <w:rFonts w:hint="eastAsia"/>
                <w:color w:val="000000"/>
                <w:sz w:val="24"/>
                <w:lang w:eastAsia="zh-CN"/>
              </w:rPr>
              <w:t>；</w:t>
            </w:r>
          </w:p>
          <w:p w14:paraId="67C41680">
            <w:pPr>
              <w:spacing w:line="360" w:lineRule="auto"/>
              <w:ind w:firstLine="480" w:firstLineChars="200"/>
              <w:rPr>
                <w:rFonts w:hint="eastAsia" w:ascii="宋体" w:hAnsi="宋体" w:cs="宋体"/>
                <w:color w:val="000000"/>
                <w:sz w:val="24"/>
              </w:rPr>
            </w:pPr>
            <w:r>
              <w:rPr>
                <w:rFonts w:hint="eastAsia"/>
                <w:color w:val="000000"/>
                <w:sz w:val="24"/>
              </w:rPr>
              <w:t>本项目分区防渗措施见表4-</w:t>
            </w:r>
            <w:r>
              <w:rPr>
                <w:rFonts w:hint="eastAsia"/>
                <w:color w:val="000000"/>
                <w:sz w:val="24"/>
                <w:lang w:val="en-US" w:eastAsia="zh-CN"/>
              </w:rPr>
              <w:t>23</w:t>
            </w:r>
            <w:r>
              <w:rPr>
                <w:rFonts w:hint="eastAsia"/>
                <w:color w:val="000000"/>
                <w:sz w:val="24"/>
              </w:rPr>
              <w:t>。</w:t>
            </w:r>
          </w:p>
          <w:p w14:paraId="73A5A4CF">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本项目地下水防渗分区表</w:t>
            </w:r>
          </w:p>
          <w:tbl>
            <w:tblPr>
              <w:tblStyle w:val="32"/>
              <w:tblW w:w="871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28" w:type="dxa"/>
                <w:bottom w:w="28" w:type="dxa"/>
                <w:right w:w="28" w:type="dxa"/>
              </w:tblCellMar>
            </w:tblPr>
            <w:tblGrid>
              <w:gridCol w:w="892"/>
              <w:gridCol w:w="973"/>
              <w:gridCol w:w="1448"/>
              <w:gridCol w:w="2355"/>
              <w:gridCol w:w="1944"/>
              <w:gridCol w:w="1106"/>
            </w:tblGrid>
            <w:tr w14:paraId="16CE0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949" w:hRule="atLeast"/>
                <w:jc w:val="center"/>
              </w:trPr>
              <w:tc>
                <w:tcPr>
                  <w:tcW w:w="892" w:type="dxa"/>
                  <w:tcBorders>
                    <w:tl2br w:val="nil"/>
                    <w:tr2bl w:val="nil"/>
                  </w:tcBorders>
                  <w:noWrap w:val="0"/>
                  <w:vAlign w:val="center"/>
                </w:tcPr>
                <w:p w14:paraId="3593BED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rPr>
                    <w:t>防渗级别</w:t>
                  </w:r>
                </w:p>
              </w:tc>
              <w:tc>
                <w:tcPr>
                  <w:tcW w:w="973" w:type="dxa"/>
                  <w:tcBorders>
                    <w:tl2br w:val="nil"/>
                    <w:tr2bl w:val="nil"/>
                  </w:tcBorders>
                  <w:noWrap w:val="0"/>
                  <w:vAlign w:val="center"/>
                </w:tcPr>
                <w:p w14:paraId="466D6D40">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rPr>
                    <w:t>工作区</w:t>
                  </w:r>
                </w:p>
              </w:tc>
              <w:tc>
                <w:tcPr>
                  <w:tcW w:w="1448" w:type="dxa"/>
                  <w:tcBorders>
                    <w:tl2br w:val="nil"/>
                    <w:tr2bl w:val="nil"/>
                  </w:tcBorders>
                  <w:noWrap w:val="0"/>
                  <w:vAlign w:val="center"/>
                </w:tcPr>
                <w:p w14:paraId="3EE1AD7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rPr>
                    <w:t>防渗要求</w:t>
                  </w:r>
                </w:p>
              </w:tc>
              <w:tc>
                <w:tcPr>
                  <w:tcW w:w="2355" w:type="dxa"/>
                  <w:tcBorders>
                    <w:right w:val="single" w:color="000000" w:sz="6" w:space="0"/>
                    <w:tl2br w:val="nil"/>
                    <w:tr2bl w:val="nil"/>
                  </w:tcBorders>
                  <w:noWrap w:val="0"/>
                  <w:vAlign w:val="center"/>
                </w:tcPr>
                <w:p w14:paraId="6668A093">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lang w:val="en-US" w:eastAsia="zh-CN"/>
                    </w:rPr>
                    <w:t>厂房已采取的防渗措施</w:t>
                  </w:r>
                </w:p>
              </w:tc>
              <w:tc>
                <w:tcPr>
                  <w:tcW w:w="1944" w:type="dxa"/>
                  <w:tcBorders>
                    <w:left w:val="single" w:color="000000" w:sz="6" w:space="0"/>
                    <w:right w:val="single" w:color="000000" w:sz="6" w:space="0"/>
                    <w:tl2br w:val="nil"/>
                    <w:tr2bl w:val="nil"/>
                  </w:tcBorders>
                  <w:noWrap w:val="0"/>
                  <w:vAlign w:val="center"/>
                </w:tcPr>
                <w:p w14:paraId="4DFBAE2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color w:val="000000"/>
                      <w:sz w:val="21"/>
                      <w:szCs w:val="21"/>
                      <w:lang w:val="en-US" w:eastAsia="zh-CN"/>
                    </w:rPr>
                  </w:pPr>
                  <w:r>
                    <w:rPr>
                      <w:rFonts w:hint="default" w:ascii="Times New Roman" w:hAnsi="Times New Roman" w:cs="Times New Roman"/>
                      <w:b/>
                      <w:color w:val="000000"/>
                      <w:sz w:val="21"/>
                      <w:szCs w:val="21"/>
                      <w:lang w:val="en-US" w:eastAsia="zh-CN"/>
                    </w:rPr>
                    <w:t>新增防渗措施</w:t>
                  </w:r>
                </w:p>
              </w:tc>
              <w:tc>
                <w:tcPr>
                  <w:tcW w:w="1106" w:type="dxa"/>
                  <w:tcBorders>
                    <w:left w:val="single" w:color="000000" w:sz="6" w:space="0"/>
                    <w:tl2br w:val="nil"/>
                    <w:tr2bl w:val="nil"/>
                  </w:tcBorders>
                  <w:noWrap w:val="0"/>
                  <w:vAlign w:val="center"/>
                </w:tcPr>
                <w:p w14:paraId="6143B447">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color w:val="000000"/>
                      <w:sz w:val="21"/>
                      <w:szCs w:val="21"/>
                      <w:lang w:val="en-US" w:eastAsia="zh-CN"/>
                    </w:rPr>
                  </w:pPr>
                  <w:r>
                    <w:rPr>
                      <w:rFonts w:hint="default" w:ascii="Times New Roman" w:hAnsi="Times New Roman" w:cs="Times New Roman"/>
                      <w:b/>
                      <w:color w:val="000000"/>
                      <w:sz w:val="21"/>
                      <w:szCs w:val="21"/>
                      <w:lang w:val="en-US" w:eastAsia="zh-CN"/>
                    </w:rPr>
                    <w:t>备注</w:t>
                  </w:r>
                </w:p>
              </w:tc>
            </w:tr>
            <w:tr w14:paraId="7BC2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810" w:hRule="atLeast"/>
                <w:jc w:val="center"/>
              </w:trPr>
              <w:tc>
                <w:tcPr>
                  <w:tcW w:w="892" w:type="dxa"/>
                  <w:vMerge w:val="restart"/>
                  <w:tcBorders>
                    <w:tl2br w:val="nil"/>
                    <w:tr2bl w:val="nil"/>
                  </w:tcBorders>
                  <w:noWrap w:val="0"/>
                  <w:vAlign w:val="center"/>
                </w:tcPr>
                <w:p w14:paraId="10B252C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重点防渗区</w:t>
                  </w:r>
                </w:p>
              </w:tc>
              <w:tc>
                <w:tcPr>
                  <w:tcW w:w="973" w:type="dxa"/>
                  <w:tcBorders>
                    <w:tl2br w:val="nil"/>
                    <w:tr2bl w:val="nil"/>
                  </w:tcBorders>
                  <w:noWrap w:val="0"/>
                  <w:vAlign w:val="center"/>
                </w:tcPr>
                <w:p w14:paraId="6D23095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eastAsia="zh-CN"/>
                    </w:rPr>
                  </w:pPr>
                  <w:r>
                    <w:rPr>
                      <w:rFonts w:hint="default" w:ascii="Times New Roman" w:hAnsi="Times New Roman" w:cs="Times New Roman"/>
                      <w:color w:val="000000"/>
                      <w:sz w:val="21"/>
                      <w:szCs w:val="21"/>
                      <w:lang w:eastAsia="zh-CN"/>
                    </w:rPr>
                    <w:t>危废暂存间</w:t>
                  </w:r>
                </w:p>
              </w:tc>
              <w:tc>
                <w:tcPr>
                  <w:tcW w:w="1448" w:type="dxa"/>
                  <w:tcBorders>
                    <w:tl2br w:val="nil"/>
                    <w:tr2bl w:val="nil"/>
                  </w:tcBorders>
                  <w:noWrap w:val="0"/>
                  <w:vAlign w:val="center"/>
                </w:tcPr>
                <w:p w14:paraId="2415236C">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等效黏土防渗层Mb≥6.0m，K≤1×10</w:t>
                  </w:r>
                  <w:r>
                    <w:rPr>
                      <w:rFonts w:hint="default" w:ascii="Times New Roman" w:hAnsi="Times New Roman" w:cs="Times New Roman"/>
                      <w:color w:val="000000"/>
                      <w:sz w:val="21"/>
                      <w:szCs w:val="21"/>
                      <w:vertAlign w:val="superscript"/>
                    </w:rPr>
                    <w:t>-10</w:t>
                  </w:r>
                  <w:r>
                    <w:rPr>
                      <w:rFonts w:hint="default" w:ascii="Times New Roman" w:hAnsi="Times New Roman" w:cs="Times New Roman"/>
                      <w:color w:val="000000"/>
                      <w:sz w:val="21"/>
                      <w:szCs w:val="21"/>
                    </w:rPr>
                    <w:t>cm/s</w:t>
                  </w:r>
                </w:p>
              </w:tc>
              <w:tc>
                <w:tcPr>
                  <w:tcW w:w="2355" w:type="dxa"/>
                  <w:tcBorders>
                    <w:bottom w:val="single" w:color="auto" w:sz="4" w:space="0"/>
                    <w:right w:val="single" w:color="000000" w:sz="6" w:space="0"/>
                    <w:tl2br w:val="nil"/>
                    <w:tr2bl w:val="nil"/>
                  </w:tcBorders>
                  <w:noWrap w:val="0"/>
                  <w:vAlign w:val="center"/>
                </w:tcPr>
                <w:p w14:paraId="6CDA23C3">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eastAsia" w:ascii="Times New Roman" w:cs="Times New Roman"/>
                      <w:color w:val="000000"/>
                      <w:sz w:val="21"/>
                      <w:szCs w:val="21"/>
                      <w:lang w:val="en-US" w:eastAsia="zh-CN"/>
                    </w:rPr>
                    <w:t>/</w:t>
                  </w:r>
                </w:p>
              </w:tc>
              <w:tc>
                <w:tcPr>
                  <w:tcW w:w="1944" w:type="dxa"/>
                  <w:tcBorders>
                    <w:left w:val="single" w:color="000000" w:sz="6" w:space="0"/>
                    <w:bottom w:val="single" w:color="auto" w:sz="4" w:space="0"/>
                    <w:right w:val="single" w:color="000000" w:sz="6" w:space="0"/>
                    <w:tl2br w:val="nil"/>
                    <w:tr2bl w:val="nil"/>
                  </w:tcBorders>
                  <w:noWrap w:val="0"/>
                  <w:vAlign w:val="center"/>
                </w:tcPr>
                <w:p w14:paraId="38D84B5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rPr>
                    <w:t>采用防渗混凝土基础上，增加设置</w:t>
                  </w:r>
                  <w:r>
                    <w:rPr>
                      <w:rFonts w:hint="eastAsia"/>
                      <w:bCs/>
                      <w:color w:val="000000"/>
                      <w:sz w:val="21"/>
                      <w:szCs w:val="21"/>
                    </w:rPr>
                    <w:t>2mm厚高密度聚乙烯膜</w:t>
                  </w:r>
                  <w:r>
                    <w:rPr>
                      <w:rFonts w:hint="default" w:ascii="Times New Roman" w:hAnsi="Times New Roman" w:cs="Times New Roman"/>
                      <w:color w:val="000000"/>
                      <w:sz w:val="21"/>
                      <w:szCs w:val="21"/>
                    </w:rPr>
                    <w:t>，设置不锈钢托盘托底，</w:t>
                  </w:r>
                  <w:r>
                    <w:rPr>
                      <w:rFonts w:hint="default" w:ascii="Times New Roman" w:hAnsi="Times New Roman" w:cs="Times New Roman"/>
                      <w:color w:val="000000"/>
                      <w:kern w:val="0"/>
                      <w:sz w:val="21"/>
                      <w:szCs w:val="21"/>
                      <w:lang w:val="en-US" w:eastAsia="zh-CN" w:bidi="ar"/>
                    </w:rPr>
                    <w:t>危废间地面四周设5cm围堰</w:t>
                  </w:r>
                  <w:r>
                    <w:rPr>
                      <w:rFonts w:hint="eastAsia" w:ascii="Times New Roman" w:cs="Times New Roman"/>
                      <w:color w:val="000000"/>
                      <w:kern w:val="0"/>
                      <w:sz w:val="21"/>
                      <w:szCs w:val="21"/>
                      <w:lang w:val="en-US" w:eastAsia="zh-CN" w:bidi="ar"/>
                    </w:rPr>
                    <w:t>，</w:t>
                  </w:r>
                  <w:r>
                    <w:rPr>
                      <w:rFonts w:hint="default" w:ascii="Times New Roman" w:hAnsi="Times New Roman" w:cs="Times New Roman"/>
                      <w:color w:val="000000"/>
                      <w:sz w:val="21"/>
                      <w:szCs w:val="21"/>
                    </w:rPr>
                    <w:t>K≤1×10</w:t>
                  </w:r>
                  <w:r>
                    <w:rPr>
                      <w:rFonts w:hint="default" w:ascii="Times New Roman" w:hAnsi="Times New Roman" w:cs="Times New Roman"/>
                      <w:color w:val="000000"/>
                      <w:sz w:val="21"/>
                      <w:szCs w:val="21"/>
                      <w:vertAlign w:val="superscript"/>
                    </w:rPr>
                    <w:t>-10</w:t>
                  </w:r>
                  <w:r>
                    <w:rPr>
                      <w:rFonts w:hint="default" w:ascii="Times New Roman" w:hAnsi="Times New Roman" w:cs="Times New Roman"/>
                      <w:color w:val="000000"/>
                      <w:sz w:val="21"/>
                      <w:szCs w:val="21"/>
                    </w:rPr>
                    <w:t>cm/s</w:t>
                  </w:r>
                  <w:r>
                    <w:rPr>
                      <w:rFonts w:hint="default" w:ascii="Times New Roman" w:hAnsi="Times New Roman" w:cs="Times New Roman"/>
                      <w:color w:val="000000"/>
                      <w:sz w:val="21"/>
                      <w:szCs w:val="21"/>
                      <w:lang w:eastAsia="zh-CN"/>
                    </w:rPr>
                    <w:t>。</w:t>
                  </w:r>
                </w:p>
              </w:tc>
              <w:tc>
                <w:tcPr>
                  <w:tcW w:w="1106" w:type="dxa"/>
                  <w:tcBorders>
                    <w:left w:val="single" w:color="000000" w:sz="6" w:space="0"/>
                    <w:tl2br w:val="nil"/>
                    <w:tr2bl w:val="nil"/>
                  </w:tcBorders>
                  <w:noWrap w:val="0"/>
                  <w:vAlign w:val="center"/>
                </w:tcPr>
                <w:p w14:paraId="1ED7D20B">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eastAsia" w:ascii="Times New Roman" w:cs="Times New Roman"/>
                      <w:color w:val="000000"/>
                      <w:sz w:val="21"/>
                      <w:szCs w:val="21"/>
                      <w:lang w:val="en-US" w:eastAsia="zh-CN"/>
                    </w:rPr>
                    <w:t>新建</w:t>
                  </w:r>
                </w:p>
              </w:tc>
            </w:tr>
            <w:tr w14:paraId="08C9C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90" w:hRule="atLeast"/>
                <w:jc w:val="center"/>
              </w:trPr>
              <w:tc>
                <w:tcPr>
                  <w:tcW w:w="892" w:type="dxa"/>
                  <w:vMerge w:val="continue"/>
                  <w:tcBorders>
                    <w:tl2br w:val="nil"/>
                    <w:tr2bl w:val="nil"/>
                  </w:tcBorders>
                  <w:noWrap w:val="0"/>
                  <w:vAlign w:val="center"/>
                </w:tcPr>
                <w:p w14:paraId="74E5FBB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973" w:type="dxa"/>
                  <w:tcBorders>
                    <w:tl2br w:val="nil"/>
                    <w:tr2bl w:val="nil"/>
                  </w:tcBorders>
                  <w:noWrap w:val="0"/>
                  <w:vAlign w:val="center"/>
                </w:tcPr>
                <w:p w14:paraId="3685C282">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事故应急池</w:t>
                  </w:r>
                </w:p>
              </w:tc>
              <w:tc>
                <w:tcPr>
                  <w:tcW w:w="1448" w:type="dxa"/>
                  <w:tcBorders>
                    <w:tl2br w:val="nil"/>
                    <w:tr2bl w:val="nil"/>
                  </w:tcBorders>
                  <w:noWrap w:val="0"/>
                  <w:vAlign w:val="center"/>
                </w:tcPr>
                <w:p w14:paraId="16A22D7B">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等效黏土防渗层Mb≥6.0m，K≤1×10</w:t>
                  </w:r>
                  <w:r>
                    <w:rPr>
                      <w:rFonts w:hint="default" w:ascii="Times New Roman" w:hAnsi="Times New Roman" w:cs="Times New Roman"/>
                      <w:color w:val="000000"/>
                      <w:sz w:val="21"/>
                      <w:szCs w:val="21"/>
                      <w:vertAlign w:val="superscript"/>
                    </w:rPr>
                    <w:t>-7</w:t>
                  </w:r>
                  <w:r>
                    <w:rPr>
                      <w:rFonts w:hint="default" w:ascii="Times New Roman" w:hAnsi="Times New Roman" w:cs="Times New Roman"/>
                      <w:color w:val="000000"/>
                      <w:sz w:val="21"/>
                      <w:szCs w:val="21"/>
                    </w:rPr>
                    <w:t>cm/s</w:t>
                  </w:r>
                </w:p>
              </w:tc>
              <w:tc>
                <w:tcPr>
                  <w:tcW w:w="2355" w:type="dxa"/>
                  <w:tcBorders>
                    <w:top w:val="single" w:color="auto" w:sz="4" w:space="0"/>
                    <w:right w:val="single" w:color="000000" w:sz="6" w:space="0"/>
                    <w:tl2br w:val="nil"/>
                    <w:tr2bl w:val="nil"/>
                  </w:tcBorders>
                  <w:noWrap w:val="0"/>
                  <w:vAlign w:val="center"/>
                </w:tcPr>
                <w:p w14:paraId="05DE0B7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pacing w:val="9"/>
                      <w:sz w:val="21"/>
                      <w:szCs w:val="21"/>
                    </w:rPr>
                  </w:pPr>
                  <w:r>
                    <w:rPr>
                      <w:rFonts w:hint="default" w:ascii="Times New Roman" w:hAnsi="Times New Roman" w:cs="Times New Roman"/>
                      <w:b w:val="0"/>
                      <w:bCs w:val="0"/>
                      <w:color w:val="000000"/>
                      <w:sz w:val="21"/>
                      <w:szCs w:val="21"/>
                    </w:rPr>
                    <w:t>从下自上分别为垫层分层压实+抗渗混凝土+</w:t>
                  </w:r>
                  <w:r>
                    <w:rPr>
                      <w:rFonts w:hint="eastAsia"/>
                      <w:color w:val="000000"/>
                      <w:sz w:val="21"/>
                      <w:szCs w:val="21"/>
                      <w:lang w:val="en-US" w:eastAsia="zh-CN"/>
                    </w:rPr>
                    <w:t>采用防腐涂料做防腐处理</w:t>
                  </w:r>
                </w:p>
              </w:tc>
              <w:tc>
                <w:tcPr>
                  <w:tcW w:w="1944" w:type="dxa"/>
                  <w:tcBorders>
                    <w:top w:val="single" w:color="auto" w:sz="4" w:space="0"/>
                    <w:left w:val="single" w:color="000000" w:sz="6" w:space="0"/>
                    <w:right w:val="single" w:color="000000" w:sz="6" w:space="0"/>
                    <w:tl2br w:val="nil"/>
                    <w:tr2bl w:val="nil"/>
                  </w:tcBorders>
                  <w:noWrap w:val="0"/>
                  <w:vAlign w:val="center"/>
                </w:tcPr>
                <w:p w14:paraId="1EA16BF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kern w:val="0"/>
                      <w:sz w:val="21"/>
                      <w:szCs w:val="21"/>
                      <w:lang w:val="en-US" w:eastAsia="zh-CN" w:bidi="ar"/>
                    </w:rPr>
                  </w:pPr>
                  <w:r>
                    <w:rPr>
                      <w:rFonts w:hint="eastAsia" w:ascii="Times New Roman" w:cs="Times New Roman"/>
                      <w:color w:val="000000"/>
                      <w:sz w:val="21"/>
                      <w:szCs w:val="21"/>
                      <w:lang w:val="en-US" w:eastAsia="zh-CN"/>
                    </w:rPr>
                    <w:t>/</w:t>
                  </w:r>
                </w:p>
              </w:tc>
              <w:tc>
                <w:tcPr>
                  <w:tcW w:w="1106" w:type="dxa"/>
                  <w:tcBorders>
                    <w:left w:val="single" w:color="000000" w:sz="6" w:space="0"/>
                    <w:tl2br w:val="nil"/>
                    <w:tr2bl w:val="nil"/>
                  </w:tcBorders>
                  <w:noWrap w:val="0"/>
                  <w:vAlign w:val="center"/>
                </w:tcPr>
                <w:p w14:paraId="79A6674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依托</w:t>
                  </w:r>
                </w:p>
              </w:tc>
            </w:tr>
            <w:tr w14:paraId="04FAE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43" w:hRule="atLeast"/>
                <w:jc w:val="center"/>
              </w:trPr>
              <w:tc>
                <w:tcPr>
                  <w:tcW w:w="892" w:type="dxa"/>
                  <w:vMerge w:val="continue"/>
                  <w:tcBorders>
                    <w:tl2br w:val="nil"/>
                    <w:tr2bl w:val="nil"/>
                  </w:tcBorders>
                  <w:noWrap w:val="0"/>
                  <w:vAlign w:val="center"/>
                </w:tcPr>
                <w:p w14:paraId="6D5E404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973" w:type="dxa"/>
                  <w:tcBorders>
                    <w:tl2br w:val="nil"/>
                    <w:tr2bl w:val="nil"/>
                  </w:tcBorders>
                  <w:noWrap w:val="0"/>
                  <w:vAlign w:val="center"/>
                </w:tcPr>
                <w:p w14:paraId="1C9F450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r>
                    <w:rPr>
                      <w:rFonts w:hint="eastAsia" w:ascii="Times New Roman" w:cs="Times New Roman"/>
                      <w:color w:val="000000"/>
                      <w:sz w:val="21"/>
                      <w:szCs w:val="21"/>
                      <w:lang w:val="en-US" w:eastAsia="zh-CN"/>
                    </w:rPr>
                    <w:t>柴油发电机房</w:t>
                  </w:r>
                </w:p>
              </w:tc>
              <w:tc>
                <w:tcPr>
                  <w:tcW w:w="1448" w:type="dxa"/>
                  <w:tcBorders>
                    <w:tl2br w:val="nil"/>
                    <w:tr2bl w:val="nil"/>
                  </w:tcBorders>
                  <w:noWrap w:val="0"/>
                  <w:vAlign w:val="center"/>
                </w:tcPr>
                <w:p w14:paraId="58BBA2F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等效黏土防渗层Mb≥6.0m，K≤1×10</w:t>
                  </w:r>
                  <w:r>
                    <w:rPr>
                      <w:rFonts w:hint="default" w:ascii="Times New Roman" w:hAnsi="Times New Roman" w:cs="Times New Roman"/>
                      <w:color w:val="000000"/>
                      <w:sz w:val="21"/>
                      <w:szCs w:val="21"/>
                      <w:vertAlign w:val="superscript"/>
                    </w:rPr>
                    <w:t>-7</w:t>
                  </w:r>
                  <w:r>
                    <w:rPr>
                      <w:rFonts w:hint="default" w:ascii="Times New Roman" w:hAnsi="Times New Roman" w:cs="Times New Roman"/>
                      <w:color w:val="000000"/>
                      <w:sz w:val="21"/>
                      <w:szCs w:val="21"/>
                    </w:rPr>
                    <w:t>cm/s</w:t>
                  </w:r>
                </w:p>
              </w:tc>
              <w:tc>
                <w:tcPr>
                  <w:tcW w:w="2355" w:type="dxa"/>
                  <w:tcBorders>
                    <w:top w:val="single" w:color="auto" w:sz="4" w:space="0"/>
                    <w:right w:val="single" w:color="000000" w:sz="6" w:space="0"/>
                    <w:tl2br w:val="nil"/>
                    <w:tr2bl w:val="nil"/>
                  </w:tcBorders>
                  <w:noWrap w:val="0"/>
                  <w:vAlign w:val="center"/>
                </w:tcPr>
                <w:p w14:paraId="5E8177FB">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val="0"/>
                      <w:bCs w:val="0"/>
                      <w:color w:val="000000"/>
                      <w:sz w:val="21"/>
                      <w:szCs w:val="21"/>
                    </w:rPr>
                  </w:pPr>
                  <w:r>
                    <w:rPr>
                      <w:rFonts w:hint="default" w:ascii="Times New Roman" w:hAnsi="Times New Roman" w:eastAsia="宋体" w:cs="Times New Roman"/>
                      <w:color w:val="000000"/>
                      <w:sz w:val="21"/>
                      <w:szCs w:val="21"/>
                    </w:rPr>
                    <w:t>防渗层结构采取粘土层+20cm厚P8抗渗混凝土+2mm厚HDPE防渗膜，储油间四周设置防渗围堰</w:t>
                  </w:r>
                  <w:r>
                    <w:rPr>
                      <w:rFonts w:hint="eastAsia" w:ascii="Times New Roman" w:cs="Times New Roman"/>
                      <w:i w:val="0"/>
                      <w:iCs w:val="0"/>
                      <w:caps w:val="0"/>
                      <w:color w:val="000000"/>
                      <w:spacing w:val="0"/>
                      <w:sz w:val="21"/>
                      <w:szCs w:val="21"/>
                      <w:shd w:val="clear" w:color="auto" w:fill="auto"/>
                      <w:lang w:val="en-US" w:eastAsia="zh-CN"/>
                    </w:rPr>
                    <w:t>。</w:t>
                  </w:r>
                </w:p>
              </w:tc>
              <w:tc>
                <w:tcPr>
                  <w:tcW w:w="1944" w:type="dxa"/>
                  <w:tcBorders>
                    <w:top w:val="single" w:color="auto" w:sz="4" w:space="0"/>
                    <w:left w:val="single" w:color="000000" w:sz="6" w:space="0"/>
                    <w:right w:val="single" w:color="000000" w:sz="6" w:space="0"/>
                    <w:tl2br w:val="nil"/>
                    <w:tr2bl w:val="nil"/>
                  </w:tcBorders>
                  <w:noWrap w:val="0"/>
                  <w:vAlign w:val="center"/>
                </w:tcPr>
                <w:p w14:paraId="72455A9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color w:val="000000"/>
                      <w:sz w:val="21"/>
                      <w:szCs w:val="21"/>
                    </w:rPr>
                    <w:t>发电机及储油桶下方设置接油盘</w:t>
                  </w:r>
                </w:p>
              </w:tc>
              <w:tc>
                <w:tcPr>
                  <w:tcW w:w="1106" w:type="dxa"/>
                  <w:tcBorders>
                    <w:left w:val="single" w:color="000000" w:sz="6" w:space="0"/>
                    <w:tl2br w:val="nil"/>
                    <w:tr2bl w:val="nil"/>
                  </w:tcBorders>
                  <w:noWrap w:val="0"/>
                  <w:vAlign w:val="center"/>
                </w:tcPr>
                <w:p w14:paraId="4E823C6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依托</w:t>
                  </w:r>
                </w:p>
              </w:tc>
            </w:tr>
            <w:tr w14:paraId="7710B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43" w:hRule="atLeast"/>
                <w:jc w:val="center"/>
              </w:trPr>
              <w:tc>
                <w:tcPr>
                  <w:tcW w:w="892" w:type="dxa"/>
                  <w:vMerge w:val="continue"/>
                  <w:tcBorders>
                    <w:tl2br w:val="nil"/>
                    <w:tr2bl w:val="nil"/>
                  </w:tcBorders>
                  <w:noWrap w:val="0"/>
                  <w:vAlign w:val="center"/>
                </w:tcPr>
                <w:p w14:paraId="01BA94AC">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973" w:type="dxa"/>
                  <w:tcBorders>
                    <w:tl2br w:val="nil"/>
                    <w:tr2bl w:val="nil"/>
                  </w:tcBorders>
                  <w:noWrap w:val="0"/>
                  <w:vAlign w:val="center"/>
                </w:tcPr>
                <w:p w14:paraId="6E29ED88">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color w:val="000000"/>
                      <w:sz w:val="21"/>
                      <w:szCs w:val="21"/>
                      <w:lang w:val="en-US" w:eastAsia="zh-CN"/>
                    </w:rPr>
                  </w:pPr>
                  <w:r>
                    <w:rPr>
                      <w:rFonts w:hint="eastAsia" w:ascii="Times New Roman" w:cs="Times New Roman"/>
                      <w:color w:val="000000"/>
                      <w:sz w:val="21"/>
                      <w:szCs w:val="21"/>
                      <w:lang w:val="en-US" w:eastAsia="zh-CN"/>
                    </w:rPr>
                    <w:t>废气处理系统沉淀循环水池</w:t>
                  </w:r>
                </w:p>
              </w:tc>
              <w:tc>
                <w:tcPr>
                  <w:tcW w:w="1448" w:type="dxa"/>
                  <w:tcBorders>
                    <w:tl2br w:val="nil"/>
                    <w:tr2bl w:val="nil"/>
                  </w:tcBorders>
                  <w:noWrap w:val="0"/>
                  <w:vAlign w:val="center"/>
                </w:tcPr>
                <w:p w14:paraId="61DF4764">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等效黏土防渗层Mb≥6.0m，K≤1×10</w:t>
                  </w:r>
                  <w:r>
                    <w:rPr>
                      <w:rFonts w:hint="default" w:ascii="Times New Roman" w:hAnsi="Times New Roman" w:cs="Times New Roman"/>
                      <w:color w:val="000000"/>
                      <w:sz w:val="21"/>
                      <w:szCs w:val="21"/>
                      <w:vertAlign w:val="superscript"/>
                    </w:rPr>
                    <w:t>-7</w:t>
                  </w:r>
                  <w:r>
                    <w:rPr>
                      <w:rFonts w:hint="default" w:ascii="Times New Roman" w:hAnsi="Times New Roman" w:cs="Times New Roman"/>
                      <w:color w:val="000000"/>
                      <w:sz w:val="21"/>
                      <w:szCs w:val="21"/>
                    </w:rPr>
                    <w:t>cm/s</w:t>
                  </w:r>
                </w:p>
              </w:tc>
              <w:tc>
                <w:tcPr>
                  <w:tcW w:w="2355" w:type="dxa"/>
                  <w:tcBorders>
                    <w:top w:val="single" w:color="auto" w:sz="4" w:space="0"/>
                    <w:right w:val="single" w:color="000000" w:sz="6" w:space="0"/>
                    <w:tl2br w:val="nil"/>
                    <w:tr2bl w:val="nil"/>
                  </w:tcBorders>
                  <w:noWrap w:val="0"/>
                  <w:vAlign w:val="center"/>
                </w:tcPr>
                <w:p w14:paraId="6982010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rPr>
                  </w:pPr>
                  <w:r>
                    <w:rPr>
                      <w:rFonts w:hint="eastAsia" w:ascii="Times New Roman" w:cs="Times New Roman"/>
                      <w:color w:val="000000"/>
                      <w:sz w:val="21"/>
                      <w:szCs w:val="21"/>
                      <w:lang w:val="en-US" w:eastAsia="zh-CN"/>
                    </w:rPr>
                    <w:t>/</w:t>
                  </w:r>
                </w:p>
              </w:tc>
              <w:tc>
                <w:tcPr>
                  <w:tcW w:w="1944" w:type="dxa"/>
                  <w:tcBorders>
                    <w:top w:val="single" w:color="auto" w:sz="4" w:space="0"/>
                    <w:left w:val="single" w:color="000000" w:sz="6" w:space="0"/>
                    <w:right w:val="single" w:color="000000" w:sz="6" w:space="0"/>
                    <w:tl2br w:val="nil"/>
                    <w:tr2bl w:val="nil"/>
                  </w:tcBorders>
                  <w:noWrap w:val="0"/>
                  <w:vAlign w:val="center"/>
                </w:tcPr>
                <w:p w14:paraId="1C6F5780">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采用防渗混凝土，池体采用防腐涂料做防腐处理</w:t>
                  </w:r>
                </w:p>
              </w:tc>
              <w:tc>
                <w:tcPr>
                  <w:tcW w:w="1106" w:type="dxa"/>
                  <w:tcBorders>
                    <w:left w:val="single" w:color="000000" w:sz="6" w:space="0"/>
                    <w:tl2br w:val="nil"/>
                    <w:tr2bl w:val="nil"/>
                  </w:tcBorders>
                  <w:noWrap w:val="0"/>
                  <w:vAlign w:val="center"/>
                </w:tcPr>
                <w:p w14:paraId="429B741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r>
                    <w:rPr>
                      <w:rFonts w:hint="eastAsia" w:ascii="Times New Roman" w:cs="Times New Roman"/>
                      <w:color w:val="000000"/>
                      <w:sz w:val="21"/>
                      <w:szCs w:val="21"/>
                      <w:lang w:val="en-US" w:eastAsia="zh-CN"/>
                    </w:rPr>
                    <w:t>新建</w:t>
                  </w:r>
                </w:p>
              </w:tc>
            </w:tr>
            <w:tr w14:paraId="1B065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43" w:hRule="atLeast"/>
                <w:jc w:val="center"/>
              </w:trPr>
              <w:tc>
                <w:tcPr>
                  <w:tcW w:w="892" w:type="dxa"/>
                  <w:vMerge w:val="continue"/>
                  <w:tcBorders>
                    <w:tl2br w:val="nil"/>
                    <w:tr2bl w:val="nil"/>
                  </w:tcBorders>
                  <w:noWrap w:val="0"/>
                  <w:vAlign w:val="center"/>
                </w:tcPr>
                <w:p w14:paraId="55965E4B">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973" w:type="dxa"/>
                  <w:tcBorders>
                    <w:tl2br w:val="nil"/>
                    <w:tr2bl w:val="nil"/>
                  </w:tcBorders>
                  <w:noWrap w:val="0"/>
                  <w:vAlign w:val="center"/>
                </w:tcPr>
                <w:p w14:paraId="4E895CE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color w:val="000000"/>
                      <w:sz w:val="21"/>
                      <w:szCs w:val="21"/>
                      <w:lang w:val="en-US" w:eastAsia="zh-CN"/>
                    </w:rPr>
                  </w:pPr>
                  <w:r>
                    <w:rPr>
                      <w:rFonts w:hint="eastAsia" w:ascii="Times New Roman" w:cs="Times New Roman"/>
                      <w:color w:val="000000"/>
                      <w:sz w:val="21"/>
                      <w:szCs w:val="21"/>
                      <w:lang w:val="en-US" w:eastAsia="zh-CN"/>
                    </w:rPr>
                    <w:t>辅料库房</w:t>
                  </w:r>
                </w:p>
              </w:tc>
              <w:tc>
                <w:tcPr>
                  <w:tcW w:w="1448" w:type="dxa"/>
                  <w:tcBorders>
                    <w:tl2br w:val="nil"/>
                    <w:tr2bl w:val="nil"/>
                  </w:tcBorders>
                  <w:noWrap w:val="0"/>
                  <w:vAlign w:val="center"/>
                </w:tcPr>
                <w:p w14:paraId="30E3535E">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等效黏土防渗层Mb≥6.0m，K≤1×10</w:t>
                  </w:r>
                  <w:r>
                    <w:rPr>
                      <w:rFonts w:hint="default" w:ascii="Times New Roman" w:hAnsi="Times New Roman" w:cs="Times New Roman"/>
                      <w:color w:val="000000"/>
                      <w:sz w:val="21"/>
                      <w:szCs w:val="21"/>
                      <w:vertAlign w:val="superscript"/>
                    </w:rPr>
                    <w:t>-7</w:t>
                  </w:r>
                  <w:r>
                    <w:rPr>
                      <w:rFonts w:hint="default" w:ascii="Times New Roman" w:hAnsi="Times New Roman" w:cs="Times New Roman"/>
                      <w:color w:val="000000"/>
                      <w:sz w:val="21"/>
                      <w:szCs w:val="21"/>
                    </w:rPr>
                    <w:t>cm/s</w:t>
                  </w:r>
                </w:p>
              </w:tc>
              <w:tc>
                <w:tcPr>
                  <w:tcW w:w="2355" w:type="dxa"/>
                  <w:tcBorders>
                    <w:top w:val="single" w:color="auto" w:sz="4" w:space="0"/>
                    <w:right w:val="single" w:color="000000" w:sz="6" w:space="0"/>
                    <w:tl2br w:val="nil"/>
                    <w:tr2bl w:val="nil"/>
                  </w:tcBorders>
                  <w:noWrap w:val="0"/>
                  <w:vAlign w:val="center"/>
                </w:tcPr>
                <w:p w14:paraId="6B2CD362">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厂区</w:t>
                  </w:r>
                  <w:r>
                    <w:rPr>
                      <w:rFonts w:hint="default" w:ascii="Times New Roman" w:hAnsi="Times New Roman" w:eastAsia="宋体" w:cs="Times New Roman"/>
                      <w:color w:val="000000"/>
                      <w:sz w:val="21"/>
                      <w:szCs w:val="21"/>
                      <w:lang w:val="en-US" w:eastAsia="zh-CN"/>
                    </w:rPr>
                    <w:t>地面</w:t>
                  </w:r>
                  <w:r>
                    <w:rPr>
                      <w:rFonts w:hint="default" w:ascii="Times New Roman" w:hAnsi="Times New Roman" w:eastAsia="宋体" w:cs="Times New Roman"/>
                      <w:color w:val="000000"/>
                      <w:sz w:val="21"/>
                      <w:szCs w:val="21"/>
                    </w:rPr>
                    <w:t>已采取防渗混凝土进行建设</w:t>
                  </w:r>
                </w:p>
              </w:tc>
              <w:tc>
                <w:tcPr>
                  <w:tcW w:w="1944" w:type="dxa"/>
                  <w:tcBorders>
                    <w:top w:val="single" w:color="auto" w:sz="4" w:space="0"/>
                    <w:left w:val="single" w:color="000000" w:sz="6" w:space="0"/>
                    <w:right w:val="single" w:color="000000" w:sz="6" w:space="0"/>
                    <w:tl2br w:val="nil"/>
                    <w:tr2bl w:val="nil"/>
                  </w:tcBorders>
                  <w:noWrap w:val="0"/>
                  <w:vAlign w:val="center"/>
                </w:tcPr>
                <w:p w14:paraId="3D327B1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rPr>
                    <w:t>增加设置</w:t>
                  </w:r>
                  <w:r>
                    <w:rPr>
                      <w:rFonts w:hint="default" w:ascii="Times New Roman" w:hAnsi="Times New Roman" w:cs="Times New Roman"/>
                      <w:bCs/>
                      <w:color w:val="000000"/>
                      <w:sz w:val="21"/>
                      <w:szCs w:val="21"/>
                    </w:rPr>
                    <w:t>2mm厚高密度聚乙烯膜</w:t>
                  </w:r>
                </w:p>
              </w:tc>
              <w:tc>
                <w:tcPr>
                  <w:tcW w:w="1106" w:type="dxa"/>
                  <w:tcBorders>
                    <w:left w:val="single" w:color="000000" w:sz="6" w:space="0"/>
                    <w:tl2br w:val="nil"/>
                    <w:tr2bl w:val="nil"/>
                  </w:tcBorders>
                  <w:noWrap w:val="0"/>
                  <w:vAlign w:val="center"/>
                </w:tcPr>
                <w:p w14:paraId="4238E424">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r>
                    <w:rPr>
                      <w:rFonts w:hint="default" w:ascii="Times New Roman" w:hAnsi="Times New Roman" w:cs="Times New Roman"/>
                      <w:color w:val="000000"/>
                      <w:sz w:val="21"/>
                      <w:szCs w:val="21"/>
                      <w:lang w:val="en-US" w:eastAsia="zh-CN"/>
                    </w:rPr>
                    <w:t>依托</w:t>
                  </w:r>
                  <w:r>
                    <w:rPr>
                      <w:rFonts w:hint="eastAsia" w:ascii="Times New Roman" w:hAnsi="Times New Roman" w:cs="Times New Roman"/>
                      <w:color w:val="000000"/>
                      <w:sz w:val="21"/>
                      <w:szCs w:val="21"/>
                      <w:lang w:val="en-US" w:eastAsia="zh-CN"/>
                    </w:rPr>
                    <w:t>、整改</w:t>
                  </w:r>
                </w:p>
              </w:tc>
            </w:tr>
            <w:tr w14:paraId="319EE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96" w:hRule="atLeast"/>
                <w:jc w:val="center"/>
              </w:trPr>
              <w:tc>
                <w:tcPr>
                  <w:tcW w:w="892" w:type="dxa"/>
                  <w:vMerge w:val="restart"/>
                  <w:tcBorders>
                    <w:tl2br w:val="nil"/>
                    <w:tr2bl w:val="nil"/>
                  </w:tcBorders>
                  <w:noWrap w:val="0"/>
                  <w:vAlign w:val="center"/>
                </w:tcPr>
                <w:p w14:paraId="53BAA92E">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一般防渗区</w:t>
                  </w:r>
                </w:p>
              </w:tc>
              <w:tc>
                <w:tcPr>
                  <w:tcW w:w="973" w:type="dxa"/>
                  <w:tcBorders>
                    <w:tl2br w:val="nil"/>
                    <w:tr2bl w:val="nil"/>
                  </w:tcBorders>
                  <w:noWrap w:val="0"/>
                  <w:vAlign w:val="center"/>
                </w:tcPr>
                <w:p w14:paraId="7FE0CA02">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eastAsia="zh-CN"/>
                    </w:rPr>
                  </w:pPr>
                  <w:r>
                    <w:rPr>
                      <w:rFonts w:hint="default" w:ascii="Times New Roman" w:hAnsi="Times New Roman" w:cs="Times New Roman"/>
                      <w:color w:val="000000"/>
                      <w:sz w:val="21"/>
                      <w:szCs w:val="21"/>
                      <w:lang w:eastAsia="zh-CN"/>
                    </w:rPr>
                    <w:t>一般固废暂存点</w:t>
                  </w:r>
                </w:p>
              </w:tc>
              <w:tc>
                <w:tcPr>
                  <w:tcW w:w="1448" w:type="dxa"/>
                  <w:vMerge w:val="restart"/>
                  <w:tcBorders>
                    <w:tl2br w:val="nil"/>
                    <w:tr2bl w:val="nil"/>
                  </w:tcBorders>
                  <w:noWrap w:val="0"/>
                  <w:vAlign w:val="center"/>
                </w:tcPr>
                <w:p w14:paraId="0FB3EED3">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等效黏土防渗层Mb≥1.5m，K≤1×10</w:t>
                  </w:r>
                  <w:r>
                    <w:rPr>
                      <w:rFonts w:hint="default" w:ascii="Times New Roman" w:hAnsi="Times New Roman" w:cs="Times New Roman"/>
                      <w:color w:val="000000"/>
                      <w:sz w:val="21"/>
                      <w:szCs w:val="21"/>
                      <w:vertAlign w:val="superscript"/>
                    </w:rPr>
                    <w:t>-7</w:t>
                  </w:r>
                  <w:r>
                    <w:rPr>
                      <w:rFonts w:hint="default" w:ascii="Times New Roman" w:hAnsi="Times New Roman" w:cs="Times New Roman"/>
                      <w:color w:val="000000"/>
                      <w:sz w:val="21"/>
                      <w:szCs w:val="21"/>
                    </w:rPr>
                    <w:t>cm/s</w:t>
                  </w:r>
                </w:p>
              </w:tc>
              <w:tc>
                <w:tcPr>
                  <w:tcW w:w="2355" w:type="dxa"/>
                  <w:vMerge w:val="restart"/>
                  <w:tcBorders>
                    <w:right w:val="single" w:color="000000" w:sz="6" w:space="0"/>
                    <w:tl2br w:val="nil"/>
                    <w:tr2bl w:val="nil"/>
                  </w:tcBorders>
                  <w:noWrap w:val="0"/>
                  <w:vAlign w:val="center"/>
                </w:tcPr>
                <w:p w14:paraId="3BDE82FE">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厂区</w:t>
                  </w:r>
                  <w:r>
                    <w:rPr>
                      <w:rFonts w:hint="default" w:ascii="Times New Roman" w:hAnsi="Times New Roman" w:eastAsia="宋体" w:cs="Times New Roman"/>
                      <w:color w:val="000000"/>
                      <w:sz w:val="21"/>
                      <w:szCs w:val="21"/>
                      <w:lang w:val="en-US" w:eastAsia="zh-CN"/>
                    </w:rPr>
                    <w:t>地面</w:t>
                  </w:r>
                  <w:r>
                    <w:rPr>
                      <w:rFonts w:hint="default" w:ascii="Times New Roman" w:hAnsi="Times New Roman" w:eastAsia="宋体" w:cs="Times New Roman"/>
                      <w:color w:val="000000"/>
                      <w:sz w:val="21"/>
                      <w:szCs w:val="21"/>
                    </w:rPr>
                    <w:t>已采取防渗混凝土进行建设</w:t>
                  </w:r>
                  <w:r>
                    <w:rPr>
                      <w:rFonts w:hint="default"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lang w:val="en-US" w:eastAsia="zh-CN"/>
                    </w:rPr>
                    <w:t>本次不变动</w:t>
                  </w:r>
                </w:p>
              </w:tc>
              <w:tc>
                <w:tcPr>
                  <w:tcW w:w="1944" w:type="dxa"/>
                  <w:vMerge w:val="restart"/>
                  <w:tcBorders>
                    <w:left w:val="single" w:color="000000" w:sz="6" w:space="0"/>
                    <w:right w:val="single" w:color="000000" w:sz="6" w:space="0"/>
                    <w:tl2br w:val="nil"/>
                    <w:tr2bl w:val="nil"/>
                  </w:tcBorders>
                  <w:noWrap w:val="0"/>
                  <w:vAlign w:val="center"/>
                </w:tcPr>
                <w:p w14:paraId="7D29CE7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w:t>
                  </w:r>
                </w:p>
              </w:tc>
              <w:tc>
                <w:tcPr>
                  <w:tcW w:w="1106" w:type="dxa"/>
                  <w:vMerge w:val="restart"/>
                  <w:tcBorders>
                    <w:left w:val="single" w:color="000000" w:sz="6" w:space="0"/>
                    <w:tl2br w:val="nil"/>
                    <w:tr2bl w:val="nil"/>
                  </w:tcBorders>
                  <w:noWrap w:val="0"/>
                  <w:vAlign w:val="center"/>
                </w:tcPr>
                <w:p w14:paraId="5CDDF158">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eastAsia" w:ascii="Times New Roman" w:cs="Times New Roman"/>
                      <w:color w:val="000000"/>
                      <w:sz w:val="21"/>
                      <w:szCs w:val="21"/>
                      <w:lang w:val="en-US" w:eastAsia="zh-CN"/>
                    </w:rPr>
                    <w:t>1#、2#厂房、一般固废暂存点依托，3#厂房新建</w:t>
                  </w:r>
                </w:p>
              </w:tc>
            </w:tr>
            <w:tr w14:paraId="39191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96" w:hRule="atLeast"/>
                <w:jc w:val="center"/>
              </w:trPr>
              <w:tc>
                <w:tcPr>
                  <w:tcW w:w="892" w:type="dxa"/>
                  <w:vMerge w:val="continue"/>
                  <w:tcBorders>
                    <w:tl2br w:val="nil"/>
                    <w:tr2bl w:val="nil"/>
                  </w:tcBorders>
                  <w:noWrap w:val="0"/>
                  <w:vAlign w:val="center"/>
                </w:tcPr>
                <w:p w14:paraId="1718412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973" w:type="dxa"/>
                  <w:tcBorders>
                    <w:tl2br w:val="nil"/>
                    <w:tr2bl w:val="nil"/>
                  </w:tcBorders>
                  <w:noWrap w:val="0"/>
                  <w:vAlign w:val="center"/>
                </w:tcPr>
                <w:p w14:paraId="3BF8B69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eastAsia="zh-CN"/>
                    </w:rPr>
                  </w:pPr>
                  <w:r>
                    <w:rPr>
                      <w:rFonts w:hint="default" w:ascii="Times New Roman" w:hAnsi="Times New Roman" w:cs="Times New Roman"/>
                      <w:color w:val="000000"/>
                      <w:sz w:val="21"/>
                      <w:szCs w:val="21"/>
                      <w:lang w:val="en-US" w:eastAsia="zh-CN"/>
                    </w:rPr>
                    <w:t>生产车间其他区域</w:t>
                  </w:r>
                </w:p>
              </w:tc>
              <w:tc>
                <w:tcPr>
                  <w:tcW w:w="1448" w:type="dxa"/>
                  <w:vMerge w:val="continue"/>
                  <w:tcBorders>
                    <w:bottom w:val="single" w:color="auto" w:sz="4" w:space="0"/>
                    <w:tl2br w:val="nil"/>
                    <w:tr2bl w:val="nil"/>
                  </w:tcBorders>
                  <w:noWrap w:val="0"/>
                  <w:vAlign w:val="center"/>
                </w:tcPr>
                <w:p w14:paraId="68DCCB84">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2355" w:type="dxa"/>
                  <w:vMerge w:val="continue"/>
                  <w:tcBorders>
                    <w:bottom w:val="single" w:color="auto" w:sz="4" w:space="0"/>
                    <w:right w:val="single" w:color="000000" w:sz="6" w:space="0"/>
                    <w:tl2br w:val="nil"/>
                    <w:tr2bl w:val="nil"/>
                  </w:tcBorders>
                  <w:noWrap w:val="0"/>
                  <w:vAlign w:val="center"/>
                </w:tcPr>
                <w:p w14:paraId="5D4DF1E7">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rPr>
                  </w:pPr>
                </w:p>
              </w:tc>
              <w:tc>
                <w:tcPr>
                  <w:tcW w:w="1944" w:type="dxa"/>
                  <w:vMerge w:val="continue"/>
                  <w:tcBorders>
                    <w:left w:val="single" w:color="000000" w:sz="6" w:space="0"/>
                    <w:bottom w:val="single" w:color="auto" w:sz="4" w:space="0"/>
                    <w:right w:val="single" w:color="000000" w:sz="6" w:space="0"/>
                    <w:tl2br w:val="nil"/>
                    <w:tr2bl w:val="nil"/>
                  </w:tcBorders>
                  <w:noWrap w:val="0"/>
                  <w:vAlign w:val="center"/>
                </w:tcPr>
                <w:p w14:paraId="49A7446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lang w:val="en-US" w:eastAsia="zh-CN"/>
                    </w:rPr>
                  </w:pPr>
                </w:p>
              </w:tc>
              <w:tc>
                <w:tcPr>
                  <w:tcW w:w="1106" w:type="dxa"/>
                  <w:vMerge w:val="continue"/>
                  <w:tcBorders>
                    <w:left w:val="single" w:color="000000" w:sz="6" w:space="0"/>
                    <w:bottom w:val="single" w:color="auto" w:sz="4" w:space="0"/>
                    <w:tl2br w:val="nil"/>
                    <w:tr2bl w:val="nil"/>
                  </w:tcBorders>
                  <w:noWrap w:val="0"/>
                  <w:vAlign w:val="center"/>
                </w:tcPr>
                <w:p w14:paraId="41FDF03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color w:val="000000"/>
                      <w:sz w:val="21"/>
                      <w:szCs w:val="21"/>
                      <w:lang w:val="en-US" w:eastAsia="zh-CN"/>
                    </w:rPr>
                  </w:pPr>
                </w:p>
              </w:tc>
            </w:tr>
            <w:tr w14:paraId="506DB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21" w:hRule="atLeast"/>
                <w:jc w:val="center"/>
              </w:trPr>
              <w:tc>
                <w:tcPr>
                  <w:tcW w:w="892" w:type="dxa"/>
                  <w:vMerge w:val="continue"/>
                  <w:tcBorders>
                    <w:tl2br w:val="nil"/>
                    <w:tr2bl w:val="nil"/>
                  </w:tcBorders>
                  <w:noWrap w:val="0"/>
                  <w:vAlign w:val="center"/>
                </w:tcPr>
                <w:p w14:paraId="27D2418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p>
              </w:tc>
              <w:tc>
                <w:tcPr>
                  <w:tcW w:w="973" w:type="dxa"/>
                  <w:tcBorders>
                    <w:tl2br w:val="nil"/>
                    <w:tr2bl w:val="nil"/>
                  </w:tcBorders>
                  <w:noWrap w:val="0"/>
                  <w:vAlign w:val="center"/>
                </w:tcPr>
                <w:p w14:paraId="12DA3558">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color w:val="000000"/>
                      <w:sz w:val="21"/>
                      <w:szCs w:val="21"/>
                      <w:lang w:val="en-US" w:eastAsia="zh-CN"/>
                    </w:rPr>
                  </w:pPr>
                  <w:r>
                    <w:rPr>
                      <w:rFonts w:hint="eastAsia" w:ascii="Times New Roman" w:cs="Times New Roman"/>
                      <w:color w:val="000000"/>
                      <w:sz w:val="21"/>
                      <w:szCs w:val="21"/>
                      <w:lang w:val="en-US" w:eastAsia="zh-CN"/>
                    </w:rPr>
                    <w:t>初期雨水池</w:t>
                  </w:r>
                </w:p>
              </w:tc>
              <w:tc>
                <w:tcPr>
                  <w:tcW w:w="1448" w:type="dxa"/>
                  <w:tcBorders>
                    <w:top w:val="single" w:color="auto" w:sz="4" w:space="0"/>
                    <w:tl2br w:val="nil"/>
                    <w:tr2bl w:val="nil"/>
                  </w:tcBorders>
                  <w:noWrap w:val="0"/>
                  <w:vAlign w:val="center"/>
                </w:tcPr>
                <w:p w14:paraId="00F7D4B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等效黏土防渗层Mb≥1.5m，K≤1×10</w:t>
                  </w:r>
                  <w:r>
                    <w:rPr>
                      <w:rFonts w:hint="default" w:ascii="Times New Roman" w:hAnsi="Times New Roman" w:cs="Times New Roman"/>
                      <w:color w:val="000000"/>
                      <w:sz w:val="21"/>
                      <w:szCs w:val="21"/>
                      <w:vertAlign w:val="superscript"/>
                    </w:rPr>
                    <w:t>-7</w:t>
                  </w:r>
                  <w:r>
                    <w:rPr>
                      <w:rFonts w:hint="default" w:ascii="Times New Roman" w:hAnsi="Times New Roman" w:cs="Times New Roman"/>
                      <w:color w:val="000000"/>
                      <w:sz w:val="21"/>
                      <w:szCs w:val="21"/>
                    </w:rPr>
                    <w:t>cm/s</w:t>
                  </w:r>
                </w:p>
              </w:tc>
              <w:tc>
                <w:tcPr>
                  <w:tcW w:w="2355" w:type="dxa"/>
                  <w:tcBorders>
                    <w:top w:val="single" w:color="auto" w:sz="4" w:space="0"/>
                    <w:right w:val="single" w:color="000000" w:sz="6" w:space="0"/>
                    <w:tl2br w:val="nil"/>
                    <w:tr2bl w:val="nil"/>
                  </w:tcBorders>
                  <w:noWrap w:val="0"/>
                  <w:vAlign w:val="center"/>
                </w:tcPr>
                <w:p w14:paraId="31DE95A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lang w:val="en-US" w:eastAsia="zh-CN"/>
                    </w:rPr>
                    <w:t>/</w:t>
                  </w:r>
                </w:p>
              </w:tc>
              <w:tc>
                <w:tcPr>
                  <w:tcW w:w="1944" w:type="dxa"/>
                  <w:tcBorders>
                    <w:top w:val="single" w:color="auto" w:sz="4" w:space="0"/>
                    <w:left w:val="single" w:color="000000" w:sz="6" w:space="0"/>
                    <w:right w:val="single" w:color="000000" w:sz="6" w:space="0"/>
                    <w:tl2br w:val="nil"/>
                    <w:tr2bl w:val="nil"/>
                  </w:tcBorders>
                  <w:noWrap w:val="0"/>
                  <w:vAlign w:val="center"/>
                </w:tcPr>
                <w:p w14:paraId="1D7B0CE4">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rPr>
                    <w:t>采取防渗混凝土进行建设</w:t>
                  </w:r>
                </w:p>
              </w:tc>
              <w:tc>
                <w:tcPr>
                  <w:tcW w:w="1106" w:type="dxa"/>
                  <w:tcBorders>
                    <w:top w:val="single" w:color="auto" w:sz="4" w:space="0"/>
                    <w:left w:val="single" w:color="000000" w:sz="6" w:space="0"/>
                    <w:tl2br w:val="nil"/>
                    <w:tr2bl w:val="nil"/>
                  </w:tcBorders>
                  <w:noWrap w:val="0"/>
                  <w:vAlign w:val="center"/>
                </w:tcPr>
                <w:p w14:paraId="6D167F3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eastAsia" w:ascii="Times New Roman" w:cs="Times New Roman"/>
                      <w:color w:val="000000"/>
                      <w:sz w:val="21"/>
                      <w:szCs w:val="21"/>
                      <w:lang w:val="en-US" w:eastAsia="zh-CN"/>
                    </w:rPr>
                    <w:t>新建</w:t>
                  </w:r>
                </w:p>
              </w:tc>
            </w:tr>
            <w:tr w14:paraId="3B7E2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869" w:hRule="atLeast"/>
                <w:jc w:val="center"/>
              </w:trPr>
              <w:tc>
                <w:tcPr>
                  <w:tcW w:w="892" w:type="dxa"/>
                  <w:tcBorders>
                    <w:tl2br w:val="nil"/>
                    <w:tr2bl w:val="nil"/>
                  </w:tcBorders>
                  <w:noWrap w:val="0"/>
                  <w:vAlign w:val="center"/>
                </w:tcPr>
                <w:p w14:paraId="1DB3825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简单防渗区</w:t>
                  </w:r>
                </w:p>
              </w:tc>
              <w:tc>
                <w:tcPr>
                  <w:tcW w:w="973" w:type="dxa"/>
                  <w:tcBorders>
                    <w:tl2br w:val="nil"/>
                    <w:tr2bl w:val="nil"/>
                  </w:tcBorders>
                  <w:noWrap w:val="0"/>
                  <w:vAlign w:val="center"/>
                </w:tcPr>
                <w:p w14:paraId="1DF58E9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办公区、道路等</w:t>
                  </w:r>
                </w:p>
              </w:tc>
              <w:tc>
                <w:tcPr>
                  <w:tcW w:w="1448" w:type="dxa"/>
                  <w:tcBorders>
                    <w:tl2br w:val="nil"/>
                    <w:tr2bl w:val="nil"/>
                  </w:tcBorders>
                  <w:noWrap w:val="0"/>
                  <w:vAlign w:val="center"/>
                </w:tcPr>
                <w:p w14:paraId="4C7A58B2">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一般地面硬化</w:t>
                  </w:r>
                </w:p>
              </w:tc>
              <w:tc>
                <w:tcPr>
                  <w:tcW w:w="2355" w:type="dxa"/>
                  <w:tcBorders>
                    <w:right w:val="single" w:color="000000" w:sz="6" w:space="0"/>
                    <w:tl2br w:val="nil"/>
                    <w:tr2bl w:val="nil"/>
                  </w:tcBorders>
                  <w:noWrap w:val="0"/>
                  <w:vAlign w:val="center"/>
                </w:tcPr>
                <w:p w14:paraId="6248673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采取一般硬化处理</w:t>
                  </w:r>
                </w:p>
              </w:tc>
              <w:tc>
                <w:tcPr>
                  <w:tcW w:w="1944" w:type="dxa"/>
                  <w:tcBorders>
                    <w:left w:val="single" w:color="000000" w:sz="6" w:space="0"/>
                    <w:right w:val="single" w:color="000000" w:sz="6" w:space="0"/>
                    <w:tl2br w:val="nil"/>
                    <w:tr2bl w:val="nil"/>
                  </w:tcBorders>
                  <w:noWrap w:val="0"/>
                  <w:vAlign w:val="center"/>
                </w:tcPr>
                <w:p w14:paraId="5A2173D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w:t>
                  </w:r>
                </w:p>
              </w:tc>
              <w:tc>
                <w:tcPr>
                  <w:tcW w:w="1106" w:type="dxa"/>
                  <w:tcBorders>
                    <w:left w:val="single" w:color="000000" w:sz="6" w:space="0"/>
                    <w:tl2br w:val="nil"/>
                    <w:tr2bl w:val="nil"/>
                  </w:tcBorders>
                  <w:noWrap w:val="0"/>
                  <w:vAlign w:val="center"/>
                </w:tcPr>
                <w:p w14:paraId="4B6E7472">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依托</w:t>
                  </w:r>
                </w:p>
              </w:tc>
            </w:tr>
          </w:tbl>
          <w:p w14:paraId="5EE9A0F8">
            <w:pPr>
              <w:pStyle w:val="10"/>
              <w:spacing w:before="0" w:after="0" w:line="240" w:lineRule="auto"/>
              <w:ind w:right="0"/>
              <w:jc w:val="center"/>
              <w:rPr>
                <w:rFonts w:hint="eastAsia"/>
                <w:b/>
                <w:bCs/>
                <w:color w:val="000000"/>
                <w:sz w:val="24"/>
                <w:szCs w:val="24"/>
              </w:rPr>
            </w:pPr>
          </w:p>
          <w:p w14:paraId="2EA95B2F">
            <w:pPr>
              <w:spacing w:line="360" w:lineRule="auto"/>
              <w:ind w:firstLine="482" w:firstLineChars="200"/>
              <w:rPr>
                <w:rFonts w:hint="eastAsia"/>
                <w:b/>
                <w:bCs/>
                <w:color w:val="000000"/>
                <w:sz w:val="24"/>
              </w:rPr>
            </w:pPr>
            <w:r>
              <w:rPr>
                <w:rFonts w:hint="eastAsia"/>
                <w:b/>
                <w:bCs/>
                <w:color w:val="000000"/>
                <w:sz w:val="24"/>
              </w:rPr>
              <w:t>（3）污染监控措施</w:t>
            </w:r>
          </w:p>
          <w:p w14:paraId="162E1D72">
            <w:pPr>
              <w:spacing w:line="360" w:lineRule="auto"/>
              <w:ind w:firstLine="480" w:firstLineChars="200"/>
              <w:rPr>
                <w:rFonts w:hint="eastAsia"/>
                <w:color w:val="000000"/>
                <w:sz w:val="24"/>
              </w:rPr>
            </w:pPr>
            <w:r>
              <w:rPr>
                <w:rFonts w:hint="eastAsia"/>
                <w:color w:val="000000"/>
                <w:sz w:val="24"/>
              </w:rPr>
              <w:t>建设单位应设置专门危险固废管理机构，作为企业环境管理的重要组成部分，主要负责危险固废的收集、暂存、管理及处置，按月统计企业危险废物种类、产生量、暂存时间、交由处置时间等。</w:t>
            </w:r>
          </w:p>
          <w:p w14:paraId="0A8A24DC">
            <w:pPr>
              <w:pStyle w:val="10"/>
              <w:spacing w:before="0" w:after="0" w:line="360" w:lineRule="auto"/>
              <w:ind w:right="0" w:firstLine="480"/>
              <w:rPr>
                <w:rFonts w:hint="eastAsia" w:ascii="宋体" w:hAnsi="宋体" w:cs="宋体"/>
                <w:b/>
                <w:bCs/>
                <w:color w:val="000000"/>
                <w:sz w:val="24"/>
                <w:szCs w:val="24"/>
              </w:rPr>
            </w:pPr>
            <w:r>
              <w:rPr>
                <w:rFonts w:hint="eastAsia" w:ascii="宋体" w:hAnsi="宋体" w:cs="宋体"/>
                <w:b/>
                <w:bCs/>
                <w:color w:val="000000"/>
                <w:sz w:val="24"/>
                <w:szCs w:val="24"/>
              </w:rPr>
              <w:t>（4）应急响应</w:t>
            </w:r>
          </w:p>
          <w:p w14:paraId="7B790EC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如发现废矿物油泄漏</w:t>
            </w:r>
            <w:r>
              <w:rPr>
                <w:rFonts w:hint="eastAsia" w:ascii="宋体" w:hAnsi="宋体" w:cs="宋体"/>
                <w:color w:val="000000"/>
                <w:sz w:val="24"/>
                <w:lang w:eastAsia="zh-CN"/>
              </w:rPr>
              <w:t>、脱硫废水泄露</w:t>
            </w:r>
            <w:r>
              <w:rPr>
                <w:rFonts w:hint="eastAsia" w:ascii="宋体" w:hAnsi="宋体" w:cs="宋体"/>
                <w:color w:val="000000"/>
                <w:sz w:val="24"/>
              </w:rPr>
              <w:t>，厂区需启动环境预警和开展应急响应。应急响应措施主要包括阻隔、清除措施。</w:t>
            </w:r>
          </w:p>
          <w:p w14:paraId="7525AE67">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综上所述，在确保各项防渗措施得以落实，并加强维护和厂区环境管理的前提下，可有效控制厂区内的污染物下渗现象，避免污染地下水、土壤环境，因此项目不会对区域地下水环境、土壤环境产生明显影响。</w:t>
            </w:r>
          </w:p>
          <w:p w14:paraId="3D485AE0">
            <w:pPr>
              <w:pStyle w:val="10"/>
              <w:keepNext w:val="0"/>
              <w:keepLines w:val="0"/>
              <w:pageBreakBefore w:val="0"/>
              <w:widowControl/>
              <w:kinsoku/>
              <w:wordWrap/>
              <w:overflowPunct/>
              <w:topLinePunct w:val="0"/>
              <w:autoSpaceDE/>
              <w:autoSpaceDN/>
              <w:bidi w:val="0"/>
              <w:adjustRightInd/>
              <w:snapToGrid w:val="0"/>
              <w:spacing w:before="0" w:after="0" w:line="360" w:lineRule="auto"/>
              <w:ind w:right="0" w:firstLine="482" w:firstLineChars="200"/>
              <w:textAlignment w:val="auto"/>
              <w:rPr>
                <w:rFonts w:hint="eastAsia" w:ascii="宋体" w:hAnsi="宋体" w:cs="宋体"/>
                <w:color w:val="000000"/>
                <w:sz w:val="24"/>
                <w:szCs w:val="24"/>
              </w:rPr>
            </w:pPr>
            <w:r>
              <w:rPr>
                <w:rFonts w:hint="eastAsia" w:ascii="宋体" w:hAnsi="宋体" w:cs="宋体"/>
                <w:b/>
                <w:bCs/>
                <w:color w:val="000000"/>
                <w:sz w:val="24"/>
                <w:szCs w:val="24"/>
                <w:lang w:eastAsia="zh-CN"/>
              </w:rPr>
              <w:t>2.</w:t>
            </w:r>
            <w:r>
              <w:rPr>
                <w:rFonts w:hint="eastAsia" w:ascii="宋体" w:hAnsi="宋体" w:cs="宋体"/>
                <w:b/>
                <w:bCs/>
                <w:color w:val="000000"/>
                <w:sz w:val="24"/>
                <w:szCs w:val="24"/>
              </w:rPr>
              <w:t>监测计划</w:t>
            </w:r>
          </w:p>
          <w:p w14:paraId="6D273844">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参照《排污单位自行监测</w:t>
            </w:r>
            <w:r>
              <w:rPr>
                <w:rFonts w:hint="eastAsia" w:ascii="宋体" w:hAnsi="宋体" w:cs="宋体"/>
                <w:color w:val="000000"/>
                <w:sz w:val="24"/>
                <w:lang w:eastAsia="zh-CN"/>
              </w:rPr>
              <w:t>技术</w:t>
            </w:r>
            <w:r>
              <w:rPr>
                <w:rFonts w:hint="eastAsia" w:ascii="宋体" w:hAnsi="宋体" w:cs="宋体"/>
                <w:color w:val="000000"/>
                <w:sz w:val="24"/>
              </w:rPr>
              <w:t>指南—总则》（HJ819-2017）、按照《建设项目环境影响报告表编制技术指南》（污染影响类）（试行）的要求，结合本项目生产工艺、产污特点、对土壤地下水的影响程度、周围敏感目标分布情况等，根据上文分析，本项目在落实各项防渗措施，并加强维护和厂区环境管理的前提下，可有效控制厂区内的污染物下渗现象，避免污染地下水、土壤环境，因此项目不会对区域地下水环境、土壤环境产生明显影响。本项目不设置对地下水、土壤的跟踪监测计划。</w:t>
            </w:r>
          </w:p>
          <w:p w14:paraId="6CF6A812">
            <w:pPr>
              <w:pStyle w:val="10"/>
              <w:spacing w:before="0" w:after="0" w:line="360" w:lineRule="auto"/>
              <w:ind w:right="0"/>
              <w:rPr>
                <w:rFonts w:hint="eastAsia"/>
                <w:b/>
                <w:bCs/>
                <w:color w:val="000000"/>
                <w:sz w:val="28"/>
                <w:szCs w:val="28"/>
              </w:rPr>
            </w:pPr>
            <w:r>
              <w:rPr>
                <w:rFonts w:hint="eastAsia"/>
                <w:b/>
                <w:bCs/>
                <w:color w:val="000000"/>
                <w:sz w:val="28"/>
                <w:szCs w:val="28"/>
              </w:rPr>
              <w:t>六、生态环境</w:t>
            </w:r>
          </w:p>
          <w:p w14:paraId="1B3DBB71">
            <w:pPr>
              <w:pStyle w:val="10"/>
              <w:spacing w:before="0" w:after="0" w:line="360" w:lineRule="auto"/>
              <w:ind w:right="0" w:firstLine="480" w:firstLineChars="200"/>
              <w:rPr>
                <w:rFonts w:hint="eastAsia"/>
                <w:color w:val="000000"/>
                <w:sz w:val="24"/>
                <w:szCs w:val="24"/>
              </w:rPr>
            </w:pPr>
            <w:r>
              <w:rPr>
                <w:rFonts w:hint="eastAsia"/>
                <w:color w:val="000000"/>
                <w:sz w:val="24"/>
                <w:szCs w:val="24"/>
              </w:rPr>
              <w:t>按照《建设项目环境影响报告表编制技术指南》（污染影响类）（试行）的要求，使用已建厂房进行建设，不新增用地，且项目周边无生态环境保护目标，不开展进一步生态环境影响分析。</w:t>
            </w:r>
          </w:p>
          <w:p w14:paraId="4D09B673">
            <w:pPr>
              <w:pStyle w:val="10"/>
              <w:spacing w:before="0" w:after="0" w:line="360" w:lineRule="auto"/>
              <w:ind w:right="0"/>
              <w:rPr>
                <w:rFonts w:hint="eastAsia"/>
                <w:b/>
                <w:bCs/>
                <w:color w:val="000000"/>
                <w:sz w:val="28"/>
                <w:szCs w:val="28"/>
              </w:rPr>
            </w:pPr>
            <w:r>
              <w:rPr>
                <w:rFonts w:hint="eastAsia"/>
                <w:b/>
                <w:bCs/>
                <w:color w:val="000000"/>
                <w:sz w:val="28"/>
                <w:szCs w:val="28"/>
              </w:rPr>
              <w:t>七、环境风险分析</w:t>
            </w:r>
          </w:p>
          <w:p w14:paraId="2DEDBDAC">
            <w:pPr>
              <w:spacing w:line="360" w:lineRule="auto"/>
              <w:ind w:firstLine="480" w:firstLineChars="200"/>
              <w:rPr>
                <w:rFonts w:hint="eastAsia"/>
                <w:b w:val="0"/>
                <w:bCs w:val="0"/>
                <w:color w:val="000000"/>
                <w:sz w:val="24"/>
                <w:lang w:val="en-US" w:eastAsia="zh-CN"/>
              </w:rPr>
            </w:pPr>
            <w:r>
              <w:rPr>
                <w:rFonts w:hint="eastAsia"/>
                <w:b w:val="0"/>
                <w:bCs w:val="0"/>
                <w:color w:val="000000"/>
                <w:sz w:val="24"/>
                <w:lang w:val="en-US" w:eastAsia="zh-CN"/>
              </w:rPr>
              <w:t>环境风险评价目的是分析和预测建设项目存在的潜在危险、有害因素，建设项目建设和运营期间可能发生的突发性事件或事故（一般不包括人为破坏及自然灾害），引起有毒有害和易燃易爆等物质泄漏，所造成的人身安全与环境影响和损害程度，提出合理可行的防范、应急与减缓措施，明确环境风险监控及应急建议要求，为建设项目环境风险防控提供科学依据。</w:t>
            </w:r>
          </w:p>
          <w:p w14:paraId="4BF92EE7">
            <w:pPr>
              <w:spacing w:line="360" w:lineRule="auto"/>
              <w:ind w:firstLine="482" w:firstLineChars="200"/>
              <w:rPr>
                <w:rFonts w:hint="eastAsia"/>
                <w:b/>
                <w:bCs/>
                <w:color w:val="000000"/>
                <w:sz w:val="24"/>
                <w:lang w:val="en-US" w:eastAsia="zh-CN"/>
              </w:rPr>
            </w:pPr>
            <w:r>
              <w:rPr>
                <w:b/>
                <w:bCs/>
                <w:color w:val="000000"/>
                <w:sz w:val="24"/>
              </w:rPr>
              <w:t>1</w:t>
            </w:r>
            <w:r>
              <w:rPr>
                <w:rFonts w:hint="eastAsia"/>
                <w:b/>
                <w:bCs/>
                <w:color w:val="000000"/>
                <w:sz w:val="24"/>
                <w:lang w:eastAsia="zh-CN"/>
              </w:rPr>
              <w:t>.</w:t>
            </w:r>
            <w:r>
              <w:rPr>
                <w:b/>
                <w:bCs/>
                <w:color w:val="000000"/>
                <w:sz w:val="24"/>
              </w:rPr>
              <w:t>风险调查、风险潜势初判及评价等级</w:t>
            </w:r>
          </w:p>
          <w:p w14:paraId="6C58ECAE">
            <w:pPr>
              <w:spacing w:line="360" w:lineRule="auto"/>
              <w:ind w:firstLine="482" w:firstLineChars="200"/>
              <w:rPr>
                <w:rFonts w:hint="eastAsia" w:eastAsia="宋体"/>
                <w:b/>
                <w:bCs/>
                <w:color w:val="000000"/>
                <w:sz w:val="24"/>
                <w:lang w:val="en-US" w:eastAsia="zh-CN"/>
              </w:rPr>
            </w:pPr>
            <w:r>
              <w:rPr>
                <w:rFonts w:hint="eastAsia"/>
                <w:b/>
                <w:bCs/>
                <w:color w:val="000000"/>
                <w:sz w:val="24"/>
                <w:lang w:val="en-US" w:eastAsia="zh-CN"/>
              </w:rPr>
              <w:t>（1）风险物质调查</w:t>
            </w:r>
          </w:p>
          <w:p w14:paraId="574312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000000"/>
                <w:sz w:val="24"/>
                <w:szCs w:val="24"/>
                <w:lang w:eastAsia="zh-CN"/>
              </w:rPr>
            </w:pPr>
            <w:r>
              <w:rPr>
                <w:rFonts w:hint="eastAsia"/>
                <w:color w:val="000000"/>
                <w:sz w:val="24"/>
                <w:szCs w:val="24"/>
              </w:rPr>
              <w:t>通过对本项目营运期主要原辅材料及其分布情况、生产工艺特点进行分析同时对比《建设项目环境风险评价技术导则》（HJ169-2018）附录B和《企业突发环境事件风险分级方法》（HJ941-2018）附录A中环境风险物质可知，项目涉及的风险物质主要为</w:t>
            </w:r>
            <w:r>
              <w:rPr>
                <w:rFonts w:hint="eastAsia"/>
                <w:color w:val="000000"/>
                <w:sz w:val="24"/>
                <w:szCs w:val="24"/>
                <w:lang w:val="en-US" w:eastAsia="zh-CN"/>
              </w:rPr>
              <w:t>机油/</w:t>
            </w:r>
            <w:r>
              <w:rPr>
                <w:rFonts w:hint="eastAsia"/>
                <w:color w:val="000000"/>
                <w:sz w:val="24"/>
                <w:szCs w:val="24"/>
                <w:lang w:eastAsia="zh-CN"/>
              </w:rPr>
              <w:t>润滑油、</w:t>
            </w:r>
            <w:r>
              <w:rPr>
                <w:rFonts w:hint="eastAsia"/>
                <w:color w:val="000000"/>
                <w:sz w:val="24"/>
                <w:szCs w:val="24"/>
                <w:lang w:val="en-US" w:eastAsia="zh-CN"/>
              </w:rPr>
              <w:t>柴油</w:t>
            </w:r>
            <w:r>
              <w:rPr>
                <w:rFonts w:hint="eastAsia"/>
                <w:color w:val="000000"/>
                <w:sz w:val="24"/>
                <w:szCs w:val="24"/>
                <w:lang w:eastAsia="zh-CN"/>
              </w:rPr>
              <w:t>。</w:t>
            </w:r>
          </w:p>
          <w:p w14:paraId="24BD114F">
            <w:pPr>
              <w:pStyle w:val="61"/>
              <w:tabs>
                <w:tab w:val="left" w:pos="1440"/>
                <w:tab w:val="left" w:pos="4368"/>
              </w:tabs>
              <w:ind w:firstLine="482" w:firstLineChars="200"/>
              <w:rPr>
                <w:color w:val="000000"/>
              </w:rPr>
            </w:pPr>
            <w:r>
              <w:rPr>
                <w:b/>
                <w:bCs/>
                <w:color w:val="000000"/>
              </w:rPr>
              <w:t>（2）</w:t>
            </w:r>
            <w:r>
              <w:rPr>
                <w:b/>
                <w:color w:val="000000"/>
              </w:rPr>
              <w:t>风险潜势初判</w:t>
            </w:r>
          </w:p>
          <w:p w14:paraId="0DAFF8A4">
            <w:pPr>
              <w:spacing w:line="360" w:lineRule="auto"/>
              <w:ind w:firstLine="480" w:firstLineChars="200"/>
              <w:jc w:val="left"/>
              <w:rPr>
                <w:color w:val="000000"/>
                <w:sz w:val="24"/>
              </w:rPr>
            </w:pPr>
            <w:r>
              <w:rPr>
                <w:color w:val="000000"/>
                <w:sz w:val="24"/>
              </w:rPr>
              <w:t>建设项目环境风险潜势划分为I、II、III、IV/IV+级，主要根据建设项目涉及的物质和工艺系统的危险性及其所在地的环境敏感程度，结合事故情形下环境影响途径，按照《建设项目环境风险评价技术导则》（HJ169-2018）表2进行确定，其中：危险物质数量与临界量比值（Q）为每种危险物质在厂界内的最大存在总量与其在HJ169-2018附录B中对应临界量的比值，即：</w:t>
            </w:r>
          </w:p>
          <w:p w14:paraId="66A9535E">
            <w:pPr>
              <w:spacing w:line="360" w:lineRule="auto"/>
              <w:ind w:firstLine="480" w:firstLineChars="200"/>
              <w:jc w:val="left"/>
              <w:rPr>
                <w:color w:val="000000"/>
                <w:sz w:val="24"/>
              </w:rPr>
            </w:pPr>
            <w:r>
              <w:rPr>
                <w:color w:val="000000"/>
                <w:position w:val="-30"/>
                <w:sz w:val="24"/>
              </w:rPr>
              <w:drawing>
                <wp:inline distT="0" distB="0" distL="114300" distR="114300">
                  <wp:extent cx="1130300" cy="406400"/>
                  <wp:effectExtent l="0" t="0" r="12700" b="13970"/>
                  <wp:docPr id="31" name="图片 399"/>
                  <wp:cNvGraphicFramePr/>
                  <a:graphic xmlns:a="http://schemas.openxmlformats.org/drawingml/2006/main">
                    <a:graphicData uri="http://schemas.openxmlformats.org/drawingml/2006/picture">
                      <pic:pic xmlns:pic="http://schemas.openxmlformats.org/drawingml/2006/picture">
                        <pic:nvPicPr>
                          <pic:cNvPr id="31" name="图片 399"/>
                          <pic:cNvPicPr/>
                        </pic:nvPicPr>
                        <pic:blipFill>
                          <a:blip r:embed="rId48"/>
                          <a:stretch>
                            <a:fillRect/>
                          </a:stretch>
                        </pic:blipFill>
                        <pic:spPr>
                          <a:xfrm>
                            <a:off x="0" y="0"/>
                            <a:ext cx="1130300" cy="406400"/>
                          </a:xfrm>
                          <a:prstGeom prst="rect">
                            <a:avLst/>
                          </a:prstGeom>
                          <a:noFill/>
                          <a:ln>
                            <a:noFill/>
                          </a:ln>
                        </pic:spPr>
                      </pic:pic>
                    </a:graphicData>
                  </a:graphic>
                </wp:inline>
              </w:drawing>
            </w:r>
          </w:p>
          <w:p w14:paraId="17F9B371">
            <w:pPr>
              <w:spacing w:line="360" w:lineRule="auto"/>
              <w:ind w:firstLine="480" w:firstLineChars="200"/>
              <w:jc w:val="left"/>
              <w:rPr>
                <w:i/>
                <w:color w:val="000000"/>
                <w:sz w:val="24"/>
              </w:rPr>
            </w:pPr>
            <w:r>
              <w:rPr>
                <w:color w:val="000000"/>
                <w:sz w:val="24"/>
              </w:rPr>
              <w:t>式中：</w:t>
            </w:r>
            <w:r>
              <w:rPr>
                <w:i/>
                <w:color w:val="000000"/>
                <w:sz w:val="24"/>
              </w:rPr>
              <w:t>q</w:t>
            </w:r>
            <w:r>
              <w:rPr>
                <w:color w:val="000000"/>
                <w:sz w:val="24"/>
                <w:vertAlign w:val="subscript"/>
              </w:rPr>
              <w:t>1</w:t>
            </w:r>
            <w:r>
              <w:rPr>
                <w:color w:val="000000"/>
                <w:sz w:val="24"/>
              </w:rPr>
              <w:t>，</w:t>
            </w:r>
            <w:r>
              <w:rPr>
                <w:i/>
                <w:color w:val="000000"/>
                <w:sz w:val="24"/>
              </w:rPr>
              <w:t>q</w:t>
            </w:r>
            <w:r>
              <w:rPr>
                <w:color w:val="000000"/>
                <w:sz w:val="24"/>
                <w:vertAlign w:val="subscript"/>
              </w:rPr>
              <w:t>2</w:t>
            </w:r>
            <w:r>
              <w:rPr>
                <w:color w:val="000000"/>
                <w:sz w:val="24"/>
              </w:rPr>
              <w:t>，···，</w:t>
            </w:r>
            <w:r>
              <w:rPr>
                <w:i/>
                <w:color w:val="000000"/>
                <w:sz w:val="24"/>
              </w:rPr>
              <w:t>q</w:t>
            </w:r>
            <w:r>
              <w:rPr>
                <w:i/>
                <w:color w:val="000000"/>
                <w:sz w:val="24"/>
                <w:vertAlign w:val="subscript"/>
              </w:rPr>
              <w:t>n</w:t>
            </w:r>
            <w:r>
              <w:rPr>
                <w:color w:val="000000"/>
                <w:sz w:val="24"/>
              </w:rPr>
              <w:t>——每种危险物质的最大存在总量，t；</w:t>
            </w:r>
          </w:p>
          <w:p w14:paraId="6A692AC2">
            <w:pPr>
              <w:spacing w:line="360" w:lineRule="auto"/>
              <w:ind w:firstLine="480" w:firstLineChars="200"/>
              <w:jc w:val="left"/>
              <w:rPr>
                <w:color w:val="000000"/>
                <w:sz w:val="24"/>
              </w:rPr>
            </w:pPr>
            <w:r>
              <w:rPr>
                <w:color w:val="000000"/>
                <w:sz w:val="24"/>
              </w:rPr>
              <w:t xml:space="preserve">      </w:t>
            </w:r>
            <w:r>
              <w:rPr>
                <w:i/>
                <w:color w:val="000000"/>
                <w:sz w:val="24"/>
              </w:rPr>
              <w:t>Q</w:t>
            </w:r>
            <w:r>
              <w:rPr>
                <w:color w:val="000000"/>
                <w:sz w:val="24"/>
                <w:vertAlign w:val="subscript"/>
              </w:rPr>
              <w:t>1</w:t>
            </w:r>
            <w:r>
              <w:rPr>
                <w:color w:val="000000"/>
                <w:sz w:val="24"/>
              </w:rPr>
              <w:t>，</w:t>
            </w:r>
            <w:r>
              <w:rPr>
                <w:i/>
                <w:color w:val="000000"/>
                <w:sz w:val="24"/>
              </w:rPr>
              <w:t>Q</w:t>
            </w:r>
            <w:r>
              <w:rPr>
                <w:color w:val="000000"/>
                <w:sz w:val="24"/>
                <w:vertAlign w:val="subscript"/>
              </w:rPr>
              <w:t>2</w:t>
            </w:r>
            <w:r>
              <w:rPr>
                <w:color w:val="000000"/>
                <w:sz w:val="24"/>
              </w:rPr>
              <w:t>，···，</w:t>
            </w:r>
            <w:r>
              <w:rPr>
                <w:i/>
                <w:color w:val="000000"/>
                <w:sz w:val="24"/>
              </w:rPr>
              <w:t>Q</w:t>
            </w:r>
            <w:r>
              <w:rPr>
                <w:i/>
                <w:color w:val="000000"/>
                <w:sz w:val="24"/>
                <w:vertAlign w:val="subscript"/>
              </w:rPr>
              <w:t>n</w:t>
            </w:r>
            <w:r>
              <w:rPr>
                <w:color w:val="000000"/>
                <w:sz w:val="24"/>
              </w:rPr>
              <w:t>——每种危险物质的临界量，t。</w:t>
            </w:r>
          </w:p>
          <w:p w14:paraId="4C28FBCB">
            <w:pPr>
              <w:spacing w:line="360" w:lineRule="auto"/>
              <w:ind w:firstLine="480" w:firstLineChars="200"/>
              <w:jc w:val="left"/>
              <w:rPr>
                <w:color w:val="000000"/>
                <w:sz w:val="24"/>
              </w:rPr>
            </w:pPr>
            <w:r>
              <w:rPr>
                <w:color w:val="000000"/>
                <w:sz w:val="24"/>
              </w:rPr>
              <w:t>当</w:t>
            </w:r>
            <w:r>
              <w:rPr>
                <w:i/>
                <w:color w:val="000000"/>
                <w:sz w:val="24"/>
              </w:rPr>
              <w:t>Q</w:t>
            </w:r>
            <w:r>
              <w:rPr>
                <w:color w:val="000000"/>
                <w:sz w:val="24"/>
              </w:rPr>
              <w:t>&lt;1时，该项目环境风险潜势为I；当</w:t>
            </w:r>
            <w:r>
              <w:rPr>
                <w:i/>
                <w:color w:val="000000"/>
                <w:sz w:val="24"/>
              </w:rPr>
              <w:t>Q</w:t>
            </w:r>
            <w:r>
              <w:rPr>
                <w:color w:val="000000"/>
                <w:sz w:val="24"/>
              </w:rPr>
              <w:t>≥1时，将</w:t>
            </w:r>
            <w:r>
              <w:rPr>
                <w:i/>
                <w:color w:val="000000"/>
                <w:sz w:val="24"/>
              </w:rPr>
              <w:t>Q</w:t>
            </w:r>
            <w:r>
              <w:rPr>
                <w:color w:val="000000"/>
                <w:sz w:val="24"/>
              </w:rPr>
              <w:t>值划分为：a.1≤</w:t>
            </w:r>
            <w:r>
              <w:rPr>
                <w:i/>
                <w:color w:val="000000"/>
                <w:sz w:val="24"/>
              </w:rPr>
              <w:t>Q</w:t>
            </w:r>
            <w:r>
              <w:rPr>
                <w:color w:val="000000"/>
                <w:sz w:val="24"/>
              </w:rPr>
              <w:t>&lt;10；b. 10≤</w:t>
            </w:r>
            <w:r>
              <w:rPr>
                <w:i/>
                <w:color w:val="000000"/>
                <w:sz w:val="24"/>
              </w:rPr>
              <w:t>Q</w:t>
            </w:r>
            <w:r>
              <w:rPr>
                <w:color w:val="000000"/>
                <w:sz w:val="24"/>
              </w:rPr>
              <w:t>&lt;100；c.</w:t>
            </w:r>
            <w:r>
              <w:rPr>
                <w:i/>
                <w:color w:val="000000"/>
                <w:sz w:val="24"/>
              </w:rPr>
              <w:t>Q</w:t>
            </w:r>
            <w:r>
              <w:rPr>
                <w:color w:val="000000"/>
                <w:sz w:val="24"/>
              </w:rPr>
              <w:t>≥100。</w:t>
            </w:r>
          </w:p>
          <w:p w14:paraId="05FBB3EE">
            <w:pPr>
              <w:spacing w:line="360" w:lineRule="auto"/>
              <w:ind w:firstLine="480" w:firstLineChars="200"/>
              <w:jc w:val="left"/>
              <w:rPr>
                <w:color w:val="000000"/>
                <w:sz w:val="24"/>
              </w:rPr>
            </w:pPr>
            <w:r>
              <w:rPr>
                <w:color w:val="000000"/>
                <w:sz w:val="24"/>
              </w:rPr>
              <w:t>根据计算，本项目危险物质数量与临界量比值见下表所示：</w:t>
            </w:r>
          </w:p>
          <w:p w14:paraId="7BAE5ED3">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default" w:ascii="Times New Roman" w:hAnsi="Times New Roman" w:eastAsia="宋体" w:cs="Times New Roman"/>
                <w:b/>
                <w:bCs/>
                <w:color w:val="000000"/>
                <w:spacing w:val="7"/>
                <w:sz w:val="24"/>
                <w:szCs w:val="24"/>
                <w:lang w:val="en-US" w:eastAsia="zh-CN"/>
              </w:rPr>
              <w:t xml:space="preserve">  建设项目Q值确定表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775"/>
              <w:gridCol w:w="2063"/>
              <w:gridCol w:w="1675"/>
              <w:gridCol w:w="2098"/>
            </w:tblGrid>
            <w:tr w14:paraId="68C4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4" w:type="dxa"/>
                  <w:noWrap w:val="0"/>
                  <w:vAlign w:val="center"/>
                </w:tcPr>
                <w:p w14:paraId="2FC0923E">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eastAsia="宋体" w:cs="Times New Roman"/>
                      <w:color w:val="000000"/>
                      <w:sz w:val="21"/>
                      <w:szCs w:val="21"/>
                      <w:vertAlign w:val="baseline"/>
                      <w:lang w:eastAsia="zh-CN"/>
                    </w:rPr>
                  </w:pPr>
                  <w:r>
                    <w:rPr>
                      <w:rFonts w:hint="default" w:ascii="Times New Roman" w:hAnsi="Times New Roman" w:cs="Times New Roman"/>
                      <w:color w:val="000000"/>
                      <w:sz w:val="21"/>
                      <w:szCs w:val="21"/>
                      <w:vertAlign w:val="baseline"/>
                      <w:lang w:eastAsia="zh-CN"/>
                    </w:rPr>
                    <w:t>序号</w:t>
                  </w:r>
                </w:p>
              </w:tc>
              <w:tc>
                <w:tcPr>
                  <w:tcW w:w="1775" w:type="dxa"/>
                  <w:noWrap w:val="0"/>
                  <w:vAlign w:val="center"/>
                </w:tcPr>
                <w:p w14:paraId="215296BE">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sz w:val="21"/>
                      <w:szCs w:val="21"/>
                      <w:vertAlign w:val="baseline"/>
                      <w:lang w:eastAsia="zh-CN"/>
                    </w:rPr>
                  </w:pPr>
                  <w:r>
                    <w:rPr>
                      <w:rFonts w:hint="default" w:ascii="Times New Roman" w:hAnsi="Times New Roman" w:cs="Times New Roman"/>
                      <w:color w:val="000000"/>
                      <w:sz w:val="21"/>
                      <w:szCs w:val="21"/>
                      <w:vertAlign w:val="baseline"/>
                      <w:lang w:eastAsia="zh-CN"/>
                    </w:rPr>
                    <w:t>风险物质名称</w:t>
                  </w:r>
                </w:p>
              </w:tc>
              <w:tc>
                <w:tcPr>
                  <w:tcW w:w="2063" w:type="dxa"/>
                  <w:noWrap w:val="0"/>
                  <w:vAlign w:val="center"/>
                </w:tcPr>
                <w:p w14:paraId="1529C703">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cs="Times New Roman"/>
                      <w:color w:val="000000"/>
                      <w:sz w:val="21"/>
                      <w:szCs w:val="21"/>
                      <w:vertAlign w:val="baseline"/>
                    </w:rPr>
                  </w:pPr>
                  <w:r>
                    <w:rPr>
                      <w:rFonts w:hint="default" w:ascii="Times New Roman" w:hAnsi="Times New Roman" w:cs="Times New Roman"/>
                      <w:color w:val="000000"/>
                      <w:sz w:val="21"/>
                      <w:szCs w:val="21"/>
                      <w:vertAlign w:val="baseline"/>
                    </w:rPr>
                    <w:t>最大存在总量 qn/t</w:t>
                  </w:r>
                </w:p>
              </w:tc>
              <w:tc>
                <w:tcPr>
                  <w:tcW w:w="1675" w:type="dxa"/>
                  <w:noWrap w:val="0"/>
                  <w:vAlign w:val="center"/>
                </w:tcPr>
                <w:p w14:paraId="418971DF">
                  <w:pPr>
                    <w:jc w:val="center"/>
                    <w:rPr>
                      <w:rFonts w:hint="default" w:ascii="Times New Roman" w:hAnsi="Times New Roman" w:cs="Times New Roman"/>
                      <w:color w:val="000000"/>
                      <w:sz w:val="21"/>
                      <w:szCs w:val="21"/>
                      <w:vertAlign w:val="baseline"/>
                    </w:rPr>
                  </w:pPr>
                  <w:r>
                    <w:rPr>
                      <w:rFonts w:hint="default" w:ascii="Times New Roman" w:hAnsi="Times New Roman" w:eastAsia="宋体" w:cs="Times New Roman"/>
                      <w:b w:val="0"/>
                      <w:bCs/>
                      <w:color w:val="000000"/>
                      <w:szCs w:val="21"/>
                    </w:rPr>
                    <w:t>临界量Qn/t</w:t>
                  </w:r>
                </w:p>
              </w:tc>
              <w:tc>
                <w:tcPr>
                  <w:tcW w:w="2098" w:type="dxa"/>
                  <w:noWrap w:val="0"/>
                  <w:vAlign w:val="center"/>
                </w:tcPr>
                <w:p w14:paraId="25153EAE">
                  <w:pPr>
                    <w:jc w:val="center"/>
                    <w:rPr>
                      <w:rFonts w:hint="default" w:ascii="Times New Roman" w:hAnsi="Times New Roman" w:cs="Times New Roman"/>
                      <w:color w:val="000000"/>
                      <w:sz w:val="21"/>
                      <w:szCs w:val="21"/>
                      <w:vertAlign w:val="baseline"/>
                    </w:rPr>
                  </w:pPr>
                  <w:r>
                    <w:rPr>
                      <w:rFonts w:hint="default" w:ascii="Times New Roman" w:hAnsi="Times New Roman" w:eastAsia="宋体" w:cs="Times New Roman"/>
                      <w:b w:val="0"/>
                      <w:bCs/>
                      <w:color w:val="000000"/>
                      <w:szCs w:val="21"/>
                    </w:rPr>
                    <w:t>该种危险物质Q值</w:t>
                  </w:r>
                </w:p>
              </w:tc>
            </w:tr>
            <w:tr w14:paraId="003E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44" w:type="dxa"/>
                  <w:noWrap w:val="0"/>
                  <w:vAlign w:val="center"/>
                </w:tcPr>
                <w:p w14:paraId="0A93C424">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eastAsia="宋体" w:cs="Times New Roman"/>
                      <w:color w:val="000000"/>
                      <w:sz w:val="21"/>
                      <w:szCs w:val="21"/>
                      <w:vertAlign w:val="baseline"/>
                      <w:lang w:val="en-US" w:eastAsia="zh-CN"/>
                    </w:rPr>
                  </w:pPr>
                  <w:r>
                    <w:rPr>
                      <w:rFonts w:hint="default" w:ascii="Times New Roman" w:hAnsi="Times New Roman" w:cs="Times New Roman"/>
                      <w:color w:val="000000"/>
                      <w:sz w:val="21"/>
                      <w:szCs w:val="21"/>
                      <w:vertAlign w:val="baseline"/>
                      <w:lang w:val="en-US" w:eastAsia="zh-CN"/>
                    </w:rPr>
                    <w:t>1</w:t>
                  </w:r>
                </w:p>
              </w:tc>
              <w:tc>
                <w:tcPr>
                  <w:tcW w:w="1775" w:type="dxa"/>
                  <w:noWrap w:val="0"/>
                  <w:vAlign w:val="center"/>
                </w:tcPr>
                <w:p w14:paraId="7468B6DD">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sz w:val="21"/>
                      <w:szCs w:val="21"/>
                      <w:vertAlign w:val="baseline"/>
                      <w:lang w:eastAsia="zh-CN"/>
                    </w:rPr>
                  </w:pPr>
                  <w:r>
                    <w:rPr>
                      <w:rFonts w:hint="eastAsia" w:ascii="Times New Roman" w:hAnsi="Times New Roman" w:cs="Times New Roman"/>
                      <w:color w:val="000000"/>
                      <w:sz w:val="21"/>
                      <w:szCs w:val="21"/>
                      <w:vertAlign w:val="baseline"/>
                      <w:lang w:val="en-US" w:eastAsia="zh-CN"/>
                    </w:rPr>
                    <w:t>机油/</w:t>
                  </w:r>
                  <w:r>
                    <w:rPr>
                      <w:rFonts w:hint="default" w:ascii="Times New Roman" w:hAnsi="Times New Roman" w:cs="Times New Roman"/>
                      <w:color w:val="000000"/>
                      <w:sz w:val="21"/>
                      <w:szCs w:val="21"/>
                      <w:vertAlign w:val="baseline"/>
                      <w:lang w:eastAsia="zh-CN"/>
                    </w:rPr>
                    <w:t>润滑油</w:t>
                  </w:r>
                </w:p>
              </w:tc>
              <w:tc>
                <w:tcPr>
                  <w:tcW w:w="2063" w:type="dxa"/>
                  <w:noWrap w:val="0"/>
                  <w:vAlign w:val="center"/>
                </w:tcPr>
                <w:p w14:paraId="0D4815A5">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sz w:val="21"/>
                      <w:szCs w:val="21"/>
                      <w:vertAlign w:val="baseline"/>
                      <w:lang w:val="en-US" w:eastAsia="zh-CN"/>
                    </w:rPr>
                  </w:pPr>
                  <w:r>
                    <w:rPr>
                      <w:rFonts w:hint="eastAsia" w:ascii="Times New Roman" w:hAnsi="Times New Roman" w:eastAsia="宋体" w:cs="Times New Roman"/>
                      <w:color w:val="000000"/>
                      <w:sz w:val="21"/>
                      <w:szCs w:val="21"/>
                      <w:vertAlign w:val="baseline"/>
                      <w:lang w:val="en-US" w:eastAsia="zh-CN"/>
                    </w:rPr>
                    <w:t>0.2</w:t>
                  </w:r>
                </w:p>
              </w:tc>
              <w:tc>
                <w:tcPr>
                  <w:tcW w:w="1675" w:type="dxa"/>
                  <w:noWrap w:val="0"/>
                  <w:vAlign w:val="center"/>
                </w:tcPr>
                <w:p w14:paraId="4A6260FC">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sz w:val="21"/>
                      <w:szCs w:val="21"/>
                      <w:vertAlign w:val="baseline"/>
                      <w:lang w:val="en-US" w:eastAsia="zh-CN"/>
                    </w:rPr>
                  </w:pPr>
                  <w:r>
                    <w:rPr>
                      <w:rFonts w:hint="default" w:ascii="Times New Roman" w:hAnsi="Times New Roman" w:eastAsia="宋体" w:cs="Times New Roman"/>
                      <w:color w:val="000000"/>
                      <w:sz w:val="21"/>
                      <w:szCs w:val="21"/>
                      <w:vertAlign w:val="baseline"/>
                      <w:lang w:val="en-US" w:eastAsia="zh-CN"/>
                    </w:rPr>
                    <w:t>2500</w:t>
                  </w:r>
                </w:p>
              </w:tc>
              <w:tc>
                <w:tcPr>
                  <w:tcW w:w="2098" w:type="dxa"/>
                  <w:noWrap w:val="0"/>
                  <w:vAlign w:val="center"/>
                </w:tcPr>
                <w:p w14:paraId="215B0323">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cs="Times New Roman"/>
                      <w:color w:val="000000"/>
                      <w:sz w:val="21"/>
                      <w:szCs w:val="21"/>
                      <w:highlight w:val="none"/>
                      <w:vertAlign w:val="baseline"/>
                      <w:lang w:val="en-US" w:eastAsia="zh-CN"/>
                    </w:rPr>
                    <w:t>0.0000</w:t>
                  </w:r>
                  <w:r>
                    <w:rPr>
                      <w:rFonts w:hint="eastAsia" w:ascii="Times New Roman" w:hAnsi="Times New Roman" w:cs="Times New Roman"/>
                      <w:color w:val="000000"/>
                      <w:sz w:val="21"/>
                      <w:szCs w:val="21"/>
                      <w:highlight w:val="none"/>
                      <w:vertAlign w:val="baseline"/>
                      <w:lang w:val="en-US" w:eastAsia="zh-CN"/>
                    </w:rPr>
                    <w:t>8</w:t>
                  </w:r>
                </w:p>
              </w:tc>
            </w:tr>
            <w:tr w14:paraId="0F73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744" w:type="dxa"/>
                  <w:noWrap w:val="0"/>
                  <w:vAlign w:val="center"/>
                </w:tcPr>
                <w:p w14:paraId="2800850F">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cs="Times New Roman"/>
                      <w:color w:val="000000"/>
                      <w:sz w:val="21"/>
                      <w:szCs w:val="21"/>
                      <w:vertAlign w:val="baseline"/>
                      <w:lang w:val="en-US" w:eastAsia="zh-CN"/>
                    </w:rPr>
                  </w:pPr>
                  <w:r>
                    <w:rPr>
                      <w:rFonts w:hint="default" w:ascii="Times New Roman" w:hAnsi="Times New Roman" w:cs="Times New Roman"/>
                      <w:color w:val="000000"/>
                      <w:sz w:val="21"/>
                      <w:szCs w:val="21"/>
                      <w:vertAlign w:val="baseline"/>
                      <w:lang w:val="en-US" w:eastAsia="zh-CN"/>
                    </w:rPr>
                    <w:t>2</w:t>
                  </w:r>
                </w:p>
              </w:tc>
              <w:tc>
                <w:tcPr>
                  <w:tcW w:w="1775" w:type="dxa"/>
                  <w:noWrap w:val="0"/>
                  <w:vAlign w:val="center"/>
                </w:tcPr>
                <w:p w14:paraId="0B8729B6">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sz w:val="21"/>
                      <w:szCs w:val="21"/>
                      <w:vertAlign w:val="baseline"/>
                      <w:lang w:val="en-US" w:eastAsia="zh-CN"/>
                    </w:rPr>
                  </w:pPr>
                  <w:r>
                    <w:rPr>
                      <w:rFonts w:hint="eastAsia" w:ascii="Times New Roman" w:hAnsi="Times New Roman" w:cs="Times New Roman"/>
                      <w:color w:val="000000"/>
                      <w:sz w:val="21"/>
                      <w:szCs w:val="21"/>
                      <w:vertAlign w:val="baseline"/>
                      <w:lang w:val="en-US" w:eastAsia="zh-CN"/>
                    </w:rPr>
                    <w:t>柴油</w:t>
                  </w:r>
                </w:p>
              </w:tc>
              <w:tc>
                <w:tcPr>
                  <w:tcW w:w="2063" w:type="dxa"/>
                  <w:noWrap w:val="0"/>
                  <w:vAlign w:val="center"/>
                </w:tcPr>
                <w:p w14:paraId="72393E26">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sz w:val="21"/>
                      <w:szCs w:val="21"/>
                      <w:vertAlign w:val="baseline"/>
                      <w:lang w:val="en-US" w:eastAsia="zh-CN"/>
                    </w:rPr>
                  </w:pPr>
                  <w:r>
                    <w:rPr>
                      <w:rFonts w:hint="eastAsia" w:ascii="Times New Roman" w:hAnsi="Times New Roman" w:cs="Times New Roman"/>
                      <w:color w:val="000000"/>
                      <w:sz w:val="21"/>
                      <w:szCs w:val="21"/>
                      <w:vertAlign w:val="baseline"/>
                      <w:lang w:val="en-US" w:eastAsia="zh-CN"/>
                    </w:rPr>
                    <w:t>0.1</w:t>
                  </w:r>
                </w:p>
              </w:tc>
              <w:tc>
                <w:tcPr>
                  <w:tcW w:w="1675" w:type="dxa"/>
                  <w:noWrap w:val="0"/>
                  <w:vAlign w:val="center"/>
                </w:tcPr>
                <w:p w14:paraId="4E04B6B4">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sz w:val="21"/>
                      <w:szCs w:val="21"/>
                      <w:vertAlign w:val="baseline"/>
                      <w:lang w:val="en-US" w:eastAsia="zh-CN"/>
                    </w:rPr>
                  </w:pPr>
                  <w:r>
                    <w:rPr>
                      <w:rFonts w:hint="eastAsia" w:ascii="Times New Roman" w:hAnsi="Times New Roman" w:cs="Times New Roman"/>
                      <w:color w:val="000000"/>
                      <w:sz w:val="21"/>
                      <w:szCs w:val="21"/>
                      <w:vertAlign w:val="baseline"/>
                      <w:lang w:val="en-US" w:eastAsia="zh-CN"/>
                    </w:rPr>
                    <w:t>2500</w:t>
                  </w:r>
                </w:p>
              </w:tc>
              <w:tc>
                <w:tcPr>
                  <w:tcW w:w="2098" w:type="dxa"/>
                  <w:noWrap w:val="0"/>
                  <w:vAlign w:val="center"/>
                </w:tcPr>
                <w:p w14:paraId="073F6CD7">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cs="Times New Roman"/>
                      <w:color w:val="000000"/>
                      <w:sz w:val="21"/>
                      <w:szCs w:val="21"/>
                      <w:highlight w:val="none"/>
                      <w:vertAlign w:val="baseline"/>
                      <w:lang w:val="en-US" w:eastAsia="zh-CN"/>
                    </w:rPr>
                  </w:pPr>
                  <w:r>
                    <w:rPr>
                      <w:rFonts w:hint="eastAsia" w:ascii="Times New Roman" w:hAnsi="Times New Roman" w:cs="Times New Roman"/>
                      <w:color w:val="000000"/>
                      <w:sz w:val="21"/>
                      <w:szCs w:val="21"/>
                      <w:highlight w:val="none"/>
                      <w:vertAlign w:val="baseline"/>
                      <w:lang w:val="en-US" w:eastAsia="zh-CN"/>
                    </w:rPr>
                    <w:t>0.00004</w:t>
                  </w:r>
                </w:p>
              </w:tc>
            </w:tr>
            <w:tr w14:paraId="66E6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6257" w:type="dxa"/>
                  <w:gridSpan w:val="4"/>
                  <w:noWrap w:val="0"/>
                  <w:vAlign w:val="center"/>
                </w:tcPr>
                <w:p w14:paraId="52DD2248">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sz w:val="21"/>
                      <w:szCs w:val="21"/>
                      <w:vertAlign w:val="baseline"/>
                      <w:lang w:val="en-US" w:eastAsia="zh-CN"/>
                    </w:rPr>
                  </w:pPr>
                  <w:r>
                    <w:rPr>
                      <w:rFonts w:hint="default" w:ascii="Times New Roman" w:hAnsi="Times New Roman" w:eastAsia="宋体" w:cs="Times New Roman"/>
                      <w:color w:val="000000"/>
                      <w:sz w:val="21"/>
                      <w:szCs w:val="21"/>
                      <w:vertAlign w:val="baseline"/>
                      <w:lang w:val="en-US" w:eastAsia="zh-CN"/>
                    </w:rPr>
                    <w:t>项目Q值</w:t>
                  </w:r>
                </w:p>
              </w:tc>
              <w:tc>
                <w:tcPr>
                  <w:tcW w:w="2098" w:type="dxa"/>
                  <w:noWrap w:val="0"/>
                  <w:vAlign w:val="center"/>
                </w:tcPr>
                <w:p w14:paraId="2B811001">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jc w:val="center"/>
                    <w:textAlignment w:val="auto"/>
                    <w:rPr>
                      <w:rFonts w:hint="default" w:ascii="Times New Roman" w:hAnsi="Times New Roman" w:cs="Times New Roman"/>
                      <w:color w:val="000000"/>
                      <w:sz w:val="21"/>
                      <w:szCs w:val="21"/>
                      <w:highlight w:val="none"/>
                      <w:vertAlign w:val="baseline"/>
                      <w:lang w:val="en-US" w:eastAsia="zh-CN"/>
                    </w:rPr>
                  </w:pPr>
                  <w:r>
                    <w:rPr>
                      <w:rFonts w:hint="eastAsia" w:ascii="Times New Roman" w:hAnsi="Times New Roman" w:cs="Times New Roman"/>
                      <w:color w:val="000000"/>
                      <w:sz w:val="21"/>
                      <w:szCs w:val="21"/>
                      <w:highlight w:val="none"/>
                      <w:vertAlign w:val="baseline"/>
                      <w:lang w:val="en-US" w:eastAsia="zh-CN"/>
                    </w:rPr>
                    <w:t>0.00012</w:t>
                  </w:r>
                </w:p>
              </w:tc>
            </w:tr>
          </w:tbl>
          <w:p w14:paraId="46BE5F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sz w:val="24"/>
                <w:szCs w:val="24"/>
                <w:lang w:eastAsia="zh-CN"/>
              </w:rPr>
            </w:pPr>
            <w:r>
              <w:rPr>
                <w:rFonts w:hint="default" w:ascii="Times New Roman" w:hAnsi="Times New Roman" w:cs="Times New Roman"/>
                <w:color w:val="000000"/>
                <w:sz w:val="24"/>
                <w:szCs w:val="24"/>
                <w:lang w:eastAsia="zh-CN"/>
              </w:rPr>
              <w:t>经计算，本项目Q＜1，因此，该项目环境风险潜势为Ⅰ。</w:t>
            </w:r>
          </w:p>
          <w:p w14:paraId="27816BD7">
            <w:pPr>
              <w:spacing w:line="360" w:lineRule="auto"/>
              <w:ind w:firstLine="482" w:firstLineChars="200"/>
              <w:jc w:val="left"/>
              <w:rPr>
                <w:b/>
                <w:color w:val="000000"/>
                <w:sz w:val="24"/>
              </w:rPr>
            </w:pPr>
            <w:r>
              <w:rPr>
                <w:b/>
                <w:color w:val="000000"/>
                <w:sz w:val="24"/>
              </w:rPr>
              <w:t>（3）评价等级</w:t>
            </w:r>
          </w:p>
          <w:p w14:paraId="243847BB">
            <w:pPr>
              <w:spacing w:line="360" w:lineRule="auto"/>
              <w:ind w:firstLine="480" w:firstLineChars="200"/>
              <w:jc w:val="left"/>
              <w:rPr>
                <w:color w:val="000000"/>
                <w:szCs w:val="21"/>
              </w:rPr>
            </w:pPr>
            <w:r>
              <w:rPr>
                <w:bCs/>
                <w:color w:val="000000"/>
                <w:sz w:val="24"/>
              </w:rPr>
              <w:t>根据建设项目涉及的物质及工艺系统危险性和所在地的环境敏感性确定环境风险潜势，按照下表确定评价工作等级。</w:t>
            </w:r>
          </w:p>
          <w:p w14:paraId="3696D5E3">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default" w:ascii="Times New Roman" w:hAnsi="Times New Roman" w:eastAsia="宋体" w:cs="Times New Roman"/>
                <w:b/>
                <w:bCs/>
                <w:color w:val="000000"/>
                <w:spacing w:val="7"/>
                <w:sz w:val="24"/>
                <w:szCs w:val="24"/>
                <w:lang w:val="en-US" w:eastAsia="zh-CN"/>
              </w:rPr>
              <w:t xml:space="preserve"> 环境风险评价工作等级划分</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1746"/>
              <w:gridCol w:w="1746"/>
              <w:gridCol w:w="1746"/>
              <w:gridCol w:w="1748"/>
            </w:tblGrid>
            <w:tr w14:paraId="7D91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noWrap w:val="0"/>
                  <w:vAlign w:val="center"/>
                </w:tcPr>
                <w:p w14:paraId="279FCD2C">
                  <w:pPr>
                    <w:jc w:val="center"/>
                    <w:rPr>
                      <w:color w:val="000000"/>
                      <w:szCs w:val="21"/>
                    </w:rPr>
                  </w:pPr>
                  <w:r>
                    <w:rPr>
                      <w:color w:val="000000"/>
                      <w:szCs w:val="21"/>
                    </w:rPr>
                    <w:t>环境风险潜势</w:t>
                  </w:r>
                </w:p>
              </w:tc>
              <w:tc>
                <w:tcPr>
                  <w:tcW w:w="999" w:type="pct"/>
                  <w:noWrap w:val="0"/>
                  <w:vAlign w:val="center"/>
                </w:tcPr>
                <w:p w14:paraId="526E1221">
                  <w:pPr>
                    <w:jc w:val="center"/>
                    <w:rPr>
                      <w:color w:val="000000"/>
                      <w:szCs w:val="21"/>
                    </w:rPr>
                  </w:pPr>
                  <w:r>
                    <w:rPr>
                      <w:color w:val="000000"/>
                      <w:szCs w:val="21"/>
                    </w:rPr>
                    <w:t>IV、IV</w:t>
                  </w:r>
                  <w:r>
                    <w:rPr>
                      <w:color w:val="000000"/>
                      <w:szCs w:val="21"/>
                      <w:vertAlign w:val="superscript"/>
                    </w:rPr>
                    <w:t>+</w:t>
                  </w:r>
                </w:p>
              </w:tc>
              <w:tc>
                <w:tcPr>
                  <w:tcW w:w="999" w:type="pct"/>
                  <w:noWrap w:val="0"/>
                  <w:vAlign w:val="center"/>
                </w:tcPr>
                <w:p w14:paraId="63AA1267">
                  <w:pPr>
                    <w:jc w:val="center"/>
                    <w:rPr>
                      <w:color w:val="000000"/>
                      <w:szCs w:val="21"/>
                    </w:rPr>
                  </w:pPr>
                  <w:r>
                    <w:rPr>
                      <w:color w:val="000000"/>
                      <w:szCs w:val="21"/>
                    </w:rPr>
                    <w:t>III</w:t>
                  </w:r>
                </w:p>
              </w:tc>
              <w:tc>
                <w:tcPr>
                  <w:tcW w:w="999" w:type="pct"/>
                  <w:noWrap w:val="0"/>
                  <w:vAlign w:val="center"/>
                </w:tcPr>
                <w:p w14:paraId="47CF1990">
                  <w:pPr>
                    <w:jc w:val="center"/>
                    <w:rPr>
                      <w:color w:val="000000"/>
                      <w:szCs w:val="21"/>
                    </w:rPr>
                  </w:pPr>
                  <w:r>
                    <w:rPr>
                      <w:color w:val="000000"/>
                      <w:szCs w:val="21"/>
                    </w:rPr>
                    <w:t>II</w:t>
                  </w:r>
                </w:p>
              </w:tc>
              <w:tc>
                <w:tcPr>
                  <w:tcW w:w="1000" w:type="pct"/>
                  <w:noWrap w:val="0"/>
                  <w:vAlign w:val="center"/>
                </w:tcPr>
                <w:p w14:paraId="54AA8BF3">
                  <w:pPr>
                    <w:jc w:val="center"/>
                    <w:rPr>
                      <w:color w:val="000000"/>
                      <w:szCs w:val="21"/>
                    </w:rPr>
                  </w:pPr>
                  <w:r>
                    <w:rPr>
                      <w:color w:val="000000"/>
                      <w:szCs w:val="21"/>
                    </w:rPr>
                    <w:t>I</w:t>
                  </w:r>
                </w:p>
              </w:tc>
            </w:tr>
            <w:tr w14:paraId="1E1B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noWrap w:val="0"/>
                  <w:vAlign w:val="center"/>
                </w:tcPr>
                <w:p w14:paraId="69F8BD22">
                  <w:pPr>
                    <w:jc w:val="center"/>
                    <w:rPr>
                      <w:color w:val="000000"/>
                      <w:szCs w:val="21"/>
                    </w:rPr>
                  </w:pPr>
                  <w:r>
                    <w:rPr>
                      <w:color w:val="000000"/>
                      <w:szCs w:val="21"/>
                    </w:rPr>
                    <w:t>评价工作等级</w:t>
                  </w:r>
                </w:p>
              </w:tc>
              <w:tc>
                <w:tcPr>
                  <w:tcW w:w="999" w:type="pct"/>
                  <w:noWrap w:val="0"/>
                  <w:vAlign w:val="center"/>
                </w:tcPr>
                <w:p w14:paraId="59CFD3A0">
                  <w:pPr>
                    <w:jc w:val="center"/>
                    <w:rPr>
                      <w:color w:val="000000"/>
                      <w:szCs w:val="21"/>
                    </w:rPr>
                  </w:pPr>
                  <w:r>
                    <w:rPr>
                      <w:color w:val="000000"/>
                      <w:szCs w:val="21"/>
                    </w:rPr>
                    <w:t>一</w:t>
                  </w:r>
                </w:p>
              </w:tc>
              <w:tc>
                <w:tcPr>
                  <w:tcW w:w="999" w:type="pct"/>
                  <w:noWrap w:val="0"/>
                  <w:vAlign w:val="center"/>
                </w:tcPr>
                <w:p w14:paraId="209A9AB6">
                  <w:pPr>
                    <w:jc w:val="center"/>
                    <w:rPr>
                      <w:color w:val="000000"/>
                      <w:szCs w:val="21"/>
                    </w:rPr>
                  </w:pPr>
                  <w:r>
                    <w:rPr>
                      <w:color w:val="000000"/>
                      <w:szCs w:val="21"/>
                    </w:rPr>
                    <w:t>二</w:t>
                  </w:r>
                </w:p>
              </w:tc>
              <w:tc>
                <w:tcPr>
                  <w:tcW w:w="999" w:type="pct"/>
                  <w:noWrap w:val="0"/>
                  <w:vAlign w:val="center"/>
                </w:tcPr>
                <w:p w14:paraId="4F050338">
                  <w:pPr>
                    <w:jc w:val="center"/>
                    <w:rPr>
                      <w:color w:val="000000"/>
                      <w:szCs w:val="21"/>
                    </w:rPr>
                  </w:pPr>
                  <w:r>
                    <w:rPr>
                      <w:color w:val="000000"/>
                      <w:szCs w:val="21"/>
                    </w:rPr>
                    <w:t>三</w:t>
                  </w:r>
                </w:p>
              </w:tc>
              <w:tc>
                <w:tcPr>
                  <w:tcW w:w="1000" w:type="pct"/>
                  <w:noWrap w:val="0"/>
                  <w:vAlign w:val="center"/>
                </w:tcPr>
                <w:p w14:paraId="6C582B8A">
                  <w:pPr>
                    <w:jc w:val="center"/>
                    <w:rPr>
                      <w:color w:val="000000"/>
                      <w:szCs w:val="21"/>
                    </w:rPr>
                  </w:pPr>
                  <w:r>
                    <w:rPr>
                      <w:color w:val="000000"/>
                      <w:szCs w:val="21"/>
                    </w:rPr>
                    <w:t>简单分析</w:t>
                  </w:r>
                </w:p>
              </w:tc>
            </w:tr>
          </w:tbl>
          <w:p w14:paraId="28013B7F">
            <w:pPr>
              <w:spacing w:before="120" w:beforeLines="50" w:line="360" w:lineRule="auto"/>
              <w:ind w:firstLine="480" w:firstLineChars="200"/>
              <w:rPr>
                <w:b/>
                <w:bCs/>
                <w:color w:val="000000"/>
                <w:sz w:val="24"/>
              </w:rPr>
            </w:pPr>
            <w:r>
              <w:rPr>
                <w:bCs/>
                <w:color w:val="000000"/>
                <w:sz w:val="24"/>
              </w:rPr>
              <w:t>本项目环境风险潜势为I，根据上述判定依据，确定本次环评仅开展简单分析。</w:t>
            </w:r>
          </w:p>
          <w:p w14:paraId="14B9E56C">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hint="eastAsia" w:eastAsia="宋体"/>
                <w:b/>
                <w:bCs/>
                <w:color w:val="000000"/>
                <w:sz w:val="24"/>
                <w:lang w:val="en-US" w:eastAsia="zh-CN"/>
              </w:rPr>
            </w:pPr>
            <w:r>
              <w:rPr>
                <w:rFonts w:hint="eastAsia"/>
                <w:b/>
                <w:bCs/>
                <w:color w:val="000000"/>
                <w:sz w:val="24"/>
                <w:lang w:val="en-US" w:eastAsia="zh-CN"/>
              </w:rPr>
              <w:t>2.环境风险识别</w:t>
            </w:r>
          </w:p>
          <w:p w14:paraId="250EFB59">
            <w:pPr>
              <w:adjustRightInd w:val="0"/>
              <w:snapToGrid w:val="0"/>
              <w:spacing w:line="360" w:lineRule="auto"/>
              <w:ind w:firstLine="480" w:firstLineChars="200"/>
              <w:rPr>
                <w:rFonts w:hint="eastAsia" w:eastAsia="宋体"/>
                <w:color w:val="000000"/>
                <w:sz w:val="24"/>
                <w:lang w:eastAsia="zh-CN"/>
              </w:rPr>
            </w:pPr>
            <w:r>
              <w:rPr>
                <w:rFonts w:hint="eastAsia"/>
                <w:color w:val="000000"/>
                <w:sz w:val="24"/>
              </w:rPr>
              <w:t>根据</w:t>
            </w:r>
            <w:r>
              <w:rPr>
                <w:rFonts w:hint="eastAsia"/>
                <w:color w:val="000000"/>
                <w:sz w:val="24"/>
                <w:lang w:eastAsia="zh-CN"/>
              </w:rPr>
              <w:t>风险</w:t>
            </w:r>
            <w:r>
              <w:rPr>
                <w:rFonts w:hint="eastAsia"/>
                <w:color w:val="000000"/>
                <w:sz w:val="24"/>
              </w:rPr>
              <w:t>物质和生产系统</w:t>
            </w:r>
            <w:r>
              <w:rPr>
                <w:rFonts w:hint="eastAsia"/>
                <w:color w:val="000000"/>
                <w:sz w:val="24"/>
                <w:lang w:eastAsia="zh-CN"/>
              </w:rPr>
              <w:t>风险</w:t>
            </w:r>
            <w:r>
              <w:rPr>
                <w:rFonts w:hint="eastAsia"/>
                <w:color w:val="000000"/>
                <w:sz w:val="24"/>
              </w:rPr>
              <w:t>识别</w:t>
            </w:r>
            <w:r>
              <w:rPr>
                <w:rFonts w:hint="eastAsia"/>
                <w:color w:val="000000"/>
                <w:sz w:val="24"/>
                <w:lang w:eastAsia="zh-CN"/>
              </w:rPr>
              <w:t>，</w:t>
            </w:r>
            <w:r>
              <w:rPr>
                <w:rFonts w:hint="eastAsia"/>
                <w:color w:val="000000"/>
                <w:sz w:val="24"/>
              </w:rPr>
              <w:t>识别出本项目环境风险主要为</w:t>
            </w:r>
            <w:r>
              <w:rPr>
                <w:rFonts w:hint="eastAsia"/>
                <w:color w:val="000000"/>
                <w:sz w:val="24"/>
                <w:lang w:eastAsia="zh-CN"/>
              </w:rPr>
              <w:t>危废暂存间中废油、燃气管道中天然气发生泄漏及火灾、爆炸环境风险事故；废气治理设施故障导致颗粒物、SO</w:t>
            </w:r>
            <w:r>
              <w:rPr>
                <w:rFonts w:hint="eastAsia"/>
                <w:color w:val="000000"/>
                <w:sz w:val="24"/>
                <w:vertAlign w:val="subscript"/>
                <w:lang w:eastAsia="zh-CN"/>
              </w:rPr>
              <w:t>2</w:t>
            </w:r>
            <w:r>
              <w:rPr>
                <w:rFonts w:hint="eastAsia"/>
                <w:color w:val="000000"/>
                <w:sz w:val="24"/>
                <w:lang w:eastAsia="zh-CN"/>
              </w:rPr>
              <w:t>、NOx 、VOCs等超标排放污染事故；沉淀</w:t>
            </w:r>
            <w:r>
              <w:rPr>
                <w:rFonts w:hint="eastAsia"/>
                <w:color w:val="000000"/>
                <w:sz w:val="24"/>
                <w:lang w:val="en-US" w:eastAsia="zh-CN"/>
              </w:rPr>
              <w:t>循环</w:t>
            </w:r>
            <w:r>
              <w:rPr>
                <w:rFonts w:hint="eastAsia"/>
                <w:color w:val="000000"/>
                <w:sz w:val="24"/>
                <w:lang w:eastAsia="zh-CN"/>
              </w:rPr>
              <w:t>池废水</w:t>
            </w:r>
            <w:r>
              <w:rPr>
                <w:rFonts w:hint="eastAsia"/>
                <w:color w:val="000000"/>
                <w:sz w:val="24"/>
                <w:lang w:val="en-US" w:eastAsia="zh-CN"/>
              </w:rPr>
              <w:t>泄漏</w:t>
            </w:r>
            <w:r>
              <w:rPr>
                <w:rFonts w:hint="eastAsia"/>
                <w:color w:val="000000"/>
                <w:sz w:val="24"/>
                <w:lang w:eastAsia="zh-CN"/>
              </w:rPr>
              <w:t>（脱硫废水）造成地下水、土壤污染事故。</w:t>
            </w:r>
          </w:p>
          <w:p w14:paraId="11E2452A">
            <w:pPr>
              <w:pStyle w:val="2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bCs/>
                <w:color w:val="000000"/>
                <w:sz w:val="24"/>
                <w:lang w:val="en-US" w:eastAsia="zh-CN"/>
              </w:rPr>
            </w:pPr>
            <w:r>
              <w:rPr>
                <w:rFonts w:hint="eastAsia"/>
                <w:b/>
                <w:bCs/>
                <w:color w:val="000000"/>
                <w:sz w:val="24"/>
                <w:lang w:val="en-US" w:eastAsia="zh-CN"/>
              </w:rPr>
              <w:t>3.环境风险分析</w:t>
            </w:r>
          </w:p>
          <w:p w14:paraId="38875E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rPr>
            </w:pPr>
            <w:r>
              <w:rPr>
                <w:rFonts w:hint="eastAsia"/>
                <w:color w:val="000000"/>
                <w:sz w:val="24"/>
              </w:rPr>
              <w:t>在风险识别的基础上，选择对环境影响较大并具有代表性的事故类型，设定风险事故情形。风险事故情形设定内容应包括环境风险类型、风险源、风险单元、风险物质和影响途径等。</w:t>
            </w:r>
          </w:p>
          <w:p w14:paraId="27AFA51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eastAsia="宋体"/>
                <w:b/>
                <w:bCs/>
                <w:color w:val="000000"/>
                <w:sz w:val="24"/>
                <w:lang w:eastAsia="zh-CN"/>
              </w:rPr>
            </w:pPr>
            <w:r>
              <w:rPr>
                <w:rFonts w:hint="eastAsia"/>
                <w:b/>
                <w:bCs/>
                <w:color w:val="000000"/>
                <w:sz w:val="24"/>
                <w:lang w:eastAsia="zh-CN"/>
              </w:rPr>
              <w:t>（</w:t>
            </w:r>
            <w:r>
              <w:rPr>
                <w:rFonts w:hint="eastAsia"/>
                <w:b/>
                <w:bCs/>
                <w:color w:val="000000"/>
                <w:sz w:val="24"/>
                <w:lang w:val="en-US" w:eastAsia="zh-CN"/>
              </w:rPr>
              <w:t>1</w:t>
            </w:r>
            <w:r>
              <w:rPr>
                <w:rFonts w:hint="eastAsia"/>
                <w:b/>
                <w:bCs/>
                <w:color w:val="000000"/>
                <w:sz w:val="24"/>
                <w:lang w:eastAsia="zh-CN"/>
              </w:rPr>
              <w:t>）大气环境风险事故分析</w:t>
            </w:r>
          </w:p>
          <w:p w14:paraId="2380D3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rPr>
            </w:pPr>
            <w:r>
              <w:rPr>
                <w:rFonts w:hint="eastAsia"/>
                <w:color w:val="000000"/>
                <w:sz w:val="24"/>
              </w:rPr>
              <w:t>经分析，本项目运行过程中可能的大气环境风险事故情形主要包括:</w:t>
            </w:r>
          </w:p>
          <w:p w14:paraId="29D6F8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①危废暂存间废油类发生泄漏并且产生火灾爆炸，产生的伴生/次生污染，通过扩散进入外界大气环境产生不良影响。</w:t>
            </w:r>
          </w:p>
          <w:p w14:paraId="5E51CB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②燃气管道发生泄漏并且产生火灾爆炸，产生的伴生/次生污染，通过扩散进入外界大气环境产生不良影响。</w:t>
            </w:r>
          </w:p>
          <w:p w14:paraId="0AFE65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③环保设施故障导致废气超标排放，高浓度污染物颗粒物、SO</w:t>
            </w:r>
            <w:r>
              <w:rPr>
                <w:rFonts w:hint="default" w:ascii="Times New Roman" w:hAnsi="Times New Roman" w:cs="Times New Roman"/>
                <w:color w:val="000000"/>
                <w:sz w:val="24"/>
                <w:vertAlign w:val="subscript"/>
              </w:rPr>
              <w:t>2</w:t>
            </w:r>
            <w:r>
              <w:rPr>
                <w:rFonts w:hint="default" w:ascii="Times New Roman" w:hAnsi="Times New Roman" w:cs="Times New Roman"/>
                <w:color w:val="000000"/>
                <w:sz w:val="24"/>
              </w:rPr>
              <w:t>、NOx 、VOCs</w:t>
            </w:r>
            <w:r>
              <w:rPr>
                <w:rFonts w:hint="eastAsia" w:ascii="Times New Roman" w:hAnsi="Times New Roman" w:cs="Times New Roman"/>
                <w:color w:val="000000"/>
                <w:sz w:val="24"/>
                <w:lang w:eastAsia="zh-CN"/>
              </w:rPr>
              <w:t>等</w:t>
            </w:r>
            <w:r>
              <w:rPr>
                <w:rFonts w:hint="default" w:ascii="Times New Roman" w:hAnsi="Times New Roman" w:cs="Times New Roman"/>
                <w:color w:val="000000"/>
                <w:sz w:val="24"/>
              </w:rPr>
              <w:t>通过扩散进入外界大气环境产生不良影响。</w:t>
            </w:r>
          </w:p>
          <w:p w14:paraId="17096359">
            <w:pPr>
              <w:pStyle w:val="9"/>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eastAsia" w:eastAsia="宋体"/>
                <w:b/>
                <w:bCs/>
                <w:color w:val="000000"/>
                <w:sz w:val="24"/>
                <w:lang w:eastAsia="zh-CN"/>
              </w:rPr>
            </w:pPr>
            <w:r>
              <w:rPr>
                <w:rFonts w:hint="eastAsia"/>
                <w:b/>
                <w:bCs/>
                <w:color w:val="000000"/>
                <w:sz w:val="24"/>
                <w:lang w:eastAsia="zh-CN"/>
              </w:rPr>
              <w:t>（</w:t>
            </w:r>
            <w:r>
              <w:rPr>
                <w:rFonts w:hint="eastAsia"/>
                <w:b/>
                <w:bCs/>
                <w:color w:val="000000"/>
                <w:sz w:val="24"/>
                <w:lang w:val="en-US" w:eastAsia="zh-CN"/>
              </w:rPr>
              <w:t>2</w:t>
            </w:r>
            <w:r>
              <w:rPr>
                <w:rFonts w:hint="eastAsia"/>
                <w:b/>
                <w:bCs/>
                <w:color w:val="000000"/>
                <w:sz w:val="24"/>
                <w:lang w:eastAsia="zh-CN"/>
              </w:rPr>
              <w:t>）地表水环境风险事故分析</w:t>
            </w:r>
          </w:p>
          <w:p w14:paraId="4BF499A1">
            <w:pPr>
              <w:pStyle w:val="9"/>
              <w:keepNext w:val="0"/>
              <w:keepLines w:val="0"/>
              <w:pageBreakBefore w:val="0"/>
              <w:kinsoku/>
              <w:wordWrap/>
              <w:overflowPunct/>
              <w:topLinePunct w:val="0"/>
              <w:autoSpaceDE/>
              <w:autoSpaceDN/>
              <w:bidi w:val="0"/>
              <w:spacing w:after="0" w:line="360" w:lineRule="auto"/>
              <w:ind w:firstLine="482" w:firstLineChars="200"/>
              <w:textAlignment w:val="auto"/>
              <w:rPr>
                <w:rFonts w:hint="eastAsia" w:ascii="宋体" w:hAnsi="宋体" w:eastAsia="宋体" w:cs="宋体"/>
                <w:b/>
                <w:bCs/>
                <w:color w:val="000000"/>
                <w:sz w:val="24"/>
              </w:rPr>
            </w:pPr>
            <w:r>
              <w:rPr>
                <w:rFonts w:hint="eastAsia" w:ascii="宋体" w:hAnsi="宋体" w:eastAsia="宋体" w:cs="宋体"/>
                <w:b/>
                <w:bCs/>
                <w:color w:val="000000"/>
                <w:sz w:val="24"/>
                <w:lang w:val="en-US" w:eastAsia="zh-CN"/>
              </w:rPr>
              <w:t>1）</w:t>
            </w:r>
            <w:r>
              <w:rPr>
                <w:rFonts w:hint="eastAsia" w:ascii="宋体" w:hAnsi="宋体" w:eastAsia="宋体" w:cs="宋体"/>
                <w:b/>
                <w:bCs/>
                <w:color w:val="000000"/>
                <w:sz w:val="24"/>
                <w:lang w:eastAsia="zh-CN"/>
              </w:rPr>
              <w:t>生产废水排放</w:t>
            </w:r>
          </w:p>
          <w:p w14:paraId="27E7316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项目在运营期间各生产环节产生的废水主要来自冷却塔定期排污水、脱硫废水，生活污水主要来自厂区办公生活区。正常情况下，生产废水经处理后回用，不外排；生活污水经</w:t>
            </w:r>
            <w:r>
              <w:rPr>
                <w:rFonts w:hint="eastAsia" w:ascii="宋体" w:hAnsi="宋体" w:eastAsia="宋体" w:cs="宋体"/>
                <w:color w:val="000000"/>
                <w:sz w:val="24"/>
                <w:lang w:eastAsia="zh-CN"/>
              </w:rPr>
              <w:t>预处理池</w:t>
            </w:r>
            <w:r>
              <w:rPr>
                <w:rFonts w:hint="eastAsia" w:ascii="宋体" w:hAnsi="宋体" w:eastAsia="宋体" w:cs="宋体"/>
                <w:color w:val="000000"/>
                <w:sz w:val="24"/>
              </w:rPr>
              <w:t>处理后进入</w:t>
            </w:r>
            <w:r>
              <w:rPr>
                <w:rFonts w:hint="eastAsia" w:ascii="宋体" w:hAnsi="宋体" w:eastAsia="宋体" w:cs="宋体"/>
                <w:color w:val="000000"/>
                <w:sz w:val="24"/>
                <w:lang w:eastAsia="zh-CN"/>
              </w:rPr>
              <w:t>星光工业园区污水处理厂</w:t>
            </w:r>
            <w:r>
              <w:rPr>
                <w:rFonts w:hint="eastAsia" w:ascii="宋体" w:hAnsi="宋体" w:eastAsia="宋体" w:cs="宋体"/>
                <w:color w:val="000000"/>
                <w:sz w:val="24"/>
              </w:rPr>
              <w:t>处理。事故情况下，若发生废水外排，则可能对项目所在区域的地表水体造成不利影响。因此，建设单位应加强全厂废水收集处理及回用系统的运行管理，坚决杜绝事故排放。</w:t>
            </w:r>
          </w:p>
          <w:p w14:paraId="1D97E13C">
            <w:pPr>
              <w:pStyle w:val="9"/>
              <w:keepNext w:val="0"/>
              <w:keepLines w:val="0"/>
              <w:pageBreakBefore w:val="0"/>
              <w:kinsoku/>
              <w:wordWrap/>
              <w:overflowPunct/>
              <w:topLinePunct w:val="0"/>
              <w:autoSpaceDE/>
              <w:autoSpaceDN/>
              <w:bidi w:val="0"/>
              <w:spacing w:after="0" w:line="360" w:lineRule="auto"/>
              <w:ind w:firstLine="482" w:firstLineChars="200"/>
              <w:textAlignment w:val="auto"/>
              <w:rPr>
                <w:rFonts w:hint="eastAsia" w:ascii="宋体" w:hAnsi="宋体" w:eastAsia="宋体" w:cs="宋体"/>
                <w:b/>
                <w:bCs/>
                <w:color w:val="000000"/>
                <w:sz w:val="24"/>
                <w:szCs w:val="24"/>
              </w:rPr>
            </w:pPr>
            <w:r>
              <w:rPr>
                <w:rFonts w:hint="eastAsia" w:ascii="Calibri" w:hAnsi="Calibri" w:eastAsia="宋体" w:cs="Calibri"/>
                <w:b/>
                <w:bCs/>
                <w:color w:val="000000"/>
                <w:sz w:val="24"/>
                <w:szCs w:val="24"/>
                <w:lang w:val="en-US" w:eastAsia="zh-CN"/>
              </w:rPr>
              <w:t>2）</w:t>
            </w:r>
            <w:r>
              <w:rPr>
                <w:rFonts w:hint="default" w:ascii="Calibri" w:hAnsi="Calibri" w:eastAsia="宋体" w:cs="Calibri"/>
                <w:b/>
                <w:bCs/>
                <w:color w:val="000000"/>
                <w:sz w:val="24"/>
                <w:szCs w:val="24"/>
              </w:rPr>
              <w:t>消防废水排放</w:t>
            </w:r>
          </w:p>
          <w:p w14:paraId="118B57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szCs w:val="24"/>
              </w:rPr>
            </w:pPr>
            <w:r>
              <w:rPr>
                <w:rFonts w:hint="eastAsia"/>
                <w:color w:val="000000"/>
                <w:sz w:val="24"/>
                <w:szCs w:val="24"/>
              </w:rPr>
              <w:t>当发生火灾等风险事故时，将用到大量消防水来灭火，</w:t>
            </w:r>
            <w:r>
              <w:rPr>
                <w:rFonts w:hint="eastAsia"/>
                <w:color w:val="000000"/>
                <w:sz w:val="24"/>
                <w:szCs w:val="24"/>
                <w:lang w:eastAsia="zh-CN"/>
              </w:rPr>
              <w:t>产生消防废水</w:t>
            </w:r>
            <w:r>
              <w:rPr>
                <w:rFonts w:hint="eastAsia"/>
                <w:color w:val="000000"/>
                <w:sz w:val="24"/>
                <w:szCs w:val="24"/>
              </w:rPr>
              <w:t>。</w:t>
            </w:r>
          </w:p>
          <w:p w14:paraId="5C3DC7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szCs w:val="24"/>
              </w:rPr>
            </w:pPr>
            <w:r>
              <w:rPr>
                <w:rFonts w:hint="eastAsia"/>
                <w:color w:val="000000"/>
                <w:sz w:val="24"/>
                <w:szCs w:val="24"/>
              </w:rPr>
              <w:t>本项目生活污水经处理后排入</w:t>
            </w:r>
            <w:r>
              <w:rPr>
                <w:rFonts w:hint="eastAsia"/>
                <w:color w:val="000000"/>
                <w:sz w:val="24"/>
                <w:szCs w:val="24"/>
                <w:lang w:eastAsia="zh-CN"/>
              </w:rPr>
              <w:t>星光工业园区污水处理厂</w:t>
            </w:r>
            <w:r>
              <w:rPr>
                <w:rFonts w:hint="eastAsia"/>
                <w:color w:val="000000"/>
                <w:sz w:val="24"/>
                <w:szCs w:val="24"/>
              </w:rPr>
              <w:t>，生产废水不外排，厂区设有事故</w:t>
            </w:r>
            <w:r>
              <w:rPr>
                <w:rFonts w:hint="eastAsia"/>
                <w:color w:val="000000"/>
                <w:sz w:val="24"/>
                <w:szCs w:val="24"/>
                <w:lang w:eastAsia="zh-CN"/>
              </w:rPr>
              <w:t>废水</w:t>
            </w:r>
            <w:r>
              <w:rPr>
                <w:rFonts w:hint="eastAsia"/>
                <w:color w:val="000000"/>
                <w:sz w:val="24"/>
                <w:szCs w:val="24"/>
              </w:rPr>
              <w:t xml:space="preserve">收集池可满足事故废水和消防废水收集处理，事故废水不直接进入周围地表水环境，对地表水环境风险可接受。 </w:t>
            </w:r>
          </w:p>
          <w:p w14:paraId="112B7B9B">
            <w:pPr>
              <w:pStyle w:val="9"/>
              <w:rPr>
                <w:rFonts w:hint="default" w:eastAsia="宋体"/>
                <w:b/>
                <w:bCs/>
                <w:color w:val="000000"/>
                <w:sz w:val="24"/>
                <w:szCs w:val="24"/>
                <w:lang w:val="en-US" w:eastAsia="zh-CN"/>
              </w:rPr>
            </w:pPr>
            <w:r>
              <w:rPr>
                <w:rFonts w:hint="eastAsia"/>
                <w:color w:val="000000"/>
                <w:lang w:val="en-US" w:eastAsia="zh-CN"/>
              </w:rPr>
              <w:t xml:space="preserve">    </w:t>
            </w:r>
            <w:r>
              <w:rPr>
                <w:rFonts w:hint="eastAsia"/>
                <w:color w:val="000000"/>
                <w:sz w:val="24"/>
                <w:szCs w:val="24"/>
                <w:lang w:val="en-US" w:eastAsia="zh-CN"/>
              </w:rPr>
              <w:t xml:space="preserve"> </w:t>
            </w:r>
            <w:r>
              <w:rPr>
                <w:rFonts w:hint="eastAsia"/>
                <w:b/>
                <w:bCs/>
                <w:color w:val="000000"/>
                <w:sz w:val="24"/>
                <w:szCs w:val="24"/>
                <w:lang w:val="en-US" w:eastAsia="zh-CN"/>
              </w:rPr>
              <w:t>（3）地下水环境风险事故分析</w:t>
            </w:r>
          </w:p>
          <w:p w14:paraId="642B90FB">
            <w:pPr>
              <w:keepNext w:val="0"/>
              <w:keepLines w:val="0"/>
              <w:pageBreakBefore w:val="0"/>
              <w:kinsoku/>
              <w:wordWrap/>
              <w:overflowPunct/>
              <w:topLinePunct w:val="0"/>
              <w:autoSpaceDE/>
              <w:autoSpaceDN/>
              <w:bidi w:val="0"/>
              <w:spacing w:line="360" w:lineRule="auto"/>
              <w:ind w:firstLine="480" w:firstLineChars="200"/>
              <w:textAlignment w:val="auto"/>
              <w:rPr>
                <w:rFonts w:hint="eastAsia"/>
                <w:color w:val="000000"/>
                <w:sz w:val="24"/>
                <w:szCs w:val="24"/>
              </w:rPr>
            </w:pPr>
            <w:r>
              <w:rPr>
                <w:rFonts w:hint="eastAsia"/>
                <w:color w:val="000000"/>
                <w:sz w:val="24"/>
                <w:szCs w:val="24"/>
              </w:rPr>
              <w:t>在事故情况下，项目的建设可能对区域地下水造成影响。通过对项目建设内容的分析，非正常工况下对地下水的可能影响途径为危废</w:t>
            </w:r>
            <w:r>
              <w:rPr>
                <w:rFonts w:hint="eastAsia"/>
                <w:color w:val="000000"/>
                <w:sz w:val="24"/>
                <w:szCs w:val="24"/>
                <w:lang w:val="en-US" w:eastAsia="zh-CN"/>
              </w:rPr>
              <w:t>泄漏</w:t>
            </w:r>
            <w:r>
              <w:rPr>
                <w:rFonts w:hint="eastAsia"/>
                <w:color w:val="000000"/>
                <w:sz w:val="24"/>
                <w:szCs w:val="24"/>
                <w:lang w:eastAsia="zh-CN"/>
              </w:rPr>
              <w:t>、</w:t>
            </w:r>
            <w:r>
              <w:rPr>
                <w:rFonts w:hint="eastAsia"/>
                <w:color w:val="000000"/>
                <w:sz w:val="24"/>
                <w:szCs w:val="24"/>
              </w:rPr>
              <w:t>沉淀</w:t>
            </w:r>
            <w:r>
              <w:rPr>
                <w:rFonts w:hint="eastAsia"/>
                <w:color w:val="000000"/>
                <w:sz w:val="24"/>
                <w:szCs w:val="24"/>
                <w:lang w:val="en-US" w:eastAsia="zh-CN"/>
              </w:rPr>
              <w:t>循环水</w:t>
            </w:r>
            <w:r>
              <w:rPr>
                <w:rFonts w:hint="eastAsia"/>
                <w:color w:val="000000"/>
                <w:sz w:val="24"/>
                <w:szCs w:val="24"/>
              </w:rPr>
              <w:t>池废水</w:t>
            </w:r>
            <w:r>
              <w:rPr>
                <w:rFonts w:hint="eastAsia"/>
                <w:color w:val="000000"/>
                <w:sz w:val="24"/>
                <w:szCs w:val="24"/>
                <w:lang w:val="en-US" w:eastAsia="zh-CN"/>
              </w:rPr>
              <w:t>泄漏</w:t>
            </w:r>
            <w:r>
              <w:rPr>
                <w:rFonts w:hint="eastAsia"/>
                <w:color w:val="000000"/>
                <w:sz w:val="24"/>
                <w:szCs w:val="24"/>
              </w:rPr>
              <w:t>（脱硫废水）</w:t>
            </w:r>
            <w:r>
              <w:rPr>
                <w:rFonts w:hint="eastAsia"/>
                <w:color w:val="000000"/>
                <w:sz w:val="24"/>
                <w:szCs w:val="24"/>
                <w:lang w:eastAsia="zh-CN"/>
              </w:rPr>
              <w:t>、事故废水</w:t>
            </w:r>
            <w:r>
              <w:rPr>
                <w:rFonts w:hint="eastAsia"/>
                <w:color w:val="000000"/>
                <w:sz w:val="24"/>
                <w:szCs w:val="24"/>
                <w:lang w:val="en-US" w:eastAsia="zh-CN"/>
              </w:rPr>
              <w:t>泄漏</w:t>
            </w:r>
            <w:r>
              <w:rPr>
                <w:rFonts w:hint="eastAsia"/>
                <w:color w:val="000000"/>
                <w:sz w:val="24"/>
                <w:szCs w:val="24"/>
              </w:rPr>
              <w:t>。本项目在厂区实施分区防渗等环保措施后，可以有效防治污染物下渗对地下水的污染。因此，对地下水环境风险可接受。</w:t>
            </w:r>
          </w:p>
          <w:p w14:paraId="721A84F5">
            <w:pPr>
              <w:adjustRightInd w:val="0"/>
              <w:snapToGrid w:val="0"/>
              <w:spacing w:line="360" w:lineRule="auto"/>
              <w:ind w:firstLine="482" w:firstLineChars="200"/>
              <w:rPr>
                <w:b/>
                <w:color w:val="000000"/>
                <w:sz w:val="24"/>
              </w:rPr>
            </w:pPr>
            <w:r>
              <w:rPr>
                <w:rFonts w:hint="eastAsia"/>
                <w:b/>
                <w:color w:val="000000"/>
                <w:sz w:val="24"/>
                <w:lang w:val="en-US" w:eastAsia="zh-CN"/>
              </w:rPr>
              <w:t>4.</w:t>
            </w:r>
            <w:r>
              <w:rPr>
                <w:rFonts w:hint="eastAsia"/>
                <w:b/>
                <w:color w:val="000000"/>
                <w:sz w:val="24"/>
                <w:lang w:eastAsia="zh-CN"/>
              </w:rPr>
              <w:t>环境</w:t>
            </w:r>
            <w:r>
              <w:rPr>
                <w:b/>
                <w:color w:val="000000"/>
                <w:sz w:val="24"/>
              </w:rPr>
              <w:t>风险防范措施</w:t>
            </w:r>
          </w:p>
          <w:p w14:paraId="33D2B221">
            <w:pPr>
              <w:spacing w:line="360" w:lineRule="auto"/>
              <w:ind w:firstLine="482" w:firstLineChars="200"/>
              <w:rPr>
                <w:rFonts w:hint="eastAsia"/>
                <w:b/>
                <w:bCs/>
                <w:color w:val="000000"/>
                <w:sz w:val="24"/>
                <w:lang w:eastAsia="zh-CN"/>
              </w:rPr>
            </w:pPr>
            <w:r>
              <w:rPr>
                <w:rFonts w:hint="eastAsia"/>
                <w:b/>
                <w:bCs/>
                <w:color w:val="000000"/>
                <w:sz w:val="24"/>
                <w:lang w:eastAsia="zh-CN"/>
              </w:rPr>
              <w:t>（</w:t>
            </w:r>
            <w:r>
              <w:rPr>
                <w:rFonts w:hint="eastAsia"/>
                <w:b/>
                <w:bCs/>
                <w:color w:val="000000"/>
                <w:sz w:val="24"/>
                <w:lang w:val="en-US" w:eastAsia="zh-CN"/>
              </w:rPr>
              <w:t>1</w:t>
            </w:r>
            <w:r>
              <w:rPr>
                <w:rFonts w:hint="eastAsia"/>
                <w:b/>
                <w:bCs/>
                <w:color w:val="000000"/>
                <w:sz w:val="24"/>
                <w:lang w:eastAsia="zh-CN"/>
              </w:rPr>
              <w:t>）总图布置</w:t>
            </w:r>
          </w:p>
          <w:p w14:paraId="003C484A">
            <w:pPr>
              <w:spacing w:line="360" w:lineRule="auto"/>
              <w:ind w:firstLine="480" w:firstLineChars="200"/>
              <w:rPr>
                <w:rFonts w:hint="eastAsia"/>
                <w:b w:val="0"/>
                <w:bCs w:val="0"/>
                <w:color w:val="000000"/>
                <w:sz w:val="24"/>
                <w:lang w:eastAsia="zh-CN"/>
              </w:rPr>
            </w:pPr>
            <w:r>
              <w:rPr>
                <w:rFonts w:hint="eastAsia"/>
                <w:b w:val="0"/>
                <w:bCs w:val="0"/>
                <w:color w:val="000000"/>
                <w:sz w:val="24"/>
                <w:lang w:eastAsia="zh-CN"/>
              </w:rPr>
              <w:t>项目总图设计执行《工业企业总平面设计规范》（GB50187-2012）、《建筑设计防火规范》（GB50016-2014）（2018版）及“安评”要求。项目总图布置本着满足生产工艺要求，设置办公区、生产区、公辅设施区等功能区。各功能区独立布置，且合理考虑敏感区、气象条件、防火间距、应急救援通道等安全条件。项目建构筑物应留足安全间距，避免易燃、易爆气体积聚。</w:t>
            </w:r>
          </w:p>
          <w:p w14:paraId="7CC1E1E6">
            <w:pPr>
              <w:spacing w:line="360" w:lineRule="auto"/>
              <w:ind w:firstLine="482" w:firstLineChars="200"/>
              <w:rPr>
                <w:rFonts w:hint="eastAsia"/>
                <w:b/>
                <w:bCs/>
                <w:color w:val="000000"/>
                <w:sz w:val="24"/>
                <w:lang w:eastAsia="zh-CN"/>
              </w:rPr>
            </w:pPr>
            <w:r>
              <w:rPr>
                <w:rFonts w:hint="eastAsia"/>
                <w:b/>
                <w:bCs/>
                <w:color w:val="000000"/>
                <w:sz w:val="24"/>
                <w:lang w:eastAsia="zh-CN"/>
              </w:rPr>
              <w:t>（</w:t>
            </w:r>
            <w:r>
              <w:rPr>
                <w:rFonts w:hint="eastAsia"/>
                <w:b/>
                <w:bCs/>
                <w:color w:val="000000"/>
                <w:sz w:val="24"/>
                <w:lang w:val="en-US" w:eastAsia="zh-CN"/>
              </w:rPr>
              <w:t>2</w:t>
            </w:r>
            <w:r>
              <w:rPr>
                <w:rFonts w:hint="eastAsia"/>
                <w:b/>
                <w:bCs/>
                <w:color w:val="000000"/>
                <w:sz w:val="24"/>
                <w:lang w:eastAsia="zh-CN"/>
              </w:rPr>
              <w:t>）危险废物贮存过程防范措施</w:t>
            </w:r>
          </w:p>
          <w:p w14:paraId="5B729412">
            <w:pPr>
              <w:spacing w:line="360" w:lineRule="auto"/>
              <w:ind w:firstLine="480" w:firstLineChars="200"/>
              <w:rPr>
                <w:rFonts w:hint="default" w:ascii="Times New Roman" w:hAnsi="Times New Roman" w:cs="Times New Roman"/>
                <w:b w:val="0"/>
                <w:bCs w:val="0"/>
                <w:color w:val="000000"/>
                <w:sz w:val="24"/>
                <w:lang w:eastAsia="zh-CN"/>
              </w:rPr>
            </w:pPr>
            <w:r>
              <w:rPr>
                <w:rFonts w:hint="eastAsia"/>
                <w:b w:val="0"/>
                <w:bCs w:val="0"/>
                <w:color w:val="000000"/>
                <w:sz w:val="24"/>
                <w:lang w:eastAsia="zh-CN"/>
              </w:rPr>
              <w:t>危废暂存间要严格按照《危险废物贮存污染控制标准》（GB</w:t>
            </w:r>
            <w:r>
              <w:rPr>
                <w:rFonts w:hint="eastAsia"/>
                <w:b w:val="0"/>
                <w:bCs w:val="0"/>
                <w:color w:val="000000"/>
                <w:sz w:val="24"/>
                <w:lang w:val="en-US" w:eastAsia="zh-CN"/>
              </w:rPr>
              <w:t>1</w:t>
            </w:r>
            <w:r>
              <w:rPr>
                <w:rFonts w:hint="eastAsia"/>
                <w:b w:val="0"/>
                <w:bCs w:val="0"/>
                <w:color w:val="000000"/>
                <w:sz w:val="24"/>
                <w:lang w:eastAsia="zh-CN"/>
              </w:rPr>
              <w:t>859</w:t>
            </w:r>
            <w:r>
              <w:rPr>
                <w:rFonts w:hint="eastAsia"/>
                <w:b w:val="0"/>
                <w:bCs w:val="0"/>
                <w:color w:val="000000"/>
                <w:sz w:val="24"/>
                <w:lang w:val="en-US" w:eastAsia="zh-CN"/>
              </w:rPr>
              <w:t>7</w:t>
            </w:r>
            <w:r>
              <w:rPr>
                <w:rFonts w:hint="eastAsia"/>
                <w:b w:val="0"/>
                <w:bCs w:val="0"/>
                <w:color w:val="000000"/>
                <w:sz w:val="24"/>
                <w:lang w:eastAsia="zh-CN"/>
              </w:rPr>
              <w:t>-2023）的要求进行重点防渗。建构筑物间距需满足《建筑设计防火规范》（GB50016-2014，2018年版）的相关规定。</w:t>
            </w:r>
          </w:p>
          <w:p w14:paraId="70954228">
            <w:pPr>
              <w:pStyle w:val="9"/>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cs="Times New Roman"/>
                <w:b w:val="0"/>
                <w:bCs w:val="0"/>
                <w:color w:val="000000"/>
                <w:sz w:val="24"/>
                <w:lang w:eastAsia="zh-CN"/>
              </w:rPr>
            </w:pPr>
            <w:r>
              <w:rPr>
                <w:rFonts w:hint="default" w:ascii="Times New Roman" w:hAnsi="Times New Roman" w:cs="Times New Roman"/>
                <w:b w:val="0"/>
                <w:bCs w:val="0"/>
                <w:color w:val="000000"/>
                <w:sz w:val="24"/>
                <w:lang w:eastAsia="zh-CN"/>
              </w:rPr>
              <w:t>危废暂存间应按《危险废物贮存污染控制标准》（GB18597-2023）附录A的规范要求，设置醒目的危险废物警示标识牌。</w:t>
            </w:r>
          </w:p>
          <w:p w14:paraId="3EB490AD">
            <w:pPr>
              <w:spacing w:line="360" w:lineRule="auto"/>
              <w:ind w:firstLine="480" w:firstLineChars="200"/>
              <w:rPr>
                <w:rFonts w:hint="eastAsia"/>
                <w:b w:val="0"/>
                <w:bCs w:val="0"/>
                <w:color w:val="000000"/>
                <w:sz w:val="24"/>
                <w:lang w:eastAsia="zh-CN"/>
              </w:rPr>
            </w:pPr>
            <w:r>
              <w:rPr>
                <w:rFonts w:hint="eastAsia"/>
                <w:b w:val="0"/>
                <w:bCs w:val="0"/>
                <w:color w:val="000000"/>
                <w:sz w:val="24"/>
                <w:lang w:eastAsia="zh-CN"/>
              </w:rPr>
              <w:t>企业需建立完善的危险废物贮存台账管理制度，危险废物出入库交接记录的具体内容，需严格参照《危险废物收集贮存运输技术规范》（HJ2025-2012）附录C的相关要求执行。</w:t>
            </w:r>
          </w:p>
          <w:p w14:paraId="577A0764">
            <w:pPr>
              <w:spacing w:line="360" w:lineRule="auto"/>
              <w:ind w:firstLine="482" w:firstLineChars="200"/>
              <w:rPr>
                <w:rFonts w:hint="eastAsia"/>
                <w:b/>
                <w:bCs/>
                <w:color w:val="000000"/>
                <w:sz w:val="24"/>
                <w:lang w:eastAsia="zh-CN"/>
              </w:rPr>
            </w:pPr>
            <w:r>
              <w:rPr>
                <w:rFonts w:hint="eastAsia"/>
                <w:b/>
                <w:bCs/>
                <w:color w:val="000000"/>
                <w:sz w:val="24"/>
                <w:lang w:eastAsia="zh-CN"/>
              </w:rPr>
              <w:t>（</w:t>
            </w:r>
            <w:r>
              <w:rPr>
                <w:rFonts w:hint="eastAsia"/>
                <w:b/>
                <w:bCs/>
                <w:color w:val="000000"/>
                <w:sz w:val="24"/>
                <w:lang w:val="en-US" w:eastAsia="zh-CN"/>
              </w:rPr>
              <w:t>3</w:t>
            </w:r>
            <w:r>
              <w:rPr>
                <w:rFonts w:hint="eastAsia"/>
                <w:b/>
                <w:bCs/>
                <w:color w:val="000000"/>
                <w:sz w:val="24"/>
                <w:lang w:eastAsia="zh-CN"/>
              </w:rPr>
              <w:t>）燃气泄漏以及火灾爆炸事故防范措施</w:t>
            </w:r>
          </w:p>
          <w:p w14:paraId="14514D47">
            <w:pPr>
              <w:spacing w:line="360" w:lineRule="auto"/>
              <w:ind w:firstLine="480" w:firstLineChars="200"/>
              <w:rPr>
                <w:rFonts w:hint="eastAsia"/>
                <w:b w:val="0"/>
                <w:bCs w:val="0"/>
                <w:color w:val="000000"/>
                <w:sz w:val="24"/>
                <w:lang w:eastAsia="zh-CN"/>
              </w:rPr>
            </w:pPr>
            <w:r>
              <w:rPr>
                <w:rFonts w:hint="eastAsia" w:ascii="宋体" w:hAnsi="宋体" w:eastAsia="宋体" w:cs="宋体"/>
                <w:b w:val="0"/>
                <w:bCs w:val="0"/>
                <w:color w:val="000000"/>
                <w:sz w:val="24"/>
                <w:lang w:eastAsia="zh-CN"/>
              </w:rPr>
              <w:t>①</w:t>
            </w:r>
            <w:r>
              <w:rPr>
                <w:rFonts w:hint="default" w:ascii="Calibri" w:hAnsi="Calibri" w:cs="Calibri"/>
                <w:b w:val="0"/>
                <w:bCs w:val="0"/>
                <w:color w:val="000000"/>
                <w:sz w:val="24"/>
                <w:lang w:eastAsia="zh-CN"/>
              </w:rPr>
              <w:t>工程设计阶段，须严格遵循国家现行相关规范标准开展总平面布置及建筑工程设计。生产区与办公区的间距需严格按照消防主管部门要求执行，保障安全防护距离达标；建构筑物间距需满足防火设计规范，依托厂区道路划分功能分区，确保交通通行与消防应急需求双达标</w:t>
            </w:r>
            <w:r>
              <w:rPr>
                <w:rFonts w:hint="eastAsia" w:ascii="Calibri" w:hAnsi="Calibri" w:cs="Calibri"/>
                <w:b w:val="0"/>
                <w:bCs w:val="0"/>
                <w:color w:val="000000"/>
                <w:sz w:val="24"/>
                <w:lang w:eastAsia="zh-CN"/>
              </w:rPr>
              <w:t>。</w:t>
            </w:r>
          </w:p>
          <w:p w14:paraId="38AE3020">
            <w:pPr>
              <w:spacing w:line="360" w:lineRule="auto"/>
              <w:ind w:firstLine="480" w:firstLineChars="200"/>
              <w:rPr>
                <w:rFonts w:hint="default" w:ascii="Calibri" w:hAnsi="Calibri" w:cs="Calibri"/>
                <w:b w:val="0"/>
                <w:bCs w:val="0"/>
                <w:color w:val="000000"/>
                <w:sz w:val="24"/>
                <w:lang w:eastAsia="zh-CN"/>
              </w:rPr>
            </w:pPr>
            <w:r>
              <w:rPr>
                <w:rFonts w:hint="eastAsia" w:ascii="宋体" w:hAnsi="宋体" w:eastAsia="宋体" w:cs="宋体"/>
                <w:b w:val="0"/>
                <w:bCs w:val="0"/>
                <w:color w:val="000000"/>
                <w:sz w:val="24"/>
                <w:lang w:eastAsia="zh-CN"/>
              </w:rPr>
              <w:t>②</w:t>
            </w:r>
            <w:r>
              <w:rPr>
                <w:rFonts w:hint="default" w:ascii="Calibri" w:hAnsi="Calibri" w:cs="Calibri"/>
                <w:b w:val="0"/>
                <w:bCs w:val="0"/>
                <w:color w:val="000000"/>
                <w:sz w:val="24"/>
                <w:lang w:eastAsia="zh-CN"/>
              </w:rPr>
              <w:t>厂区各类电机及电气设备，均应选用符合防爆等级要求的防爆型产品。</w:t>
            </w:r>
          </w:p>
          <w:p w14:paraId="7BA3E7DC">
            <w:pPr>
              <w:spacing w:line="360" w:lineRule="auto"/>
              <w:ind w:firstLine="480" w:firstLineChars="200"/>
              <w:rPr>
                <w:rFonts w:hint="eastAsia"/>
                <w:b w:val="0"/>
                <w:bCs w:val="0"/>
                <w:color w:val="000000"/>
                <w:sz w:val="24"/>
                <w:lang w:eastAsia="zh-CN"/>
              </w:rPr>
            </w:pPr>
            <w:r>
              <w:rPr>
                <w:rFonts w:hint="eastAsia" w:ascii="宋体" w:hAnsi="宋体" w:eastAsia="宋体" w:cs="宋体"/>
                <w:b w:val="0"/>
                <w:bCs w:val="0"/>
                <w:color w:val="000000"/>
                <w:sz w:val="24"/>
                <w:lang w:eastAsia="zh-CN"/>
              </w:rPr>
              <w:t>③</w:t>
            </w:r>
            <w:r>
              <w:rPr>
                <w:rFonts w:hint="default" w:ascii="Calibri" w:hAnsi="Calibri" w:cs="Calibri"/>
                <w:b w:val="0"/>
                <w:bCs w:val="0"/>
                <w:color w:val="000000"/>
                <w:sz w:val="24"/>
                <w:lang w:eastAsia="zh-CN"/>
              </w:rPr>
              <w:t>连续机械化运输系统需设置电气</w:t>
            </w:r>
            <w:r>
              <w:rPr>
                <w:rFonts w:hint="eastAsia" w:ascii="Calibri" w:hAnsi="Calibri" w:cs="Calibri"/>
                <w:b w:val="0"/>
                <w:bCs w:val="0"/>
                <w:color w:val="000000"/>
                <w:sz w:val="24"/>
                <w:lang w:eastAsia="zh-CN"/>
              </w:rPr>
              <w:t>联锁</w:t>
            </w:r>
            <w:r>
              <w:rPr>
                <w:rFonts w:hint="default" w:ascii="Calibri" w:hAnsi="Calibri" w:cs="Calibri"/>
                <w:b w:val="0"/>
                <w:bCs w:val="0"/>
                <w:color w:val="000000"/>
                <w:sz w:val="24"/>
                <w:lang w:eastAsia="zh-CN"/>
              </w:rPr>
              <w:t>装置，严格规范各机械设备的启动、停止先后顺序，保障系统联动运行安全有序</w:t>
            </w:r>
            <w:r>
              <w:rPr>
                <w:rFonts w:hint="eastAsia" w:ascii="Calibri" w:hAnsi="Calibri" w:cs="Calibri"/>
                <w:b w:val="0"/>
                <w:bCs w:val="0"/>
                <w:color w:val="000000"/>
                <w:sz w:val="24"/>
                <w:lang w:eastAsia="zh-CN"/>
              </w:rPr>
              <w:t>。</w:t>
            </w:r>
          </w:p>
          <w:p w14:paraId="5A41F853">
            <w:pPr>
              <w:pStyle w:val="9"/>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b w:val="0"/>
                <w:bCs w:val="0"/>
                <w:color w:val="000000"/>
                <w:sz w:val="24"/>
                <w:lang w:val="en-US" w:eastAsia="zh-CN"/>
              </w:rPr>
            </w:pPr>
            <w:r>
              <w:rPr>
                <w:rFonts w:hint="eastAsia" w:ascii="宋体" w:hAnsi="宋体" w:eastAsia="宋体" w:cs="宋体"/>
                <w:b w:val="0"/>
                <w:bCs w:val="0"/>
                <w:color w:val="000000"/>
                <w:sz w:val="24"/>
                <w:lang w:val="en-US" w:eastAsia="zh-CN"/>
              </w:rPr>
              <w:t>④</w:t>
            </w:r>
            <w:r>
              <w:rPr>
                <w:rFonts w:hint="eastAsia"/>
                <w:color w:val="000000"/>
                <w:sz w:val="24"/>
                <w:szCs w:val="24"/>
              </w:rPr>
              <w:t>车间内配置的灭火器及各类消防设施周边，严禁堆放任何杂物；消防器材设备需落实专人管理责任制，定期开展检查与维护保养，确保其始终处于完好可用状态。</w:t>
            </w:r>
          </w:p>
          <w:p w14:paraId="57C4CCDF">
            <w:pPr>
              <w:keepNext w:val="0"/>
              <w:keepLines w:val="0"/>
              <w:pageBreakBefore w:val="0"/>
              <w:kinsoku/>
              <w:wordWrap/>
              <w:overflowPunct/>
              <w:topLinePunct w:val="0"/>
              <w:autoSpaceDE/>
              <w:autoSpaceDN/>
              <w:bidi w:val="0"/>
              <w:spacing w:line="360" w:lineRule="auto"/>
              <w:ind w:firstLine="480" w:firstLineChars="200"/>
              <w:textAlignment w:val="auto"/>
              <w:rPr>
                <w:rFonts w:hint="eastAsia"/>
                <w:b w:val="0"/>
                <w:bCs w:val="0"/>
                <w:color w:val="000000"/>
                <w:sz w:val="24"/>
                <w:lang w:eastAsia="zh-CN"/>
              </w:rPr>
            </w:pPr>
            <w:r>
              <w:rPr>
                <w:rFonts w:hint="eastAsia" w:ascii="宋体" w:hAnsi="宋体" w:eastAsia="宋体" w:cs="宋体"/>
                <w:b w:val="0"/>
                <w:bCs w:val="0"/>
                <w:color w:val="000000"/>
                <w:sz w:val="24"/>
                <w:lang w:eastAsia="zh-CN"/>
              </w:rPr>
              <w:t>⑤项目所用燃气管道及电气设备需定期巡检，若发现打火、短路、异常发热、绝缘性能下降等隐患情况，必须立即停机停气并组织检修，消除安全风险后方可恢复使用。</w:t>
            </w:r>
          </w:p>
          <w:p w14:paraId="45EF26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eastAsia="宋体"/>
                <w:b/>
                <w:bCs/>
                <w:color w:val="000000"/>
                <w:sz w:val="24"/>
                <w:szCs w:val="24"/>
                <w:lang w:eastAsia="zh-CN"/>
              </w:rPr>
            </w:pPr>
            <w:r>
              <w:rPr>
                <w:rFonts w:hint="eastAsia"/>
                <w:b/>
                <w:bCs/>
                <w:color w:val="000000"/>
                <w:sz w:val="24"/>
                <w:szCs w:val="24"/>
                <w:lang w:eastAsia="zh-CN"/>
              </w:rPr>
              <w:t>（</w:t>
            </w:r>
            <w:r>
              <w:rPr>
                <w:rFonts w:hint="eastAsia"/>
                <w:b/>
                <w:bCs/>
                <w:color w:val="000000"/>
                <w:sz w:val="24"/>
                <w:szCs w:val="24"/>
                <w:lang w:val="en-US" w:eastAsia="zh-CN"/>
              </w:rPr>
              <w:t>4</w:t>
            </w:r>
            <w:r>
              <w:rPr>
                <w:rFonts w:hint="eastAsia"/>
                <w:b/>
                <w:bCs/>
                <w:color w:val="000000"/>
                <w:sz w:val="24"/>
                <w:szCs w:val="24"/>
                <w:lang w:eastAsia="zh-CN"/>
              </w:rPr>
              <w:t>）废气处理设施险防范措施</w:t>
            </w:r>
          </w:p>
          <w:p w14:paraId="195B37B2">
            <w:pPr>
              <w:spacing w:line="360" w:lineRule="auto"/>
              <w:ind w:firstLine="480" w:firstLineChars="200"/>
              <w:rPr>
                <w:rFonts w:hint="eastAsia"/>
                <w:color w:val="000000"/>
                <w:sz w:val="24"/>
                <w:szCs w:val="24"/>
              </w:rPr>
            </w:pPr>
            <w:r>
              <w:rPr>
                <w:rFonts w:hint="eastAsia"/>
                <w:color w:val="000000"/>
                <w:sz w:val="24"/>
                <w:szCs w:val="24"/>
              </w:rPr>
              <w:t>本项目废气污染源涉及的主要污染物包括颗粒物、二氧化硫（SO₂）、氮氧化物（NOₓ）、挥发性有机物（VOCs）及苯并[a]芘等，废气治理设施在运行过程中存在发生故障进而导致废气事故性排放的风险。</w:t>
            </w:r>
          </w:p>
          <w:p w14:paraId="4F052877">
            <w:pPr>
              <w:spacing w:line="360" w:lineRule="auto"/>
              <w:ind w:firstLine="480" w:firstLineChars="200"/>
              <w:rPr>
                <w:rFonts w:hint="eastAsia"/>
                <w:color w:val="000000"/>
                <w:sz w:val="24"/>
                <w:szCs w:val="24"/>
              </w:rPr>
            </w:pPr>
            <w:r>
              <w:rPr>
                <w:rFonts w:hint="eastAsia"/>
                <w:color w:val="000000"/>
                <w:sz w:val="24"/>
                <w:szCs w:val="24"/>
              </w:rPr>
              <w:t>针对上述环境风险，本环评提出以下管控要求：</w:t>
            </w:r>
          </w:p>
          <w:p w14:paraId="7B8A6D7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①优先从源头规避废气事故性排放风险，项目废气处理系统需配置双电源保障，确保设施稳定连续运行；</w:t>
            </w:r>
          </w:p>
          <w:p w14:paraId="1C2FAC3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②若废气处理系统发生故障且短期内无法排除，应立即停产检修。对于因安全因素引发的废气事故性排放，需第一时间排查故障成因、消除安全隐患，待隐患</w:t>
            </w:r>
            <w:r>
              <w:rPr>
                <w:rFonts w:hint="eastAsia" w:ascii="宋体" w:hAnsi="宋体" w:eastAsia="宋体" w:cs="宋体"/>
                <w:color w:val="000000"/>
                <w:sz w:val="24"/>
                <w:szCs w:val="24"/>
                <w:lang w:eastAsia="zh-CN"/>
              </w:rPr>
              <w:t>彻底消除</w:t>
            </w:r>
            <w:r>
              <w:rPr>
                <w:rFonts w:hint="eastAsia" w:ascii="宋体" w:hAnsi="宋体" w:eastAsia="宋体" w:cs="宋体"/>
                <w:color w:val="000000"/>
                <w:sz w:val="24"/>
                <w:szCs w:val="24"/>
              </w:rPr>
              <w:t>后方可恢复生产；若安全隐患程度较高、无法及时消除，应立即停产整治，严防风险进一步扩大。</w:t>
            </w:r>
          </w:p>
          <w:p w14:paraId="1B3D93A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综上，企业需强化废气治理设施的日常运行管理与维护保养，最大限度减少并杜绝废气事故性排放。一旦发生突发故障，需迅速启动应急处置措施，在最短时间内降低环境影响，确保项目废气污染物排放稳定达到相关标准要求。</w:t>
            </w:r>
          </w:p>
          <w:p w14:paraId="1AB8CE8A">
            <w:pPr>
              <w:spacing w:line="360" w:lineRule="auto"/>
              <w:ind w:firstLine="482" w:firstLineChars="200"/>
              <w:rPr>
                <w:rFonts w:hint="eastAsia"/>
                <w:b/>
                <w:bCs/>
                <w:snapToGrid w:val="0"/>
                <w:color w:val="000000"/>
                <w:kern w:val="0"/>
                <w:sz w:val="24"/>
              </w:rPr>
            </w:pPr>
            <w:r>
              <w:rPr>
                <w:rFonts w:hint="eastAsia"/>
                <w:b/>
                <w:bCs/>
                <w:color w:val="000000"/>
                <w:kern w:val="0"/>
                <w:sz w:val="24"/>
              </w:rPr>
              <w:t>（</w:t>
            </w:r>
            <w:r>
              <w:rPr>
                <w:rFonts w:hint="eastAsia"/>
                <w:b/>
                <w:bCs/>
                <w:color w:val="000000"/>
                <w:kern w:val="0"/>
                <w:sz w:val="24"/>
                <w:lang w:val="en-US" w:eastAsia="zh-CN"/>
              </w:rPr>
              <w:t>5</w:t>
            </w:r>
            <w:r>
              <w:rPr>
                <w:rFonts w:hint="eastAsia"/>
                <w:b/>
                <w:bCs/>
                <w:color w:val="000000"/>
                <w:kern w:val="0"/>
                <w:sz w:val="24"/>
              </w:rPr>
              <w:t>）</w:t>
            </w:r>
            <w:r>
              <w:rPr>
                <w:rFonts w:hint="eastAsia"/>
                <w:b/>
                <w:bCs/>
                <w:snapToGrid w:val="0"/>
                <w:color w:val="000000"/>
                <w:kern w:val="0"/>
                <w:sz w:val="24"/>
              </w:rPr>
              <w:t>事故废水环境风险防范措施</w:t>
            </w:r>
          </w:p>
          <w:p w14:paraId="3851E86D">
            <w:pPr>
              <w:spacing w:line="360" w:lineRule="auto"/>
              <w:ind w:firstLine="480" w:firstLineChars="200"/>
              <w:rPr>
                <w:rFonts w:hint="eastAsia"/>
                <w:snapToGrid w:val="0"/>
                <w:color w:val="000000"/>
                <w:kern w:val="0"/>
                <w:sz w:val="24"/>
                <w:lang w:val="en-US" w:eastAsia="zh-CN"/>
              </w:rPr>
            </w:pPr>
            <w:r>
              <w:rPr>
                <w:rFonts w:hint="eastAsia"/>
                <w:snapToGrid w:val="0"/>
                <w:color w:val="000000"/>
                <w:kern w:val="0"/>
                <w:sz w:val="24"/>
                <w:lang w:eastAsia="zh-CN"/>
              </w:rPr>
              <w:t>项目若发生火灾、爆炸等突发事故，将产生事故消防废水。本项目室外消防设计流量为15L/s，按一次火灾延续2小时核算，单次火灾消防用水量为108m</w:t>
            </w:r>
            <w:r>
              <w:rPr>
                <w:rFonts w:hint="eastAsia"/>
                <w:snapToGrid w:val="0"/>
                <w:color w:val="000000"/>
                <w:kern w:val="0"/>
                <w:sz w:val="24"/>
                <w:vertAlign w:val="superscript"/>
                <w:lang w:val="en-US" w:eastAsia="zh-CN"/>
              </w:rPr>
              <w:t>3</w:t>
            </w:r>
            <w:r>
              <w:rPr>
                <w:rFonts w:hint="eastAsia"/>
                <w:snapToGrid w:val="0"/>
                <w:color w:val="000000"/>
                <w:kern w:val="0"/>
                <w:sz w:val="24"/>
                <w:lang w:eastAsia="zh-CN"/>
              </w:rPr>
              <w:t>。厂区配套建设1座有效容积</w:t>
            </w:r>
            <w:r>
              <w:rPr>
                <w:rFonts w:hint="eastAsia" w:ascii="Times New Roman" w:hAnsi="Times New Roman" w:cs="Times New Roman"/>
                <w:snapToGrid w:val="0"/>
                <w:color w:val="000000"/>
                <w:kern w:val="0"/>
                <w:sz w:val="24"/>
                <w:lang w:val="en-US" w:eastAsia="zh-CN"/>
              </w:rPr>
              <w:t>300</w:t>
            </w:r>
            <w:r>
              <w:rPr>
                <w:rFonts w:hint="default" w:ascii="Times New Roman" w:hAnsi="Times New Roman" w:cs="Times New Roman"/>
                <w:snapToGrid w:val="0"/>
                <w:color w:val="000000"/>
                <w:kern w:val="0"/>
                <w:sz w:val="24"/>
                <w:lang w:eastAsia="zh-CN"/>
              </w:rPr>
              <w:t>m</w:t>
            </w:r>
            <w:r>
              <w:rPr>
                <w:rFonts w:hint="default" w:ascii="Times New Roman" w:hAnsi="Times New Roman" w:cs="Times New Roman"/>
                <w:snapToGrid w:val="0"/>
                <w:color w:val="000000"/>
                <w:kern w:val="0"/>
                <w:sz w:val="24"/>
                <w:vertAlign w:val="superscript"/>
                <w:lang w:val="en-US" w:eastAsia="zh-CN"/>
              </w:rPr>
              <w:t>3</w:t>
            </w:r>
            <w:r>
              <w:rPr>
                <w:rFonts w:hint="default" w:ascii="Times New Roman" w:hAnsi="Times New Roman" w:cs="Times New Roman"/>
                <w:snapToGrid w:val="0"/>
                <w:color w:val="000000"/>
                <w:kern w:val="0"/>
                <w:sz w:val="24"/>
                <w:lang w:eastAsia="zh-CN"/>
              </w:rPr>
              <w:t>的事故废</w:t>
            </w:r>
            <w:r>
              <w:rPr>
                <w:rFonts w:hint="eastAsia"/>
                <w:snapToGrid w:val="0"/>
                <w:color w:val="000000"/>
                <w:kern w:val="0"/>
                <w:sz w:val="24"/>
                <w:lang w:eastAsia="zh-CN"/>
              </w:rPr>
              <w:t>水收集池，事故状态下可第一时间将消防废水导排至收集池暂存，实现事故废水的全量截留，杜绝其直接外排对周边水环境造成污染，大幅降低水环境风险。事故处置完毕后，暂存的消防废水</w:t>
            </w:r>
            <w:r>
              <w:rPr>
                <w:rFonts w:hint="eastAsia"/>
                <w:snapToGrid w:val="0"/>
                <w:color w:val="000000"/>
                <w:kern w:val="0"/>
                <w:sz w:val="24"/>
                <w:lang w:val="en-US" w:eastAsia="zh-CN"/>
              </w:rPr>
              <w:t>运至污水处理厂进一步处理</w:t>
            </w:r>
            <w:r>
              <w:rPr>
                <w:rFonts w:hint="eastAsia"/>
                <w:snapToGrid w:val="0"/>
                <w:color w:val="000000"/>
                <w:kern w:val="0"/>
                <w:sz w:val="24"/>
                <w:lang w:eastAsia="zh-CN"/>
              </w:rPr>
              <w:t>。</w:t>
            </w:r>
            <w:r>
              <w:rPr>
                <w:rFonts w:hint="eastAsia"/>
                <w:snapToGrid w:val="0"/>
                <w:color w:val="000000"/>
                <w:kern w:val="0"/>
                <w:sz w:val="24"/>
                <w:lang w:val="en-US" w:eastAsia="zh-CN"/>
              </w:rPr>
              <w:t xml:space="preserve">  </w:t>
            </w:r>
          </w:p>
          <w:p w14:paraId="62E2EA74">
            <w:pPr>
              <w:spacing w:line="360" w:lineRule="auto"/>
              <w:ind w:firstLine="480" w:firstLineChars="200"/>
              <w:rPr>
                <w:rFonts w:hint="eastAsia"/>
                <w:snapToGrid w:val="0"/>
                <w:color w:val="000000"/>
                <w:kern w:val="0"/>
                <w:sz w:val="24"/>
                <w:lang w:eastAsia="zh-CN"/>
              </w:rPr>
            </w:pPr>
            <w:r>
              <w:rPr>
                <w:rFonts w:hint="eastAsia"/>
                <w:snapToGrid w:val="0"/>
                <w:color w:val="000000"/>
                <w:kern w:val="0"/>
                <w:sz w:val="24"/>
                <w:lang w:eastAsia="zh-CN"/>
              </w:rPr>
              <w:t>厂区雨水排水系统配套设置截流阀、切换闸门等控制设施。日常工况下，闸门默认处于截留状态，厂区初期雨水可全部汇入初期雨水收集池；降雨持续15分钟后，通过人工操作切换闸门启闭状态，将后期洁净雨水导入市政雨水管网合规排放，实现初期雨水与后期雨水的分流管控。</w:t>
            </w:r>
          </w:p>
          <w:p w14:paraId="3BB5B48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color w:val="000000"/>
                <w:lang w:val="en-US" w:eastAsia="zh-CN"/>
              </w:rPr>
            </w:pPr>
            <w:r>
              <w:rPr>
                <w:rFonts w:hint="eastAsia"/>
                <w:b/>
                <w:bCs/>
                <w:snapToGrid w:val="0"/>
                <w:color w:val="000000"/>
                <w:kern w:val="0"/>
                <w:sz w:val="24"/>
                <w:lang w:val="en-US" w:eastAsia="zh-CN"/>
              </w:rPr>
              <w:t>（6）应急预案</w:t>
            </w:r>
          </w:p>
          <w:p w14:paraId="4B98A6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napToGrid w:val="0"/>
                <w:color w:val="000000"/>
                <w:kern w:val="0"/>
                <w:sz w:val="24"/>
                <w:lang w:eastAsia="zh-CN"/>
              </w:rPr>
            </w:pPr>
            <w:r>
              <w:rPr>
                <w:rFonts w:hint="eastAsia"/>
                <w:snapToGrid w:val="0"/>
                <w:color w:val="000000"/>
                <w:kern w:val="0"/>
                <w:sz w:val="24"/>
                <w:lang w:eastAsia="zh-CN"/>
              </w:rPr>
              <w:t>本项目突发环境事件应急预案涵盖应急组织体系、预防与预警、应急响应、信息报告、应急处置等核心内容，旨在强化环境风险源日常管控与安全防范，从源头防范各类突发环境事件发生；同时规范并提升突发环境事件应急处置流程，构建以预防为主、预警-处置-善后机制完善的应急管理体系，形成企业内部指挥有序、响应快速、协同高效的突发环境事件应急处置格局。</w:t>
            </w:r>
          </w:p>
          <w:p w14:paraId="3203C8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napToGrid w:val="0"/>
                <w:color w:val="000000"/>
                <w:kern w:val="0"/>
                <w:sz w:val="24"/>
                <w:lang w:eastAsia="zh-CN"/>
              </w:rPr>
            </w:pPr>
            <w:r>
              <w:rPr>
                <w:rFonts w:hint="eastAsia"/>
                <w:snapToGrid w:val="0"/>
                <w:color w:val="000000"/>
                <w:kern w:val="0"/>
                <w:sz w:val="24"/>
                <w:lang w:eastAsia="zh-CN"/>
              </w:rPr>
              <w:t>为科学应对突发环境事件，企业需严格依据《建设项目环境风险评价技术导则》（HJ169-2018）要求，编制突发环境事件应急预案。预案需明确适用范围、环境事件分类与分级、组织机构与职责、监控预警、应急响应、应急保障、善后处置、预案管理与演练等关键内容，且编制完成后需按规定向相关主管部门完成备案手续。</w:t>
            </w:r>
          </w:p>
          <w:p w14:paraId="53AD61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napToGrid w:val="0"/>
                <w:color w:val="000000"/>
                <w:kern w:val="0"/>
                <w:sz w:val="24"/>
                <w:lang w:eastAsia="zh-CN"/>
              </w:rPr>
            </w:pPr>
            <w:r>
              <w:rPr>
                <w:rFonts w:hint="eastAsia"/>
                <w:snapToGrid w:val="0"/>
                <w:color w:val="000000"/>
                <w:kern w:val="0"/>
                <w:sz w:val="24"/>
                <w:lang w:eastAsia="zh-CN"/>
              </w:rPr>
              <w:t>本企业突发环境事件应急预案需与园区应急预案做好衔接，构建分级响应、区域联动的应急处置机制。具体响应层级如下：当突发环境事件影响范围局限于厂内个别工序时，立即启动企业内部应急救援力量处置；当事件影响可能扩散至厂界外时，第一时间联动园区应急救援力量协同管控；当事件影响超出园区范围时，迅速报请园区及县市级应急救援力量介入处置。</w:t>
            </w:r>
          </w:p>
          <w:p w14:paraId="77AF67BE">
            <w:pPr>
              <w:spacing w:line="360" w:lineRule="auto"/>
              <w:ind w:firstLine="482" w:firstLineChars="200"/>
              <w:jc w:val="left"/>
              <w:rPr>
                <w:b/>
                <w:bCs/>
                <w:color w:val="000000"/>
                <w:sz w:val="24"/>
              </w:rPr>
            </w:pPr>
            <w:r>
              <w:rPr>
                <w:rFonts w:hint="eastAsia"/>
                <w:b/>
                <w:bCs/>
                <w:color w:val="000000"/>
                <w:sz w:val="24"/>
                <w:lang w:val="en-US" w:eastAsia="zh-CN"/>
              </w:rPr>
              <w:t>5.</w:t>
            </w:r>
            <w:r>
              <w:rPr>
                <w:b/>
                <w:bCs/>
                <w:color w:val="000000"/>
                <w:sz w:val="24"/>
              </w:rPr>
              <w:t>环境风险结论</w:t>
            </w:r>
          </w:p>
          <w:p w14:paraId="32780B36">
            <w:pPr>
              <w:spacing w:line="360" w:lineRule="auto"/>
              <w:ind w:firstLine="480" w:firstLineChars="200"/>
              <w:rPr>
                <w:rFonts w:hint="eastAsia"/>
                <w:color w:val="000000"/>
                <w:sz w:val="24"/>
              </w:rPr>
            </w:pPr>
            <w:r>
              <w:rPr>
                <w:color w:val="000000"/>
                <w:sz w:val="24"/>
              </w:rPr>
              <w:t>综上所述：</w:t>
            </w:r>
            <w:r>
              <w:rPr>
                <w:rFonts w:hint="eastAsia"/>
                <w:color w:val="000000"/>
                <w:sz w:val="24"/>
              </w:rPr>
              <w:t>环境风险物质最大储存量Q值&lt;1，影响范围程度较小，为低风险项目。项目通过严格落实各项风险防控装置、设施和制度，制定风险应急预案，加强风险事故应急培训、演练等措施后，可进一步降低风险发生的概率和造成的影响。因此，在加强对各类风险的管理，做到各项管理措施及要求后，本项目环境风险可防控。</w:t>
            </w:r>
          </w:p>
          <w:p w14:paraId="43E23C7B">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default" w:ascii="Times New Roman" w:hAnsi="Times New Roman" w:eastAsia="宋体" w:cs="Times New Roman"/>
                <w:b/>
                <w:bCs/>
                <w:color w:val="000000"/>
                <w:spacing w:val="7"/>
                <w:sz w:val="24"/>
                <w:szCs w:val="24"/>
                <w:lang w:val="en-US" w:eastAsia="zh-CN"/>
              </w:rPr>
            </w:pPr>
            <w:r>
              <w:rPr>
                <w:rFonts w:hint="default" w:ascii="Times New Roman" w:hAnsi="Times New Roman" w:eastAsia="宋体" w:cs="Times New Roman"/>
                <w:b/>
                <w:bCs/>
                <w:color w:val="000000"/>
                <w:spacing w:val="7"/>
                <w:sz w:val="24"/>
                <w:szCs w:val="24"/>
                <w:lang w:val="en-US" w:eastAsia="zh-CN"/>
              </w:rPr>
              <w:t xml:space="preserve">  建设</w:t>
            </w:r>
            <w:r>
              <w:rPr>
                <w:rFonts w:hint="eastAsia" w:ascii="Times New Roman" w:hAnsi="Times New Roman" w:eastAsia="宋体" w:cs="Times New Roman"/>
                <w:b/>
                <w:bCs/>
                <w:color w:val="000000"/>
                <w:spacing w:val="7"/>
                <w:sz w:val="24"/>
                <w:szCs w:val="24"/>
                <w:lang w:val="en-US" w:eastAsia="zh-CN"/>
              </w:rPr>
              <w:t>项目环境风险简单分析内容表</w:t>
            </w:r>
          </w:p>
          <w:tbl>
            <w:tblPr>
              <w:tblStyle w:val="31"/>
              <w:tblW w:w="87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8"/>
              <w:gridCol w:w="5713"/>
            </w:tblGrid>
            <w:tr w14:paraId="70E3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shd w:val="clear" w:color="auto" w:fill="D7D7D7"/>
                  <w:noWrap w:val="0"/>
                  <w:vAlign w:val="center"/>
                </w:tcPr>
                <w:p w14:paraId="0FEAEDC0">
                  <w:pPr>
                    <w:jc w:val="center"/>
                    <w:rPr>
                      <w:color w:val="000000"/>
                      <w:szCs w:val="21"/>
                    </w:rPr>
                  </w:pPr>
                  <w:r>
                    <w:rPr>
                      <w:color w:val="000000"/>
                      <w:szCs w:val="21"/>
                    </w:rPr>
                    <w:t>建设项目名称</w:t>
                  </w:r>
                </w:p>
              </w:tc>
              <w:tc>
                <w:tcPr>
                  <w:tcW w:w="5713" w:type="dxa"/>
                  <w:shd w:val="clear" w:color="auto" w:fill="D7D7D7"/>
                  <w:noWrap w:val="0"/>
                  <w:vAlign w:val="center"/>
                </w:tcPr>
                <w:p w14:paraId="11DA7CD0">
                  <w:pPr>
                    <w:jc w:val="center"/>
                    <w:rPr>
                      <w:color w:val="000000"/>
                      <w:szCs w:val="21"/>
                    </w:rPr>
                  </w:pPr>
                  <w:r>
                    <w:rPr>
                      <w:rFonts w:hint="eastAsia"/>
                      <w:color w:val="000000"/>
                      <w:szCs w:val="21"/>
                      <w:lang w:eastAsia="zh-CN"/>
                    </w:rPr>
                    <w:t>平昌县锂电池负极材料生产线技改扩能</w:t>
                  </w:r>
                  <w:r>
                    <w:rPr>
                      <w:rFonts w:hint="eastAsia"/>
                      <w:color w:val="000000"/>
                      <w:szCs w:val="21"/>
                    </w:rPr>
                    <w:t xml:space="preserve">         </w:t>
                  </w:r>
                </w:p>
              </w:tc>
            </w:tr>
            <w:tr w14:paraId="167D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noWrap w:val="0"/>
                  <w:vAlign w:val="center"/>
                </w:tcPr>
                <w:p w14:paraId="6A9E71C6">
                  <w:pPr>
                    <w:jc w:val="center"/>
                    <w:rPr>
                      <w:color w:val="000000"/>
                      <w:szCs w:val="21"/>
                    </w:rPr>
                  </w:pPr>
                  <w:r>
                    <w:rPr>
                      <w:color w:val="000000"/>
                      <w:szCs w:val="21"/>
                    </w:rPr>
                    <w:t>建设地点</w:t>
                  </w:r>
                </w:p>
              </w:tc>
              <w:tc>
                <w:tcPr>
                  <w:tcW w:w="5713" w:type="dxa"/>
                  <w:noWrap w:val="0"/>
                  <w:vAlign w:val="center"/>
                </w:tcPr>
                <w:p w14:paraId="49FCC243">
                  <w:pPr>
                    <w:jc w:val="center"/>
                    <w:rPr>
                      <w:rFonts w:hint="eastAsia" w:eastAsia="宋体"/>
                      <w:color w:val="000000"/>
                      <w:szCs w:val="21"/>
                      <w:lang w:eastAsia="zh-CN"/>
                    </w:rPr>
                  </w:pPr>
                  <w:r>
                    <w:rPr>
                      <w:rFonts w:hint="eastAsia"/>
                      <w:color w:val="000000"/>
                      <w:szCs w:val="21"/>
                      <w:lang w:eastAsia="zh-CN"/>
                    </w:rPr>
                    <w:t>巴中市平昌经济开发区星光工业园兆祥路 1 号</w:t>
                  </w:r>
                </w:p>
              </w:tc>
            </w:tr>
            <w:tr w14:paraId="13F5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noWrap w:val="0"/>
                  <w:vAlign w:val="center"/>
                </w:tcPr>
                <w:p w14:paraId="0B826C09">
                  <w:pPr>
                    <w:jc w:val="center"/>
                    <w:rPr>
                      <w:color w:val="000000"/>
                      <w:szCs w:val="21"/>
                    </w:rPr>
                  </w:pPr>
                  <w:r>
                    <w:rPr>
                      <w:color w:val="000000"/>
                      <w:szCs w:val="21"/>
                    </w:rPr>
                    <w:t>地理坐标</w:t>
                  </w:r>
                </w:p>
              </w:tc>
              <w:tc>
                <w:tcPr>
                  <w:tcW w:w="5713" w:type="dxa"/>
                  <w:noWrap w:val="0"/>
                  <w:vAlign w:val="center"/>
                </w:tcPr>
                <w:p w14:paraId="30A16E01">
                  <w:pPr>
                    <w:jc w:val="center"/>
                    <w:rPr>
                      <w:color w:val="000000"/>
                      <w:szCs w:val="21"/>
                    </w:rPr>
                  </w:pPr>
                  <w:r>
                    <w:rPr>
                      <w:color w:val="000000"/>
                      <w:szCs w:val="21"/>
                    </w:rPr>
                    <w:t>东经</w:t>
                  </w:r>
                  <w:r>
                    <w:rPr>
                      <w:rFonts w:hint="eastAsia"/>
                      <w:color w:val="000000"/>
                      <w:szCs w:val="21"/>
                    </w:rPr>
                    <w:t>107.136399246</w:t>
                  </w:r>
                  <w:r>
                    <w:rPr>
                      <w:color w:val="000000"/>
                      <w:szCs w:val="21"/>
                    </w:rPr>
                    <w:t>，北纬</w:t>
                  </w:r>
                  <w:r>
                    <w:rPr>
                      <w:rFonts w:hint="eastAsia"/>
                      <w:color w:val="000000"/>
                      <w:szCs w:val="21"/>
                    </w:rPr>
                    <w:t>31.524451835</w:t>
                  </w:r>
                </w:p>
              </w:tc>
            </w:tr>
            <w:tr w14:paraId="3C9F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noWrap w:val="0"/>
                  <w:vAlign w:val="center"/>
                </w:tcPr>
                <w:p w14:paraId="2FFDBFBF">
                  <w:pPr>
                    <w:jc w:val="center"/>
                    <w:rPr>
                      <w:color w:val="000000"/>
                      <w:szCs w:val="21"/>
                    </w:rPr>
                  </w:pPr>
                  <w:r>
                    <w:rPr>
                      <w:color w:val="000000"/>
                      <w:szCs w:val="21"/>
                    </w:rPr>
                    <w:t>主要危险物质及分布</w:t>
                  </w:r>
                </w:p>
              </w:tc>
              <w:tc>
                <w:tcPr>
                  <w:tcW w:w="5713" w:type="dxa"/>
                  <w:noWrap w:val="0"/>
                  <w:vAlign w:val="center"/>
                </w:tcPr>
                <w:p w14:paraId="5A0AD13D">
                  <w:pPr>
                    <w:jc w:val="left"/>
                    <w:rPr>
                      <w:rFonts w:hint="default" w:eastAsia="宋体"/>
                      <w:color w:val="000000"/>
                      <w:szCs w:val="21"/>
                      <w:lang w:val="en-US" w:eastAsia="zh-CN"/>
                    </w:rPr>
                  </w:pPr>
                  <w:r>
                    <w:rPr>
                      <w:rFonts w:hint="eastAsia"/>
                      <w:color w:val="000000"/>
                      <w:szCs w:val="21"/>
                    </w:rPr>
                    <w:t>1、主要风险物质：</w:t>
                  </w:r>
                  <w:r>
                    <w:rPr>
                      <w:rFonts w:hint="eastAsia"/>
                      <w:color w:val="000000"/>
                      <w:szCs w:val="21"/>
                      <w:lang w:eastAsia="zh-CN"/>
                    </w:rPr>
                    <w:t>润滑油</w:t>
                  </w:r>
                  <w:r>
                    <w:rPr>
                      <w:rFonts w:hint="eastAsia"/>
                      <w:color w:val="000000"/>
                      <w:szCs w:val="21"/>
                      <w:lang w:val="en-US" w:eastAsia="zh-CN"/>
                    </w:rPr>
                    <w:t>/机油</w:t>
                  </w:r>
                  <w:r>
                    <w:rPr>
                      <w:rFonts w:hint="eastAsia"/>
                      <w:color w:val="000000"/>
                      <w:szCs w:val="21"/>
                    </w:rPr>
                    <w:t>、</w:t>
                  </w:r>
                  <w:r>
                    <w:rPr>
                      <w:rFonts w:hint="eastAsia"/>
                      <w:color w:val="000000"/>
                      <w:szCs w:val="21"/>
                      <w:lang w:eastAsia="zh-CN"/>
                    </w:rPr>
                    <w:t>废润滑油</w:t>
                  </w:r>
                  <w:r>
                    <w:rPr>
                      <w:rFonts w:hint="eastAsia"/>
                      <w:lang w:val="en-US" w:eastAsia="zh-CN"/>
                    </w:rPr>
                    <w:t>/机油、柴油</w:t>
                  </w:r>
                </w:p>
                <w:p w14:paraId="60B66135">
                  <w:pPr>
                    <w:jc w:val="left"/>
                    <w:rPr>
                      <w:rFonts w:hint="default" w:eastAsia="宋体"/>
                      <w:color w:val="000000"/>
                      <w:szCs w:val="21"/>
                      <w:lang w:val="en-US" w:eastAsia="zh-CN"/>
                    </w:rPr>
                  </w:pPr>
                  <w:r>
                    <w:rPr>
                      <w:rFonts w:hint="eastAsia"/>
                      <w:color w:val="000000"/>
                      <w:szCs w:val="21"/>
                    </w:rPr>
                    <w:t>2、风险物质分布：</w:t>
                  </w:r>
                  <w:r>
                    <w:rPr>
                      <w:rFonts w:hint="eastAsia"/>
                      <w:color w:val="000000"/>
                      <w:szCs w:val="21"/>
                      <w:lang w:val="en-US" w:eastAsia="zh-CN"/>
                    </w:rPr>
                    <w:t>辅料</w:t>
                  </w:r>
                  <w:r>
                    <w:rPr>
                      <w:rFonts w:hint="eastAsia"/>
                      <w:color w:val="000000"/>
                      <w:szCs w:val="21"/>
                    </w:rPr>
                    <w:t>库房、危废暂存间</w:t>
                  </w:r>
                  <w:r>
                    <w:rPr>
                      <w:rFonts w:hint="eastAsia"/>
                      <w:color w:val="000000"/>
                      <w:szCs w:val="21"/>
                      <w:lang w:eastAsia="zh-CN"/>
                    </w:rPr>
                    <w:t>、</w:t>
                  </w:r>
                  <w:r>
                    <w:rPr>
                      <w:rFonts w:hint="eastAsia"/>
                      <w:color w:val="000000"/>
                      <w:szCs w:val="21"/>
                      <w:lang w:val="en-US" w:eastAsia="zh-CN"/>
                    </w:rPr>
                    <w:t>发电机房</w:t>
                  </w:r>
                </w:p>
              </w:tc>
            </w:tr>
            <w:tr w14:paraId="3832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noWrap w:val="0"/>
                  <w:vAlign w:val="center"/>
                </w:tcPr>
                <w:p w14:paraId="0F01799D">
                  <w:pPr>
                    <w:jc w:val="center"/>
                    <w:rPr>
                      <w:color w:val="000000"/>
                      <w:szCs w:val="21"/>
                    </w:rPr>
                  </w:pPr>
                  <w:r>
                    <w:rPr>
                      <w:color w:val="000000"/>
                      <w:szCs w:val="21"/>
                    </w:rPr>
                    <w:t>环境影响途径及危害后果（大气、地表水、地下水等）</w:t>
                  </w:r>
                </w:p>
              </w:tc>
              <w:tc>
                <w:tcPr>
                  <w:tcW w:w="5713" w:type="dxa"/>
                  <w:noWrap w:val="0"/>
                  <w:vAlign w:val="center"/>
                </w:tcPr>
                <w:p w14:paraId="1E2516A8">
                  <w:pPr>
                    <w:rPr>
                      <w:rFonts w:hint="eastAsia" w:eastAsia="宋体"/>
                      <w:color w:val="000000"/>
                      <w:szCs w:val="21"/>
                      <w:lang w:eastAsia="zh-CN"/>
                    </w:rPr>
                  </w:pPr>
                  <w:r>
                    <w:rPr>
                      <w:rFonts w:hint="eastAsia"/>
                      <w:color w:val="000000"/>
                      <w:szCs w:val="21"/>
                    </w:rPr>
                    <w:t>1、大气环境影响：项危废暂存间废油类发生泄漏并且产生火灾爆炸，产生的伴生/次生污染，通过扩散进入外界大气环境产生不良影响</w:t>
                  </w:r>
                  <w:r>
                    <w:rPr>
                      <w:rFonts w:hint="eastAsia"/>
                      <w:color w:val="000000"/>
                      <w:szCs w:val="21"/>
                      <w:lang w:eastAsia="zh-CN"/>
                    </w:rPr>
                    <w:t>；燃气管道发生泄漏并且产生火灾爆炸，产生的伴生/次生污染，通过扩散进入外界大气环境产生不良影响；环保设施故障导致废气超标排放，高浓度污染物颗粒物、SO</w:t>
                  </w:r>
                  <w:r>
                    <w:rPr>
                      <w:rFonts w:hint="eastAsia"/>
                      <w:color w:val="000000"/>
                      <w:szCs w:val="21"/>
                      <w:vertAlign w:val="subscript"/>
                      <w:lang w:eastAsia="zh-CN"/>
                    </w:rPr>
                    <w:t>2</w:t>
                  </w:r>
                  <w:r>
                    <w:rPr>
                      <w:rFonts w:hint="eastAsia"/>
                      <w:color w:val="000000"/>
                      <w:szCs w:val="21"/>
                      <w:lang w:eastAsia="zh-CN"/>
                    </w:rPr>
                    <w:t>、NOx 、VOCs等通过扩散进入外界大气环境产生不良影响。</w:t>
                  </w:r>
                </w:p>
                <w:p w14:paraId="275D9E07">
                  <w:pPr>
                    <w:rPr>
                      <w:rFonts w:hint="eastAsia"/>
                      <w:color w:val="000000"/>
                      <w:szCs w:val="21"/>
                    </w:rPr>
                  </w:pPr>
                  <w:r>
                    <w:rPr>
                      <w:rFonts w:hint="eastAsia"/>
                      <w:color w:val="000000"/>
                      <w:szCs w:val="21"/>
                    </w:rPr>
                    <w:t>2、地表水环境影响：</w:t>
                  </w:r>
                  <w:r>
                    <w:rPr>
                      <w:rFonts w:hint="eastAsia"/>
                      <w:color w:val="000000"/>
                      <w:szCs w:val="21"/>
                      <w:lang w:eastAsia="zh-CN"/>
                    </w:rPr>
                    <w:t>事故状态下的脱硫废水，</w:t>
                  </w:r>
                  <w:r>
                    <w:rPr>
                      <w:rFonts w:hint="eastAsia"/>
                      <w:color w:val="000000"/>
                      <w:szCs w:val="21"/>
                    </w:rPr>
                    <w:t>火灾灭火产生的消防废水随地表径流汇入周边地表水体对周围地表水体产生污染；</w:t>
                  </w:r>
                </w:p>
                <w:p w14:paraId="45311698">
                  <w:pPr>
                    <w:rPr>
                      <w:color w:val="000000"/>
                      <w:szCs w:val="21"/>
                    </w:rPr>
                  </w:pPr>
                  <w:r>
                    <w:rPr>
                      <w:rFonts w:hint="eastAsia"/>
                      <w:color w:val="000000"/>
                      <w:szCs w:val="21"/>
                    </w:rPr>
                    <w:t>3、地下水影响：危废</w:t>
                  </w:r>
                  <w:r>
                    <w:rPr>
                      <w:rFonts w:hint="eastAsia"/>
                      <w:color w:val="000000"/>
                      <w:szCs w:val="21"/>
                      <w:lang w:eastAsia="zh-CN"/>
                    </w:rPr>
                    <w:t>、润滑油</w:t>
                  </w:r>
                  <w:r>
                    <w:rPr>
                      <w:rFonts w:hint="eastAsia"/>
                      <w:color w:val="000000"/>
                      <w:szCs w:val="21"/>
                    </w:rPr>
                    <w:t>在储存、运输、转移过程中存在破裂</w:t>
                  </w:r>
                  <w:r>
                    <w:rPr>
                      <w:rFonts w:hint="eastAsia"/>
                      <w:color w:val="000000"/>
                      <w:szCs w:val="21"/>
                      <w:lang w:eastAsia="zh-CN"/>
                    </w:rPr>
                    <w:t>泄漏</w:t>
                  </w:r>
                  <w:r>
                    <w:rPr>
                      <w:rFonts w:hint="eastAsia"/>
                      <w:color w:val="000000"/>
                      <w:szCs w:val="21"/>
                    </w:rPr>
                    <w:t>污染地下水的风险。</w:t>
                  </w:r>
                </w:p>
              </w:tc>
            </w:tr>
            <w:tr w14:paraId="3F32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noWrap w:val="0"/>
                  <w:vAlign w:val="center"/>
                </w:tcPr>
                <w:p w14:paraId="7EEDEC7C">
                  <w:pPr>
                    <w:jc w:val="center"/>
                    <w:rPr>
                      <w:color w:val="000000"/>
                      <w:szCs w:val="21"/>
                    </w:rPr>
                  </w:pPr>
                  <w:r>
                    <w:rPr>
                      <w:color w:val="000000"/>
                      <w:szCs w:val="21"/>
                    </w:rPr>
                    <w:t>风险防范措施要求</w:t>
                  </w:r>
                </w:p>
              </w:tc>
              <w:tc>
                <w:tcPr>
                  <w:tcW w:w="5713" w:type="dxa"/>
                  <w:noWrap w:val="0"/>
                  <w:vAlign w:val="center"/>
                </w:tcPr>
                <w:p w14:paraId="7C24B439">
                  <w:pPr>
                    <w:keepNext w:val="0"/>
                    <w:keepLines w:val="0"/>
                    <w:pageBreakBefore w:val="0"/>
                    <w:numPr>
                      <w:ilvl w:val="0"/>
                      <w:numId w:val="26"/>
                    </w:numPr>
                    <w:kinsoku/>
                    <w:wordWrap/>
                    <w:overflowPunct/>
                    <w:topLinePunct w:val="0"/>
                    <w:autoSpaceDE/>
                    <w:autoSpaceDN/>
                    <w:bidi w:val="0"/>
                    <w:adjustRightInd/>
                    <w:spacing w:line="240" w:lineRule="auto"/>
                    <w:ind w:right="0"/>
                    <w:textAlignment w:val="auto"/>
                    <w:rPr>
                      <w:rFonts w:hint="eastAsia"/>
                      <w:color w:val="000000"/>
                      <w:sz w:val="21"/>
                      <w:szCs w:val="21"/>
                      <w:lang w:eastAsia="zh-CN"/>
                    </w:rPr>
                  </w:pPr>
                  <w:r>
                    <w:rPr>
                      <w:rFonts w:hint="eastAsia"/>
                      <w:color w:val="000000"/>
                      <w:sz w:val="21"/>
                      <w:szCs w:val="21"/>
                      <w:lang w:eastAsia="zh-CN"/>
                    </w:rPr>
                    <w:t>总图布置：项目建构筑物应留足安全间距，避免易燃、易爆气体积聚。</w:t>
                  </w:r>
                </w:p>
                <w:p w14:paraId="2BD3748E">
                  <w:pPr>
                    <w:pStyle w:val="10"/>
                    <w:keepNext w:val="0"/>
                    <w:keepLines w:val="0"/>
                    <w:pageBreakBefore w:val="0"/>
                    <w:numPr>
                      <w:ilvl w:val="0"/>
                      <w:numId w:val="26"/>
                    </w:numPr>
                    <w:kinsoku/>
                    <w:wordWrap/>
                    <w:overflowPunct/>
                    <w:topLinePunct w:val="0"/>
                    <w:autoSpaceDE/>
                    <w:autoSpaceDN/>
                    <w:bidi w:val="0"/>
                    <w:adjustRightInd/>
                    <w:spacing w:before="0" w:after="0" w:line="240" w:lineRule="auto"/>
                    <w:ind w:right="0"/>
                    <w:textAlignment w:val="auto"/>
                    <w:rPr>
                      <w:rFonts w:hint="eastAsia"/>
                      <w:color w:val="000000"/>
                      <w:sz w:val="21"/>
                      <w:szCs w:val="21"/>
                      <w:lang w:eastAsia="zh-CN"/>
                    </w:rPr>
                  </w:pPr>
                  <w:r>
                    <w:rPr>
                      <w:rFonts w:hint="eastAsia"/>
                      <w:color w:val="000000"/>
                      <w:sz w:val="21"/>
                      <w:szCs w:val="21"/>
                      <w:lang w:eastAsia="zh-CN"/>
                    </w:rPr>
                    <w:t>危废暂存间要严格按照《危险废物贮存污染控制标准》（GB18597-2023）的要求进行重点防渗，设置醒目的危险废物警示标识牌，建立完善的危险废物贮存台账管理制度。</w:t>
                  </w:r>
                </w:p>
                <w:p w14:paraId="6EF4CC7B">
                  <w:pPr>
                    <w:keepNext w:val="0"/>
                    <w:keepLines w:val="0"/>
                    <w:pageBreakBefore w:val="0"/>
                    <w:numPr>
                      <w:ilvl w:val="0"/>
                      <w:numId w:val="26"/>
                    </w:numPr>
                    <w:kinsoku/>
                    <w:wordWrap/>
                    <w:overflowPunct/>
                    <w:topLinePunct w:val="0"/>
                    <w:autoSpaceDE/>
                    <w:autoSpaceDN/>
                    <w:bidi w:val="0"/>
                    <w:adjustRightInd/>
                    <w:spacing w:line="240" w:lineRule="auto"/>
                    <w:ind w:left="0" w:leftChars="0" w:right="0" w:firstLine="0" w:firstLineChars="0"/>
                    <w:textAlignment w:val="auto"/>
                    <w:rPr>
                      <w:rFonts w:hint="eastAsia"/>
                      <w:color w:val="000000"/>
                      <w:sz w:val="21"/>
                      <w:szCs w:val="21"/>
                      <w:lang w:eastAsia="zh-CN"/>
                    </w:rPr>
                  </w:pPr>
                  <w:r>
                    <w:rPr>
                      <w:rFonts w:hint="eastAsia"/>
                      <w:color w:val="000000"/>
                      <w:sz w:val="21"/>
                      <w:szCs w:val="21"/>
                      <w:lang w:eastAsia="zh-CN"/>
                    </w:rPr>
                    <w:t>本项目从设计、设备、系统、消防、设施巡检五方面落实安全管理要求，严格遵循规范保障各类安全距离，选用防爆设备、设置系统连锁装置，规范消防设施管理维护，定期巡检燃气及电气设备，发现隐患立即停机停气检修，消除风险后方可恢复使用。</w:t>
                  </w:r>
                </w:p>
                <w:p w14:paraId="685E27A9">
                  <w:pPr>
                    <w:pStyle w:val="10"/>
                    <w:keepNext w:val="0"/>
                    <w:keepLines w:val="0"/>
                    <w:pageBreakBefore w:val="0"/>
                    <w:numPr>
                      <w:ilvl w:val="0"/>
                      <w:numId w:val="26"/>
                    </w:numPr>
                    <w:kinsoku/>
                    <w:wordWrap/>
                    <w:overflowPunct/>
                    <w:topLinePunct w:val="0"/>
                    <w:autoSpaceDE/>
                    <w:autoSpaceDN/>
                    <w:bidi w:val="0"/>
                    <w:adjustRightInd/>
                    <w:spacing w:before="0" w:after="0" w:line="240" w:lineRule="auto"/>
                    <w:ind w:left="0" w:leftChars="0" w:right="0" w:firstLine="0" w:firstLineChars="0"/>
                    <w:textAlignment w:val="auto"/>
                    <w:rPr>
                      <w:rFonts w:hint="eastAsia"/>
                      <w:color w:val="000000"/>
                      <w:sz w:val="21"/>
                      <w:szCs w:val="21"/>
                      <w:lang w:eastAsia="zh-CN"/>
                    </w:rPr>
                  </w:pPr>
                  <w:r>
                    <w:rPr>
                      <w:rFonts w:hint="eastAsia"/>
                      <w:color w:val="000000"/>
                      <w:sz w:val="21"/>
                      <w:szCs w:val="21"/>
                      <w:lang w:eastAsia="zh-CN"/>
                    </w:rPr>
                    <w:t>强化废气治理设施的日常运行管理与维护保养，最大限度减少并杜绝废气事故性排放。一旦发生突发故障，需迅速启动应急处置措施，在最短时间内降低环境影响，确保项目废气污染物排放稳定达到相关标准要求。</w:t>
                  </w:r>
                </w:p>
                <w:p w14:paraId="2AF4732E">
                  <w:pPr>
                    <w:keepNext w:val="0"/>
                    <w:keepLines w:val="0"/>
                    <w:pageBreakBefore w:val="0"/>
                    <w:numPr>
                      <w:ilvl w:val="0"/>
                      <w:numId w:val="27"/>
                    </w:numPr>
                    <w:kinsoku/>
                    <w:wordWrap/>
                    <w:overflowPunct/>
                    <w:topLinePunct w:val="0"/>
                    <w:autoSpaceDE/>
                    <w:autoSpaceDN/>
                    <w:bidi w:val="0"/>
                    <w:adjustRightInd/>
                    <w:spacing w:line="240" w:lineRule="auto"/>
                    <w:ind w:right="0"/>
                    <w:textAlignment w:val="auto"/>
                    <w:rPr>
                      <w:color w:val="000000"/>
                      <w:szCs w:val="21"/>
                    </w:rPr>
                  </w:pPr>
                  <w:r>
                    <w:rPr>
                      <w:rFonts w:hint="eastAsia"/>
                      <w:color w:val="000000"/>
                      <w:sz w:val="21"/>
                      <w:szCs w:val="21"/>
                      <w:lang w:eastAsia="zh-CN"/>
                    </w:rPr>
                    <w:t>编制突发环境事件应急预案，按规定向相关主管部门完成备案手续。</w:t>
                  </w:r>
                </w:p>
              </w:tc>
            </w:tr>
            <w:tr w14:paraId="2913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noWrap w:val="0"/>
                  <w:vAlign w:val="center"/>
                </w:tcPr>
                <w:p w14:paraId="351EAEB9">
                  <w:pPr>
                    <w:jc w:val="center"/>
                    <w:rPr>
                      <w:color w:val="000000"/>
                      <w:szCs w:val="21"/>
                    </w:rPr>
                  </w:pPr>
                  <w:r>
                    <w:rPr>
                      <w:color w:val="000000"/>
                      <w:szCs w:val="21"/>
                    </w:rPr>
                    <w:t>填表说明（列出项目相关信息及评价说明）：</w:t>
                  </w:r>
                </w:p>
              </w:tc>
              <w:tc>
                <w:tcPr>
                  <w:tcW w:w="5713" w:type="dxa"/>
                  <w:noWrap w:val="0"/>
                  <w:vAlign w:val="center"/>
                </w:tcPr>
                <w:p w14:paraId="24062316">
                  <w:pPr>
                    <w:rPr>
                      <w:color w:val="000000"/>
                      <w:szCs w:val="21"/>
                    </w:rPr>
                  </w:pPr>
                  <w:r>
                    <w:rPr>
                      <w:rFonts w:hint="eastAsia"/>
                      <w:color w:val="000000"/>
                      <w:szCs w:val="21"/>
                    </w:rPr>
                    <w:t>本项目运营过程中</w:t>
                  </w:r>
                  <w:r>
                    <w:rPr>
                      <w:rFonts w:hint="eastAsia"/>
                      <w:color w:val="000000"/>
                      <w:szCs w:val="21"/>
                      <w:lang w:eastAsia="zh-CN"/>
                    </w:rPr>
                    <w:t>涉及</w:t>
                  </w:r>
                  <w:r>
                    <w:rPr>
                      <w:rFonts w:hint="eastAsia"/>
                      <w:color w:val="000000"/>
                      <w:szCs w:val="21"/>
                    </w:rPr>
                    <w:t>的风险物质少，其他风险物质存储量较小，项目风险潜势为Ⅰ，本次评价进行简单分析。</w:t>
                  </w:r>
                </w:p>
              </w:tc>
            </w:tr>
          </w:tbl>
          <w:p w14:paraId="1FF1BF1A">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outlineLvl w:val="0"/>
              <w:rPr>
                <w:rFonts w:hint="eastAsia"/>
                <w:b/>
                <w:bCs/>
                <w:color w:val="000000"/>
                <w:sz w:val="24"/>
              </w:rPr>
            </w:pPr>
            <w:bookmarkStart w:id="40" w:name="_Toc19738"/>
            <w:r>
              <w:rPr>
                <w:rFonts w:hint="eastAsia" w:ascii="Times New Roman" w:hAnsi="Times New Roman" w:eastAsia="宋体" w:cs="Times New Roman"/>
                <w:b/>
                <w:color w:val="000000"/>
                <w:sz w:val="24"/>
                <w:lang w:val="en-US" w:eastAsia="zh-CN"/>
              </w:rPr>
              <w:t>八、</w:t>
            </w:r>
            <w:bookmarkStart w:id="41" w:name="_Toc5084"/>
            <w:bookmarkStart w:id="42" w:name="_Toc17935"/>
            <w:r>
              <w:rPr>
                <w:rFonts w:hint="eastAsia"/>
                <w:b/>
                <w:bCs/>
                <w:color w:val="000000"/>
                <w:sz w:val="24"/>
              </w:rPr>
              <w:t>“三本账”分析</w:t>
            </w:r>
            <w:bookmarkEnd w:id="40"/>
            <w:bookmarkEnd w:id="41"/>
            <w:bookmarkEnd w:id="42"/>
          </w:p>
          <w:p w14:paraId="1564F6AF">
            <w:pPr>
              <w:pStyle w:val="81"/>
              <w:widowControl/>
              <w:spacing w:line="360" w:lineRule="auto"/>
              <w:ind w:right="91" w:firstLine="460" w:firstLineChars="200"/>
              <w:jc w:val="left"/>
              <w:rPr>
                <w:rFonts w:hint="default" w:ascii="Times New Roman" w:hAnsi="Times New Roman" w:cs="Times New Roman"/>
                <w:b w:val="0"/>
                <w:bCs w:val="0"/>
                <w:color w:val="000000"/>
                <w:spacing w:val="-5"/>
                <w:sz w:val="24"/>
                <w:szCs w:val="24"/>
                <w:lang w:val="en-US" w:eastAsia="zh-CN"/>
              </w:rPr>
            </w:pPr>
            <w:bookmarkStart w:id="43" w:name="_Toc18147"/>
            <w:bookmarkStart w:id="44" w:name="_Toc32511"/>
            <w:r>
              <w:rPr>
                <w:rFonts w:hint="default" w:ascii="Times New Roman" w:hAnsi="Times New Roman" w:cs="Times New Roman"/>
                <w:b w:val="0"/>
                <w:bCs w:val="0"/>
                <w:color w:val="000000"/>
                <w:spacing w:val="-5"/>
                <w:sz w:val="24"/>
                <w:szCs w:val="24"/>
                <w:lang w:val="en-US" w:eastAsia="zh-CN"/>
              </w:rPr>
              <w:t>本项目实施后，现有项目产能减少50%，</w:t>
            </w:r>
            <w:r>
              <w:rPr>
                <w:rFonts w:hint="eastAsia" w:ascii="Times New Roman" w:hAnsi="Times New Roman" w:cs="Times New Roman"/>
                <w:b w:val="0"/>
                <w:bCs w:val="0"/>
                <w:color w:val="000000"/>
                <w:spacing w:val="-5"/>
                <w:sz w:val="24"/>
                <w:szCs w:val="24"/>
                <w:lang w:val="en-US" w:eastAsia="zh-CN"/>
              </w:rPr>
              <w:t>且原环评中已批未建的石墨生产线后续不再建设，故相应废水、废气、固废等均减少。故本次环评对技改扩建后现有项目的污染物重新进行核算。</w:t>
            </w:r>
          </w:p>
          <w:p w14:paraId="6E370BAA">
            <w:pPr>
              <w:pStyle w:val="81"/>
              <w:widowControl/>
              <w:numPr>
                <w:ilvl w:val="0"/>
                <w:numId w:val="0"/>
              </w:numPr>
              <w:spacing w:line="360" w:lineRule="auto"/>
              <w:ind w:left="420" w:leftChars="0" w:right="91" w:rightChars="0"/>
              <w:jc w:val="left"/>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1、废气</w:t>
            </w:r>
          </w:p>
          <w:p w14:paraId="463BFCB3">
            <w:pPr>
              <w:pStyle w:val="81"/>
              <w:widowControl/>
              <w:numPr>
                <w:ilvl w:val="0"/>
                <w:numId w:val="0"/>
              </w:numPr>
              <w:spacing w:line="360" w:lineRule="auto"/>
              <w:ind w:right="91" w:rightChars="0" w:firstLine="440"/>
              <w:jc w:val="left"/>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（1）现有项目产生及排放情况</w:t>
            </w:r>
          </w:p>
          <w:p w14:paraId="3E7E2D62">
            <w:pPr>
              <w:pStyle w:val="81"/>
              <w:widowControl/>
              <w:numPr>
                <w:ilvl w:val="0"/>
                <w:numId w:val="0"/>
              </w:numPr>
              <w:spacing w:line="360" w:lineRule="auto"/>
              <w:ind w:right="91" w:rightChars="0" w:firstLine="440"/>
              <w:jc w:val="left"/>
              <w:rPr>
                <w:rFonts w:hint="default"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根据现有项目原环评报告中产排污核算，本项目建成后污染物排放见下表。</w:t>
            </w:r>
          </w:p>
          <w:p w14:paraId="6EBD825F">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ind w:left="0" w:leftChars="0" w:firstLine="420" w:firstLineChars="0"/>
              <w:jc w:val="center"/>
              <w:textAlignment w:val="auto"/>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w:t>
            </w:r>
            <w:r>
              <w:rPr>
                <w:rFonts w:hint="default" w:ascii="Times New Roman" w:hAnsi="Times New Roman" w:eastAsia="宋体" w:cs="Times New Roman"/>
                <w:b/>
                <w:bCs/>
                <w:color w:val="000000"/>
                <w:sz w:val="24"/>
                <w:lang w:val="en-US" w:eastAsia="zh-CN"/>
              </w:rPr>
              <w:t>项目废气治理排放</w:t>
            </w:r>
            <w:r>
              <w:rPr>
                <w:rFonts w:hint="eastAsia" w:ascii="Times New Roman" w:hAnsi="Times New Roman" w:eastAsia="宋体" w:cs="Times New Roman"/>
                <w:b/>
                <w:bCs/>
                <w:color w:val="000000"/>
                <w:sz w:val="24"/>
                <w:lang w:val="en-US" w:eastAsia="zh-CN"/>
              </w:rPr>
              <w:t>总量</w:t>
            </w:r>
            <w:r>
              <w:rPr>
                <w:rFonts w:hint="default" w:ascii="Times New Roman" w:hAnsi="Times New Roman" w:eastAsia="宋体" w:cs="Times New Roman"/>
                <w:b/>
                <w:bCs/>
                <w:color w:val="000000"/>
                <w:sz w:val="24"/>
                <w:lang w:val="en-US" w:eastAsia="zh-CN"/>
              </w:rPr>
              <w:t>情况表</w:t>
            </w:r>
          </w:p>
          <w:tbl>
            <w:tblPr>
              <w:tblStyle w:val="31"/>
              <w:tblW w:w="8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1095"/>
              <w:gridCol w:w="1054"/>
              <w:gridCol w:w="1122"/>
              <w:gridCol w:w="1563"/>
              <w:gridCol w:w="1521"/>
              <w:gridCol w:w="969"/>
            </w:tblGrid>
            <w:tr w14:paraId="7FFD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1041" w:type="dxa"/>
                  <w:noWrap w:val="0"/>
                  <w:vAlign w:val="center"/>
                </w:tcPr>
                <w:p w14:paraId="1AAC7E6E">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废气名称</w:t>
                  </w:r>
                </w:p>
              </w:tc>
              <w:tc>
                <w:tcPr>
                  <w:tcW w:w="1095" w:type="dxa"/>
                  <w:noWrap w:val="0"/>
                  <w:vAlign w:val="center"/>
                </w:tcPr>
                <w:p w14:paraId="09A294ED">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产生工序</w:t>
                  </w:r>
                </w:p>
              </w:tc>
              <w:tc>
                <w:tcPr>
                  <w:tcW w:w="1054" w:type="dxa"/>
                  <w:noWrap w:val="0"/>
                  <w:vAlign w:val="center"/>
                </w:tcPr>
                <w:p w14:paraId="0D2085E3">
                  <w:pPr>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主要污染物</w:t>
                  </w:r>
                </w:p>
              </w:tc>
              <w:tc>
                <w:tcPr>
                  <w:tcW w:w="1122" w:type="dxa"/>
                  <w:noWrap w:val="0"/>
                  <w:vAlign w:val="center"/>
                </w:tcPr>
                <w:p w14:paraId="51527A92">
                  <w:pPr>
                    <w:jc w:val="center"/>
                    <w:rPr>
                      <w:rFonts w:hint="default" w:ascii="Times New Roman" w:hAnsi="Times New Roman" w:eastAsia="宋体" w:cs="Times New Roman"/>
                      <w:b/>
                      <w:bCs/>
                      <w:szCs w:val="21"/>
                    </w:rPr>
                  </w:pPr>
                  <w:r>
                    <w:rPr>
                      <w:rFonts w:hint="eastAsia" w:ascii="Times New Roman" w:hAnsi="Times New Roman" w:eastAsia="宋体" w:cs="Times New Roman"/>
                      <w:b/>
                      <w:bCs/>
                      <w:szCs w:val="21"/>
                      <w:lang w:val="en-US" w:eastAsia="zh-CN"/>
                    </w:rPr>
                    <w:t>环评拟</w:t>
                  </w:r>
                  <w:r>
                    <w:rPr>
                      <w:rFonts w:hint="default" w:ascii="Times New Roman" w:hAnsi="Times New Roman" w:eastAsia="宋体" w:cs="Times New Roman"/>
                      <w:b/>
                      <w:bCs/>
                      <w:szCs w:val="21"/>
                    </w:rPr>
                    <w:t>产生量(t/a)</w:t>
                  </w:r>
                </w:p>
              </w:tc>
              <w:tc>
                <w:tcPr>
                  <w:tcW w:w="1563" w:type="dxa"/>
                  <w:noWrap w:val="0"/>
                  <w:vAlign w:val="center"/>
                </w:tcPr>
                <w:p w14:paraId="7E7600D4">
                  <w:pPr>
                    <w:jc w:val="center"/>
                    <w:rPr>
                      <w:rFonts w:hint="default" w:ascii="Times New Roman" w:hAnsi="Times New Roman" w:eastAsia="宋体" w:cs="Times New Roman"/>
                      <w:b/>
                      <w:bCs/>
                      <w:szCs w:val="21"/>
                    </w:rPr>
                  </w:pPr>
                  <w:r>
                    <w:rPr>
                      <w:rFonts w:hint="eastAsia" w:ascii="Times New Roman" w:hAnsi="Times New Roman" w:eastAsia="宋体" w:cs="Times New Roman"/>
                      <w:b/>
                      <w:bCs/>
                      <w:szCs w:val="21"/>
                      <w:lang w:val="en-US" w:eastAsia="zh-CN"/>
                    </w:rPr>
                    <w:t>现有项目环评拟排放量（t/a）</w:t>
                  </w:r>
                </w:p>
              </w:tc>
              <w:tc>
                <w:tcPr>
                  <w:tcW w:w="1521" w:type="dxa"/>
                  <w:noWrap w:val="0"/>
                  <w:vAlign w:val="center"/>
                </w:tcPr>
                <w:p w14:paraId="35E2C225">
                  <w:pPr>
                    <w:jc w:val="center"/>
                    <w:rPr>
                      <w:rFonts w:hint="default" w:ascii="Times New Roman" w:hAnsi="Times New Roman" w:eastAsia="宋体" w:cs="Times New Roman"/>
                      <w:b/>
                      <w:bCs/>
                      <w:szCs w:val="21"/>
                      <w:lang w:val="en-US" w:eastAsia="zh-CN"/>
                    </w:rPr>
                  </w:pPr>
                  <w:r>
                    <w:rPr>
                      <w:rFonts w:hint="eastAsia" w:ascii="Times New Roman" w:hAnsi="Times New Roman" w:eastAsia="宋体" w:cs="Times New Roman"/>
                      <w:b/>
                      <w:bCs/>
                      <w:szCs w:val="21"/>
                      <w:lang w:val="en-US" w:eastAsia="zh-CN"/>
                    </w:rPr>
                    <w:t>本项目建成后排放量（t/a）</w:t>
                  </w:r>
                </w:p>
              </w:tc>
              <w:tc>
                <w:tcPr>
                  <w:tcW w:w="969" w:type="dxa"/>
                  <w:noWrap w:val="0"/>
                  <w:vAlign w:val="center"/>
                </w:tcPr>
                <w:p w14:paraId="1492686A">
                  <w:pPr>
                    <w:jc w:val="center"/>
                    <w:rPr>
                      <w:rFonts w:hint="default" w:ascii="Times New Roman" w:hAnsi="Times New Roman" w:eastAsia="宋体" w:cs="Times New Roman"/>
                      <w:b/>
                      <w:bCs/>
                      <w:szCs w:val="21"/>
                      <w:lang w:val="en-US" w:eastAsia="zh-CN"/>
                    </w:rPr>
                  </w:pPr>
                  <w:r>
                    <w:rPr>
                      <w:rFonts w:hint="eastAsia" w:ascii="Times New Roman" w:hAnsi="Times New Roman" w:eastAsia="宋体" w:cs="Times New Roman"/>
                      <w:b/>
                      <w:bCs/>
                      <w:szCs w:val="21"/>
                      <w:lang w:val="en-US" w:eastAsia="zh-CN"/>
                    </w:rPr>
                    <w:t>备注</w:t>
                  </w:r>
                </w:p>
              </w:tc>
            </w:tr>
            <w:tr w14:paraId="09BD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41" w:type="dxa"/>
                  <w:vMerge w:val="restart"/>
                  <w:noWrap w:val="0"/>
                  <w:vAlign w:val="center"/>
                </w:tcPr>
                <w:p w14:paraId="3DD1CF94">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原料</w:t>
                  </w:r>
                  <w:r>
                    <w:rPr>
                      <w:rFonts w:hint="default" w:ascii="Times New Roman" w:hAnsi="Times New Roman" w:eastAsia="宋体" w:cs="Times New Roman"/>
                      <w:szCs w:val="21"/>
                      <w:lang w:val="en-US" w:eastAsia="zh-CN"/>
                    </w:rPr>
                    <w:t>预处理工艺废气</w:t>
                  </w:r>
                </w:p>
              </w:tc>
              <w:tc>
                <w:tcPr>
                  <w:tcW w:w="1095" w:type="dxa"/>
                  <w:noWrap w:val="0"/>
                  <w:vAlign w:val="center"/>
                </w:tcPr>
                <w:p w14:paraId="2F676477">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投料</w:t>
                  </w:r>
                </w:p>
              </w:tc>
              <w:tc>
                <w:tcPr>
                  <w:tcW w:w="1054" w:type="dxa"/>
                  <w:vMerge w:val="restart"/>
                  <w:noWrap w:val="0"/>
                  <w:vAlign w:val="center"/>
                </w:tcPr>
                <w:p w14:paraId="001FEDC6">
                  <w:pPr>
                    <w:pStyle w:val="94"/>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1122" w:type="dxa"/>
                  <w:noWrap w:val="0"/>
                  <w:vAlign w:val="center"/>
                </w:tcPr>
                <w:p w14:paraId="588FD68D">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color w:val="000000"/>
                      <w:kern w:val="0"/>
                      <w:szCs w:val="21"/>
                      <w:lang w:val="en-US" w:eastAsia="zh-CN" w:bidi="ar"/>
                    </w:rPr>
                    <w:t>0.</w:t>
                  </w:r>
                  <w:r>
                    <w:rPr>
                      <w:rFonts w:hint="eastAsia" w:ascii="Times New Roman" w:hAnsi="Times New Roman" w:cs="Times New Roman"/>
                      <w:color w:val="000000"/>
                      <w:kern w:val="0"/>
                      <w:szCs w:val="21"/>
                      <w:lang w:val="en-US" w:eastAsia="zh-CN" w:bidi="ar"/>
                    </w:rPr>
                    <w:t>0</w:t>
                  </w:r>
                  <w:r>
                    <w:rPr>
                      <w:rFonts w:hint="default" w:ascii="Times New Roman" w:hAnsi="Times New Roman" w:eastAsia="宋体" w:cs="Times New Roman"/>
                      <w:color w:val="000000"/>
                      <w:kern w:val="0"/>
                      <w:szCs w:val="21"/>
                      <w:lang w:val="en-US" w:eastAsia="zh-CN" w:bidi="ar"/>
                    </w:rPr>
                    <w:t>4</w:t>
                  </w:r>
                </w:p>
              </w:tc>
              <w:tc>
                <w:tcPr>
                  <w:tcW w:w="1563" w:type="dxa"/>
                  <w:noWrap w:val="0"/>
                  <w:vAlign w:val="center"/>
                </w:tcPr>
                <w:p w14:paraId="0A2E5F5B">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0.000403</w:t>
                  </w:r>
                </w:p>
              </w:tc>
              <w:tc>
                <w:tcPr>
                  <w:tcW w:w="1521" w:type="dxa"/>
                  <w:noWrap w:val="0"/>
                  <w:vAlign w:val="center"/>
                </w:tcPr>
                <w:p w14:paraId="7E1E4A44">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0.000202</w:t>
                  </w:r>
                </w:p>
              </w:tc>
              <w:tc>
                <w:tcPr>
                  <w:tcW w:w="969" w:type="dxa"/>
                  <w:noWrap w:val="0"/>
                  <w:vAlign w:val="center"/>
                </w:tcPr>
                <w:p w14:paraId="7F628C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0174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41" w:type="dxa"/>
                  <w:vMerge w:val="continue"/>
                  <w:noWrap w:val="0"/>
                  <w:vAlign w:val="center"/>
                </w:tcPr>
                <w:p w14:paraId="055A91CE">
                  <w:pPr>
                    <w:jc w:val="center"/>
                    <w:rPr>
                      <w:rFonts w:hint="default" w:ascii="Times New Roman" w:hAnsi="Times New Roman" w:eastAsia="宋体" w:cs="Times New Roman"/>
                      <w:szCs w:val="21"/>
                    </w:rPr>
                  </w:pPr>
                </w:p>
              </w:tc>
              <w:tc>
                <w:tcPr>
                  <w:tcW w:w="1095" w:type="dxa"/>
                  <w:noWrap w:val="0"/>
                  <w:vAlign w:val="center"/>
                </w:tcPr>
                <w:p w14:paraId="56A59D97">
                  <w:pPr>
                    <w:jc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Cs w:val="21"/>
                      <w:lang w:val="en-US" w:eastAsia="zh-CN" w:bidi="ar"/>
                    </w:rPr>
                    <w:t>破碎废气</w:t>
                  </w:r>
                </w:p>
              </w:tc>
              <w:tc>
                <w:tcPr>
                  <w:tcW w:w="1054" w:type="dxa"/>
                  <w:vMerge w:val="continue"/>
                  <w:noWrap w:val="0"/>
                  <w:vAlign w:val="center"/>
                </w:tcPr>
                <w:p w14:paraId="2BAB7A38">
                  <w:pPr>
                    <w:pStyle w:val="94"/>
                    <w:rPr>
                      <w:rFonts w:hint="default" w:ascii="Times New Roman" w:hAnsi="Times New Roman" w:eastAsia="宋体" w:cs="Times New Roman"/>
                      <w:szCs w:val="21"/>
                      <w:lang w:val="en-US" w:eastAsia="zh-CN"/>
                    </w:rPr>
                  </w:pPr>
                </w:p>
              </w:tc>
              <w:tc>
                <w:tcPr>
                  <w:tcW w:w="1122" w:type="dxa"/>
                  <w:noWrap w:val="0"/>
                  <w:vAlign w:val="center"/>
                </w:tcPr>
                <w:p w14:paraId="2BD0CA84">
                  <w:pPr>
                    <w:widowControl/>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color w:val="000000"/>
                      <w:kern w:val="0"/>
                      <w:szCs w:val="21"/>
                      <w:lang w:val="en-US" w:eastAsia="zh-CN" w:bidi="ar"/>
                    </w:rPr>
                    <w:t>9.108</w:t>
                  </w:r>
                </w:p>
              </w:tc>
              <w:tc>
                <w:tcPr>
                  <w:tcW w:w="1563" w:type="dxa"/>
                  <w:noWrap w:val="0"/>
                  <w:vAlign w:val="center"/>
                </w:tcPr>
                <w:p w14:paraId="2D81A6A6">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color w:val="000000"/>
                      <w:kern w:val="0"/>
                      <w:szCs w:val="21"/>
                      <w:lang w:val="en-US" w:eastAsia="zh-CN" w:bidi="ar"/>
                    </w:rPr>
                    <w:t>0.1817</w:t>
                  </w:r>
                </w:p>
              </w:tc>
              <w:tc>
                <w:tcPr>
                  <w:tcW w:w="1521" w:type="dxa"/>
                  <w:noWrap w:val="0"/>
                  <w:vAlign w:val="center"/>
                </w:tcPr>
                <w:p w14:paraId="4BBF4804">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0.09085</w:t>
                  </w:r>
                </w:p>
              </w:tc>
              <w:tc>
                <w:tcPr>
                  <w:tcW w:w="969" w:type="dxa"/>
                  <w:noWrap w:val="0"/>
                  <w:vAlign w:val="center"/>
                </w:tcPr>
                <w:p w14:paraId="1528C1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3A44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3008E5C7">
                  <w:pPr>
                    <w:jc w:val="center"/>
                    <w:rPr>
                      <w:rFonts w:hint="default" w:ascii="Times New Roman" w:hAnsi="Times New Roman" w:eastAsia="宋体" w:cs="Times New Roman"/>
                      <w:szCs w:val="21"/>
                    </w:rPr>
                  </w:pPr>
                </w:p>
              </w:tc>
              <w:tc>
                <w:tcPr>
                  <w:tcW w:w="1095" w:type="dxa"/>
                  <w:noWrap w:val="0"/>
                  <w:vAlign w:val="center"/>
                </w:tcPr>
                <w:p w14:paraId="19784891">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料仓暂存废气</w:t>
                  </w:r>
                </w:p>
              </w:tc>
              <w:tc>
                <w:tcPr>
                  <w:tcW w:w="1054" w:type="dxa"/>
                  <w:vMerge w:val="continue"/>
                  <w:noWrap w:val="0"/>
                  <w:vAlign w:val="center"/>
                </w:tcPr>
                <w:p w14:paraId="7986DEB7">
                  <w:pPr>
                    <w:pStyle w:val="94"/>
                    <w:rPr>
                      <w:rFonts w:hint="default" w:ascii="Times New Roman" w:hAnsi="Times New Roman" w:eastAsia="宋体" w:cs="Times New Roman"/>
                      <w:szCs w:val="21"/>
                      <w:lang w:val="en-US"/>
                    </w:rPr>
                  </w:pPr>
                </w:p>
              </w:tc>
              <w:tc>
                <w:tcPr>
                  <w:tcW w:w="1122" w:type="dxa"/>
                  <w:noWrap w:val="0"/>
                  <w:vAlign w:val="center"/>
                </w:tcPr>
                <w:p w14:paraId="0302F365">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color w:val="000000"/>
                      <w:kern w:val="0"/>
                      <w:szCs w:val="21"/>
                      <w:lang w:val="en-US" w:eastAsia="zh-CN" w:bidi="ar"/>
                    </w:rPr>
                    <w:t>0.4</w:t>
                  </w:r>
                  <w:r>
                    <w:rPr>
                      <w:rFonts w:hint="eastAsia" w:ascii="Times New Roman" w:hAnsi="Times New Roman" w:cs="Times New Roman"/>
                      <w:color w:val="000000"/>
                      <w:kern w:val="0"/>
                      <w:szCs w:val="21"/>
                      <w:lang w:val="en-US" w:eastAsia="zh-CN" w:bidi="ar"/>
                    </w:rPr>
                    <w:t>8</w:t>
                  </w:r>
                </w:p>
              </w:tc>
              <w:tc>
                <w:tcPr>
                  <w:tcW w:w="1563" w:type="dxa"/>
                  <w:noWrap w:val="0"/>
                  <w:vAlign w:val="center"/>
                </w:tcPr>
                <w:p w14:paraId="37475CBF">
                  <w:pPr>
                    <w:keepNext w:val="0"/>
                    <w:keepLines w:val="0"/>
                    <w:widowControl/>
                    <w:suppressLineNumbers w:val="0"/>
                    <w:jc w:val="center"/>
                    <w:textAlignment w:val="center"/>
                    <w:rPr>
                      <w:rFonts w:hint="default" w:ascii="Times New Roman" w:hAnsi="Times New Roman" w:eastAsia="宋体" w:cs="Times New Roman"/>
                      <w:szCs w:val="21"/>
                      <w:lang w:val="en-US"/>
                    </w:rPr>
                  </w:pPr>
                  <w:r>
                    <w:rPr>
                      <w:rFonts w:hint="default" w:ascii="Times New Roman" w:hAnsi="Times New Roman" w:eastAsia="宋体" w:cs="Times New Roman"/>
                      <w:i w:val="0"/>
                      <w:iCs w:val="0"/>
                      <w:color w:val="000000"/>
                      <w:kern w:val="0"/>
                      <w:sz w:val="21"/>
                      <w:szCs w:val="21"/>
                      <w:u w:val="none"/>
                      <w:lang w:val="en-US" w:eastAsia="zh-CN" w:bidi="ar"/>
                    </w:rPr>
                    <w:t>0.0048</w:t>
                  </w:r>
                </w:p>
              </w:tc>
              <w:tc>
                <w:tcPr>
                  <w:tcW w:w="1521" w:type="dxa"/>
                  <w:noWrap w:val="0"/>
                  <w:vAlign w:val="center"/>
                </w:tcPr>
                <w:p w14:paraId="58CB3879">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0.0024</w:t>
                  </w:r>
                </w:p>
              </w:tc>
              <w:tc>
                <w:tcPr>
                  <w:tcW w:w="969" w:type="dxa"/>
                  <w:noWrap w:val="0"/>
                  <w:vAlign w:val="center"/>
                </w:tcPr>
                <w:p w14:paraId="2A4D7C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60E8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1041" w:type="dxa"/>
                  <w:vMerge w:val="continue"/>
                  <w:noWrap w:val="0"/>
                  <w:vAlign w:val="center"/>
                </w:tcPr>
                <w:p w14:paraId="5D9DC355">
                  <w:pPr>
                    <w:jc w:val="center"/>
                    <w:rPr>
                      <w:rFonts w:hint="default" w:ascii="Times New Roman" w:hAnsi="Times New Roman" w:eastAsia="宋体" w:cs="Times New Roman"/>
                      <w:szCs w:val="21"/>
                    </w:rPr>
                  </w:pPr>
                </w:p>
              </w:tc>
              <w:tc>
                <w:tcPr>
                  <w:tcW w:w="1095" w:type="dxa"/>
                  <w:vMerge w:val="restart"/>
                  <w:noWrap w:val="0"/>
                  <w:vAlign w:val="center"/>
                </w:tcPr>
                <w:p w14:paraId="2EC8FC9B">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烘干废气</w:t>
                  </w:r>
                </w:p>
              </w:tc>
              <w:tc>
                <w:tcPr>
                  <w:tcW w:w="1054" w:type="dxa"/>
                  <w:noWrap w:val="0"/>
                  <w:vAlign w:val="center"/>
                </w:tcPr>
                <w:p w14:paraId="0BC84DA2">
                  <w:pPr>
                    <w:pStyle w:val="94"/>
                    <w:ind w:firstLine="0" w:firstLineChars="0"/>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szCs w:val="21"/>
                      <w:lang w:val="en-US" w:eastAsia="zh-CN"/>
                    </w:rPr>
                    <w:t>颗粒物</w:t>
                  </w:r>
                </w:p>
              </w:tc>
              <w:tc>
                <w:tcPr>
                  <w:tcW w:w="1122" w:type="dxa"/>
                  <w:noWrap w:val="0"/>
                  <w:vAlign w:val="center"/>
                </w:tcPr>
                <w:p w14:paraId="5F9D60E7">
                  <w:pPr>
                    <w:widowControl/>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color w:val="000000"/>
                      <w:kern w:val="0"/>
                      <w:szCs w:val="21"/>
                      <w:lang w:val="en-US" w:eastAsia="zh-CN" w:bidi="ar"/>
                    </w:rPr>
                    <w:t>1.0344</w:t>
                  </w:r>
                </w:p>
              </w:tc>
              <w:tc>
                <w:tcPr>
                  <w:tcW w:w="1563" w:type="dxa"/>
                  <w:noWrap w:val="0"/>
                  <w:vAlign w:val="center"/>
                </w:tcPr>
                <w:p w14:paraId="06A2A1C0">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0.0103</w:t>
                  </w:r>
                </w:p>
              </w:tc>
              <w:tc>
                <w:tcPr>
                  <w:tcW w:w="1521" w:type="dxa"/>
                  <w:noWrap w:val="0"/>
                  <w:vAlign w:val="center"/>
                </w:tcPr>
                <w:p w14:paraId="51D6B274">
                  <w:pPr>
                    <w:keepNext w:val="0"/>
                    <w:keepLines w:val="0"/>
                    <w:widowControl/>
                    <w:suppressLineNumbers w:val="0"/>
                    <w:jc w:val="center"/>
                    <w:textAlignment w:val="center"/>
                    <w:rPr>
                      <w:rFonts w:hint="default" w:ascii="Times New Roman" w:hAnsi="Times New Roman" w:cs="Times New Roman"/>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0.00515</w:t>
                  </w:r>
                </w:p>
              </w:tc>
              <w:tc>
                <w:tcPr>
                  <w:tcW w:w="969" w:type="dxa"/>
                  <w:noWrap w:val="0"/>
                  <w:vAlign w:val="center"/>
                </w:tcPr>
                <w:p w14:paraId="6E721B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7DF2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1041" w:type="dxa"/>
                  <w:vMerge w:val="continue"/>
                  <w:noWrap w:val="0"/>
                  <w:vAlign w:val="center"/>
                </w:tcPr>
                <w:p w14:paraId="13E76396">
                  <w:pPr>
                    <w:widowControl/>
                    <w:jc w:val="center"/>
                    <w:textAlignment w:val="center"/>
                    <w:rPr>
                      <w:rFonts w:hint="default" w:ascii="Times New Roman" w:hAnsi="Times New Roman" w:eastAsia="宋体" w:cs="Times New Roman"/>
                    </w:rPr>
                  </w:pPr>
                </w:p>
              </w:tc>
              <w:tc>
                <w:tcPr>
                  <w:tcW w:w="1095" w:type="dxa"/>
                  <w:vMerge w:val="continue"/>
                  <w:noWrap w:val="0"/>
                  <w:vAlign w:val="center"/>
                </w:tcPr>
                <w:p w14:paraId="79FE50BD">
                  <w:pPr>
                    <w:widowControl/>
                    <w:jc w:val="center"/>
                    <w:textAlignment w:val="center"/>
                    <w:rPr>
                      <w:rFonts w:hint="default" w:ascii="Times New Roman" w:hAnsi="Times New Roman" w:eastAsia="宋体" w:cs="Times New Roman"/>
                    </w:rPr>
                  </w:pPr>
                </w:p>
              </w:tc>
              <w:tc>
                <w:tcPr>
                  <w:tcW w:w="1054" w:type="dxa"/>
                  <w:noWrap w:val="0"/>
                  <w:vAlign w:val="center"/>
                </w:tcPr>
                <w:p w14:paraId="37C6F76A">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SO</w:t>
                  </w:r>
                  <w:r>
                    <w:rPr>
                      <w:rFonts w:hint="default" w:ascii="Times New Roman" w:hAnsi="Times New Roman" w:eastAsia="宋体" w:cs="Times New Roman"/>
                      <w:szCs w:val="21"/>
                      <w:vertAlign w:val="subscript"/>
                      <w:lang w:val="en-US" w:eastAsia="zh-CN"/>
                    </w:rPr>
                    <w:t>2</w:t>
                  </w:r>
                </w:p>
              </w:tc>
              <w:tc>
                <w:tcPr>
                  <w:tcW w:w="1122" w:type="dxa"/>
                  <w:noWrap w:val="0"/>
                  <w:vAlign w:val="center"/>
                </w:tcPr>
                <w:p w14:paraId="2169E4C9">
                  <w:pPr>
                    <w:widowControl/>
                    <w:jc w:val="center"/>
                    <w:textAlignment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0.0214</w:t>
                  </w:r>
                </w:p>
              </w:tc>
              <w:tc>
                <w:tcPr>
                  <w:tcW w:w="1563" w:type="dxa"/>
                  <w:noWrap w:val="0"/>
                  <w:vAlign w:val="center"/>
                </w:tcPr>
                <w:p w14:paraId="7CAA7A01">
                  <w:pPr>
                    <w:widowControl/>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0.0214</w:t>
                  </w:r>
                </w:p>
              </w:tc>
              <w:tc>
                <w:tcPr>
                  <w:tcW w:w="1521" w:type="dxa"/>
                  <w:noWrap w:val="0"/>
                  <w:vAlign w:val="center"/>
                </w:tcPr>
                <w:p w14:paraId="45EEB7E7">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0.0107</w:t>
                  </w:r>
                </w:p>
              </w:tc>
              <w:tc>
                <w:tcPr>
                  <w:tcW w:w="969" w:type="dxa"/>
                  <w:noWrap w:val="0"/>
                  <w:vAlign w:val="center"/>
                </w:tcPr>
                <w:p w14:paraId="0B9DA6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6D97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1041" w:type="dxa"/>
                  <w:vMerge w:val="continue"/>
                  <w:noWrap w:val="0"/>
                  <w:vAlign w:val="center"/>
                </w:tcPr>
                <w:p w14:paraId="6BA23BC7">
                  <w:pPr>
                    <w:widowControl/>
                    <w:jc w:val="center"/>
                    <w:textAlignment w:val="center"/>
                    <w:rPr>
                      <w:rFonts w:hint="default" w:ascii="Times New Roman" w:hAnsi="Times New Roman" w:eastAsia="宋体" w:cs="Times New Roman"/>
                      <w:szCs w:val="21"/>
                    </w:rPr>
                  </w:pPr>
                </w:p>
              </w:tc>
              <w:tc>
                <w:tcPr>
                  <w:tcW w:w="1095" w:type="dxa"/>
                  <w:vMerge w:val="continue"/>
                  <w:noWrap w:val="0"/>
                  <w:vAlign w:val="center"/>
                </w:tcPr>
                <w:p w14:paraId="784299BC">
                  <w:pPr>
                    <w:widowControl/>
                    <w:jc w:val="center"/>
                    <w:textAlignment w:val="center"/>
                    <w:rPr>
                      <w:rFonts w:hint="default" w:ascii="Times New Roman" w:hAnsi="Times New Roman" w:eastAsia="宋体" w:cs="Times New Roman"/>
                      <w:szCs w:val="21"/>
                    </w:rPr>
                  </w:pPr>
                </w:p>
              </w:tc>
              <w:tc>
                <w:tcPr>
                  <w:tcW w:w="1054" w:type="dxa"/>
                  <w:noWrap w:val="0"/>
                  <w:vAlign w:val="center"/>
                </w:tcPr>
                <w:p w14:paraId="4F963A34">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NOx</w:t>
                  </w:r>
                </w:p>
              </w:tc>
              <w:tc>
                <w:tcPr>
                  <w:tcW w:w="1122" w:type="dxa"/>
                  <w:noWrap w:val="0"/>
                  <w:vAlign w:val="center"/>
                </w:tcPr>
                <w:p w14:paraId="6F0A4938">
                  <w:pPr>
                    <w:widowControl/>
                    <w:jc w:val="center"/>
                    <w:textAlignment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0.3771</w:t>
                  </w:r>
                </w:p>
              </w:tc>
              <w:tc>
                <w:tcPr>
                  <w:tcW w:w="1563" w:type="dxa"/>
                  <w:noWrap w:val="0"/>
                  <w:vAlign w:val="center"/>
                </w:tcPr>
                <w:p w14:paraId="66FDE9A4">
                  <w:pPr>
                    <w:widowControl/>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0.3771</w:t>
                  </w:r>
                </w:p>
              </w:tc>
              <w:tc>
                <w:tcPr>
                  <w:tcW w:w="1521" w:type="dxa"/>
                  <w:noWrap w:val="0"/>
                  <w:vAlign w:val="center"/>
                </w:tcPr>
                <w:p w14:paraId="6438DC91">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0.18855</w:t>
                  </w:r>
                </w:p>
              </w:tc>
              <w:tc>
                <w:tcPr>
                  <w:tcW w:w="969" w:type="dxa"/>
                  <w:noWrap w:val="0"/>
                  <w:vAlign w:val="center"/>
                </w:tcPr>
                <w:p w14:paraId="0BE62B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0AB2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5AFB5D76">
                  <w:pPr>
                    <w:jc w:val="center"/>
                    <w:rPr>
                      <w:rFonts w:hint="default" w:ascii="Times New Roman" w:hAnsi="Times New Roman" w:eastAsia="宋体" w:cs="Times New Roman"/>
                      <w:szCs w:val="21"/>
                    </w:rPr>
                  </w:pPr>
                </w:p>
              </w:tc>
              <w:tc>
                <w:tcPr>
                  <w:tcW w:w="1095" w:type="dxa"/>
                  <w:noWrap w:val="0"/>
                  <w:vAlign w:val="center"/>
                </w:tcPr>
                <w:p w14:paraId="5D316E9A">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包装废气</w:t>
                  </w:r>
                </w:p>
              </w:tc>
              <w:tc>
                <w:tcPr>
                  <w:tcW w:w="1054" w:type="dxa"/>
                  <w:vMerge w:val="restart"/>
                  <w:noWrap w:val="0"/>
                  <w:vAlign w:val="center"/>
                </w:tcPr>
                <w:p w14:paraId="66E1CB70">
                  <w:pPr>
                    <w:pStyle w:val="94"/>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122" w:type="dxa"/>
                  <w:noWrap w:val="0"/>
                  <w:vAlign w:val="center"/>
                </w:tcPr>
                <w:p w14:paraId="418D7788">
                  <w:pPr>
                    <w:widowControl/>
                    <w:jc w:val="center"/>
                    <w:textAlignment w:val="center"/>
                    <w:rPr>
                      <w:rFonts w:hint="default" w:ascii="Times New Roman" w:hAnsi="Times New Roman" w:eastAsia="宋体" w:cs="Times New Roman"/>
                      <w:color w:val="000000"/>
                      <w:kern w:val="0"/>
                      <w:szCs w:val="21"/>
                      <w:lang w:val="en-US" w:bidi="ar"/>
                    </w:rPr>
                  </w:pPr>
                  <w:r>
                    <w:rPr>
                      <w:rFonts w:hint="eastAsia" w:ascii="Times New Roman" w:hAnsi="Times New Roman" w:cs="Times New Roman"/>
                      <w:szCs w:val="21"/>
                      <w:lang w:val="en-US" w:eastAsia="zh-CN"/>
                    </w:rPr>
                    <w:t>0.22</w:t>
                  </w:r>
                </w:p>
              </w:tc>
              <w:tc>
                <w:tcPr>
                  <w:tcW w:w="1563" w:type="dxa"/>
                  <w:noWrap w:val="0"/>
                  <w:vAlign w:val="center"/>
                </w:tcPr>
                <w:p w14:paraId="741ED738">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0.0022</w:t>
                  </w:r>
                </w:p>
              </w:tc>
              <w:tc>
                <w:tcPr>
                  <w:tcW w:w="1521" w:type="dxa"/>
                  <w:noWrap w:val="0"/>
                  <w:vAlign w:val="center"/>
                </w:tcPr>
                <w:p w14:paraId="77A68F65">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0.0011</w:t>
                  </w:r>
                </w:p>
              </w:tc>
              <w:tc>
                <w:tcPr>
                  <w:tcW w:w="969" w:type="dxa"/>
                  <w:noWrap w:val="0"/>
                  <w:vAlign w:val="center"/>
                </w:tcPr>
                <w:p w14:paraId="31F2A8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25B7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71EF81AE">
                  <w:pPr>
                    <w:jc w:val="center"/>
                    <w:rPr>
                      <w:rFonts w:hint="default" w:ascii="Times New Roman" w:hAnsi="Times New Roman" w:eastAsia="宋体" w:cs="Times New Roman"/>
                      <w:szCs w:val="21"/>
                    </w:rPr>
                  </w:pPr>
                </w:p>
              </w:tc>
              <w:tc>
                <w:tcPr>
                  <w:tcW w:w="1095" w:type="dxa"/>
                  <w:noWrap w:val="0"/>
                  <w:vAlign w:val="center"/>
                </w:tcPr>
                <w:p w14:paraId="21C3A671">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二次投料</w:t>
                  </w:r>
                </w:p>
              </w:tc>
              <w:tc>
                <w:tcPr>
                  <w:tcW w:w="1054" w:type="dxa"/>
                  <w:vMerge w:val="continue"/>
                  <w:noWrap w:val="0"/>
                  <w:vAlign w:val="center"/>
                </w:tcPr>
                <w:p w14:paraId="6130D404">
                  <w:pPr>
                    <w:pStyle w:val="94"/>
                    <w:ind w:firstLine="0" w:firstLineChars="0"/>
                    <w:rPr>
                      <w:rFonts w:hint="default" w:ascii="Times New Roman" w:hAnsi="Times New Roman" w:eastAsia="宋体" w:cs="Times New Roman"/>
                      <w:kern w:val="0"/>
                      <w:sz w:val="21"/>
                      <w:szCs w:val="21"/>
                      <w:lang w:val="en-US" w:eastAsia="zh-CN" w:bidi="ar-SA"/>
                    </w:rPr>
                  </w:pPr>
                </w:p>
              </w:tc>
              <w:tc>
                <w:tcPr>
                  <w:tcW w:w="1122" w:type="dxa"/>
                  <w:noWrap w:val="0"/>
                  <w:vAlign w:val="center"/>
                </w:tcPr>
                <w:p w14:paraId="3DB74478">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kern w:val="0"/>
                      <w:szCs w:val="21"/>
                      <w:lang w:val="en-US" w:eastAsia="zh-CN" w:bidi="ar"/>
                    </w:rPr>
                    <w:t>0</w:t>
                  </w:r>
                  <w:r>
                    <w:rPr>
                      <w:rFonts w:hint="eastAsia" w:ascii="Times New Roman" w:hAnsi="Times New Roman" w:cs="Times New Roman"/>
                      <w:color w:val="000000"/>
                      <w:kern w:val="0"/>
                      <w:szCs w:val="21"/>
                      <w:lang w:val="en-US" w:eastAsia="zh-CN" w:bidi="ar"/>
                    </w:rPr>
                    <w:t>.04</w:t>
                  </w:r>
                </w:p>
              </w:tc>
              <w:tc>
                <w:tcPr>
                  <w:tcW w:w="1563" w:type="dxa"/>
                  <w:noWrap w:val="0"/>
                  <w:vAlign w:val="center"/>
                </w:tcPr>
                <w:p w14:paraId="4F7D9B0F">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0.0004</w:t>
                  </w:r>
                </w:p>
              </w:tc>
              <w:tc>
                <w:tcPr>
                  <w:tcW w:w="1521" w:type="dxa"/>
                  <w:noWrap w:val="0"/>
                  <w:vAlign w:val="center"/>
                </w:tcPr>
                <w:p w14:paraId="5152505E">
                  <w:pPr>
                    <w:keepNext w:val="0"/>
                    <w:keepLines w:val="0"/>
                    <w:widowControl/>
                    <w:suppressLineNumbers w:val="0"/>
                    <w:jc w:val="center"/>
                    <w:textAlignment w:val="center"/>
                    <w:rPr>
                      <w:rFonts w:hint="default" w:ascii="Times New Roman" w:hAnsi="Times New Roman" w:cs="Times New Roman"/>
                      <w:kern w:val="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0.0002</w:t>
                  </w:r>
                </w:p>
              </w:tc>
              <w:tc>
                <w:tcPr>
                  <w:tcW w:w="969" w:type="dxa"/>
                  <w:noWrap w:val="0"/>
                  <w:vAlign w:val="center"/>
                </w:tcPr>
                <w:p w14:paraId="2F4CF7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02C4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5F2CAC95">
                  <w:pPr>
                    <w:jc w:val="center"/>
                    <w:rPr>
                      <w:rFonts w:hint="default" w:ascii="Times New Roman" w:hAnsi="Times New Roman" w:eastAsia="宋体" w:cs="Times New Roman"/>
                      <w:szCs w:val="21"/>
                    </w:rPr>
                  </w:pPr>
                </w:p>
              </w:tc>
              <w:tc>
                <w:tcPr>
                  <w:tcW w:w="1095" w:type="dxa"/>
                  <w:noWrap w:val="0"/>
                  <w:vAlign w:val="center"/>
                </w:tcPr>
                <w:p w14:paraId="697D102C">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粉碎</w:t>
                  </w:r>
                </w:p>
              </w:tc>
              <w:tc>
                <w:tcPr>
                  <w:tcW w:w="1054" w:type="dxa"/>
                  <w:vMerge w:val="continue"/>
                  <w:noWrap w:val="0"/>
                  <w:vAlign w:val="center"/>
                </w:tcPr>
                <w:p w14:paraId="195D1705">
                  <w:pPr>
                    <w:pStyle w:val="94"/>
                    <w:rPr>
                      <w:rFonts w:hint="default" w:ascii="Times New Roman" w:hAnsi="Times New Roman" w:eastAsia="宋体" w:cs="Times New Roman"/>
                      <w:szCs w:val="21"/>
                    </w:rPr>
                  </w:pPr>
                </w:p>
              </w:tc>
              <w:tc>
                <w:tcPr>
                  <w:tcW w:w="1122" w:type="dxa"/>
                  <w:noWrap w:val="0"/>
                  <w:vAlign w:val="center"/>
                </w:tcPr>
                <w:p w14:paraId="47FA225D">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4.5</w:t>
                  </w:r>
                  <w:r>
                    <w:rPr>
                      <w:rFonts w:hint="eastAsia" w:cs="Times New Roman"/>
                      <w:color w:val="000000"/>
                      <w:kern w:val="0"/>
                      <w:szCs w:val="21"/>
                      <w:lang w:val="en-US" w:eastAsia="zh-CN" w:bidi="ar"/>
                    </w:rPr>
                    <w:t>539</w:t>
                  </w:r>
                </w:p>
              </w:tc>
              <w:tc>
                <w:tcPr>
                  <w:tcW w:w="1563" w:type="dxa"/>
                  <w:noWrap w:val="0"/>
                  <w:vAlign w:val="center"/>
                </w:tcPr>
                <w:p w14:paraId="0A13589A">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0.0455</w:t>
                  </w:r>
                </w:p>
              </w:tc>
              <w:tc>
                <w:tcPr>
                  <w:tcW w:w="1521" w:type="dxa"/>
                  <w:noWrap w:val="0"/>
                  <w:vAlign w:val="center"/>
                </w:tcPr>
                <w:p w14:paraId="18887F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0.02275</w:t>
                  </w:r>
                </w:p>
              </w:tc>
              <w:tc>
                <w:tcPr>
                  <w:tcW w:w="969" w:type="dxa"/>
                  <w:noWrap w:val="0"/>
                  <w:vAlign w:val="center"/>
                </w:tcPr>
                <w:p w14:paraId="472C73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006E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5FA3E02E">
                  <w:pPr>
                    <w:jc w:val="center"/>
                    <w:rPr>
                      <w:rFonts w:hint="default" w:ascii="Times New Roman" w:hAnsi="Times New Roman" w:eastAsia="宋体" w:cs="Times New Roman"/>
                      <w:szCs w:val="21"/>
                    </w:rPr>
                  </w:pPr>
                </w:p>
              </w:tc>
              <w:tc>
                <w:tcPr>
                  <w:tcW w:w="1095" w:type="dxa"/>
                  <w:noWrap w:val="0"/>
                  <w:vAlign w:val="center"/>
                </w:tcPr>
                <w:p w14:paraId="5D24C95F">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整形</w:t>
                  </w:r>
                </w:p>
              </w:tc>
              <w:tc>
                <w:tcPr>
                  <w:tcW w:w="1054" w:type="dxa"/>
                  <w:vMerge w:val="continue"/>
                  <w:noWrap w:val="0"/>
                  <w:vAlign w:val="center"/>
                </w:tcPr>
                <w:p w14:paraId="0BD7ACE0">
                  <w:pPr>
                    <w:pStyle w:val="94"/>
                    <w:rPr>
                      <w:rFonts w:hint="default" w:ascii="Times New Roman" w:hAnsi="Times New Roman" w:eastAsia="宋体" w:cs="Times New Roman"/>
                      <w:szCs w:val="21"/>
                    </w:rPr>
                  </w:pPr>
                </w:p>
              </w:tc>
              <w:tc>
                <w:tcPr>
                  <w:tcW w:w="1122" w:type="dxa"/>
                  <w:noWrap w:val="0"/>
                  <w:vAlign w:val="center"/>
                </w:tcPr>
                <w:p w14:paraId="13E8D567">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4.76</w:t>
                  </w:r>
                </w:p>
              </w:tc>
              <w:tc>
                <w:tcPr>
                  <w:tcW w:w="1563" w:type="dxa"/>
                  <w:noWrap w:val="0"/>
                  <w:vAlign w:val="center"/>
                </w:tcPr>
                <w:p w14:paraId="1D0FA549">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0.0476</w:t>
                  </w:r>
                </w:p>
              </w:tc>
              <w:tc>
                <w:tcPr>
                  <w:tcW w:w="1521" w:type="dxa"/>
                  <w:noWrap w:val="0"/>
                  <w:vAlign w:val="center"/>
                </w:tcPr>
                <w:p w14:paraId="7CBB92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0.0238</w:t>
                  </w:r>
                </w:p>
              </w:tc>
              <w:tc>
                <w:tcPr>
                  <w:tcW w:w="969" w:type="dxa"/>
                  <w:noWrap w:val="0"/>
                  <w:vAlign w:val="center"/>
                </w:tcPr>
                <w:p w14:paraId="502135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7458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41" w:type="dxa"/>
                  <w:vMerge w:val="continue"/>
                  <w:noWrap w:val="0"/>
                  <w:vAlign w:val="center"/>
                </w:tcPr>
                <w:p w14:paraId="672B9617">
                  <w:pPr>
                    <w:jc w:val="center"/>
                    <w:rPr>
                      <w:rFonts w:hint="default" w:ascii="Times New Roman" w:hAnsi="Times New Roman" w:eastAsia="宋体" w:cs="Times New Roman"/>
                      <w:szCs w:val="21"/>
                    </w:rPr>
                  </w:pPr>
                </w:p>
              </w:tc>
              <w:tc>
                <w:tcPr>
                  <w:tcW w:w="1095" w:type="dxa"/>
                  <w:noWrap w:val="0"/>
                  <w:vAlign w:val="center"/>
                </w:tcPr>
                <w:p w14:paraId="6128DDE5">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包装</w:t>
                  </w:r>
                </w:p>
              </w:tc>
              <w:tc>
                <w:tcPr>
                  <w:tcW w:w="1054" w:type="dxa"/>
                  <w:vMerge w:val="continue"/>
                  <w:noWrap w:val="0"/>
                  <w:vAlign w:val="center"/>
                </w:tcPr>
                <w:p w14:paraId="19C76B2E">
                  <w:pPr>
                    <w:pStyle w:val="94"/>
                    <w:rPr>
                      <w:rFonts w:hint="default" w:ascii="Times New Roman" w:hAnsi="Times New Roman" w:eastAsia="宋体" w:cs="Times New Roman"/>
                      <w:szCs w:val="21"/>
                    </w:rPr>
                  </w:pPr>
                </w:p>
              </w:tc>
              <w:tc>
                <w:tcPr>
                  <w:tcW w:w="1122" w:type="dxa"/>
                  <w:noWrap w:val="0"/>
                  <w:vAlign w:val="center"/>
                </w:tcPr>
                <w:p w14:paraId="6EFC7268">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0.22</w:t>
                  </w:r>
                </w:p>
              </w:tc>
              <w:tc>
                <w:tcPr>
                  <w:tcW w:w="1563" w:type="dxa"/>
                  <w:noWrap w:val="0"/>
                  <w:vAlign w:val="center"/>
                </w:tcPr>
                <w:p w14:paraId="17A0B263">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0.0022</w:t>
                  </w:r>
                </w:p>
              </w:tc>
              <w:tc>
                <w:tcPr>
                  <w:tcW w:w="1521" w:type="dxa"/>
                  <w:noWrap w:val="0"/>
                  <w:vAlign w:val="center"/>
                </w:tcPr>
                <w:p w14:paraId="0F1DA5A3">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0.0011</w:t>
                  </w:r>
                </w:p>
              </w:tc>
              <w:tc>
                <w:tcPr>
                  <w:tcW w:w="969" w:type="dxa"/>
                  <w:noWrap w:val="0"/>
                  <w:vAlign w:val="center"/>
                </w:tcPr>
                <w:p w14:paraId="4DB8CF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6C93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41" w:type="dxa"/>
                  <w:vMerge w:val="restart"/>
                  <w:noWrap w:val="0"/>
                  <w:vAlign w:val="center"/>
                </w:tcPr>
                <w:p w14:paraId="0368565C">
                  <w:pPr>
                    <w:jc w:val="center"/>
                    <w:rPr>
                      <w:rFonts w:hint="default" w:ascii="Times New Roman" w:hAnsi="Times New Roman" w:eastAsia="宋体" w:cs="Times New Roman"/>
                      <w:szCs w:val="21"/>
                    </w:rPr>
                  </w:pPr>
                  <w:r>
                    <w:rPr>
                      <w:rFonts w:hint="default" w:ascii="Times New Roman" w:hAnsi="Times New Roman" w:eastAsia="宋体" w:cs="Times New Roman"/>
                      <w:szCs w:val="21"/>
                    </w:rPr>
                    <w:t>石墨化废气</w:t>
                  </w:r>
                </w:p>
              </w:tc>
              <w:tc>
                <w:tcPr>
                  <w:tcW w:w="1095" w:type="dxa"/>
                  <w:noWrap w:val="0"/>
                  <w:vAlign w:val="center"/>
                </w:tcPr>
                <w:p w14:paraId="1C40E2A6">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装坩埚</w:t>
                  </w:r>
                </w:p>
              </w:tc>
              <w:tc>
                <w:tcPr>
                  <w:tcW w:w="1054" w:type="dxa"/>
                  <w:vMerge w:val="restart"/>
                  <w:noWrap w:val="0"/>
                  <w:vAlign w:val="center"/>
                </w:tcPr>
                <w:p w14:paraId="792423D0">
                  <w:pPr>
                    <w:jc w:val="center"/>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1122" w:type="dxa"/>
                  <w:noWrap w:val="0"/>
                  <w:vAlign w:val="center"/>
                </w:tcPr>
                <w:p w14:paraId="0001983F">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Cs w:val="21"/>
                      <w:lang w:val="en-US" w:eastAsia="zh-CN" w:bidi="ar"/>
                    </w:rPr>
                    <w:t>0.11</w:t>
                  </w:r>
                </w:p>
              </w:tc>
              <w:tc>
                <w:tcPr>
                  <w:tcW w:w="1563" w:type="dxa"/>
                  <w:noWrap w:val="0"/>
                  <w:vAlign w:val="center"/>
                </w:tcPr>
                <w:p w14:paraId="4673ED88">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bidi="ar"/>
                    </w:rPr>
                  </w:pPr>
                  <w:r>
                    <w:rPr>
                      <w:rFonts w:hint="default" w:ascii="Times New Roman" w:hAnsi="Times New Roman" w:eastAsia="宋体" w:cs="Times New Roman"/>
                      <w:i w:val="0"/>
                      <w:iCs w:val="0"/>
                      <w:color w:val="000000"/>
                      <w:kern w:val="0"/>
                      <w:sz w:val="21"/>
                      <w:szCs w:val="21"/>
                      <w:u w:val="none"/>
                      <w:lang w:val="en-US" w:eastAsia="zh-CN" w:bidi="ar"/>
                    </w:rPr>
                    <w:t>0.00661</w:t>
                  </w:r>
                </w:p>
              </w:tc>
              <w:tc>
                <w:tcPr>
                  <w:tcW w:w="1521" w:type="dxa"/>
                  <w:noWrap w:val="0"/>
                  <w:vAlign w:val="center"/>
                </w:tcPr>
                <w:p w14:paraId="7E3F624A">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0</w:t>
                  </w:r>
                </w:p>
              </w:tc>
              <w:tc>
                <w:tcPr>
                  <w:tcW w:w="969" w:type="dxa"/>
                  <w:noWrap w:val="0"/>
                  <w:vAlign w:val="center"/>
                </w:tcPr>
                <w:p w14:paraId="012A33CF">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未建</w:t>
                  </w:r>
                </w:p>
              </w:tc>
            </w:tr>
            <w:tr w14:paraId="50A6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7A904C38">
                  <w:pPr>
                    <w:jc w:val="center"/>
                    <w:rPr>
                      <w:rFonts w:hint="default" w:ascii="Times New Roman" w:hAnsi="Times New Roman" w:eastAsia="宋体" w:cs="Times New Roman"/>
                      <w:szCs w:val="21"/>
                    </w:rPr>
                  </w:pPr>
                </w:p>
              </w:tc>
              <w:tc>
                <w:tcPr>
                  <w:tcW w:w="1095" w:type="dxa"/>
                  <w:noWrap w:val="0"/>
                  <w:vAlign w:val="center"/>
                </w:tcPr>
                <w:p w14:paraId="7E8FE912">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混料</w:t>
                  </w:r>
                </w:p>
              </w:tc>
              <w:tc>
                <w:tcPr>
                  <w:tcW w:w="1054" w:type="dxa"/>
                  <w:vMerge w:val="continue"/>
                  <w:noWrap w:val="0"/>
                  <w:vAlign w:val="center"/>
                </w:tcPr>
                <w:p w14:paraId="2EEC8B0E">
                  <w:pPr>
                    <w:pStyle w:val="94"/>
                    <w:rPr>
                      <w:rFonts w:hint="default" w:ascii="Times New Roman" w:hAnsi="Times New Roman" w:eastAsia="宋体" w:cs="Times New Roman"/>
                      <w:szCs w:val="21"/>
                    </w:rPr>
                  </w:pPr>
                </w:p>
              </w:tc>
              <w:tc>
                <w:tcPr>
                  <w:tcW w:w="1122" w:type="dxa"/>
                  <w:noWrap w:val="0"/>
                  <w:vAlign w:val="center"/>
                </w:tcPr>
                <w:p w14:paraId="22701B50">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1.843</w:t>
                  </w:r>
                </w:p>
              </w:tc>
              <w:tc>
                <w:tcPr>
                  <w:tcW w:w="1563" w:type="dxa"/>
                  <w:noWrap w:val="0"/>
                  <w:vAlign w:val="center"/>
                </w:tcPr>
                <w:p w14:paraId="49FED729">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0.2009</w:t>
                  </w:r>
                </w:p>
              </w:tc>
              <w:tc>
                <w:tcPr>
                  <w:tcW w:w="1521" w:type="dxa"/>
                  <w:noWrap w:val="0"/>
                  <w:vAlign w:val="center"/>
                </w:tcPr>
                <w:p w14:paraId="7EAADF9D">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0</w:t>
                  </w:r>
                </w:p>
              </w:tc>
              <w:tc>
                <w:tcPr>
                  <w:tcW w:w="969" w:type="dxa"/>
                  <w:noWrap w:val="0"/>
                  <w:vAlign w:val="center"/>
                </w:tcPr>
                <w:p w14:paraId="4DD72FFA">
                  <w:pPr>
                    <w:keepNext w:val="0"/>
                    <w:keepLines w:val="0"/>
                    <w:widowControl/>
                    <w:suppressLineNumbers w:val="0"/>
                    <w:jc w:val="center"/>
                    <w:textAlignment w:val="center"/>
                    <w:rPr>
                      <w:rFonts w:hint="eastAsia" w:ascii="Times New Roman" w:hAnsi="Times New Roman"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未建</w:t>
                  </w:r>
                </w:p>
              </w:tc>
            </w:tr>
            <w:tr w14:paraId="00AC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11152BC4">
                  <w:pPr>
                    <w:jc w:val="center"/>
                    <w:rPr>
                      <w:rFonts w:hint="default" w:ascii="Times New Roman" w:hAnsi="Times New Roman" w:eastAsia="宋体" w:cs="Times New Roman"/>
                      <w:szCs w:val="21"/>
                    </w:rPr>
                  </w:pPr>
                </w:p>
              </w:tc>
              <w:tc>
                <w:tcPr>
                  <w:tcW w:w="1095" w:type="dxa"/>
                  <w:noWrap w:val="0"/>
                  <w:vAlign w:val="center"/>
                </w:tcPr>
                <w:p w14:paraId="3A358A62">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筛分</w:t>
                  </w:r>
                </w:p>
              </w:tc>
              <w:tc>
                <w:tcPr>
                  <w:tcW w:w="1054" w:type="dxa"/>
                  <w:vMerge w:val="continue"/>
                  <w:noWrap w:val="0"/>
                  <w:vAlign w:val="center"/>
                </w:tcPr>
                <w:p w14:paraId="1453CBBB">
                  <w:pPr>
                    <w:pStyle w:val="94"/>
                    <w:rPr>
                      <w:rFonts w:hint="default" w:ascii="Times New Roman" w:hAnsi="Times New Roman" w:eastAsia="宋体" w:cs="Times New Roman"/>
                      <w:szCs w:val="21"/>
                    </w:rPr>
                  </w:pPr>
                </w:p>
              </w:tc>
              <w:tc>
                <w:tcPr>
                  <w:tcW w:w="1122" w:type="dxa"/>
                  <w:noWrap w:val="0"/>
                  <w:vAlign w:val="center"/>
                </w:tcPr>
                <w:p w14:paraId="15482B8B">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1.0735</w:t>
                  </w:r>
                </w:p>
              </w:tc>
              <w:tc>
                <w:tcPr>
                  <w:tcW w:w="1563" w:type="dxa"/>
                  <w:noWrap w:val="0"/>
                  <w:vAlign w:val="center"/>
                </w:tcPr>
                <w:p w14:paraId="484AEDD5">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0.0107</w:t>
                  </w:r>
                </w:p>
              </w:tc>
              <w:tc>
                <w:tcPr>
                  <w:tcW w:w="1521" w:type="dxa"/>
                  <w:noWrap w:val="0"/>
                  <w:vAlign w:val="center"/>
                </w:tcPr>
                <w:p w14:paraId="079A2B4D">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0</w:t>
                  </w:r>
                </w:p>
              </w:tc>
              <w:tc>
                <w:tcPr>
                  <w:tcW w:w="969" w:type="dxa"/>
                  <w:noWrap w:val="0"/>
                  <w:vAlign w:val="center"/>
                </w:tcPr>
                <w:p w14:paraId="3F1FF689">
                  <w:pPr>
                    <w:keepNext w:val="0"/>
                    <w:keepLines w:val="0"/>
                    <w:widowControl/>
                    <w:suppressLineNumbers w:val="0"/>
                    <w:jc w:val="center"/>
                    <w:textAlignment w:val="center"/>
                    <w:rPr>
                      <w:rFonts w:hint="eastAsia" w:ascii="Times New Roman" w:hAnsi="Times New Roman"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未建</w:t>
                  </w:r>
                </w:p>
              </w:tc>
            </w:tr>
            <w:tr w14:paraId="32BA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41" w:type="dxa"/>
                  <w:vMerge w:val="continue"/>
                  <w:noWrap w:val="0"/>
                  <w:vAlign w:val="center"/>
                </w:tcPr>
                <w:p w14:paraId="1CB6BFB3">
                  <w:pPr>
                    <w:jc w:val="center"/>
                    <w:rPr>
                      <w:rFonts w:hint="default" w:ascii="Times New Roman" w:hAnsi="Times New Roman" w:eastAsia="宋体" w:cs="Times New Roman"/>
                      <w:szCs w:val="21"/>
                    </w:rPr>
                  </w:pPr>
                </w:p>
              </w:tc>
              <w:tc>
                <w:tcPr>
                  <w:tcW w:w="1095" w:type="dxa"/>
                  <w:noWrap w:val="0"/>
                  <w:vAlign w:val="center"/>
                </w:tcPr>
                <w:p w14:paraId="1DDD401A">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铺炉底</w:t>
                  </w:r>
                </w:p>
              </w:tc>
              <w:tc>
                <w:tcPr>
                  <w:tcW w:w="1054" w:type="dxa"/>
                  <w:vMerge w:val="continue"/>
                  <w:noWrap w:val="0"/>
                  <w:vAlign w:val="center"/>
                </w:tcPr>
                <w:p w14:paraId="5F73975C">
                  <w:pPr>
                    <w:pStyle w:val="94"/>
                    <w:rPr>
                      <w:rFonts w:hint="default" w:ascii="Times New Roman" w:hAnsi="Times New Roman" w:eastAsia="宋体" w:cs="Times New Roman"/>
                      <w:szCs w:val="21"/>
                    </w:rPr>
                  </w:pPr>
                </w:p>
              </w:tc>
              <w:tc>
                <w:tcPr>
                  <w:tcW w:w="1122" w:type="dxa"/>
                  <w:noWrap w:val="0"/>
                  <w:vAlign w:val="center"/>
                </w:tcPr>
                <w:p w14:paraId="1EDAA3FA">
                  <w:pPr>
                    <w:widowControl/>
                    <w:jc w:val="center"/>
                    <w:textAlignment w:val="center"/>
                    <w:rPr>
                      <w:rFonts w:hint="default" w:ascii="Times New Roman" w:hAnsi="Times New Roman" w:eastAsia="宋体" w:cs="Times New Roman"/>
                      <w:color w:val="000000"/>
                      <w:kern w:val="0"/>
                      <w:szCs w:val="21"/>
                      <w:lang w:val="en-US" w:bidi="ar"/>
                    </w:rPr>
                  </w:pPr>
                  <w:r>
                    <w:rPr>
                      <w:rFonts w:hint="default" w:ascii="Times New Roman" w:hAnsi="Times New Roman" w:eastAsia="宋体" w:cs="Times New Roman"/>
                      <w:color w:val="000000"/>
                      <w:kern w:val="0"/>
                      <w:szCs w:val="21"/>
                      <w:lang w:val="en-US" w:eastAsia="zh-CN" w:bidi="ar"/>
                    </w:rPr>
                    <w:t>0.</w:t>
                  </w:r>
                  <w:r>
                    <w:rPr>
                      <w:rFonts w:hint="eastAsia" w:ascii="Times New Roman" w:hAnsi="Times New Roman" w:cs="Times New Roman"/>
                      <w:color w:val="000000"/>
                      <w:kern w:val="0"/>
                      <w:szCs w:val="21"/>
                      <w:lang w:val="en-US" w:eastAsia="zh-CN" w:bidi="ar"/>
                    </w:rPr>
                    <w:t>0</w:t>
                  </w:r>
                  <w:r>
                    <w:rPr>
                      <w:rFonts w:hint="default" w:ascii="Times New Roman" w:hAnsi="Times New Roman" w:eastAsia="宋体" w:cs="Times New Roman"/>
                      <w:color w:val="000000"/>
                      <w:kern w:val="0"/>
                      <w:szCs w:val="21"/>
                      <w:lang w:val="en-US" w:eastAsia="zh-CN" w:bidi="ar"/>
                    </w:rPr>
                    <w:t>5</w:t>
                  </w:r>
                  <w:r>
                    <w:rPr>
                      <w:rFonts w:hint="eastAsia" w:ascii="Times New Roman" w:hAnsi="Times New Roman" w:cs="Times New Roman"/>
                      <w:color w:val="000000"/>
                      <w:kern w:val="0"/>
                      <w:szCs w:val="21"/>
                      <w:lang w:val="en-US" w:eastAsia="zh-CN" w:bidi="ar"/>
                    </w:rPr>
                    <w:t>23</w:t>
                  </w:r>
                </w:p>
              </w:tc>
              <w:tc>
                <w:tcPr>
                  <w:tcW w:w="1563" w:type="dxa"/>
                  <w:noWrap w:val="0"/>
                  <w:vAlign w:val="center"/>
                </w:tcPr>
                <w:p w14:paraId="4AB921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0.00993</w:t>
                  </w:r>
                </w:p>
              </w:tc>
              <w:tc>
                <w:tcPr>
                  <w:tcW w:w="1521" w:type="dxa"/>
                  <w:noWrap w:val="0"/>
                  <w:vAlign w:val="center"/>
                </w:tcPr>
                <w:p w14:paraId="44B9A697">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0</w:t>
                  </w:r>
                </w:p>
              </w:tc>
              <w:tc>
                <w:tcPr>
                  <w:tcW w:w="969" w:type="dxa"/>
                  <w:noWrap w:val="0"/>
                  <w:vAlign w:val="center"/>
                </w:tcPr>
                <w:p w14:paraId="013C5CA5">
                  <w:pPr>
                    <w:keepNext w:val="0"/>
                    <w:keepLines w:val="0"/>
                    <w:widowControl/>
                    <w:suppressLineNumbers w:val="0"/>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未建</w:t>
                  </w:r>
                </w:p>
              </w:tc>
            </w:tr>
            <w:tr w14:paraId="7CAB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41" w:type="dxa"/>
                  <w:vMerge w:val="continue"/>
                  <w:noWrap w:val="0"/>
                  <w:vAlign w:val="center"/>
                </w:tcPr>
                <w:p w14:paraId="7590A412">
                  <w:pPr>
                    <w:jc w:val="center"/>
                    <w:rPr>
                      <w:rFonts w:hint="default" w:ascii="Times New Roman" w:hAnsi="Times New Roman" w:eastAsia="宋体" w:cs="Times New Roman"/>
                      <w:szCs w:val="21"/>
                    </w:rPr>
                  </w:pPr>
                </w:p>
              </w:tc>
              <w:tc>
                <w:tcPr>
                  <w:tcW w:w="1095" w:type="dxa"/>
                  <w:noWrap w:val="0"/>
                  <w:vAlign w:val="center"/>
                </w:tcPr>
                <w:p w14:paraId="618C272E">
                  <w:pPr>
                    <w:jc w:val="center"/>
                    <w:rPr>
                      <w:rFonts w:hint="default" w:ascii="Times New Roman" w:hAnsi="Times New Roman" w:eastAsia="宋体" w:cs="Times New Roman"/>
                      <w:szCs w:val="21"/>
                    </w:rPr>
                  </w:pPr>
                  <w:r>
                    <w:rPr>
                      <w:rFonts w:hint="default" w:ascii="Times New Roman" w:hAnsi="Times New Roman" w:eastAsia="宋体" w:cs="Times New Roman"/>
                      <w:szCs w:val="21"/>
                    </w:rPr>
                    <w:t>填充料</w:t>
                  </w:r>
                </w:p>
              </w:tc>
              <w:tc>
                <w:tcPr>
                  <w:tcW w:w="1054" w:type="dxa"/>
                  <w:vMerge w:val="continue"/>
                  <w:noWrap w:val="0"/>
                  <w:vAlign w:val="center"/>
                </w:tcPr>
                <w:p w14:paraId="259E6D00">
                  <w:pPr>
                    <w:jc w:val="center"/>
                    <w:rPr>
                      <w:rFonts w:hint="default" w:ascii="Times New Roman" w:hAnsi="Times New Roman" w:eastAsia="宋体" w:cs="Times New Roman"/>
                      <w:szCs w:val="21"/>
                    </w:rPr>
                  </w:pPr>
                </w:p>
              </w:tc>
              <w:tc>
                <w:tcPr>
                  <w:tcW w:w="1122" w:type="dxa"/>
                  <w:noWrap w:val="0"/>
                  <w:vAlign w:val="center"/>
                </w:tcPr>
                <w:p w14:paraId="534AF228">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0.0523</w:t>
                  </w:r>
                </w:p>
              </w:tc>
              <w:tc>
                <w:tcPr>
                  <w:tcW w:w="1563" w:type="dxa"/>
                  <w:noWrap w:val="0"/>
                  <w:vAlign w:val="center"/>
                </w:tcPr>
                <w:p w14:paraId="6EE646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0.00993</w:t>
                  </w:r>
                </w:p>
              </w:tc>
              <w:tc>
                <w:tcPr>
                  <w:tcW w:w="1521" w:type="dxa"/>
                  <w:noWrap w:val="0"/>
                  <w:vAlign w:val="center"/>
                </w:tcPr>
                <w:p w14:paraId="11D071BB">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0</w:t>
                  </w:r>
                </w:p>
              </w:tc>
              <w:tc>
                <w:tcPr>
                  <w:tcW w:w="969" w:type="dxa"/>
                  <w:noWrap w:val="0"/>
                  <w:vAlign w:val="center"/>
                </w:tcPr>
                <w:p w14:paraId="07470200">
                  <w:pPr>
                    <w:keepNext w:val="0"/>
                    <w:keepLines w:val="0"/>
                    <w:widowControl/>
                    <w:suppressLineNumbers w:val="0"/>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未建</w:t>
                  </w:r>
                </w:p>
              </w:tc>
            </w:tr>
            <w:tr w14:paraId="2C2F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4A496BF6">
                  <w:pPr>
                    <w:jc w:val="center"/>
                    <w:rPr>
                      <w:rFonts w:hint="default" w:ascii="Times New Roman" w:hAnsi="Times New Roman" w:eastAsia="宋体" w:cs="Times New Roman"/>
                      <w:szCs w:val="21"/>
                    </w:rPr>
                  </w:pPr>
                </w:p>
              </w:tc>
              <w:tc>
                <w:tcPr>
                  <w:tcW w:w="1095" w:type="dxa"/>
                  <w:vMerge w:val="restart"/>
                  <w:noWrap w:val="0"/>
                  <w:vAlign w:val="center"/>
                </w:tcPr>
                <w:p w14:paraId="41E9508B">
                  <w:pPr>
                    <w:jc w:val="center"/>
                    <w:rPr>
                      <w:rFonts w:hint="default" w:ascii="Times New Roman" w:hAnsi="Times New Roman" w:eastAsia="宋体" w:cs="Times New Roman"/>
                      <w:szCs w:val="21"/>
                    </w:rPr>
                  </w:pPr>
                  <w:r>
                    <w:rPr>
                      <w:rFonts w:hint="default" w:ascii="Times New Roman" w:hAnsi="Times New Roman" w:eastAsia="宋体" w:cs="Times New Roman"/>
                      <w:szCs w:val="21"/>
                    </w:rPr>
                    <w:t>石墨化</w:t>
                  </w:r>
                </w:p>
              </w:tc>
              <w:tc>
                <w:tcPr>
                  <w:tcW w:w="1054" w:type="dxa"/>
                  <w:noWrap w:val="0"/>
                  <w:vAlign w:val="center"/>
                </w:tcPr>
                <w:p w14:paraId="77662ED3">
                  <w:pPr>
                    <w:pStyle w:val="94"/>
                    <w:rPr>
                      <w:rFonts w:hint="default" w:ascii="Times New Roman" w:hAnsi="Times New Roman" w:eastAsia="宋体" w:cs="Times New Roman"/>
                      <w:szCs w:val="21"/>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p>
              </w:tc>
              <w:tc>
                <w:tcPr>
                  <w:tcW w:w="1122" w:type="dxa"/>
                  <w:noWrap w:val="0"/>
                  <w:vAlign w:val="center"/>
                </w:tcPr>
                <w:p w14:paraId="7C29C7B6">
                  <w:pPr>
                    <w:pStyle w:val="94"/>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19.998</w:t>
                  </w:r>
                </w:p>
              </w:tc>
              <w:tc>
                <w:tcPr>
                  <w:tcW w:w="1563" w:type="dxa"/>
                  <w:noWrap w:val="0"/>
                  <w:vAlign w:val="center"/>
                </w:tcPr>
                <w:p w14:paraId="36A548B6">
                  <w:pPr>
                    <w:pStyle w:val="94"/>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1.9998</w:t>
                  </w:r>
                </w:p>
              </w:tc>
              <w:tc>
                <w:tcPr>
                  <w:tcW w:w="1521" w:type="dxa"/>
                  <w:noWrap w:val="0"/>
                  <w:vAlign w:val="center"/>
                </w:tcPr>
                <w:p w14:paraId="3BFED1AC">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0</w:t>
                  </w:r>
                </w:p>
              </w:tc>
              <w:tc>
                <w:tcPr>
                  <w:tcW w:w="969" w:type="dxa"/>
                  <w:noWrap w:val="0"/>
                  <w:vAlign w:val="center"/>
                </w:tcPr>
                <w:p w14:paraId="600324C9">
                  <w:pPr>
                    <w:keepNext w:val="0"/>
                    <w:keepLines w:val="0"/>
                    <w:widowControl/>
                    <w:suppressLineNumbers w:val="0"/>
                    <w:jc w:val="center"/>
                    <w:textAlignment w:val="center"/>
                    <w:rPr>
                      <w:rFonts w:hint="eastAsia" w:ascii="Times New Roman" w:hAnsi="Times New Roman" w:cs="Times New Roman"/>
                      <w:sz w:val="21"/>
                      <w:szCs w:val="21"/>
                      <w:lang w:val="en-US" w:eastAsia="zh-CN"/>
                    </w:rPr>
                  </w:pPr>
                  <w:r>
                    <w:rPr>
                      <w:rFonts w:hint="eastAsia" w:ascii="Times New Roman" w:hAnsi="Times New Roman" w:eastAsia="宋体" w:cs="Times New Roman"/>
                      <w:color w:val="000000"/>
                      <w:kern w:val="0"/>
                      <w:sz w:val="21"/>
                      <w:szCs w:val="21"/>
                      <w:lang w:val="en-US" w:eastAsia="zh-CN" w:bidi="ar"/>
                    </w:rPr>
                    <w:t>未建</w:t>
                  </w:r>
                </w:p>
              </w:tc>
            </w:tr>
            <w:tr w14:paraId="061D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50C7DA96">
                  <w:pPr>
                    <w:jc w:val="center"/>
                    <w:rPr>
                      <w:rFonts w:hint="default" w:ascii="Times New Roman" w:hAnsi="Times New Roman" w:eastAsia="宋体" w:cs="Times New Roman"/>
                      <w:szCs w:val="21"/>
                    </w:rPr>
                  </w:pPr>
                </w:p>
              </w:tc>
              <w:tc>
                <w:tcPr>
                  <w:tcW w:w="1095" w:type="dxa"/>
                  <w:vMerge w:val="continue"/>
                  <w:noWrap w:val="0"/>
                  <w:vAlign w:val="center"/>
                </w:tcPr>
                <w:p w14:paraId="29551B14">
                  <w:pPr>
                    <w:jc w:val="center"/>
                    <w:rPr>
                      <w:rFonts w:hint="default" w:ascii="Times New Roman" w:hAnsi="Times New Roman" w:eastAsia="宋体" w:cs="Times New Roman"/>
                      <w:szCs w:val="21"/>
                    </w:rPr>
                  </w:pPr>
                </w:p>
              </w:tc>
              <w:tc>
                <w:tcPr>
                  <w:tcW w:w="1054" w:type="dxa"/>
                  <w:noWrap w:val="0"/>
                  <w:vAlign w:val="center"/>
                </w:tcPr>
                <w:p w14:paraId="195976FB">
                  <w:pPr>
                    <w:pStyle w:val="94"/>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颗粒物</w:t>
                  </w:r>
                </w:p>
              </w:tc>
              <w:tc>
                <w:tcPr>
                  <w:tcW w:w="1122" w:type="dxa"/>
                  <w:noWrap w:val="0"/>
                  <w:vAlign w:val="center"/>
                </w:tcPr>
                <w:p w14:paraId="4F3CEE4B">
                  <w:pPr>
                    <w:pStyle w:val="94"/>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2.9304</w:t>
                  </w:r>
                </w:p>
              </w:tc>
              <w:tc>
                <w:tcPr>
                  <w:tcW w:w="1563" w:type="dxa"/>
                  <w:noWrap w:val="0"/>
                  <w:vAlign w:val="center"/>
                </w:tcPr>
                <w:p w14:paraId="78E60BFD">
                  <w:pPr>
                    <w:pStyle w:val="94"/>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0.0293</w:t>
                  </w:r>
                </w:p>
              </w:tc>
              <w:tc>
                <w:tcPr>
                  <w:tcW w:w="1521" w:type="dxa"/>
                  <w:noWrap w:val="0"/>
                  <w:vAlign w:val="center"/>
                </w:tcPr>
                <w:p w14:paraId="51374AF5">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0</w:t>
                  </w:r>
                </w:p>
              </w:tc>
              <w:tc>
                <w:tcPr>
                  <w:tcW w:w="969" w:type="dxa"/>
                  <w:noWrap w:val="0"/>
                  <w:vAlign w:val="center"/>
                </w:tcPr>
                <w:p w14:paraId="7701380F">
                  <w:pPr>
                    <w:keepNext w:val="0"/>
                    <w:keepLines w:val="0"/>
                    <w:widowControl/>
                    <w:suppressLineNumbers w:val="0"/>
                    <w:jc w:val="center"/>
                    <w:textAlignment w:val="center"/>
                    <w:rPr>
                      <w:rFonts w:hint="eastAsia" w:ascii="Times New Roman" w:hAnsi="Times New Roman" w:cs="Times New Roman"/>
                      <w:sz w:val="21"/>
                      <w:szCs w:val="21"/>
                      <w:lang w:val="en-US" w:eastAsia="zh-CN"/>
                    </w:rPr>
                  </w:pPr>
                  <w:r>
                    <w:rPr>
                      <w:rFonts w:hint="eastAsia" w:ascii="Times New Roman" w:hAnsi="Times New Roman" w:eastAsia="宋体" w:cs="Times New Roman"/>
                      <w:color w:val="000000"/>
                      <w:kern w:val="0"/>
                      <w:sz w:val="21"/>
                      <w:szCs w:val="21"/>
                      <w:lang w:val="en-US" w:eastAsia="zh-CN" w:bidi="ar"/>
                    </w:rPr>
                    <w:t>未建</w:t>
                  </w:r>
                </w:p>
              </w:tc>
            </w:tr>
            <w:tr w14:paraId="23B0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7E68D40B">
                  <w:pPr>
                    <w:jc w:val="center"/>
                    <w:rPr>
                      <w:rFonts w:hint="default" w:ascii="Times New Roman" w:hAnsi="Times New Roman" w:eastAsia="宋体" w:cs="Times New Roman"/>
                      <w:szCs w:val="21"/>
                    </w:rPr>
                  </w:pPr>
                </w:p>
              </w:tc>
              <w:tc>
                <w:tcPr>
                  <w:tcW w:w="1095" w:type="dxa"/>
                  <w:vMerge w:val="continue"/>
                  <w:noWrap w:val="0"/>
                  <w:vAlign w:val="center"/>
                </w:tcPr>
                <w:p w14:paraId="3515BF45">
                  <w:pPr>
                    <w:jc w:val="center"/>
                    <w:rPr>
                      <w:rFonts w:hint="default" w:ascii="Times New Roman" w:hAnsi="Times New Roman" w:eastAsia="宋体" w:cs="Times New Roman"/>
                      <w:szCs w:val="21"/>
                    </w:rPr>
                  </w:pPr>
                </w:p>
              </w:tc>
              <w:tc>
                <w:tcPr>
                  <w:tcW w:w="1054" w:type="dxa"/>
                  <w:noWrap w:val="0"/>
                  <w:vAlign w:val="center"/>
                </w:tcPr>
                <w:p w14:paraId="0E420AFD">
                  <w:pPr>
                    <w:pStyle w:val="94"/>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苯并芘</w:t>
                  </w:r>
                </w:p>
              </w:tc>
              <w:tc>
                <w:tcPr>
                  <w:tcW w:w="1122" w:type="dxa"/>
                  <w:noWrap w:val="0"/>
                  <w:vAlign w:val="center"/>
                </w:tcPr>
                <w:p w14:paraId="671CC15F">
                  <w:pPr>
                    <w:pStyle w:val="94"/>
                    <w:rPr>
                      <w:rFonts w:hint="default" w:ascii="Times New Roman" w:hAnsi="Times New Roman" w:eastAsia="宋体" w:cs="Times New Roman"/>
                      <w:szCs w:val="21"/>
                    </w:rPr>
                  </w:pPr>
                  <w:r>
                    <w:rPr>
                      <w:rFonts w:hint="eastAsia" w:ascii="Times New Roman" w:hAnsi="Times New Roman" w:cs="Times New Roman"/>
                      <w:szCs w:val="21"/>
                      <w:lang w:val="en-US" w:eastAsia="zh-CN"/>
                    </w:rPr>
                    <w:t>1.1088</w:t>
                  </w:r>
                  <w:r>
                    <w:rPr>
                      <w:rFonts w:hint="default" w:ascii="Times New Roman" w:hAnsi="Times New Roman" w:eastAsia="宋体" w:cs="Times New Roman"/>
                      <w:sz w:val="24"/>
                      <w:szCs w:val="24"/>
                      <w:highlight w:val="none"/>
                      <w:lang w:val="en-US" w:eastAsia="zh-CN"/>
                    </w:rPr>
                    <w:t>×10</w:t>
                  </w:r>
                  <w:r>
                    <w:rPr>
                      <w:rFonts w:hint="default" w:ascii="Times New Roman" w:hAnsi="Times New Roman" w:eastAsia="宋体" w:cs="Times New Roman"/>
                      <w:sz w:val="24"/>
                      <w:szCs w:val="24"/>
                      <w:highlight w:val="none"/>
                      <w:vertAlign w:val="superscript"/>
                      <w:lang w:val="en-US" w:eastAsia="zh-CN"/>
                    </w:rPr>
                    <w:t>-</w:t>
                  </w:r>
                  <w:r>
                    <w:rPr>
                      <w:rFonts w:hint="eastAsia" w:cs="Times New Roman"/>
                      <w:sz w:val="24"/>
                      <w:szCs w:val="24"/>
                      <w:highlight w:val="none"/>
                      <w:vertAlign w:val="superscript"/>
                      <w:lang w:val="en-US" w:eastAsia="zh-CN"/>
                    </w:rPr>
                    <w:t>7</w:t>
                  </w:r>
                </w:p>
              </w:tc>
              <w:tc>
                <w:tcPr>
                  <w:tcW w:w="1563" w:type="dxa"/>
                  <w:noWrap w:val="0"/>
                  <w:vAlign w:val="center"/>
                </w:tcPr>
                <w:p w14:paraId="751A4DDB">
                  <w:pPr>
                    <w:pStyle w:val="94"/>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1.1088</w:t>
                  </w:r>
                  <w:r>
                    <w:rPr>
                      <w:rFonts w:hint="default" w:ascii="Times New Roman" w:hAnsi="Times New Roman" w:eastAsia="宋体" w:cs="Times New Roman"/>
                      <w:sz w:val="24"/>
                      <w:szCs w:val="24"/>
                      <w:highlight w:val="none"/>
                      <w:lang w:val="en-US" w:eastAsia="zh-CN"/>
                    </w:rPr>
                    <w:t>×10</w:t>
                  </w:r>
                  <w:r>
                    <w:rPr>
                      <w:rFonts w:hint="default" w:ascii="Times New Roman" w:hAnsi="Times New Roman" w:eastAsia="宋体" w:cs="Times New Roman"/>
                      <w:sz w:val="24"/>
                      <w:szCs w:val="24"/>
                      <w:highlight w:val="none"/>
                      <w:vertAlign w:val="superscript"/>
                      <w:lang w:val="en-US" w:eastAsia="zh-CN"/>
                    </w:rPr>
                    <w:t>-</w:t>
                  </w:r>
                  <w:r>
                    <w:rPr>
                      <w:rFonts w:hint="eastAsia" w:cs="Times New Roman"/>
                      <w:sz w:val="24"/>
                      <w:szCs w:val="24"/>
                      <w:highlight w:val="none"/>
                      <w:vertAlign w:val="superscript"/>
                      <w:lang w:val="en-US" w:eastAsia="zh-CN"/>
                    </w:rPr>
                    <w:t>7</w:t>
                  </w:r>
                </w:p>
              </w:tc>
              <w:tc>
                <w:tcPr>
                  <w:tcW w:w="1521" w:type="dxa"/>
                  <w:noWrap w:val="0"/>
                  <w:vAlign w:val="center"/>
                </w:tcPr>
                <w:p w14:paraId="68D2B21F">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0</w:t>
                  </w:r>
                </w:p>
              </w:tc>
              <w:tc>
                <w:tcPr>
                  <w:tcW w:w="969" w:type="dxa"/>
                  <w:noWrap w:val="0"/>
                  <w:vAlign w:val="center"/>
                </w:tcPr>
                <w:p w14:paraId="0286028C">
                  <w:pPr>
                    <w:keepNext w:val="0"/>
                    <w:keepLines w:val="0"/>
                    <w:widowControl/>
                    <w:suppressLineNumbers w:val="0"/>
                    <w:jc w:val="center"/>
                    <w:textAlignment w:val="center"/>
                    <w:rPr>
                      <w:rFonts w:hint="eastAsia" w:ascii="Times New Roman" w:hAnsi="Times New Roman" w:cs="Times New Roman"/>
                      <w:sz w:val="21"/>
                      <w:szCs w:val="21"/>
                      <w:lang w:val="en-US" w:eastAsia="zh-CN"/>
                    </w:rPr>
                  </w:pPr>
                  <w:r>
                    <w:rPr>
                      <w:rFonts w:hint="eastAsia" w:ascii="Times New Roman" w:hAnsi="Times New Roman" w:eastAsia="宋体" w:cs="Times New Roman"/>
                      <w:color w:val="000000"/>
                      <w:kern w:val="0"/>
                      <w:sz w:val="21"/>
                      <w:szCs w:val="21"/>
                      <w:lang w:val="en-US" w:eastAsia="zh-CN" w:bidi="ar"/>
                    </w:rPr>
                    <w:t>未建</w:t>
                  </w:r>
                </w:p>
              </w:tc>
            </w:tr>
            <w:tr w14:paraId="1C43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61091826">
                  <w:pPr>
                    <w:jc w:val="center"/>
                    <w:rPr>
                      <w:rFonts w:hint="default" w:ascii="Times New Roman" w:hAnsi="Times New Roman" w:eastAsia="宋体" w:cs="Times New Roman"/>
                      <w:szCs w:val="21"/>
                    </w:rPr>
                  </w:pPr>
                </w:p>
              </w:tc>
              <w:tc>
                <w:tcPr>
                  <w:tcW w:w="1095" w:type="dxa"/>
                  <w:vMerge w:val="continue"/>
                  <w:noWrap w:val="0"/>
                  <w:vAlign w:val="center"/>
                </w:tcPr>
                <w:p w14:paraId="1E28EFE1">
                  <w:pPr>
                    <w:jc w:val="center"/>
                    <w:rPr>
                      <w:rFonts w:hint="default" w:ascii="Times New Roman" w:hAnsi="Times New Roman" w:eastAsia="宋体" w:cs="Times New Roman"/>
                      <w:szCs w:val="21"/>
                    </w:rPr>
                  </w:pPr>
                </w:p>
              </w:tc>
              <w:tc>
                <w:tcPr>
                  <w:tcW w:w="1054" w:type="dxa"/>
                  <w:noWrap w:val="0"/>
                  <w:vAlign w:val="center"/>
                </w:tcPr>
                <w:p w14:paraId="094940D2">
                  <w:pPr>
                    <w:pStyle w:val="94"/>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NOx</w:t>
                  </w:r>
                </w:p>
              </w:tc>
              <w:tc>
                <w:tcPr>
                  <w:tcW w:w="1122" w:type="dxa"/>
                  <w:noWrap w:val="0"/>
                  <w:vAlign w:val="center"/>
                </w:tcPr>
                <w:p w14:paraId="29AD9A46">
                  <w:pPr>
                    <w:pStyle w:val="94"/>
                    <w:rPr>
                      <w:rFonts w:hint="default" w:ascii="Times New Roman" w:hAnsi="Times New Roman" w:eastAsia="宋体" w:cs="Times New Roman"/>
                      <w:szCs w:val="21"/>
                    </w:rPr>
                  </w:pPr>
                  <w:r>
                    <w:rPr>
                      <w:rFonts w:hint="eastAsia" w:ascii="Times New Roman" w:hAnsi="Times New Roman" w:cs="Times New Roman"/>
                      <w:szCs w:val="21"/>
                      <w:lang w:val="en-US" w:eastAsia="zh-CN"/>
                    </w:rPr>
                    <w:t>0.6898</w:t>
                  </w:r>
                </w:p>
              </w:tc>
              <w:tc>
                <w:tcPr>
                  <w:tcW w:w="1563" w:type="dxa"/>
                  <w:noWrap w:val="0"/>
                  <w:vAlign w:val="center"/>
                </w:tcPr>
                <w:p w14:paraId="4386E960">
                  <w:pPr>
                    <w:pStyle w:val="94"/>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0.6898</w:t>
                  </w:r>
                </w:p>
              </w:tc>
              <w:tc>
                <w:tcPr>
                  <w:tcW w:w="1521" w:type="dxa"/>
                  <w:noWrap w:val="0"/>
                  <w:vAlign w:val="center"/>
                </w:tcPr>
                <w:p w14:paraId="14E5D756">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0</w:t>
                  </w:r>
                </w:p>
              </w:tc>
              <w:tc>
                <w:tcPr>
                  <w:tcW w:w="969" w:type="dxa"/>
                  <w:noWrap w:val="0"/>
                  <w:vAlign w:val="center"/>
                </w:tcPr>
                <w:p w14:paraId="6E2B1C15">
                  <w:pPr>
                    <w:keepNext w:val="0"/>
                    <w:keepLines w:val="0"/>
                    <w:widowControl/>
                    <w:suppressLineNumbers w:val="0"/>
                    <w:jc w:val="center"/>
                    <w:textAlignment w:val="center"/>
                    <w:rPr>
                      <w:rFonts w:hint="eastAsia" w:ascii="Times New Roman" w:hAnsi="Times New Roman" w:cs="Times New Roman"/>
                      <w:sz w:val="21"/>
                      <w:szCs w:val="21"/>
                      <w:lang w:val="en-US" w:eastAsia="zh-CN"/>
                    </w:rPr>
                  </w:pPr>
                  <w:r>
                    <w:rPr>
                      <w:rFonts w:hint="eastAsia" w:ascii="Times New Roman" w:hAnsi="Times New Roman" w:eastAsia="宋体" w:cs="Times New Roman"/>
                      <w:color w:val="000000"/>
                      <w:kern w:val="0"/>
                      <w:sz w:val="21"/>
                      <w:szCs w:val="21"/>
                      <w:lang w:val="en-US" w:eastAsia="zh-CN" w:bidi="ar"/>
                    </w:rPr>
                    <w:t>未建</w:t>
                  </w:r>
                </w:p>
              </w:tc>
            </w:tr>
            <w:tr w14:paraId="3319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330ABD19">
                  <w:pPr>
                    <w:jc w:val="center"/>
                    <w:rPr>
                      <w:rFonts w:hint="default" w:ascii="Times New Roman" w:hAnsi="Times New Roman" w:eastAsia="宋体" w:cs="Times New Roman"/>
                      <w:szCs w:val="21"/>
                    </w:rPr>
                  </w:pPr>
                </w:p>
              </w:tc>
              <w:tc>
                <w:tcPr>
                  <w:tcW w:w="1095" w:type="dxa"/>
                  <w:noWrap w:val="0"/>
                  <w:vAlign w:val="center"/>
                </w:tcPr>
                <w:p w14:paraId="012E058A">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填充料筛分、包装</w:t>
                  </w:r>
                </w:p>
              </w:tc>
              <w:tc>
                <w:tcPr>
                  <w:tcW w:w="1054" w:type="dxa"/>
                  <w:vMerge w:val="restart"/>
                  <w:noWrap w:val="0"/>
                  <w:vAlign w:val="center"/>
                </w:tcPr>
                <w:p w14:paraId="17B159CF">
                  <w:pPr>
                    <w:pStyle w:val="94"/>
                    <w:rPr>
                      <w:rFonts w:hint="eastAsia" w:ascii="Times New Roman" w:hAnsi="Times New Roman" w:eastAsia="宋体" w:cs="Times New Roman"/>
                      <w:szCs w:val="21"/>
                      <w:lang w:val="en-US" w:eastAsia="zh-CN" w:bidi="ar"/>
                    </w:rPr>
                  </w:pPr>
                  <w:r>
                    <w:rPr>
                      <w:rFonts w:hint="eastAsia" w:ascii="Times New Roman" w:hAnsi="Times New Roman" w:cs="Times New Roman"/>
                      <w:szCs w:val="21"/>
                      <w:lang w:val="en-US" w:eastAsia="zh-CN" w:bidi="ar"/>
                    </w:rPr>
                    <w:t>颗粒物</w:t>
                  </w:r>
                </w:p>
              </w:tc>
              <w:tc>
                <w:tcPr>
                  <w:tcW w:w="1122" w:type="dxa"/>
                  <w:noWrap w:val="0"/>
                  <w:vAlign w:val="center"/>
                </w:tcPr>
                <w:p w14:paraId="032A1899">
                  <w:pPr>
                    <w:pStyle w:val="94"/>
                    <w:rPr>
                      <w:rFonts w:hint="default" w:ascii="Times New Roman" w:hAnsi="Times New Roman" w:cs="Times New Roman"/>
                      <w:szCs w:val="21"/>
                      <w:lang w:val="en-US" w:eastAsia="zh-CN"/>
                    </w:rPr>
                  </w:pPr>
                  <w:r>
                    <w:rPr>
                      <w:rFonts w:hint="eastAsia" w:cs="Times New Roman"/>
                      <w:szCs w:val="21"/>
                      <w:lang w:val="en-US" w:eastAsia="zh-CN"/>
                    </w:rPr>
                    <w:t>0.0523</w:t>
                  </w:r>
                </w:p>
              </w:tc>
              <w:tc>
                <w:tcPr>
                  <w:tcW w:w="1563" w:type="dxa"/>
                  <w:noWrap w:val="0"/>
                  <w:vAlign w:val="center"/>
                </w:tcPr>
                <w:p w14:paraId="7C665F3C">
                  <w:pPr>
                    <w:keepNext w:val="0"/>
                    <w:keepLines w:val="0"/>
                    <w:widowControl/>
                    <w:suppressLineNumbers w:val="0"/>
                    <w:jc w:val="center"/>
                    <w:textAlignment w:val="center"/>
                    <w:rPr>
                      <w:rFonts w:hint="default" w:ascii="Times New Roman" w:hAnsi="Times New Roman"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0.0005</w:t>
                  </w:r>
                </w:p>
              </w:tc>
              <w:tc>
                <w:tcPr>
                  <w:tcW w:w="1521" w:type="dxa"/>
                  <w:noWrap w:val="0"/>
                  <w:vAlign w:val="center"/>
                </w:tcPr>
                <w:p w14:paraId="7D7392E0">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0</w:t>
                  </w:r>
                </w:p>
              </w:tc>
              <w:tc>
                <w:tcPr>
                  <w:tcW w:w="969" w:type="dxa"/>
                  <w:noWrap w:val="0"/>
                  <w:vAlign w:val="center"/>
                </w:tcPr>
                <w:p w14:paraId="780851DB">
                  <w:pPr>
                    <w:keepNext w:val="0"/>
                    <w:keepLines w:val="0"/>
                    <w:widowControl/>
                    <w:suppressLineNumbers w:val="0"/>
                    <w:jc w:val="center"/>
                    <w:textAlignment w:val="center"/>
                    <w:rPr>
                      <w:rFonts w:hint="eastAsia" w:ascii="Times New Roman" w:hAnsi="Times New Roman" w:cs="Times New Roman"/>
                      <w:sz w:val="21"/>
                      <w:szCs w:val="21"/>
                      <w:lang w:val="en-US" w:eastAsia="zh-CN"/>
                    </w:rPr>
                  </w:pPr>
                  <w:r>
                    <w:rPr>
                      <w:rFonts w:hint="eastAsia" w:ascii="Times New Roman" w:hAnsi="Times New Roman" w:eastAsia="宋体" w:cs="Times New Roman"/>
                      <w:color w:val="000000"/>
                      <w:kern w:val="0"/>
                      <w:sz w:val="21"/>
                      <w:szCs w:val="21"/>
                      <w:lang w:val="en-US" w:eastAsia="zh-CN" w:bidi="ar"/>
                    </w:rPr>
                    <w:t>未建</w:t>
                  </w:r>
                </w:p>
              </w:tc>
            </w:tr>
            <w:tr w14:paraId="2C8A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58E5665F">
                  <w:pPr>
                    <w:jc w:val="center"/>
                    <w:rPr>
                      <w:rFonts w:hint="default" w:ascii="Times New Roman" w:hAnsi="Times New Roman" w:eastAsia="宋体" w:cs="Times New Roman"/>
                      <w:szCs w:val="21"/>
                    </w:rPr>
                  </w:pPr>
                </w:p>
              </w:tc>
              <w:tc>
                <w:tcPr>
                  <w:tcW w:w="1095" w:type="dxa"/>
                  <w:noWrap w:val="0"/>
                  <w:vAlign w:val="center"/>
                </w:tcPr>
                <w:p w14:paraId="42A8AD88">
                  <w:pPr>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物料包装</w:t>
                  </w:r>
                </w:p>
              </w:tc>
              <w:tc>
                <w:tcPr>
                  <w:tcW w:w="1054" w:type="dxa"/>
                  <w:vMerge w:val="continue"/>
                  <w:noWrap w:val="0"/>
                  <w:vAlign w:val="center"/>
                </w:tcPr>
                <w:p w14:paraId="25B266B8">
                  <w:pPr>
                    <w:pStyle w:val="94"/>
                    <w:rPr>
                      <w:rFonts w:hint="default" w:ascii="Times New Roman" w:hAnsi="Times New Roman" w:eastAsia="宋体" w:cs="Times New Roman"/>
                      <w:szCs w:val="21"/>
                      <w:lang w:bidi="ar"/>
                    </w:rPr>
                  </w:pPr>
                </w:p>
              </w:tc>
              <w:tc>
                <w:tcPr>
                  <w:tcW w:w="1122" w:type="dxa"/>
                  <w:noWrap w:val="0"/>
                  <w:vAlign w:val="center"/>
                </w:tcPr>
                <w:p w14:paraId="3BADE964">
                  <w:pPr>
                    <w:pStyle w:val="94"/>
                    <w:rPr>
                      <w:rFonts w:hint="default" w:ascii="Times New Roman" w:hAnsi="Times New Roman" w:cs="Times New Roman"/>
                      <w:szCs w:val="21"/>
                      <w:lang w:val="en-US" w:eastAsia="zh-CN"/>
                    </w:rPr>
                  </w:pPr>
                  <w:r>
                    <w:rPr>
                      <w:rFonts w:hint="eastAsia" w:cs="Times New Roman"/>
                      <w:szCs w:val="21"/>
                      <w:lang w:val="en-US" w:eastAsia="zh-CN"/>
                    </w:rPr>
                    <w:t>0.11</w:t>
                  </w:r>
                </w:p>
              </w:tc>
              <w:tc>
                <w:tcPr>
                  <w:tcW w:w="1563" w:type="dxa"/>
                  <w:noWrap w:val="0"/>
                  <w:vAlign w:val="center"/>
                </w:tcPr>
                <w:p w14:paraId="7509EE9F">
                  <w:pPr>
                    <w:keepNext w:val="0"/>
                    <w:keepLines w:val="0"/>
                    <w:widowControl/>
                    <w:suppressLineNumbers w:val="0"/>
                    <w:jc w:val="center"/>
                    <w:textAlignment w:val="center"/>
                    <w:rPr>
                      <w:rFonts w:hint="default" w:ascii="Times New Roman" w:hAnsi="Times New Roman"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0.0011</w:t>
                  </w:r>
                </w:p>
              </w:tc>
              <w:tc>
                <w:tcPr>
                  <w:tcW w:w="1521" w:type="dxa"/>
                  <w:noWrap w:val="0"/>
                  <w:vAlign w:val="center"/>
                </w:tcPr>
                <w:p w14:paraId="572A54D9">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0</w:t>
                  </w:r>
                </w:p>
              </w:tc>
              <w:tc>
                <w:tcPr>
                  <w:tcW w:w="969" w:type="dxa"/>
                  <w:noWrap w:val="0"/>
                  <w:vAlign w:val="center"/>
                </w:tcPr>
                <w:p w14:paraId="542B525D">
                  <w:pPr>
                    <w:keepNext w:val="0"/>
                    <w:keepLines w:val="0"/>
                    <w:widowControl/>
                    <w:suppressLineNumbers w:val="0"/>
                    <w:jc w:val="center"/>
                    <w:textAlignment w:val="center"/>
                    <w:rPr>
                      <w:rFonts w:hint="eastAsia" w:ascii="Times New Roman" w:hAnsi="Times New Roman" w:cs="Times New Roman"/>
                      <w:sz w:val="21"/>
                      <w:szCs w:val="21"/>
                      <w:lang w:val="en-US" w:eastAsia="zh-CN"/>
                    </w:rPr>
                  </w:pPr>
                  <w:r>
                    <w:rPr>
                      <w:rFonts w:hint="eastAsia" w:ascii="Times New Roman" w:hAnsi="Times New Roman" w:eastAsia="宋体" w:cs="Times New Roman"/>
                      <w:color w:val="000000"/>
                      <w:kern w:val="0"/>
                      <w:sz w:val="21"/>
                      <w:szCs w:val="21"/>
                      <w:lang w:val="en-US" w:eastAsia="zh-CN" w:bidi="ar"/>
                    </w:rPr>
                    <w:t>未建</w:t>
                  </w:r>
                </w:p>
              </w:tc>
            </w:tr>
            <w:tr w14:paraId="05CA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1041" w:type="dxa"/>
                  <w:vMerge w:val="restart"/>
                  <w:noWrap w:val="0"/>
                  <w:vAlign w:val="center"/>
                </w:tcPr>
                <w:p w14:paraId="2BA38653">
                  <w:pPr>
                    <w:jc w:val="center"/>
                    <w:rPr>
                      <w:rFonts w:hint="default" w:ascii="Times New Roman" w:hAnsi="Times New Roman" w:eastAsia="宋体" w:cs="Times New Roman"/>
                      <w:szCs w:val="21"/>
                    </w:rPr>
                  </w:pPr>
                  <w:r>
                    <w:rPr>
                      <w:rFonts w:hint="default" w:ascii="Times New Roman" w:hAnsi="Times New Roman" w:eastAsia="宋体" w:cs="Times New Roman"/>
                      <w:szCs w:val="21"/>
                    </w:rPr>
                    <w:t>成品碳化废气</w:t>
                  </w:r>
                </w:p>
              </w:tc>
              <w:tc>
                <w:tcPr>
                  <w:tcW w:w="1095" w:type="dxa"/>
                  <w:noWrap w:val="0"/>
                  <w:vAlign w:val="center"/>
                </w:tcPr>
                <w:p w14:paraId="4256EECE">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装坩埚</w:t>
                  </w:r>
                </w:p>
              </w:tc>
              <w:tc>
                <w:tcPr>
                  <w:tcW w:w="1054" w:type="dxa"/>
                  <w:noWrap w:val="0"/>
                  <w:vAlign w:val="center"/>
                </w:tcPr>
                <w:p w14:paraId="45B81D7C">
                  <w:pPr>
                    <w:pStyle w:val="94"/>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颗粒物</w:t>
                  </w:r>
                </w:p>
              </w:tc>
              <w:tc>
                <w:tcPr>
                  <w:tcW w:w="1122" w:type="dxa"/>
                  <w:noWrap w:val="0"/>
                  <w:vAlign w:val="center"/>
                </w:tcPr>
                <w:p w14:paraId="0EA08F02">
                  <w:pPr>
                    <w:widowControl/>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0.22</w:t>
                  </w:r>
                </w:p>
              </w:tc>
              <w:tc>
                <w:tcPr>
                  <w:tcW w:w="1563" w:type="dxa"/>
                  <w:noWrap w:val="0"/>
                  <w:vAlign w:val="center"/>
                </w:tcPr>
                <w:p w14:paraId="2697F553">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0.024</w:t>
                  </w:r>
                </w:p>
              </w:tc>
              <w:tc>
                <w:tcPr>
                  <w:tcW w:w="1521" w:type="dxa"/>
                  <w:noWrap w:val="0"/>
                  <w:vAlign w:val="center"/>
                </w:tcPr>
                <w:p w14:paraId="4450B7CE">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0.01</w:t>
                  </w:r>
                </w:p>
              </w:tc>
              <w:tc>
                <w:tcPr>
                  <w:tcW w:w="969" w:type="dxa"/>
                  <w:noWrap w:val="0"/>
                  <w:vAlign w:val="center"/>
                </w:tcPr>
                <w:p w14:paraId="2F99F1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038B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041" w:type="dxa"/>
                  <w:vMerge w:val="continue"/>
                  <w:noWrap w:val="0"/>
                  <w:vAlign w:val="center"/>
                </w:tcPr>
                <w:p w14:paraId="5735C5B7">
                  <w:pPr>
                    <w:jc w:val="center"/>
                    <w:rPr>
                      <w:rFonts w:hint="default" w:ascii="Times New Roman" w:hAnsi="Times New Roman" w:eastAsia="宋体" w:cs="Times New Roman"/>
                      <w:szCs w:val="21"/>
                    </w:rPr>
                  </w:pPr>
                </w:p>
              </w:tc>
              <w:tc>
                <w:tcPr>
                  <w:tcW w:w="1095" w:type="dxa"/>
                  <w:vMerge w:val="restart"/>
                  <w:noWrap w:val="0"/>
                  <w:vAlign w:val="center"/>
                </w:tcPr>
                <w:p w14:paraId="309F3C54">
                  <w:pPr>
                    <w:jc w:val="center"/>
                    <w:rPr>
                      <w:rFonts w:hint="default" w:ascii="Times New Roman" w:hAnsi="Times New Roman" w:eastAsia="宋体" w:cs="Times New Roman"/>
                      <w:szCs w:val="21"/>
                    </w:rPr>
                  </w:pPr>
                  <w:r>
                    <w:rPr>
                      <w:rFonts w:hint="default" w:ascii="Times New Roman" w:hAnsi="Times New Roman" w:eastAsia="宋体" w:cs="Times New Roman"/>
                      <w:szCs w:val="21"/>
                    </w:rPr>
                    <w:t>成品碳化</w:t>
                  </w:r>
                </w:p>
              </w:tc>
              <w:tc>
                <w:tcPr>
                  <w:tcW w:w="1054" w:type="dxa"/>
                  <w:noWrap w:val="0"/>
                  <w:vAlign w:val="center"/>
                </w:tcPr>
                <w:p w14:paraId="4A8D8A7F">
                  <w:pPr>
                    <w:pStyle w:val="94"/>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1122" w:type="dxa"/>
                  <w:noWrap w:val="0"/>
                  <w:vAlign w:val="center"/>
                </w:tcPr>
                <w:p w14:paraId="10CE7290">
                  <w:pPr>
                    <w:widowControl/>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1.0344</w:t>
                  </w:r>
                </w:p>
              </w:tc>
              <w:tc>
                <w:tcPr>
                  <w:tcW w:w="1563" w:type="dxa"/>
                  <w:noWrap w:val="0"/>
                  <w:vAlign w:val="center"/>
                </w:tcPr>
                <w:p w14:paraId="60D6879D">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0.0103</w:t>
                  </w:r>
                </w:p>
              </w:tc>
              <w:tc>
                <w:tcPr>
                  <w:tcW w:w="1521" w:type="dxa"/>
                  <w:noWrap w:val="0"/>
                  <w:vAlign w:val="center"/>
                </w:tcPr>
                <w:p w14:paraId="65D42388">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0.00776</w:t>
                  </w:r>
                </w:p>
              </w:tc>
              <w:tc>
                <w:tcPr>
                  <w:tcW w:w="969" w:type="dxa"/>
                  <w:noWrap w:val="0"/>
                  <w:vAlign w:val="center"/>
                </w:tcPr>
                <w:p w14:paraId="6B4DA7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429A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2EBF07D6">
                  <w:pPr>
                    <w:jc w:val="center"/>
                    <w:rPr>
                      <w:rFonts w:hint="default" w:ascii="Times New Roman" w:hAnsi="Times New Roman" w:eastAsia="宋体" w:cs="Times New Roman"/>
                      <w:szCs w:val="21"/>
                    </w:rPr>
                  </w:pPr>
                </w:p>
              </w:tc>
              <w:tc>
                <w:tcPr>
                  <w:tcW w:w="1095" w:type="dxa"/>
                  <w:vMerge w:val="continue"/>
                  <w:noWrap w:val="0"/>
                  <w:vAlign w:val="center"/>
                </w:tcPr>
                <w:p w14:paraId="4E7BD06E">
                  <w:pPr>
                    <w:jc w:val="center"/>
                    <w:rPr>
                      <w:rFonts w:hint="default" w:ascii="Times New Roman" w:hAnsi="Times New Roman" w:eastAsia="宋体" w:cs="Times New Roman"/>
                      <w:szCs w:val="21"/>
                    </w:rPr>
                  </w:pPr>
                </w:p>
              </w:tc>
              <w:tc>
                <w:tcPr>
                  <w:tcW w:w="1054" w:type="dxa"/>
                  <w:noWrap w:val="0"/>
                  <w:vAlign w:val="center"/>
                </w:tcPr>
                <w:p w14:paraId="56564270">
                  <w:pPr>
                    <w:pStyle w:val="94"/>
                    <w:rPr>
                      <w:rFonts w:hint="default" w:ascii="Times New Roman" w:hAnsi="Times New Roman" w:eastAsia="宋体" w:cs="Times New Roman"/>
                      <w:szCs w:val="21"/>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p>
              </w:tc>
              <w:tc>
                <w:tcPr>
                  <w:tcW w:w="1122" w:type="dxa"/>
                  <w:noWrap w:val="0"/>
                  <w:vAlign w:val="center"/>
                </w:tcPr>
                <w:p w14:paraId="31866F11">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0.0317</w:t>
                  </w:r>
                </w:p>
              </w:tc>
              <w:tc>
                <w:tcPr>
                  <w:tcW w:w="1563" w:type="dxa"/>
                  <w:noWrap w:val="0"/>
                  <w:vAlign w:val="center"/>
                </w:tcPr>
                <w:p w14:paraId="465BDA50">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0.0032</w:t>
                  </w:r>
                </w:p>
              </w:tc>
              <w:tc>
                <w:tcPr>
                  <w:tcW w:w="1521" w:type="dxa"/>
                  <w:noWrap w:val="0"/>
                  <w:vAlign w:val="center"/>
                </w:tcPr>
                <w:p w14:paraId="77ADB5CB">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0.0016</w:t>
                  </w:r>
                </w:p>
              </w:tc>
              <w:tc>
                <w:tcPr>
                  <w:tcW w:w="969" w:type="dxa"/>
                  <w:noWrap w:val="0"/>
                  <w:vAlign w:val="center"/>
                </w:tcPr>
                <w:p w14:paraId="10AAAE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69B2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1041" w:type="dxa"/>
                  <w:vMerge w:val="continue"/>
                  <w:noWrap w:val="0"/>
                  <w:vAlign w:val="center"/>
                </w:tcPr>
                <w:p w14:paraId="0BE1E135">
                  <w:pPr>
                    <w:jc w:val="center"/>
                    <w:rPr>
                      <w:rFonts w:hint="default" w:ascii="Times New Roman" w:hAnsi="Times New Roman" w:eastAsia="宋体" w:cs="Times New Roman"/>
                      <w:szCs w:val="21"/>
                    </w:rPr>
                  </w:pPr>
                </w:p>
              </w:tc>
              <w:tc>
                <w:tcPr>
                  <w:tcW w:w="1095" w:type="dxa"/>
                  <w:vMerge w:val="continue"/>
                  <w:noWrap w:val="0"/>
                  <w:vAlign w:val="center"/>
                </w:tcPr>
                <w:p w14:paraId="5EA496FF">
                  <w:pPr>
                    <w:jc w:val="center"/>
                    <w:rPr>
                      <w:rFonts w:hint="default" w:ascii="Times New Roman" w:hAnsi="Times New Roman" w:eastAsia="宋体" w:cs="Times New Roman"/>
                      <w:szCs w:val="21"/>
                    </w:rPr>
                  </w:pPr>
                </w:p>
              </w:tc>
              <w:tc>
                <w:tcPr>
                  <w:tcW w:w="1054" w:type="dxa"/>
                  <w:noWrap w:val="0"/>
                  <w:vAlign w:val="center"/>
                </w:tcPr>
                <w:p w14:paraId="15FBA507">
                  <w:pPr>
                    <w:pStyle w:val="94"/>
                    <w:rPr>
                      <w:rFonts w:hint="default" w:ascii="Times New Roman" w:hAnsi="Times New Roman" w:eastAsia="宋体" w:cs="Times New Roman"/>
                      <w:szCs w:val="21"/>
                    </w:rPr>
                  </w:pPr>
                  <w:r>
                    <w:rPr>
                      <w:rFonts w:hint="default" w:ascii="Times New Roman" w:hAnsi="Times New Roman" w:eastAsia="宋体" w:cs="Times New Roman"/>
                      <w:szCs w:val="21"/>
                    </w:rPr>
                    <w:t>NOx</w:t>
                  </w:r>
                </w:p>
              </w:tc>
              <w:tc>
                <w:tcPr>
                  <w:tcW w:w="1122" w:type="dxa"/>
                  <w:noWrap w:val="0"/>
                  <w:vAlign w:val="center"/>
                </w:tcPr>
                <w:p w14:paraId="51A69785">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0.5028</w:t>
                  </w:r>
                </w:p>
              </w:tc>
              <w:tc>
                <w:tcPr>
                  <w:tcW w:w="1563" w:type="dxa"/>
                  <w:noWrap w:val="0"/>
                  <w:vAlign w:val="center"/>
                </w:tcPr>
                <w:p w14:paraId="1C859348">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0.5028</w:t>
                  </w:r>
                </w:p>
              </w:tc>
              <w:tc>
                <w:tcPr>
                  <w:tcW w:w="1521" w:type="dxa"/>
                  <w:noWrap w:val="0"/>
                  <w:vAlign w:val="center"/>
                </w:tcPr>
                <w:p w14:paraId="38AD7396">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0.2514</w:t>
                  </w:r>
                </w:p>
              </w:tc>
              <w:tc>
                <w:tcPr>
                  <w:tcW w:w="969" w:type="dxa"/>
                  <w:noWrap w:val="0"/>
                  <w:vAlign w:val="center"/>
                </w:tcPr>
                <w:p w14:paraId="6D352E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5822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jc w:val="center"/>
              </w:trPr>
              <w:tc>
                <w:tcPr>
                  <w:tcW w:w="1041" w:type="dxa"/>
                  <w:vMerge w:val="continue"/>
                  <w:noWrap w:val="0"/>
                  <w:vAlign w:val="center"/>
                </w:tcPr>
                <w:p w14:paraId="35E48844">
                  <w:pPr>
                    <w:jc w:val="center"/>
                    <w:rPr>
                      <w:rFonts w:hint="default" w:ascii="Times New Roman" w:hAnsi="Times New Roman" w:eastAsia="宋体" w:cs="Times New Roman"/>
                      <w:szCs w:val="21"/>
                    </w:rPr>
                  </w:pPr>
                </w:p>
              </w:tc>
              <w:tc>
                <w:tcPr>
                  <w:tcW w:w="1095" w:type="dxa"/>
                  <w:vMerge w:val="continue"/>
                  <w:noWrap w:val="0"/>
                  <w:vAlign w:val="center"/>
                </w:tcPr>
                <w:p w14:paraId="61AA4259">
                  <w:pPr>
                    <w:jc w:val="center"/>
                    <w:rPr>
                      <w:rFonts w:hint="default" w:ascii="Times New Roman" w:hAnsi="Times New Roman" w:eastAsia="宋体" w:cs="Times New Roman"/>
                      <w:szCs w:val="21"/>
                    </w:rPr>
                  </w:pPr>
                </w:p>
              </w:tc>
              <w:tc>
                <w:tcPr>
                  <w:tcW w:w="1054" w:type="dxa"/>
                  <w:noWrap w:val="0"/>
                  <w:vAlign w:val="center"/>
                </w:tcPr>
                <w:p w14:paraId="7793A4A4">
                  <w:pPr>
                    <w:pStyle w:val="94"/>
                    <w:rPr>
                      <w:rFonts w:hint="default" w:ascii="Times New Roman" w:hAnsi="Times New Roman" w:eastAsia="宋体" w:cs="Times New Roman"/>
                      <w:szCs w:val="21"/>
                    </w:rPr>
                  </w:pPr>
                  <w:r>
                    <w:rPr>
                      <w:rFonts w:hint="default" w:ascii="Times New Roman" w:hAnsi="Times New Roman" w:eastAsia="宋体" w:cs="Times New Roman"/>
                      <w:szCs w:val="21"/>
                    </w:rPr>
                    <w:t>苯并芘</w:t>
                  </w:r>
                </w:p>
              </w:tc>
              <w:tc>
                <w:tcPr>
                  <w:tcW w:w="1122" w:type="dxa"/>
                  <w:noWrap w:val="0"/>
                  <w:vAlign w:val="center"/>
                </w:tcPr>
                <w:p w14:paraId="263EC553">
                  <w:pPr>
                    <w:widowControl/>
                    <w:jc w:val="center"/>
                    <w:textAlignment w:val="center"/>
                    <w:rPr>
                      <w:rFonts w:hint="eastAsia"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2.5</w:t>
                  </w:r>
                  <w:r>
                    <w:rPr>
                      <w:rFonts w:hint="default" w:ascii="Times New Roman" w:hAnsi="Times New Roman" w:eastAsia="宋体" w:cs="Times New Roman"/>
                      <w:color w:val="000000"/>
                      <w:kern w:val="0"/>
                      <w:szCs w:val="21"/>
                      <w:lang w:bidi="ar"/>
                    </w:rPr>
                    <w:t>*10</w:t>
                  </w:r>
                  <w:r>
                    <w:rPr>
                      <w:rFonts w:hint="default" w:ascii="Times New Roman" w:hAnsi="Times New Roman" w:eastAsia="宋体" w:cs="Times New Roman"/>
                      <w:color w:val="000000"/>
                      <w:kern w:val="0"/>
                      <w:szCs w:val="21"/>
                      <w:vertAlign w:val="superscript"/>
                      <w:lang w:bidi="ar"/>
                    </w:rPr>
                    <w:t>-</w:t>
                  </w:r>
                  <w:r>
                    <w:rPr>
                      <w:rFonts w:hint="eastAsia" w:ascii="Times New Roman" w:hAnsi="Times New Roman" w:cs="Times New Roman"/>
                      <w:color w:val="000000"/>
                      <w:kern w:val="0"/>
                      <w:szCs w:val="21"/>
                      <w:vertAlign w:val="superscript"/>
                      <w:lang w:val="en-US" w:eastAsia="zh-CN" w:bidi="ar"/>
                    </w:rPr>
                    <w:t>5</w:t>
                  </w:r>
                </w:p>
              </w:tc>
              <w:tc>
                <w:tcPr>
                  <w:tcW w:w="1563" w:type="dxa"/>
                  <w:noWrap w:val="0"/>
                  <w:vAlign w:val="center"/>
                </w:tcPr>
                <w:p w14:paraId="19276215">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5</w:t>
                  </w:r>
                  <w:r>
                    <w:rPr>
                      <w:rFonts w:hint="default" w:ascii="Times New Roman" w:hAnsi="Times New Roman" w:eastAsia="宋体" w:cs="Times New Roman"/>
                      <w:kern w:val="0"/>
                      <w:szCs w:val="21"/>
                    </w:rPr>
                    <w:t>*10</w:t>
                  </w:r>
                  <w:r>
                    <w:rPr>
                      <w:rFonts w:hint="default" w:ascii="Times New Roman" w:hAnsi="Times New Roman" w:eastAsia="宋体" w:cs="Times New Roman"/>
                      <w:kern w:val="0"/>
                      <w:szCs w:val="21"/>
                      <w:vertAlign w:val="superscript"/>
                    </w:rPr>
                    <w:t>-</w:t>
                  </w:r>
                  <w:r>
                    <w:rPr>
                      <w:rFonts w:hint="eastAsia" w:ascii="Times New Roman" w:hAnsi="Times New Roman" w:cs="Times New Roman"/>
                      <w:kern w:val="0"/>
                      <w:szCs w:val="21"/>
                      <w:vertAlign w:val="superscript"/>
                      <w:lang w:val="en-US" w:eastAsia="zh-CN"/>
                    </w:rPr>
                    <w:t>6</w:t>
                  </w:r>
                </w:p>
              </w:tc>
              <w:tc>
                <w:tcPr>
                  <w:tcW w:w="1521" w:type="dxa"/>
                  <w:noWrap w:val="0"/>
                  <w:vAlign w:val="center"/>
                </w:tcPr>
                <w:p w14:paraId="2F1DB21A">
                  <w:pPr>
                    <w:keepNext w:val="0"/>
                    <w:keepLines w:val="0"/>
                    <w:widowControl/>
                    <w:suppressLineNumbers w:val="0"/>
                    <w:jc w:val="center"/>
                    <w:textAlignment w:val="center"/>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2.5</w:t>
                  </w:r>
                  <w:r>
                    <w:rPr>
                      <w:rFonts w:hint="default" w:ascii="Times New Roman" w:hAnsi="Times New Roman" w:eastAsia="宋体" w:cs="Times New Roman"/>
                      <w:kern w:val="0"/>
                      <w:szCs w:val="21"/>
                    </w:rPr>
                    <w:t>*10</w:t>
                  </w:r>
                  <w:r>
                    <w:rPr>
                      <w:rFonts w:hint="default" w:ascii="Times New Roman" w:hAnsi="Times New Roman" w:eastAsia="宋体" w:cs="Times New Roman"/>
                      <w:kern w:val="0"/>
                      <w:szCs w:val="21"/>
                      <w:vertAlign w:val="superscript"/>
                    </w:rPr>
                    <w:t>-</w:t>
                  </w:r>
                  <w:r>
                    <w:rPr>
                      <w:rFonts w:hint="eastAsia" w:ascii="Times New Roman" w:hAnsi="Times New Roman" w:cs="Times New Roman"/>
                      <w:kern w:val="0"/>
                      <w:szCs w:val="21"/>
                      <w:vertAlign w:val="superscript"/>
                      <w:lang w:val="en-US" w:eastAsia="zh-CN"/>
                    </w:rPr>
                    <w:t>6</w:t>
                  </w:r>
                </w:p>
              </w:tc>
              <w:tc>
                <w:tcPr>
                  <w:tcW w:w="969" w:type="dxa"/>
                  <w:noWrap w:val="0"/>
                  <w:vAlign w:val="center"/>
                </w:tcPr>
                <w:p w14:paraId="5A332D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1468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66606D45">
                  <w:pPr>
                    <w:jc w:val="center"/>
                    <w:rPr>
                      <w:rFonts w:hint="default" w:ascii="Times New Roman" w:hAnsi="Times New Roman" w:eastAsia="宋体" w:cs="Times New Roman"/>
                      <w:szCs w:val="21"/>
                    </w:rPr>
                  </w:pPr>
                </w:p>
              </w:tc>
              <w:tc>
                <w:tcPr>
                  <w:tcW w:w="1095" w:type="dxa"/>
                  <w:vMerge w:val="continue"/>
                  <w:noWrap w:val="0"/>
                  <w:vAlign w:val="center"/>
                </w:tcPr>
                <w:p w14:paraId="6DBC0C77">
                  <w:pPr>
                    <w:jc w:val="center"/>
                    <w:rPr>
                      <w:rFonts w:hint="default" w:ascii="Times New Roman" w:hAnsi="Times New Roman" w:eastAsia="宋体" w:cs="Times New Roman"/>
                      <w:szCs w:val="21"/>
                    </w:rPr>
                  </w:pPr>
                </w:p>
              </w:tc>
              <w:tc>
                <w:tcPr>
                  <w:tcW w:w="1054" w:type="dxa"/>
                  <w:noWrap w:val="0"/>
                  <w:vAlign w:val="center"/>
                </w:tcPr>
                <w:p w14:paraId="7DECEA71">
                  <w:pPr>
                    <w:pStyle w:val="94"/>
                    <w:rPr>
                      <w:rFonts w:hint="default" w:ascii="Times New Roman" w:hAnsi="Times New Roman" w:eastAsia="宋体" w:cs="Times New Roman"/>
                      <w:szCs w:val="21"/>
                    </w:rPr>
                  </w:pPr>
                  <w:r>
                    <w:rPr>
                      <w:rFonts w:hint="default" w:ascii="Times New Roman" w:hAnsi="Times New Roman" w:eastAsia="宋体" w:cs="Times New Roman"/>
                      <w:szCs w:val="21"/>
                    </w:rPr>
                    <w:t>挥发性有机物</w:t>
                  </w:r>
                </w:p>
              </w:tc>
              <w:tc>
                <w:tcPr>
                  <w:tcW w:w="1122" w:type="dxa"/>
                  <w:noWrap w:val="0"/>
                  <w:vAlign w:val="center"/>
                </w:tcPr>
                <w:p w14:paraId="58128C24">
                  <w:pPr>
                    <w:widowControl/>
                    <w:jc w:val="center"/>
                    <w:textAlignment w:val="center"/>
                    <w:rPr>
                      <w:rFonts w:hint="eastAsia"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Cs w:val="21"/>
                      <w:lang w:bidi="ar"/>
                    </w:rPr>
                    <w:t>8.2</w:t>
                  </w:r>
                  <w:r>
                    <w:rPr>
                      <w:rFonts w:hint="eastAsia" w:ascii="Times New Roman" w:hAnsi="Times New Roman" w:cs="Times New Roman"/>
                      <w:color w:val="000000"/>
                      <w:kern w:val="0"/>
                      <w:szCs w:val="21"/>
                      <w:lang w:val="en-US" w:eastAsia="zh-CN" w:bidi="ar"/>
                    </w:rPr>
                    <w:t>6</w:t>
                  </w:r>
                </w:p>
              </w:tc>
              <w:tc>
                <w:tcPr>
                  <w:tcW w:w="1563" w:type="dxa"/>
                  <w:noWrap w:val="0"/>
                  <w:vAlign w:val="center"/>
                </w:tcPr>
                <w:p w14:paraId="1F13552F">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1.652</w:t>
                  </w:r>
                </w:p>
              </w:tc>
              <w:tc>
                <w:tcPr>
                  <w:tcW w:w="1521" w:type="dxa"/>
                  <w:noWrap w:val="0"/>
                  <w:vAlign w:val="center"/>
                </w:tcPr>
                <w:p w14:paraId="3CF8E7B4">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0.826000</w:t>
                  </w:r>
                </w:p>
              </w:tc>
              <w:tc>
                <w:tcPr>
                  <w:tcW w:w="969" w:type="dxa"/>
                  <w:noWrap w:val="0"/>
                  <w:vAlign w:val="center"/>
                </w:tcPr>
                <w:p w14:paraId="46534B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6C38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53E76227">
                  <w:pPr>
                    <w:jc w:val="center"/>
                    <w:rPr>
                      <w:rFonts w:hint="default" w:ascii="Times New Roman" w:hAnsi="Times New Roman" w:eastAsia="宋体" w:cs="Times New Roman"/>
                      <w:szCs w:val="21"/>
                    </w:rPr>
                  </w:pPr>
                </w:p>
              </w:tc>
              <w:tc>
                <w:tcPr>
                  <w:tcW w:w="1095" w:type="dxa"/>
                  <w:vMerge w:val="continue"/>
                  <w:noWrap w:val="0"/>
                  <w:vAlign w:val="center"/>
                </w:tcPr>
                <w:p w14:paraId="411049B4">
                  <w:pPr>
                    <w:jc w:val="center"/>
                    <w:rPr>
                      <w:rFonts w:hint="default" w:ascii="Times New Roman" w:hAnsi="Times New Roman" w:eastAsia="宋体" w:cs="Times New Roman"/>
                      <w:szCs w:val="21"/>
                    </w:rPr>
                  </w:pPr>
                </w:p>
              </w:tc>
              <w:tc>
                <w:tcPr>
                  <w:tcW w:w="1054" w:type="dxa"/>
                  <w:noWrap w:val="0"/>
                  <w:vAlign w:val="center"/>
                </w:tcPr>
                <w:p w14:paraId="72C7527D">
                  <w:pPr>
                    <w:pStyle w:val="94"/>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沥青烟</w:t>
                  </w:r>
                </w:p>
              </w:tc>
              <w:tc>
                <w:tcPr>
                  <w:tcW w:w="1122" w:type="dxa"/>
                  <w:noWrap w:val="0"/>
                  <w:vAlign w:val="center"/>
                </w:tcPr>
                <w:p w14:paraId="5132DA2C">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eastAsia="宋体" w:cs="Times New Roman"/>
                      <w:color w:val="000000"/>
                      <w:kern w:val="0"/>
                      <w:szCs w:val="21"/>
                      <w:lang w:val="en-US" w:eastAsia="zh-CN" w:bidi="ar"/>
                    </w:rPr>
                    <w:t>0.1125</w:t>
                  </w:r>
                </w:p>
              </w:tc>
              <w:tc>
                <w:tcPr>
                  <w:tcW w:w="1563" w:type="dxa"/>
                  <w:noWrap w:val="0"/>
                  <w:vAlign w:val="center"/>
                </w:tcPr>
                <w:p w14:paraId="0FEF06DF">
                  <w:pPr>
                    <w:widowControl/>
                    <w:jc w:val="center"/>
                    <w:textAlignment w:val="center"/>
                    <w:rPr>
                      <w:rFonts w:hint="eastAsia" w:ascii="Times New Roman" w:hAnsi="Times New Roman" w:cs="Times New Roman"/>
                      <w:color w:val="000000"/>
                      <w:kern w:val="0"/>
                      <w:szCs w:val="21"/>
                      <w:lang w:val="en-US" w:eastAsia="zh-CN" w:bidi="ar"/>
                    </w:rPr>
                  </w:pPr>
                  <w:r>
                    <w:rPr>
                      <w:rFonts w:hint="eastAsia" w:ascii="Times New Roman" w:hAnsi="Times New Roman" w:eastAsia="宋体" w:cs="Times New Roman"/>
                      <w:color w:val="000000"/>
                      <w:kern w:val="0"/>
                      <w:szCs w:val="21"/>
                      <w:lang w:val="en-US" w:eastAsia="zh-CN" w:bidi="ar"/>
                    </w:rPr>
                    <w:t>0.00225</w:t>
                  </w:r>
                </w:p>
              </w:tc>
              <w:tc>
                <w:tcPr>
                  <w:tcW w:w="1521" w:type="dxa"/>
                  <w:noWrap w:val="0"/>
                  <w:vAlign w:val="center"/>
                </w:tcPr>
                <w:p w14:paraId="74BACF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0.00113</w:t>
                  </w:r>
                </w:p>
              </w:tc>
              <w:tc>
                <w:tcPr>
                  <w:tcW w:w="969" w:type="dxa"/>
                  <w:noWrap w:val="0"/>
                  <w:vAlign w:val="center"/>
                </w:tcPr>
                <w:p w14:paraId="4BCFA39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r w14:paraId="7303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41" w:type="dxa"/>
                  <w:vMerge w:val="continue"/>
                  <w:noWrap w:val="0"/>
                  <w:vAlign w:val="center"/>
                </w:tcPr>
                <w:p w14:paraId="12C11A94">
                  <w:pPr>
                    <w:jc w:val="center"/>
                    <w:rPr>
                      <w:rFonts w:hint="default" w:ascii="Times New Roman" w:hAnsi="Times New Roman" w:eastAsia="宋体" w:cs="Times New Roman"/>
                      <w:szCs w:val="21"/>
                    </w:rPr>
                  </w:pPr>
                </w:p>
              </w:tc>
              <w:tc>
                <w:tcPr>
                  <w:tcW w:w="1095" w:type="dxa"/>
                  <w:vMerge w:val="continue"/>
                  <w:noWrap w:val="0"/>
                  <w:vAlign w:val="center"/>
                </w:tcPr>
                <w:p w14:paraId="37D4C6B4">
                  <w:pPr>
                    <w:jc w:val="center"/>
                    <w:rPr>
                      <w:rFonts w:hint="default" w:ascii="Times New Roman" w:hAnsi="Times New Roman" w:eastAsia="宋体" w:cs="Times New Roman"/>
                      <w:szCs w:val="21"/>
                    </w:rPr>
                  </w:pPr>
                </w:p>
              </w:tc>
              <w:tc>
                <w:tcPr>
                  <w:tcW w:w="1054" w:type="dxa"/>
                  <w:noWrap w:val="0"/>
                  <w:vAlign w:val="center"/>
                </w:tcPr>
                <w:p w14:paraId="4EADE751">
                  <w:pPr>
                    <w:pStyle w:val="94"/>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包装</w:t>
                  </w:r>
                  <w:r>
                    <w:rPr>
                      <w:rFonts w:hint="default" w:ascii="Times New Roman" w:hAnsi="Times New Roman" w:eastAsia="宋体" w:cs="Times New Roman"/>
                      <w:szCs w:val="21"/>
                    </w:rPr>
                    <w:t>颗粒物</w:t>
                  </w:r>
                </w:p>
              </w:tc>
              <w:tc>
                <w:tcPr>
                  <w:tcW w:w="1122" w:type="dxa"/>
                  <w:noWrap w:val="0"/>
                  <w:vAlign w:val="center"/>
                </w:tcPr>
                <w:p w14:paraId="692E290F">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0.22</w:t>
                  </w:r>
                </w:p>
              </w:tc>
              <w:tc>
                <w:tcPr>
                  <w:tcW w:w="1563" w:type="dxa"/>
                  <w:noWrap w:val="0"/>
                  <w:vAlign w:val="center"/>
                </w:tcPr>
                <w:p w14:paraId="68F4E85A">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0.0022</w:t>
                  </w:r>
                </w:p>
              </w:tc>
              <w:tc>
                <w:tcPr>
                  <w:tcW w:w="1521" w:type="dxa"/>
                  <w:noWrap w:val="0"/>
                  <w:vAlign w:val="center"/>
                </w:tcPr>
                <w:p w14:paraId="0DCCD9D1">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0.01</w:t>
                  </w:r>
                </w:p>
              </w:tc>
              <w:tc>
                <w:tcPr>
                  <w:tcW w:w="969" w:type="dxa"/>
                  <w:noWrap w:val="0"/>
                  <w:vAlign w:val="center"/>
                </w:tcPr>
                <w:p w14:paraId="7E85BC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已建</w:t>
                  </w:r>
                </w:p>
              </w:tc>
            </w:tr>
          </w:tbl>
          <w:p w14:paraId="377DB3C4">
            <w:pPr>
              <w:pStyle w:val="81"/>
              <w:keepNext w:val="0"/>
              <w:keepLines w:val="0"/>
              <w:pageBreakBefore w:val="0"/>
              <w:widowControl/>
              <w:numPr>
                <w:ilvl w:val="0"/>
                <w:numId w:val="0"/>
              </w:numPr>
              <w:kinsoku/>
              <w:wordWrap/>
              <w:overflowPunct/>
              <w:topLinePunct w:val="0"/>
              <w:autoSpaceDE/>
              <w:autoSpaceDN/>
              <w:bidi w:val="0"/>
              <w:adjustRightInd/>
              <w:snapToGrid/>
              <w:spacing w:before="157" w:beforeLines="50" w:line="360" w:lineRule="auto"/>
              <w:ind w:right="91" w:rightChars="0" w:firstLine="460" w:firstLineChars="200"/>
              <w:jc w:val="left"/>
              <w:textAlignment w:val="auto"/>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根据上表可知，本项目建成前后现有项目废气污染物排放见下表。</w:t>
            </w:r>
          </w:p>
          <w:p w14:paraId="609904F5">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spacing w:before="157" w:beforeLines="50"/>
              <w:ind w:left="0" w:leftChars="0" w:firstLine="420" w:firstLineChars="0"/>
              <w:jc w:val="center"/>
              <w:textAlignment w:val="auto"/>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现有项目总量表</w:t>
            </w:r>
          </w:p>
          <w:tbl>
            <w:tblPr>
              <w:tblStyle w:val="31"/>
              <w:tblW w:w="8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3"/>
              <w:gridCol w:w="2136"/>
              <w:gridCol w:w="1995"/>
              <w:gridCol w:w="2187"/>
            </w:tblGrid>
            <w:tr w14:paraId="5DCE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993" w:type="dxa"/>
                  <w:tcBorders>
                    <w:top w:val="single" w:color="auto" w:sz="4" w:space="0"/>
                    <w:left w:val="single" w:color="auto" w:sz="4" w:space="0"/>
                    <w:tl2br w:val="single" w:color="auto" w:sz="4" w:space="0"/>
                  </w:tcBorders>
                  <w:noWrap w:val="0"/>
                  <w:vAlign w:val="center"/>
                </w:tcPr>
                <w:p w14:paraId="6AF9740D">
                  <w:pPr>
                    <w:pStyle w:val="94"/>
                    <w:jc w:val="right"/>
                    <w:rPr>
                      <w:szCs w:val="21"/>
                    </w:rPr>
                  </w:pPr>
                  <w:r>
                    <w:rPr>
                      <w:szCs w:val="21"/>
                    </w:rPr>
                    <w:t>项目</w:t>
                  </w:r>
                </w:p>
                <w:p w14:paraId="4CF0AC24">
                  <w:pPr>
                    <w:pStyle w:val="94"/>
                    <w:jc w:val="left"/>
                    <w:rPr>
                      <w:szCs w:val="21"/>
                    </w:rPr>
                  </w:pPr>
                  <w:r>
                    <w:rPr>
                      <w:szCs w:val="21"/>
                    </w:rPr>
                    <w:t>计算项目</w:t>
                  </w:r>
                </w:p>
              </w:tc>
              <w:tc>
                <w:tcPr>
                  <w:tcW w:w="2136" w:type="dxa"/>
                  <w:tcBorders>
                    <w:top w:val="single" w:color="auto" w:sz="4" w:space="0"/>
                  </w:tcBorders>
                  <w:noWrap w:val="0"/>
                  <w:vAlign w:val="center"/>
                </w:tcPr>
                <w:p w14:paraId="6E297A1B">
                  <w:pPr>
                    <w:pStyle w:val="94"/>
                    <w:rPr>
                      <w:rFonts w:hint="default"/>
                      <w:szCs w:val="21"/>
                      <w:lang w:val="en-US" w:eastAsia="zh-CN"/>
                    </w:rPr>
                  </w:pPr>
                  <w:r>
                    <w:rPr>
                      <w:rFonts w:hint="eastAsia"/>
                      <w:szCs w:val="21"/>
                      <w:lang w:val="en-US" w:eastAsia="zh-CN"/>
                    </w:rPr>
                    <w:t>现有项目环评拟排放总量（t/a）</w:t>
                  </w:r>
                </w:p>
              </w:tc>
              <w:tc>
                <w:tcPr>
                  <w:tcW w:w="1995" w:type="dxa"/>
                  <w:tcBorders>
                    <w:top w:val="single" w:color="auto" w:sz="4" w:space="0"/>
                  </w:tcBorders>
                  <w:noWrap w:val="0"/>
                  <w:vAlign w:val="center"/>
                </w:tcPr>
                <w:p w14:paraId="1C6BC2B1">
                  <w:pPr>
                    <w:pStyle w:val="94"/>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本项目建成后排放总量（t/a）</w:t>
                  </w:r>
                </w:p>
              </w:tc>
              <w:tc>
                <w:tcPr>
                  <w:tcW w:w="2187" w:type="dxa"/>
                  <w:tcBorders>
                    <w:top w:val="single" w:color="auto" w:sz="4" w:space="0"/>
                  </w:tcBorders>
                  <w:noWrap w:val="0"/>
                  <w:vAlign w:val="center"/>
                </w:tcPr>
                <w:p w14:paraId="3CFE325D">
                  <w:pPr>
                    <w:pStyle w:val="94"/>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“以新带老”削减量（t/a）</w:t>
                  </w:r>
                </w:p>
              </w:tc>
            </w:tr>
            <w:tr w14:paraId="2EA0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993" w:type="dxa"/>
                  <w:noWrap w:val="0"/>
                  <w:vAlign w:val="center"/>
                </w:tcPr>
                <w:p w14:paraId="7DF5E214">
                  <w:pPr>
                    <w:pStyle w:val="94"/>
                    <w:rPr>
                      <w:szCs w:val="21"/>
                    </w:rPr>
                  </w:pPr>
                  <w:r>
                    <w:rPr>
                      <w:rFonts w:hint="eastAsia"/>
                      <w:szCs w:val="21"/>
                    </w:rPr>
                    <w:t>SO</w:t>
                  </w:r>
                  <w:r>
                    <w:rPr>
                      <w:szCs w:val="21"/>
                      <w:vertAlign w:val="subscript"/>
                    </w:rPr>
                    <w:t>2</w:t>
                  </w:r>
                </w:p>
              </w:tc>
              <w:tc>
                <w:tcPr>
                  <w:tcW w:w="2136" w:type="dxa"/>
                  <w:noWrap w:val="0"/>
                  <w:vAlign w:val="center"/>
                </w:tcPr>
                <w:p w14:paraId="30F99236">
                  <w:pPr>
                    <w:widowControl/>
                    <w:jc w:val="center"/>
                    <w:textAlignment w:val="center"/>
                    <w:rPr>
                      <w:rFonts w:hint="default"/>
                      <w:kern w:val="2"/>
                      <w:sz w:val="21"/>
                      <w:szCs w:val="21"/>
                      <w:lang w:val="en-US" w:eastAsia="zh-CN" w:bidi="ar-SA"/>
                    </w:rPr>
                  </w:pPr>
                  <w:r>
                    <w:rPr>
                      <w:rFonts w:hint="eastAsia"/>
                      <w:color w:val="000000"/>
                      <w:kern w:val="0"/>
                      <w:szCs w:val="21"/>
                      <w:lang w:val="en-US" w:eastAsia="zh-CN" w:bidi="ar"/>
                    </w:rPr>
                    <w:t>2.0244</w:t>
                  </w:r>
                </w:p>
              </w:tc>
              <w:tc>
                <w:tcPr>
                  <w:tcW w:w="1995" w:type="dxa"/>
                  <w:noWrap w:val="0"/>
                  <w:vAlign w:val="center"/>
                </w:tcPr>
                <w:p w14:paraId="7C611BE5">
                  <w:pPr>
                    <w:keepNext w:val="0"/>
                    <w:keepLines w:val="0"/>
                    <w:widowControl/>
                    <w:suppressLineNumbers w:val="0"/>
                    <w:jc w:val="center"/>
                    <w:textAlignment w:val="center"/>
                    <w:rPr>
                      <w:rFonts w:hint="eastAsia"/>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0.0016</w:t>
                  </w:r>
                </w:p>
              </w:tc>
              <w:tc>
                <w:tcPr>
                  <w:tcW w:w="2187" w:type="dxa"/>
                  <w:noWrap w:val="0"/>
                  <w:vAlign w:val="center"/>
                </w:tcPr>
                <w:p w14:paraId="37458382">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2.0228</w:t>
                  </w:r>
                </w:p>
              </w:tc>
            </w:tr>
            <w:tr w14:paraId="3F70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993" w:type="dxa"/>
                  <w:noWrap w:val="0"/>
                  <w:vAlign w:val="center"/>
                </w:tcPr>
                <w:p w14:paraId="71DE686F">
                  <w:pPr>
                    <w:pStyle w:val="94"/>
                    <w:rPr>
                      <w:szCs w:val="21"/>
                    </w:rPr>
                  </w:pPr>
                  <w:r>
                    <w:rPr>
                      <w:rFonts w:hint="eastAsia"/>
                      <w:szCs w:val="21"/>
                    </w:rPr>
                    <w:t>NOx</w:t>
                  </w:r>
                </w:p>
              </w:tc>
              <w:tc>
                <w:tcPr>
                  <w:tcW w:w="2136" w:type="dxa"/>
                  <w:noWrap w:val="0"/>
                  <w:vAlign w:val="center"/>
                </w:tcPr>
                <w:p w14:paraId="5D641555">
                  <w:pPr>
                    <w:widowControl/>
                    <w:jc w:val="center"/>
                    <w:textAlignment w:val="center"/>
                    <w:rPr>
                      <w:rFonts w:hint="default" w:eastAsia="宋体"/>
                      <w:kern w:val="2"/>
                      <w:sz w:val="21"/>
                      <w:szCs w:val="21"/>
                      <w:lang w:val="en-US" w:eastAsia="zh-CN" w:bidi="ar-SA"/>
                    </w:rPr>
                  </w:pPr>
                  <w:r>
                    <w:rPr>
                      <w:rFonts w:hint="eastAsia"/>
                      <w:color w:val="000000"/>
                      <w:kern w:val="0"/>
                      <w:szCs w:val="21"/>
                      <w:lang w:val="en-US" w:eastAsia="zh-CN" w:bidi="ar"/>
                    </w:rPr>
                    <w:t>1.5697</w:t>
                  </w:r>
                </w:p>
              </w:tc>
              <w:tc>
                <w:tcPr>
                  <w:tcW w:w="1995" w:type="dxa"/>
                  <w:noWrap w:val="0"/>
                  <w:vAlign w:val="center"/>
                </w:tcPr>
                <w:p w14:paraId="685E67BD">
                  <w:pPr>
                    <w:keepNext w:val="0"/>
                    <w:keepLines w:val="0"/>
                    <w:widowControl/>
                    <w:suppressLineNumbers w:val="0"/>
                    <w:jc w:val="center"/>
                    <w:textAlignment w:val="center"/>
                    <w:rPr>
                      <w:rFonts w:hint="eastAsia"/>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0.2514</w:t>
                  </w:r>
                </w:p>
              </w:tc>
              <w:tc>
                <w:tcPr>
                  <w:tcW w:w="2187" w:type="dxa"/>
                  <w:noWrap w:val="0"/>
                  <w:vAlign w:val="center"/>
                </w:tcPr>
                <w:p w14:paraId="41582407">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1.3183</w:t>
                  </w:r>
                </w:p>
              </w:tc>
            </w:tr>
            <w:tr w14:paraId="2651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93" w:type="dxa"/>
                  <w:noWrap w:val="0"/>
                  <w:vAlign w:val="center"/>
                </w:tcPr>
                <w:p w14:paraId="5AE07667">
                  <w:pPr>
                    <w:pStyle w:val="94"/>
                    <w:rPr>
                      <w:szCs w:val="21"/>
                    </w:rPr>
                  </w:pPr>
                  <w:r>
                    <w:rPr>
                      <w:szCs w:val="21"/>
                    </w:rPr>
                    <w:t>颗粒物(t/a)</w:t>
                  </w:r>
                </w:p>
              </w:tc>
              <w:tc>
                <w:tcPr>
                  <w:tcW w:w="2136" w:type="dxa"/>
                  <w:noWrap w:val="0"/>
                  <w:vAlign w:val="top"/>
                </w:tcPr>
                <w:p w14:paraId="20D548E1">
                  <w:pPr>
                    <w:pStyle w:val="94"/>
                    <w:ind w:firstLine="0" w:firstLineChars="0"/>
                    <w:rPr>
                      <w:rFonts w:hint="default" w:eastAsia="宋体"/>
                      <w:kern w:val="0"/>
                      <w:sz w:val="21"/>
                      <w:szCs w:val="21"/>
                      <w:lang w:val="en-US" w:eastAsia="zh-CN" w:bidi="ar-SA"/>
                    </w:rPr>
                  </w:pPr>
                  <w:r>
                    <w:rPr>
                      <w:rFonts w:hint="eastAsia"/>
                      <w:szCs w:val="21"/>
                      <w:lang w:val="en-US" w:eastAsia="zh-CN"/>
                    </w:rPr>
                    <w:t>0.6006</w:t>
                  </w:r>
                </w:p>
              </w:tc>
              <w:tc>
                <w:tcPr>
                  <w:tcW w:w="1995" w:type="dxa"/>
                  <w:noWrap w:val="0"/>
                  <w:vAlign w:val="top"/>
                </w:tcPr>
                <w:p w14:paraId="6A020DE7">
                  <w:pPr>
                    <w:pStyle w:val="94"/>
                    <w:ind w:firstLine="0" w:firstLineChars="0"/>
                    <w:rPr>
                      <w:rFonts w:hint="default"/>
                      <w:kern w:val="0"/>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0.1753</w:t>
                  </w:r>
                </w:p>
              </w:tc>
              <w:tc>
                <w:tcPr>
                  <w:tcW w:w="2187" w:type="dxa"/>
                  <w:noWrap w:val="0"/>
                  <w:vAlign w:val="center"/>
                </w:tcPr>
                <w:p w14:paraId="31FF3D98">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0.4253</w:t>
                  </w:r>
                </w:p>
              </w:tc>
            </w:tr>
            <w:tr w14:paraId="41B8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993" w:type="dxa"/>
                  <w:noWrap w:val="0"/>
                  <w:vAlign w:val="center"/>
                </w:tcPr>
                <w:p w14:paraId="7B1060FE">
                  <w:pPr>
                    <w:pStyle w:val="94"/>
                    <w:rPr>
                      <w:szCs w:val="21"/>
                    </w:rPr>
                  </w:pPr>
                  <w:r>
                    <w:rPr>
                      <w:rFonts w:hint="eastAsia"/>
                      <w:szCs w:val="21"/>
                    </w:rPr>
                    <w:t>苯并芘</w:t>
                  </w:r>
                </w:p>
              </w:tc>
              <w:tc>
                <w:tcPr>
                  <w:tcW w:w="2136" w:type="dxa"/>
                  <w:noWrap w:val="0"/>
                  <w:vAlign w:val="top"/>
                </w:tcPr>
                <w:p w14:paraId="479B4F21">
                  <w:pPr>
                    <w:jc w:val="center"/>
                    <w:rPr>
                      <w:rFonts w:hint="default" w:eastAsia="宋体"/>
                      <w:kern w:val="2"/>
                      <w:sz w:val="21"/>
                      <w:szCs w:val="21"/>
                      <w:lang w:val="en-US" w:eastAsia="zh-CN" w:bidi="ar-SA"/>
                    </w:rPr>
                  </w:pPr>
                  <w:r>
                    <w:rPr>
                      <w:rFonts w:hint="eastAsia"/>
                      <w:lang w:val="en-US" w:eastAsia="zh-CN"/>
                    </w:rPr>
                    <w:t>5.11×</w:t>
                  </w:r>
                  <w:r>
                    <w:rPr>
                      <w:rFonts w:hint="eastAsia"/>
                    </w:rPr>
                    <w:t>10</w:t>
                  </w:r>
                  <w:r>
                    <w:rPr>
                      <w:rFonts w:hint="eastAsia"/>
                      <w:vertAlign w:val="superscript"/>
                    </w:rPr>
                    <w:t>-</w:t>
                  </w:r>
                  <w:r>
                    <w:rPr>
                      <w:rFonts w:hint="eastAsia"/>
                      <w:vertAlign w:val="superscript"/>
                      <w:lang w:val="en-US" w:eastAsia="zh-CN"/>
                    </w:rPr>
                    <w:t>6</w:t>
                  </w:r>
                </w:p>
              </w:tc>
              <w:tc>
                <w:tcPr>
                  <w:tcW w:w="1995" w:type="dxa"/>
                  <w:noWrap w:val="0"/>
                  <w:vAlign w:val="top"/>
                </w:tcPr>
                <w:p w14:paraId="32457E15">
                  <w:pPr>
                    <w:pStyle w:val="94"/>
                    <w:ind w:firstLine="0" w:firstLineChars="0"/>
                    <w:rPr>
                      <w:rFonts w:hint="eastAsia"/>
                      <w:kern w:val="0"/>
                      <w:sz w:val="21"/>
                      <w:szCs w:val="21"/>
                      <w:lang w:val="en-US" w:eastAsia="zh-CN" w:bidi="ar-SA"/>
                    </w:rPr>
                  </w:pPr>
                  <w:r>
                    <w:rPr>
                      <w:rFonts w:hint="eastAsia" w:ascii="Times New Roman" w:hAnsi="Times New Roman" w:cs="Times New Roman"/>
                      <w:kern w:val="0"/>
                      <w:sz w:val="21"/>
                      <w:szCs w:val="21"/>
                      <w:lang w:val="en-US" w:eastAsia="zh-CN"/>
                    </w:rPr>
                    <w:t>2.5</w:t>
                  </w:r>
                  <w:r>
                    <w:rPr>
                      <w:rFonts w:hint="eastAsia"/>
                      <w:lang w:val="en-US" w:eastAsia="zh-CN"/>
                    </w:rPr>
                    <w:t>×</w:t>
                  </w:r>
                  <w:r>
                    <w:rPr>
                      <w:rFonts w:hint="default" w:ascii="Times New Roman" w:hAnsi="Times New Roman" w:eastAsia="宋体" w:cs="Times New Roman"/>
                      <w:kern w:val="0"/>
                      <w:szCs w:val="21"/>
                    </w:rPr>
                    <w:t>10</w:t>
                  </w:r>
                  <w:r>
                    <w:rPr>
                      <w:rFonts w:hint="default" w:ascii="Times New Roman" w:hAnsi="Times New Roman" w:eastAsia="宋体" w:cs="Times New Roman"/>
                      <w:kern w:val="0"/>
                      <w:szCs w:val="21"/>
                      <w:vertAlign w:val="superscript"/>
                    </w:rPr>
                    <w:t>-</w:t>
                  </w:r>
                  <w:r>
                    <w:rPr>
                      <w:rFonts w:hint="eastAsia" w:ascii="Times New Roman" w:hAnsi="Times New Roman" w:cs="Times New Roman"/>
                      <w:kern w:val="0"/>
                      <w:szCs w:val="21"/>
                      <w:vertAlign w:val="superscript"/>
                      <w:lang w:val="en-US" w:eastAsia="zh-CN"/>
                    </w:rPr>
                    <w:t>6</w:t>
                  </w:r>
                </w:p>
              </w:tc>
              <w:tc>
                <w:tcPr>
                  <w:tcW w:w="2187" w:type="dxa"/>
                  <w:noWrap w:val="0"/>
                  <w:vAlign w:val="center"/>
                </w:tcPr>
                <w:p w14:paraId="76022306">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w:t>
                  </w:r>
                  <w:r>
                    <w:rPr>
                      <w:rFonts w:hint="default" w:ascii="Times New Roman" w:hAnsi="Times New Roman" w:eastAsia="宋体" w:cs="Times New Roman"/>
                      <w:kern w:val="0"/>
                      <w:sz w:val="21"/>
                      <w:szCs w:val="21"/>
                    </w:rPr>
                    <w:t>10</w:t>
                  </w:r>
                  <w:r>
                    <w:rPr>
                      <w:rFonts w:hint="default" w:ascii="Times New Roman" w:hAnsi="Times New Roman" w:eastAsia="宋体" w:cs="Times New Roman"/>
                      <w:kern w:val="0"/>
                      <w:sz w:val="21"/>
                      <w:szCs w:val="21"/>
                      <w:vertAlign w:val="superscript"/>
                    </w:rPr>
                    <w:t>-</w:t>
                  </w:r>
                  <w:r>
                    <w:rPr>
                      <w:rFonts w:hint="default" w:ascii="Times New Roman" w:hAnsi="Times New Roman" w:cs="Times New Roman"/>
                      <w:kern w:val="0"/>
                      <w:sz w:val="21"/>
                      <w:szCs w:val="21"/>
                      <w:vertAlign w:val="superscript"/>
                      <w:lang w:val="en-US" w:eastAsia="zh-CN"/>
                    </w:rPr>
                    <w:t>6</w:t>
                  </w:r>
                </w:p>
              </w:tc>
            </w:tr>
            <w:tr w14:paraId="5237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993" w:type="dxa"/>
                  <w:noWrap w:val="0"/>
                  <w:vAlign w:val="center"/>
                </w:tcPr>
                <w:p w14:paraId="7425E65B">
                  <w:pPr>
                    <w:pStyle w:val="94"/>
                    <w:rPr>
                      <w:szCs w:val="21"/>
                    </w:rPr>
                  </w:pPr>
                  <w:r>
                    <w:rPr>
                      <w:rFonts w:hint="eastAsia"/>
                      <w:szCs w:val="21"/>
                    </w:rPr>
                    <w:t>挥发性有机物</w:t>
                  </w:r>
                </w:p>
              </w:tc>
              <w:tc>
                <w:tcPr>
                  <w:tcW w:w="2136" w:type="dxa"/>
                  <w:noWrap w:val="0"/>
                  <w:vAlign w:val="top"/>
                </w:tcPr>
                <w:p w14:paraId="4C7A26A6">
                  <w:pPr>
                    <w:pStyle w:val="94"/>
                    <w:ind w:firstLine="0" w:firstLineChars="0"/>
                    <w:rPr>
                      <w:rFonts w:hint="default"/>
                      <w:kern w:val="0"/>
                      <w:sz w:val="21"/>
                      <w:szCs w:val="21"/>
                      <w:lang w:val="en-US" w:eastAsia="zh-CN" w:bidi="ar-SA"/>
                    </w:rPr>
                  </w:pPr>
                  <w:r>
                    <w:rPr>
                      <w:rFonts w:hint="eastAsia"/>
                      <w:szCs w:val="21"/>
                      <w:lang w:val="en-US" w:eastAsia="zh-CN"/>
                    </w:rPr>
                    <w:t>1.652</w:t>
                  </w:r>
                </w:p>
              </w:tc>
              <w:tc>
                <w:tcPr>
                  <w:tcW w:w="1995" w:type="dxa"/>
                  <w:noWrap w:val="0"/>
                  <w:vAlign w:val="top"/>
                </w:tcPr>
                <w:p w14:paraId="0B56BAC1">
                  <w:pPr>
                    <w:pStyle w:val="94"/>
                    <w:rPr>
                      <w:rFonts w:hint="eastAsia"/>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0.826000</w:t>
                  </w:r>
                </w:p>
              </w:tc>
              <w:tc>
                <w:tcPr>
                  <w:tcW w:w="2187" w:type="dxa"/>
                  <w:noWrap w:val="0"/>
                  <w:vAlign w:val="center"/>
                </w:tcPr>
                <w:p w14:paraId="13776CA5">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0.826</w:t>
                  </w:r>
                </w:p>
              </w:tc>
            </w:tr>
            <w:tr w14:paraId="295A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993" w:type="dxa"/>
                  <w:noWrap w:val="0"/>
                  <w:vAlign w:val="center"/>
                </w:tcPr>
                <w:p w14:paraId="36576F95">
                  <w:pPr>
                    <w:pStyle w:val="94"/>
                    <w:rPr>
                      <w:rFonts w:hint="eastAsia" w:eastAsia="宋体"/>
                      <w:szCs w:val="21"/>
                      <w:lang w:val="en-US" w:eastAsia="zh-CN"/>
                    </w:rPr>
                  </w:pPr>
                  <w:r>
                    <w:rPr>
                      <w:rFonts w:hint="eastAsia"/>
                      <w:szCs w:val="21"/>
                      <w:lang w:val="en-US" w:eastAsia="zh-CN"/>
                    </w:rPr>
                    <w:t>沥青烟</w:t>
                  </w:r>
                </w:p>
              </w:tc>
              <w:tc>
                <w:tcPr>
                  <w:tcW w:w="2136" w:type="dxa"/>
                  <w:noWrap w:val="0"/>
                  <w:vAlign w:val="top"/>
                </w:tcPr>
                <w:p w14:paraId="67EA9DC0">
                  <w:pPr>
                    <w:pStyle w:val="94"/>
                    <w:ind w:firstLine="0" w:firstLineChars="0"/>
                    <w:rPr>
                      <w:rFonts w:hint="eastAsia" w:eastAsia="宋体"/>
                      <w:kern w:val="0"/>
                      <w:sz w:val="21"/>
                      <w:szCs w:val="21"/>
                      <w:lang w:val="en-US" w:eastAsia="zh-CN" w:bidi="ar-SA"/>
                    </w:rPr>
                  </w:pPr>
                  <w:r>
                    <w:rPr>
                      <w:rFonts w:hint="eastAsia"/>
                      <w:szCs w:val="21"/>
                      <w:lang w:val="en-US" w:eastAsia="zh-CN"/>
                    </w:rPr>
                    <w:t>0.00225</w:t>
                  </w:r>
                </w:p>
              </w:tc>
              <w:tc>
                <w:tcPr>
                  <w:tcW w:w="1995" w:type="dxa"/>
                  <w:noWrap w:val="0"/>
                  <w:vAlign w:val="top"/>
                </w:tcPr>
                <w:p w14:paraId="5DD3AF33">
                  <w:pPr>
                    <w:pStyle w:val="94"/>
                    <w:rPr>
                      <w:rFonts w:hint="default"/>
                      <w:szCs w:val="21"/>
                      <w:lang w:val="en-US" w:eastAsia="zh-CN"/>
                    </w:rPr>
                  </w:pPr>
                  <w:r>
                    <w:rPr>
                      <w:rFonts w:hint="eastAsia"/>
                      <w:szCs w:val="21"/>
                      <w:lang w:val="en-US" w:eastAsia="zh-CN"/>
                    </w:rPr>
                    <w:t>0.00113</w:t>
                  </w:r>
                </w:p>
              </w:tc>
              <w:tc>
                <w:tcPr>
                  <w:tcW w:w="2187" w:type="dxa"/>
                  <w:noWrap w:val="0"/>
                  <w:vAlign w:val="center"/>
                </w:tcPr>
                <w:p w14:paraId="6254F430">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0.00112</w:t>
                  </w:r>
                </w:p>
              </w:tc>
            </w:tr>
          </w:tbl>
          <w:p w14:paraId="22D7B627">
            <w:pPr>
              <w:pStyle w:val="81"/>
              <w:keepNext w:val="0"/>
              <w:keepLines w:val="0"/>
              <w:pageBreakBefore w:val="0"/>
              <w:widowControl/>
              <w:numPr>
                <w:ilvl w:val="0"/>
                <w:numId w:val="0"/>
              </w:numPr>
              <w:kinsoku/>
              <w:wordWrap/>
              <w:overflowPunct/>
              <w:topLinePunct w:val="0"/>
              <w:autoSpaceDE/>
              <w:autoSpaceDN/>
              <w:bidi w:val="0"/>
              <w:adjustRightInd/>
              <w:snapToGrid/>
              <w:spacing w:before="157" w:beforeLines="50" w:line="360" w:lineRule="auto"/>
              <w:ind w:left="420" w:leftChars="0" w:right="0" w:rightChars="0"/>
              <w:jc w:val="left"/>
              <w:textAlignment w:val="auto"/>
              <w:rPr>
                <w:rFonts w:hint="default"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（2）本项目建设后现有项目废气产生及排放情况</w:t>
            </w:r>
          </w:p>
          <w:p w14:paraId="532F3B04">
            <w:pPr>
              <w:pStyle w:val="81"/>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right="0" w:rightChars="0"/>
              <w:jc w:val="left"/>
              <w:textAlignment w:val="auto"/>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①成品碳化废气</w:t>
            </w:r>
          </w:p>
          <w:p w14:paraId="19C84949">
            <w:pPr>
              <w:pStyle w:val="81"/>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firstLine="460" w:firstLineChars="200"/>
              <w:jc w:val="left"/>
              <w:textAlignment w:val="auto"/>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本项目建成后，用于成品碳化的辊道窑拟搬迁至1#车间内，成品碳化废气汇同2#车间内1#隧道窑的预碳化废气一并进入一套“降温塔+脱硫塔（双碱法脱硫）+电捕焦油器”处理后经33m排气筒（DA001）排放。</w:t>
            </w:r>
          </w:p>
          <w:p w14:paraId="4551E286">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ind w:left="0" w:leftChars="0" w:firstLine="420" w:firstLineChars="0"/>
              <w:jc w:val="center"/>
              <w:textAlignment w:val="auto"/>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w:t>
            </w:r>
            <w:r>
              <w:rPr>
                <w:rFonts w:hint="default" w:ascii="Times New Roman" w:hAnsi="Times New Roman" w:eastAsia="宋体" w:cs="Times New Roman"/>
                <w:b/>
                <w:bCs/>
                <w:color w:val="000000"/>
                <w:sz w:val="24"/>
                <w:lang w:val="en-US" w:eastAsia="zh-CN"/>
              </w:rPr>
              <w:t>项目</w:t>
            </w:r>
            <w:r>
              <w:rPr>
                <w:rFonts w:hint="eastAsia" w:ascii="Times New Roman" w:hAnsi="Times New Roman" w:eastAsia="宋体" w:cs="Times New Roman"/>
                <w:b/>
                <w:bCs/>
                <w:color w:val="000000"/>
                <w:sz w:val="24"/>
                <w:lang w:val="en-US" w:eastAsia="zh-CN"/>
              </w:rPr>
              <w:t>碳化</w:t>
            </w:r>
            <w:r>
              <w:rPr>
                <w:rFonts w:hint="default" w:ascii="Times New Roman" w:hAnsi="Times New Roman" w:eastAsia="宋体" w:cs="Times New Roman"/>
                <w:b/>
                <w:bCs/>
                <w:color w:val="000000"/>
                <w:sz w:val="24"/>
                <w:lang w:val="en-US" w:eastAsia="zh-CN"/>
              </w:rPr>
              <w:t>废气排放情况表</w:t>
            </w:r>
          </w:p>
          <w:tbl>
            <w:tblPr>
              <w:tblStyle w:val="31"/>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720"/>
              <w:gridCol w:w="1226"/>
              <w:gridCol w:w="1965"/>
              <w:gridCol w:w="1155"/>
              <w:gridCol w:w="1200"/>
              <w:gridCol w:w="1257"/>
            </w:tblGrid>
            <w:tr w14:paraId="6913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jc w:val="center"/>
              </w:trPr>
              <w:tc>
                <w:tcPr>
                  <w:tcW w:w="749" w:type="dxa"/>
                  <w:vMerge w:val="restart"/>
                  <w:noWrap w:val="0"/>
                  <w:vAlign w:val="center"/>
                </w:tcPr>
                <w:p w14:paraId="5105F58C">
                  <w:pPr>
                    <w:jc w:val="center"/>
                    <w:rPr>
                      <w:rFonts w:hint="default" w:ascii="Times New Roman" w:hAnsi="Times New Roman" w:eastAsia="宋体" w:cs="Times New Roman"/>
                      <w:szCs w:val="21"/>
                    </w:rPr>
                  </w:pPr>
                  <w:r>
                    <w:rPr>
                      <w:rFonts w:hint="default" w:ascii="Times New Roman" w:hAnsi="Times New Roman" w:eastAsia="宋体" w:cs="Times New Roman"/>
                      <w:szCs w:val="21"/>
                    </w:rPr>
                    <w:t>废气名称</w:t>
                  </w:r>
                </w:p>
              </w:tc>
              <w:tc>
                <w:tcPr>
                  <w:tcW w:w="720" w:type="dxa"/>
                  <w:vMerge w:val="restart"/>
                  <w:noWrap w:val="0"/>
                  <w:vAlign w:val="center"/>
                </w:tcPr>
                <w:p w14:paraId="1667AA5E">
                  <w:pPr>
                    <w:jc w:val="center"/>
                    <w:rPr>
                      <w:rFonts w:hint="default" w:ascii="Times New Roman" w:hAnsi="Times New Roman" w:eastAsia="宋体" w:cs="Times New Roman"/>
                      <w:szCs w:val="21"/>
                    </w:rPr>
                  </w:pPr>
                  <w:r>
                    <w:rPr>
                      <w:rFonts w:hint="default" w:ascii="Times New Roman" w:hAnsi="Times New Roman" w:eastAsia="宋体" w:cs="Times New Roman"/>
                      <w:szCs w:val="21"/>
                    </w:rPr>
                    <w:t>产生工序</w:t>
                  </w:r>
                </w:p>
              </w:tc>
              <w:tc>
                <w:tcPr>
                  <w:tcW w:w="1226" w:type="dxa"/>
                  <w:vMerge w:val="restart"/>
                  <w:noWrap w:val="0"/>
                  <w:vAlign w:val="center"/>
                </w:tcPr>
                <w:p w14:paraId="471F9853">
                  <w:pPr>
                    <w:jc w:val="center"/>
                    <w:rPr>
                      <w:rFonts w:hint="default" w:ascii="Times New Roman" w:hAnsi="Times New Roman" w:eastAsia="宋体" w:cs="Times New Roman"/>
                      <w:szCs w:val="21"/>
                    </w:rPr>
                  </w:pPr>
                  <w:r>
                    <w:rPr>
                      <w:rFonts w:hint="default" w:ascii="Times New Roman" w:hAnsi="Times New Roman" w:eastAsia="宋体" w:cs="Times New Roman"/>
                      <w:szCs w:val="21"/>
                    </w:rPr>
                    <w:t>主要污染物</w:t>
                  </w:r>
                </w:p>
              </w:tc>
              <w:tc>
                <w:tcPr>
                  <w:tcW w:w="1965" w:type="dxa"/>
                  <w:vMerge w:val="restart"/>
                  <w:noWrap w:val="0"/>
                  <w:vAlign w:val="center"/>
                </w:tcPr>
                <w:p w14:paraId="7B3F900B">
                  <w:pPr>
                    <w:jc w:val="center"/>
                    <w:rPr>
                      <w:rFonts w:hint="default" w:ascii="Times New Roman" w:hAnsi="Times New Roman" w:eastAsia="宋体" w:cs="Times New Roman"/>
                      <w:szCs w:val="21"/>
                    </w:rPr>
                  </w:pPr>
                  <w:r>
                    <w:rPr>
                      <w:rFonts w:hint="default" w:ascii="Times New Roman" w:hAnsi="Times New Roman" w:eastAsia="宋体" w:cs="Times New Roman"/>
                      <w:szCs w:val="21"/>
                    </w:rPr>
                    <w:t>治理措施</w:t>
                  </w:r>
                </w:p>
              </w:tc>
              <w:tc>
                <w:tcPr>
                  <w:tcW w:w="3612" w:type="dxa"/>
                  <w:gridSpan w:val="3"/>
                  <w:noWrap w:val="0"/>
                  <w:vAlign w:val="center"/>
                </w:tcPr>
                <w:p w14:paraId="4B931E2C">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排放情况</w:t>
                  </w:r>
                </w:p>
              </w:tc>
            </w:tr>
            <w:tr w14:paraId="3F78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749" w:type="dxa"/>
                  <w:vMerge w:val="continue"/>
                  <w:noWrap w:val="0"/>
                  <w:vAlign w:val="center"/>
                </w:tcPr>
                <w:p w14:paraId="570B6612">
                  <w:pPr>
                    <w:jc w:val="center"/>
                    <w:rPr>
                      <w:rFonts w:hint="default" w:ascii="Times New Roman" w:hAnsi="Times New Roman" w:eastAsia="宋体" w:cs="Times New Roman"/>
                      <w:szCs w:val="21"/>
                    </w:rPr>
                  </w:pPr>
                </w:p>
              </w:tc>
              <w:tc>
                <w:tcPr>
                  <w:tcW w:w="720" w:type="dxa"/>
                  <w:vMerge w:val="continue"/>
                  <w:noWrap w:val="0"/>
                  <w:vAlign w:val="center"/>
                </w:tcPr>
                <w:p w14:paraId="0B135DB1">
                  <w:pPr>
                    <w:jc w:val="center"/>
                    <w:rPr>
                      <w:rFonts w:hint="default" w:ascii="Times New Roman" w:hAnsi="Times New Roman" w:eastAsia="宋体" w:cs="Times New Roman"/>
                      <w:szCs w:val="21"/>
                    </w:rPr>
                  </w:pPr>
                </w:p>
              </w:tc>
              <w:tc>
                <w:tcPr>
                  <w:tcW w:w="1226" w:type="dxa"/>
                  <w:vMerge w:val="continue"/>
                  <w:noWrap w:val="0"/>
                  <w:vAlign w:val="center"/>
                </w:tcPr>
                <w:p w14:paraId="18A9120B">
                  <w:pPr>
                    <w:jc w:val="center"/>
                    <w:rPr>
                      <w:rFonts w:hint="default" w:ascii="Times New Roman" w:hAnsi="Times New Roman" w:eastAsia="宋体" w:cs="Times New Roman"/>
                      <w:szCs w:val="21"/>
                    </w:rPr>
                  </w:pPr>
                </w:p>
              </w:tc>
              <w:tc>
                <w:tcPr>
                  <w:tcW w:w="1965" w:type="dxa"/>
                  <w:vMerge w:val="continue"/>
                  <w:noWrap w:val="0"/>
                  <w:vAlign w:val="center"/>
                </w:tcPr>
                <w:p w14:paraId="7FDD3D81">
                  <w:pPr>
                    <w:jc w:val="center"/>
                    <w:rPr>
                      <w:rFonts w:hint="default" w:ascii="Times New Roman" w:hAnsi="Times New Roman" w:eastAsia="宋体" w:cs="Times New Roman"/>
                      <w:szCs w:val="21"/>
                    </w:rPr>
                  </w:pPr>
                </w:p>
              </w:tc>
              <w:tc>
                <w:tcPr>
                  <w:tcW w:w="1155" w:type="dxa"/>
                  <w:noWrap w:val="0"/>
                  <w:vAlign w:val="center"/>
                </w:tcPr>
                <w:p w14:paraId="70123591">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排放量(t/a)</w:t>
                  </w:r>
                </w:p>
              </w:tc>
              <w:tc>
                <w:tcPr>
                  <w:tcW w:w="1200" w:type="dxa"/>
                  <w:noWrap w:val="0"/>
                  <w:vAlign w:val="center"/>
                </w:tcPr>
                <w:p w14:paraId="6D5FCA1B">
                  <w:pPr>
                    <w:jc w:val="center"/>
                    <w:rPr>
                      <w:rFonts w:hint="default" w:ascii="Times New Roman" w:hAnsi="Times New Roman" w:eastAsia="宋体" w:cs="Times New Roman"/>
                      <w:szCs w:val="21"/>
                    </w:rPr>
                  </w:pPr>
                  <w:r>
                    <w:rPr>
                      <w:rFonts w:hint="default" w:ascii="Times New Roman" w:hAnsi="Times New Roman" w:eastAsia="宋体" w:cs="Times New Roman"/>
                      <w:szCs w:val="21"/>
                    </w:rPr>
                    <w:t>速率(kg/h)</w:t>
                  </w:r>
                </w:p>
              </w:tc>
              <w:tc>
                <w:tcPr>
                  <w:tcW w:w="1257" w:type="dxa"/>
                  <w:noWrap w:val="0"/>
                  <w:vAlign w:val="center"/>
                </w:tcPr>
                <w:p w14:paraId="296BD1C9">
                  <w:pPr>
                    <w:jc w:val="center"/>
                    <w:rPr>
                      <w:rFonts w:hint="default" w:ascii="Times New Roman" w:hAnsi="Times New Roman" w:eastAsia="宋体" w:cs="Times New Roman"/>
                      <w:szCs w:val="21"/>
                    </w:rPr>
                  </w:pPr>
                  <w:r>
                    <w:rPr>
                      <w:rFonts w:hint="default" w:ascii="Times New Roman" w:hAnsi="Times New Roman" w:eastAsia="宋体" w:cs="Times New Roman"/>
                      <w:szCs w:val="21"/>
                    </w:rPr>
                    <w:t>浓度(mg/m³)</w:t>
                  </w:r>
                </w:p>
              </w:tc>
            </w:tr>
            <w:tr w14:paraId="0A0D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749" w:type="dxa"/>
                  <w:vMerge w:val="restart"/>
                  <w:noWrap w:val="0"/>
                  <w:vAlign w:val="center"/>
                </w:tcPr>
                <w:p w14:paraId="59F28548">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成品碳化废气</w:t>
                  </w:r>
                </w:p>
              </w:tc>
              <w:tc>
                <w:tcPr>
                  <w:tcW w:w="720" w:type="dxa"/>
                  <w:vMerge w:val="restart"/>
                  <w:noWrap w:val="0"/>
                  <w:vAlign w:val="center"/>
                </w:tcPr>
                <w:p w14:paraId="26603926">
                  <w:pPr>
                    <w:jc w:val="center"/>
                    <w:rPr>
                      <w:rFonts w:hint="default" w:ascii="Times New Roman" w:hAnsi="Times New Roman" w:eastAsia="宋体" w:cs="Times New Roman"/>
                      <w:szCs w:val="21"/>
                    </w:rPr>
                  </w:pPr>
                  <w:r>
                    <w:rPr>
                      <w:rFonts w:hint="default" w:ascii="Times New Roman" w:hAnsi="Times New Roman" w:eastAsia="宋体" w:cs="Times New Roman"/>
                      <w:szCs w:val="21"/>
                    </w:rPr>
                    <w:t>成品碳化</w:t>
                  </w:r>
                </w:p>
              </w:tc>
              <w:tc>
                <w:tcPr>
                  <w:tcW w:w="1226" w:type="dxa"/>
                  <w:noWrap w:val="0"/>
                  <w:vAlign w:val="center"/>
                </w:tcPr>
                <w:p w14:paraId="61D5ADCD">
                  <w:pPr>
                    <w:pStyle w:val="94"/>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1965" w:type="dxa"/>
                  <w:vMerge w:val="restart"/>
                  <w:noWrap w:val="0"/>
                  <w:vAlign w:val="center"/>
                </w:tcPr>
                <w:p w14:paraId="608F2BA0">
                  <w:pPr>
                    <w:jc w:val="center"/>
                    <w:rPr>
                      <w:rFonts w:hint="default" w:ascii="Times New Roman" w:hAnsi="Times New Roman" w:eastAsia="宋体" w:cs="Times New Roman"/>
                      <w:szCs w:val="21"/>
                    </w:rPr>
                  </w:pPr>
                  <w:r>
                    <w:rPr>
                      <w:rFonts w:hint="default" w:ascii="Times New Roman" w:hAnsi="Times New Roman" w:eastAsia="宋体" w:cs="Times New Roman"/>
                      <w:szCs w:val="21"/>
                    </w:rPr>
                    <w:t>通过焚烧炉+脱硫塔（双碱法处理）+</w:t>
                  </w:r>
                  <w:r>
                    <w:rPr>
                      <w:rFonts w:hint="eastAsia" w:ascii="Times New Roman" w:hAnsi="Times New Roman" w:eastAsia="宋体" w:cs="Times New Roman"/>
                      <w:szCs w:val="21"/>
                      <w:lang w:val="en-US" w:eastAsia="zh-CN"/>
                    </w:rPr>
                    <w:t>电捕焦油器</w:t>
                  </w:r>
                  <w:r>
                    <w:rPr>
                      <w:rFonts w:hint="eastAsia" w:cs="Times New Roman"/>
                      <w:szCs w:val="21"/>
                      <w:lang w:eastAsia="zh-CN"/>
                    </w:rPr>
                    <w:t>（</w:t>
                  </w:r>
                  <w:r>
                    <w:rPr>
                      <w:rFonts w:hint="default" w:ascii="Times New Roman" w:hAnsi="Times New Roman" w:cs="Times New Roman"/>
                      <w:bCs/>
                      <w:highlight w:val="none"/>
                      <w:lang w:val="en-US" w:eastAsia="zh-CN"/>
                    </w:rPr>
                    <w:t>风量</w:t>
                  </w:r>
                  <w:r>
                    <w:rPr>
                      <w:rFonts w:hint="eastAsia" w:ascii="Times New Roman" w:hAnsi="Times New Roman" w:cs="Times New Roman"/>
                      <w:bCs/>
                      <w:highlight w:val="none"/>
                      <w:lang w:val="en-US" w:eastAsia="zh-CN"/>
                    </w:rPr>
                    <w:t>3</w:t>
                  </w:r>
                  <w:r>
                    <w:rPr>
                      <w:rFonts w:hint="default" w:ascii="Times New Roman" w:hAnsi="Times New Roman" w:cs="Times New Roman"/>
                      <w:bCs/>
                      <w:highlight w:val="none"/>
                      <w:lang w:val="en-US" w:eastAsia="zh-CN"/>
                    </w:rPr>
                    <w:t>0000Nm</w:t>
                  </w:r>
                  <w:r>
                    <w:rPr>
                      <w:rFonts w:hint="default" w:ascii="Times New Roman" w:hAnsi="Times New Roman" w:cs="Times New Roman"/>
                      <w:bCs/>
                      <w:highlight w:val="none"/>
                      <w:vertAlign w:val="superscript"/>
                      <w:lang w:val="en-US" w:eastAsia="zh-CN"/>
                    </w:rPr>
                    <w:t>3</w:t>
                  </w:r>
                  <w:r>
                    <w:rPr>
                      <w:rFonts w:hint="default" w:ascii="Times New Roman" w:hAnsi="Times New Roman" w:cs="Times New Roman"/>
                      <w:bCs/>
                      <w:highlight w:val="none"/>
                      <w:lang w:val="en-US" w:eastAsia="zh-CN"/>
                    </w:rPr>
                    <w:t>/h，除尘效率为</w:t>
                  </w:r>
                  <w:r>
                    <w:rPr>
                      <w:rFonts w:hint="eastAsia" w:ascii="Times New Roman" w:hAnsi="Times New Roman" w:cs="Times New Roman"/>
                      <w:bCs/>
                      <w:highlight w:val="none"/>
                      <w:lang w:val="en-US" w:eastAsia="zh-CN"/>
                    </w:rPr>
                    <w:t>98.5</w:t>
                  </w:r>
                  <w:r>
                    <w:rPr>
                      <w:rFonts w:hint="default" w:ascii="Times New Roman" w:hAnsi="Times New Roman" w:cs="Times New Roman"/>
                      <w:bCs/>
                      <w:highlight w:val="none"/>
                      <w:lang w:val="en-US" w:eastAsia="zh-CN"/>
                    </w:rPr>
                    <w:t>%</w:t>
                  </w:r>
                  <w:r>
                    <w:rPr>
                      <w:rFonts w:hint="eastAsia" w:cs="Times New Roman"/>
                      <w:szCs w:val="21"/>
                      <w:lang w:eastAsia="zh-CN"/>
                    </w:rPr>
                    <w:t>）</w:t>
                  </w:r>
                  <w:r>
                    <w:rPr>
                      <w:rFonts w:hint="default" w:ascii="Times New Roman" w:hAnsi="Times New Roman" w:eastAsia="宋体" w:cs="Times New Roman"/>
                      <w:szCs w:val="21"/>
                    </w:rPr>
                    <w:t>+</w:t>
                  </w:r>
                  <w:r>
                    <w:rPr>
                      <w:rFonts w:hint="eastAsia" w:ascii="Times New Roman" w:hAnsi="Times New Roman" w:eastAsia="宋体" w:cs="Times New Roman"/>
                      <w:szCs w:val="21"/>
                      <w:lang w:val="en-US" w:eastAsia="zh-CN"/>
                    </w:rPr>
                    <w:t>33</w:t>
                  </w:r>
                  <w:r>
                    <w:rPr>
                      <w:rFonts w:hint="default" w:ascii="Times New Roman" w:hAnsi="Times New Roman" w:eastAsia="宋体" w:cs="Times New Roman"/>
                      <w:szCs w:val="21"/>
                    </w:rPr>
                    <w:t>m排气筒（</w:t>
                  </w:r>
                  <w:r>
                    <w:rPr>
                      <w:rFonts w:hint="eastAsia" w:ascii="Times New Roman" w:hAnsi="Times New Roman" w:eastAsia="宋体" w:cs="Times New Roman"/>
                      <w:szCs w:val="21"/>
                      <w:lang w:val="en-US" w:eastAsia="zh-CN"/>
                    </w:rPr>
                    <w:t>DA001</w:t>
                  </w:r>
                  <w:r>
                    <w:rPr>
                      <w:rFonts w:hint="default" w:ascii="Times New Roman" w:hAnsi="Times New Roman" w:eastAsia="宋体" w:cs="Times New Roman"/>
                      <w:szCs w:val="21"/>
                    </w:rPr>
                    <w:t>）进行排放</w:t>
                  </w:r>
                </w:p>
              </w:tc>
              <w:tc>
                <w:tcPr>
                  <w:tcW w:w="1155" w:type="dxa"/>
                  <w:noWrap w:val="0"/>
                  <w:vAlign w:val="center"/>
                </w:tcPr>
                <w:p w14:paraId="4303AF9A">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0.00776</w:t>
                  </w:r>
                </w:p>
              </w:tc>
              <w:tc>
                <w:tcPr>
                  <w:tcW w:w="1200" w:type="dxa"/>
                  <w:noWrap w:val="0"/>
                  <w:vAlign w:val="center"/>
                </w:tcPr>
                <w:p w14:paraId="33239F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0.00098</w:t>
                  </w:r>
                </w:p>
              </w:tc>
              <w:tc>
                <w:tcPr>
                  <w:tcW w:w="1257" w:type="dxa"/>
                  <w:noWrap w:val="0"/>
                  <w:vAlign w:val="center"/>
                </w:tcPr>
                <w:p w14:paraId="3BFC80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0.0327 </w:t>
                  </w:r>
                </w:p>
              </w:tc>
            </w:tr>
            <w:tr w14:paraId="6C86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749" w:type="dxa"/>
                  <w:vMerge w:val="continue"/>
                  <w:noWrap w:val="0"/>
                  <w:vAlign w:val="center"/>
                </w:tcPr>
                <w:p w14:paraId="4E2F3FF6">
                  <w:pPr>
                    <w:jc w:val="center"/>
                    <w:rPr>
                      <w:rFonts w:hint="default" w:ascii="Times New Roman" w:hAnsi="Times New Roman" w:eastAsia="宋体" w:cs="Times New Roman"/>
                      <w:szCs w:val="21"/>
                    </w:rPr>
                  </w:pPr>
                </w:p>
              </w:tc>
              <w:tc>
                <w:tcPr>
                  <w:tcW w:w="720" w:type="dxa"/>
                  <w:vMerge w:val="continue"/>
                  <w:noWrap w:val="0"/>
                  <w:vAlign w:val="center"/>
                </w:tcPr>
                <w:p w14:paraId="029F211C">
                  <w:pPr>
                    <w:jc w:val="center"/>
                    <w:rPr>
                      <w:rFonts w:hint="default" w:ascii="Times New Roman" w:hAnsi="Times New Roman" w:eastAsia="宋体" w:cs="Times New Roman"/>
                      <w:szCs w:val="21"/>
                    </w:rPr>
                  </w:pPr>
                </w:p>
              </w:tc>
              <w:tc>
                <w:tcPr>
                  <w:tcW w:w="1226" w:type="dxa"/>
                  <w:noWrap w:val="0"/>
                  <w:vAlign w:val="center"/>
                </w:tcPr>
                <w:p w14:paraId="0AB3301F">
                  <w:pPr>
                    <w:pStyle w:val="94"/>
                    <w:rPr>
                      <w:rFonts w:hint="default" w:ascii="Times New Roman" w:hAnsi="Times New Roman" w:eastAsia="宋体" w:cs="Times New Roman"/>
                      <w:szCs w:val="21"/>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p>
              </w:tc>
              <w:tc>
                <w:tcPr>
                  <w:tcW w:w="1965" w:type="dxa"/>
                  <w:vMerge w:val="continue"/>
                  <w:noWrap w:val="0"/>
                  <w:vAlign w:val="center"/>
                </w:tcPr>
                <w:p w14:paraId="2464BED0">
                  <w:pPr>
                    <w:jc w:val="center"/>
                    <w:rPr>
                      <w:rFonts w:hint="default" w:ascii="Times New Roman" w:hAnsi="Times New Roman" w:eastAsia="宋体" w:cs="Times New Roman"/>
                      <w:szCs w:val="21"/>
                    </w:rPr>
                  </w:pPr>
                </w:p>
              </w:tc>
              <w:tc>
                <w:tcPr>
                  <w:tcW w:w="1155" w:type="dxa"/>
                  <w:noWrap w:val="0"/>
                  <w:vAlign w:val="center"/>
                </w:tcPr>
                <w:p w14:paraId="5A1B4678">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0.0016</w:t>
                  </w:r>
                </w:p>
              </w:tc>
              <w:tc>
                <w:tcPr>
                  <w:tcW w:w="1200" w:type="dxa"/>
                  <w:noWrap w:val="0"/>
                  <w:vAlign w:val="center"/>
                </w:tcPr>
                <w:p w14:paraId="4D2E57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0.000202</w:t>
                  </w:r>
                </w:p>
              </w:tc>
              <w:tc>
                <w:tcPr>
                  <w:tcW w:w="1257" w:type="dxa"/>
                  <w:noWrap w:val="0"/>
                  <w:vAlign w:val="center"/>
                </w:tcPr>
                <w:p w14:paraId="015FC7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0.0067 </w:t>
                  </w:r>
                </w:p>
              </w:tc>
            </w:tr>
            <w:tr w14:paraId="47CA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749" w:type="dxa"/>
                  <w:vMerge w:val="continue"/>
                  <w:noWrap w:val="0"/>
                  <w:vAlign w:val="center"/>
                </w:tcPr>
                <w:p w14:paraId="29C9E543">
                  <w:pPr>
                    <w:jc w:val="center"/>
                    <w:rPr>
                      <w:rFonts w:hint="default" w:ascii="Times New Roman" w:hAnsi="Times New Roman" w:eastAsia="宋体" w:cs="Times New Roman"/>
                      <w:szCs w:val="21"/>
                    </w:rPr>
                  </w:pPr>
                </w:p>
              </w:tc>
              <w:tc>
                <w:tcPr>
                  <w:tcW w:w="720" w:type="dxa"/>
                  <w:vMerge w:val="continue"/>
                  <w:noWrap w:val="0"/>
                  <w:vAlign w:val="center"/>
                </w:tcPr>
                <w:p w14:paraId="63FCE4F7">
                  <w:pPr>
                    <w:jc w:val="center"/>
                    <w:rPr>
                      <w:rFonts w:hint="default" w:ascii="Times New Roman" w:hAnsi="Times New Roman" w:eastAsia="宋体" w:cs="Times New Roman"/>
                      <w:szCs w:val="21"/>
                    </w:rPr>
                  </w:pPr>
                </w:p>
              </w:tc>
              <w:tc>
                <w:tcPr>
                  <w:tcW w:w="1226" w:type="dxa"/>
                  <w:noWrap w:val="0"/>
                  <w:vAlign w:val="center"/>
                </w:tcPr>
                <w:p w14:paraId="26849745">
                  <w:pPr>
                    <w:pStyle w:val="94"/>
                    <w:rPr>
                      <w:rFonts w:hint="default" w:ascii="Times New Roman" w:hAnsi="Times New Roman" w:eastAsia="宋体" w:cs="Times New Roman"/>
                      <w:szCs w:val="21"/>
                    </w:rPr>
                  </w:pPr>
                  <w:r>
                    <w:rPr>
                      <w:rFonts w:hint="default" w:ascii="Times New Roman" w:hAnsi="Times New Roman" w:eastAsia="宋体" w:cs="Times New Roman"/>
                      <w:szCs w:val="21"/>
                    </w:rPr>
                    <w:t>NOx</w:t>
                  </w:r>
                </w:p>
              </w:tc>
              <w:tc>
                <w:tcPr>
                  <w:tcW w:w="1965" w:type="dxa"/>
                  <w:vMerge w:val="continue"/>
                  <w:noWrap w:val="0"/>
                  <w:vAlign w:val="center"/>
                </w:tcPr>
                <w:p w14:paraId="45F42A8F">
                  <w:pPr>
                    <w:jc w:val="center"/>
                    <w:rPr>
                      <w:rFonts w:hint="default" w:ascii="Times New Roman" w:hAnsi="Times New Roman" w:eastAsia="宋体" w:cs="Times New Roman"/>
                      <w:szCs w:val="21"/>
                    </w:rPr>
                  </w:pPr>
                </w:p>
              </w:tc>
              <w:tc>
                <w:tcPr>
                  <w:tcW w:w="1155" w:type="dxa"/>
                  <w:noWrap w:val="0"/>
                  <w:vAlign w:val="center"/>
                </w:tcPr>
                <w:p w14:paraId="7731D09E">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0.2514</w:t>
                  </w:r>
                </w:p>
              </w:tc>
              <w:tc>
                <w:tcPr>
                  <w:tcW w:w="1200" w:type="dxa"/>
                  <w:noWrap w:val="0"/>
                  <w:vAlign w:val="center"/>
                </w:tcPr>
                <w:p w14:paraId="2E8203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0.0317</w:t>
                  </w:r>
                </w:p>
              </w:tc>
              <w:tc>
                <w:tcPr>
                  <w:tcW w:w="1257" w:type="dxa"/>
                  <w:noWrap w:val="0"/>
                  <w:vAlign w:val="center"/>
                </w:tcPr>
                <w:p w14:paraId="4AAAE6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1.058 </w:t>
                  </w:r>
                </w:p>
              </w:tc>
            </w:tr>
            <w:tr w14:paraId="0E3E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49" w:type="dxa"/>
                  <w:vMerge w:val="continue"/>
                  <w:noWrap w:val="0"/>
                  <w:vAlign w:val="center"/>
                </w:tcPr>
                <w:p w14:paraId="60317C67">
                  <w:pPr>
                    <w:jc w:val="center"/>
                    <w:rPr>
                      <w:rFonts w:hint="default" w:ascii="Times New Roman" w:hAnsi="Times New Roman" w:eastAsia="宋体" w:cs="Times New Roman"/>
                      <w:szCs w:val="21"/>
                    </w:rPr>
                  </w:pPr>
                </w:p>
              </w:tc>
              <w:tc>
                <w:tcPr>
                  <w:tcW w:w="720" w:type="dxa"/>
                  <w:vMerge w:val="continue"/>
                  <w:noWrap w:val="0"/>
                  <w:vAlign w:val="center"/>
                </w:tcPr>
                <w:p w14:paraId="2C4C02D7">
                  <w:pPr>
                    <w:jc w:val="center"/>
                    <w:rPr>
                      <w:rFonts w:hint="default" w:ascii="Times New Roman" w:hAnsi="Times New Roman" w:eastAsia="宋体" w:cs="Times New Roman"/>
                      <w:szCs w:val="21"/>
                    </w:rPr>
                  </w:pPr>
                </w:p>
              </w:tc>
              <w:tc>
                <w:tcPr>
                  <w:tcW w:w="1226" w:type="dxa"/>
                  <w:noWrap w:val="0"/>
                  <w:vAlign w:val="center"/>
                </w:tcPr>
                <w:p w14:paraId="722D07CC">
                  <w:pPr>
                    <w:pStyle w:val="94"/>
                    <w:rPr>
                      <w:rFonts w:hint="default" w:ascii="Times New Roman" w:hAnsi="Times New Roman" w:eastAsia="宋体" w:cs="Times New Roman"/>
                      <w:szCs w:val="21"/>
                    </w:rPr>
                  </w:pPr>
                  <w:r>
                    <w:rPr>
                      <w:rFonts w:hint="default" w:ascii="Times New Roman" w:hAnsi="Times New Roman" w:eastAsia="宋体" w:cs="Times New Roman"/>
                      <w:szCs w:val="21"/>
                    </w:rPr>
                    <w:t>苯并芘</w:t>
                  </w:r>
                </w:p>
              </w:tc>
              <w:tc>
                <w:tcPr>
                  <w:tcW w:w="1965" w:type="dxa"/>
                  <w:vMerge w:val="continue"/>
                  <w:noWrap w:val="0"/>
                  <w:vAlign w:val="center"/>
                </w:tcPr>
                <w:p w14:paraId="62216F0B">
                  <w:pPr>
                    <w:jc w:val="center"/>
                    <w:rPr>
                      <w:rFonts w:hint="default" w:ascii="Times New Roman" w:hAnsi="Times New Roman" w:eastAsia="宋体" w:cs="Times New Roman"/>
                      <w:szCs w:val="21"/>
                    </w:rPr>
                  </w:pPr>
                </w:p>
              </w:tc>
              <w:tc>
                <w:tcPr>
                  <w:tcW w:w="1155" w:type="dxa"/>
                  <w:noWrap w:val="0"/>
                  <w:vAlign w:val="center"/>
                </w:tcPr>
                <w:p w14:paraId="31F8F75B">
                  <w:pPr>
                    <w:keepNext w:val="0"/>
                    <w:keepLines w:val="0"/>
                    <w:widowControl/>
                    <w:suppressLineNumbers w:val="0"/>
                    <w:jc w:val="center"/>
                    <w:textAlignment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 w:val="21"/>
                      <w:szCs w:val="21"/>
                      <w:lang w:val="en-US" w:eastAsia="zh-CN"/>
                    </w:rPr>
                    <w:t>2.5</w:t>
                  </w:r>
                  <w:r>
                    <w:rPr>
                      <w:rFonts w:hint="eastAsia" w:ascii="Times New Roman" w:hAnsi="Times New Roman" w:eastAsia="宋体" w:cs="Times New Roman"/>
                      <w:kern w:val="0"/>
                      <w:szCs w:val="21"/>
                      <w:lang w:val="en-US" w:eastAsia="zh-CN"/>
                    </w:rPr>
                    <w:t>×</w:t>
                  </w:r>
                  <w:r>
                    <w:rPr>
                      <w:rFonts w:hint="default" w:ascii="Times New Roman" w:hAnsi="Times New Roman" w:eastAsia="宋体" w:cs="Times New Roman"/>
                      <w:kern w:val="0"/>
                      <w:szCs w:val="21"/>
                    </w:rPr>
                    <w:t>10</w:t>
                  </w:r>
                  <w:r>
                    <w:rPr>
                      <w:rFonts w:hint="default" w:ascii="Times New Roman" w:hAnsi="Times New Roman" w:eastAsia="宋体" w:cs="Times New Roman"/>
                      <w:kern w:val="0"/>
                      <w:szCs w:val="21"/>
                      <w:vertAlign w:val="superscript"/>
                    </w:rPr>
                    <w:t>-</w:t>
                  </w:r>
                  <w:r>
                    <w:rPr>
                      <w:rFonts w:hint="eastAsia" w:ascii="Times New Roman" w:hAnsi="Times New Roman" w:cs="Times New Roman"/>
                      <w:kern w:val="0"/>
                      <w:szCs w:val="21"/>
                      <w:vertAlign w:val="superscript"/>
                      <w:lang w:val="en-US" w:eastAsia="zh-CN"/>
                    </w:rPr>
                    <w:t>6</w:t>
                  </w:r>
                </w:p>
              </w:tc>
              <w:tc>
                <w:tcPr>
                  <w:tcW w:w="1200" w:type="dxa"/>
                  <w:noWrap w:val="0"/>
                  <w:vAlign w:val="center"/>
                </w:tcPr>
                <w:p w14:paraId="5AF55D3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3.16</w:t>
                  </w:r>
                  <w:r>
                    <w:rPr>
                      <w:rFonts w:hint="eastAsia" w:ascii="Times New Roman" w:hAnsi="Times New Roman" w:eastAsia="宋体" w:cs="Times New Roman"/>
                      <w:kern w:val="0"/>
                      <w:szCs w:val="21"/>
                      <w:lang w:val="en-US" w:eastAsia="zh-CN"/>
                    </w:rPr>
                    <w:t>×10</w:t>
                  </w:r>
                  <w:r>
                    <w:rPr>
                      <w:rFonts w:hint="eastAsia" w:ascii="Times New Roman" w:hAnsi="Times New Roman" w:eastAsia="宋体" w:cs="Times New Roman"/>
                      <w:i w:val="0"/>
                      <w:iCs w:val="0"/>
                      <w:color w:val="000000"/>
                      <w:kern w:val="0"/>
                      <w:sz w:val="21"/>
                      <w:szCs w:val="21"/>
                      <w:u w:val="none"/>
                      <w:vertAlign w:val="superscript"/>
                      <w:lang w:val="en-US" w:eastAsia="zh-CN" w:bidi="ar"/>
                    </w:rPr>
                    <w:t>-7</w:t>
                  </w:r>
                </w:p>
              </w:tc>
              <w:tc>
                <w:tcPr>
                  <w:tcW w:w="1257" w:type="dxa"/>
                  <w:noWrap w:val="0"/>
                  <w:vAlign w:val="center"/>
                </w:tcPr>
                <w:p w14:paraId="243EF05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1.052</w:t>
                  </w:r>
                  <w:r>
                    <w:rPr>
                      <w:rFonts w:hint="eastAsia" w:ascii="Times New Roman" w:hAnsi="Times New Roman" w:eastAsia="宋体" w:cs="Times New Roman"/>
                      <w:kern w:val="0"/>
                      <w:szCs w:val="21"/>
                      <w:lang w:val="en-US" w:eastAsia="zh-CN"/>
                    </w:rPr>
                    <w:t>×10</w:t>
                  </w:r>
                  <w:r>
                    <w:rPr>
                      <w:rFonts w:hint="eastAsia" w:ascii="Times New Roman" w:hAnsi="Times New Roman" w:eastAsia="宋体" w:cs="Times New Roman"/>
                      <w:i w:val="0"/>
                      <w:iCs w:val="0"/>
                      <w:color w:val="000000"/>
                      <w:kern w:val="0"/>
                      <w:sz w:val="21"/>
                      <w:szCs w:val="21"/>
                      <w:u w:val="none"/>
                      <w:vertAlign w:val="superscript"/>
                      <w:lang w:val="en-US" w:eastAsia="zh-CN" w:bidi="ar"/>
                    </w:rPr>
                    <w:t>-5</w:t>
                  </w:r>
                </w:p>
              </w:tc>
            </w:tr>
            <w:tr w14:paraId="3647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49" w:type="dxa"/>
                  <w:vMerge w:val="continue"/>
                  <w:noWrap w:val="0"/>
                  <w:vAlign w:val="center"/>
                </w:tcPr>
                <w:p w14:paraId="21CD820C">
                  <w:pPr>
                    <w:jc w:val="center"/>
                    <w:rPr>
                      <w:rFonts w:hint="default" w:ascii="Times New Roman" w:hAnsi="Times New Roman" w:eastAsia="宋体" w:cs="Times New Roman"/>
                      <w:szCs w:val="21"/>
                    </w:rPr>
                  </w:pPr>
                </w:p>
              </w:tc>
              <w:tc>
                <w:tcPr>
                  <w:tcW w:w="720" w:type="dxa"/>
                  <w:vMerge w:val="continue"/>
                  <w:noWrap w:val="0"/>
                  <w:vAlign w:val="center"/>
                </w:tcPr>
                <w:p w14:paraId="4A2BB107">
                  <w:pPr>
                    <w:jc w:val="center"/>
                    <w:rPr>
                      <w:rFonts w:hint="default" w:ascii="Times New Roman" w:hAnsi="Times New Roman" w:eastAsia="宋体" w:cs="Times New Roman"/>
                      <w:szCs w:val="21"/>
                    </w:rPr>
                  </w:pPr>
                </w:p>
              </w:tc>
              <w:tc>
                <w:tcPr>
                  <w:tcW w:w="1226" w:type="dxa"/>
                  <w:noWrap w:val="0"/>
                  <w:vAlign w:val="center"/>
                </w:tcPr>
                <w:p w14:paraId="1314EFCB">
                  <w:pPr>
                    <w:pStyle w:val="94"/>
                    <w:rPr>
                      <w:rFonts w:hint="default" w:ascii="Times New Roman" w:hAnsi="Times New Roman" w:eastAsia="宋体" w:cs="Times New Roman"/>
                      <w:szCs w:val="21"/>
                    </w:rPr>
                  </w:pPr>
                  <w:r>
                    <w:rPr>
                      <w:rFonts w:hint="default" w:ascii="Times New Roman" w:hAnsi="Times New Roman" w:eastAsia="宋体" w:cs="Times New Roman"/>
                      <w:szCs w:val="21"/>
                    </w:rPr>
                    <w:t>挥发性有机物</w:t>
                  </w:r>
                </w:p>
              </w:tc>
              <w:tc>
                <w:tcPr>
                  <w:tcW w:w="1965" w:type="dxa"/>
                  <w:vMerge w:val="continue"/>
                  <w:noWrap w:val="0"/>
                  <w:vAlign w:val="center"/>
                </w:tcPr>
                <w:p w14:paraId="5ECDFA06">
                  <w:pPr>
                    <w:jc w:val="center"/>
                    <w:rPr>
                      <w:rFonts w:hint="default" w:ascii="Times New Roman" w:hAnsi="Times New Roman" w:eastAsia="宋体" w:cs="Times New Roman"/>
                      <w:szCs w:val="21"/>
                    </w:rPr>
                  </w:pPr>
                </w:p>
              </w:tc>
              <w:tc>
                <w:tcPr>
                  <w:tcW w:w="1155" w:type="dxa"/>
                  <w:noWrap w:val="0"/>
                  <w:vAlign w:val="center"/>
                </w:tcPr>
                <w:p w14:paraId="462D8E41">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0.826000</w:t>
                  </w:r>
                </w:p>
              </w:tc>
              <w:tc>
                <w:tcPr>
                  <w:tcW w:w="1200" w:type="dxa"/>
                  <w:noWrap w:val="0"/>
                  <w:vAlign w:val="center"/>
                </w:tcPr>
                <w:p w14:paraId="595DB3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0.104</w:t>
                  </w:r>
                </w:p>
              </w:tc>
              <w:tc>
                <w:tcPr>
                  <w:tcW w:w="1257" w:type="dxa"/>
                  <w:noWrap w:val="0"/>
                  <w:vAlign w:val="center"/>
                </w:tcPr>
                <w:p w14:paraId="31628D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3.476 </w:t>
                  </w:r>
                </w:p>
              </w:tc>
            </w:tr>
          </w:tbl>
          <w:p w14:paraId="0755372D">
            <w:pPr>
              <w:pStyle w:val="81"/>
              <w:keepNext w:val="0"/>
              <w:keepLines w:val="0"/>
              <w:pageBreakBefore w:val="0"/>
              <w:widowControl/>
              <w:numPr>
                <w:ilvl w:val="0"/>
                <w:numId w:val="0"/>
              </w:numPr>
              <w:kinsoku/>
              <w:wordWrap/>
              <w:overflowPunct/>
              <w:topLinePunct w:val="0"/>
              <w:autoSpaceDE/>
              <w:autoSpaceDN/>
              <w:bidi w:val="0"/>
              <w:adjustRightInd/>
              <w:snapToGrid/>
              <w:spacing w:before="157" w:beforeLines="50" w:line="360" w:lineRule="auto"/>
              <w:ind w:right="0" w:rightChars="0" w:firstLine="460" w:firstLineChars="200"/>
              <w:jc w:val="left"/>
              <w:textAlignment w:val="auto"/>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②装料（装坩埚）废气</w:t>
            </w:r>
          </w:p>
          <w:p w14:paraId="6DD6CDB2">
            <w:pPr>
              <w:pStyle w:val="81"/>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firstLine="460" w:firstLineChars="200"/>
              <w:jc w:val="left"/>
              <w:textAlignment w:val="auto"/>
              <w:rPr>
                <w:rFonts w:hint="default"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现有项目的装料废气汇同本项目新增的装料、包装废气经布袋除尘器处理后15m排气筒（DA002）排放。</w:t>
            </w:r>
          </w:p>
          <w:p w14:paraId="4C8B4DC6">
            <w:pPr>
              <w:pStyle w:val="88"/>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Times New Roman" w:hAnsi="Times New Roman" w:eastAsia="宋体" w:cs="Times New Roman"/>
                <w:b w:val="0"/>
                <w:bCs w:val="0"/>
                <w:color w:val="000000"/>
                <w:highlight w:val="none"/>
                <w:lang w:val="en-US" w:eastAsia="zh-CN"/>
              </w:rPr>
            </w:pPr>
            <w:r>
              <w:rPr>
                <w:rFonts w:hint="eastAsia" w:ascii="Times New Roman" w:hAnsi="Times New Roman" w:eastAsia="宋体" w:cs="Times New Roman"/>
                <w:b w:val="0"/>
                <w:bCs w:val="0"/>
                <w:color w:val="000000"/>
                <w:highlight w:val="none"/>
                <w:lang w:val="en-US" w:eastAsia="zh-CN"/>
              </w:rPr>
              <w:t>现有项目技改后装料环节为密闭的管道采用气力输送，考虑项目原料主要为颗粒状，负压输送过程进入空气会和少量粉状物料形成带尘废气，废气进入设备自带袋式除尘器处理后经1根15m排气筒排放。</w:t>
            </w:r>
          </w:p>
          <w:p w14:paraId="62A10A95">
            <w:pPr>
              <w:pStyle w:val="88"/>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Times New Roman" w:hAnsi="Times New Roman" w:eastAsia="宋体" w:cs="Times New Roman"/>
                <w:b w:val="0"/>
                <w:bCs w:val="0"/>
                <w:color w:val="000000"/>
                <w:highlight w:val="none"/>
                <w:lang w:val="en-US" w:eastAsia="zh-CN"/>
              </w:rPr>
            </w:pPr>
            <w:r>
              <w:rPr>
                <w:rFonts w:hint="eastAsia" w:ascii="Times New Roman" w:hAnsi="Times New Roman" w:eastAsia="宋体" w:cs="Times New Roman"/>
                <w:b w:val="0"/>
                <w:bCs w:val="0"/>
                <w:color w:val="000000"/>
                <w:highlight w:val="none"/>
                <w:lang w:val="en-US" w:eastAsia="zh-CN"/>
              </w:rPr>
              <w:t>参考《逸散性工业粉尘控制技术》（中国环境科学出版社，1989）中类似行业粉尘产污系数（≤1.0kg/t-物料），即按物料处理量的 1‰计。现有项目原料年用量为 2015t，产排污系数取 1‰，则装料粉尘产生量为2.015t/a。</w:t>
            </w:r>
          </w:p>
          <w:p w14:paraId="16D0136C">
            <w:pPr>
              <w:pStyle w:val="88"/>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Times New Roman" w:hAnsi="Times New Roman" w:eastAsia="宋体" w:cs="Times New Roman"/>
                <w:b w:val="0"/>
                <w:bCs w:val="0"/>
                <w:color w:val="000000"/>
                <w:highlight w:val="none"/>
                <w:lang w:val="en-US" w:eastAsia="zh-CN"/>
              </w:rPr>
            </w:pPr>
            <w:r>
              <w:rPr>
                <w:rFonts w:hint="eastAsia" w:ascii="Times New Roman" w:hAnsi="Times New Roman" w:eastAsia="宋体" w:cs="Times New Roman"/>
                <w:b/>
                <w:bCs/>
                <w:color w:val="000000"/>
                <w:highlight w:val="none"/>
                <w:lang w:val="en-US" w:eastAsia="zh-CN"/>
              </w:rPr>
              <w:t>治理措施和处理效率：</w:t>
            </w:r>
            <w:r>
              <w:rPr>
                <w:rFonts w:hint="eastAsia" w:ascii="Times New Roman" w:hAnsi="Times New Roman" w:eastAsia="宋体" w:cs="Times New Roman"/>
                <w:b w:val="0"/>
                <w:bCs w:val="0"/>
                <w:color w:val="000000"/>
                <w:highlight w:val="none"/>
                <w:lang w:val="en-US" w:eastAsia="zh-CN"/>
              </w:rPr>
              <w:t>项目自动装料设施密闭，装料粉尘可全部收集（风量约 20000m</w:t>
            </w:r>
            <w:r>
              <w:rPr>
                <w:rFonts w:hint="eastAsia" w:ascii="Times New Roman" w:hAnsi="Times New Roman" w:eastAsia="宋体" w:cs="Times New Roman"/>
                <w:b w:val="0"/>
                <w:bCs w:val="0"/>
                <w:color w:val="000000"/>
                <w:highlight w:val="none"/>
                <w:vertAlign w:val="superscript"/>
                <w:lang w:val="en-US" w:eastAsia="zh-CN"/>
              </w:rPr>
              <w:t>3</w:t>
            </w:r>
            <w:r>
              <w:rPr>
                <w:rFonts w:hint="eastAsia" w:ascii="Times New Roman" w:hAnsi="Times New Roman" w:eastAsia="宋体" w:cs="Times New Roman"/>
                <w:b w:val="0"/>
                <w:bCs w:val="0"/>
                <w:color w:val="000000"/>
                <w:highlight w:val="none"/>
                <w:lang w:val="en-US" w:eastAsia="zh-CN"/>
              </w:rPr>
              <w:t>/h），经密闭管道进入配套设置的布袋除尘器（与包装粉尘共用一套除尘设施，处理效率 99.5%）处理后经1根15m（DA002）排气筒达标排放。</w:t>
            </w:r>
          </w:p>
          <w:p w14:paraId="61756A15">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ind w:left="0" w:leftChars="0" w:firstLine="420" w:firstLineChars="0"/>
              <w:jc w:val="center"/>
              <w:textAlignment w:val="auto"/>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w:t>
            </w:r>
            <w:r>
              <w:rPr>
                <w:rFonts w:hint="default" w:ascii="Times New Roman" w:hAnsi="Times New Roman" w:eastAsia="宋体" w:cs="Times New Roman"/>
                <w:b/>
                <w:bCs/>
                <w:color w:val="000000"/>
                <w:sz w:val="24"/>
                <w:lang w:val="en-US" w:eastAsia="zh-CN"/>
              </w:rPr>
              <w:t>项目</w:t>
            </w:r>
            <w:r>
              <w:rPr>
                <w:rFonts w:hint="eastAsia" w:ascii="Times New Roman" w:hAnsi="Times New Roman" w:eastAsia="宋体" w:cs="Times New Roman"/>
                <w:b/>
                <w:bCs/>
                <w:color w:val="000000"/>
                <w:sz w:val="24"/>
                <w:lang w:val="en-US" w:eastAsia="zh-CN"/>
              </w:rPr>
              <w:t>装料</w:t>
            </w:r>
            <w:r>
              <w:rPr>
                <w:rFonts w:hint="default" w:ascii="Times New Roman" w:hAnsi="Times New Roman" w:eastAsia="宋体" w:cs="Times New Roman"/>
                <w:b/>
                <w:bCs/>
                <w:color w:val="000000"/>
                <w:sz w:val="24"/>
                <w:lang w:val="en-US" w:eastAsia="zh-CN"/>
              </w:rPr>
              <w:t>废气排放情况表</w:t>
            </w:r>
          </w:p>
          <w:tbl>
            <w:tblPr>
              <w:tblStyle w:val="31"/>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735"/>
              <w:gridCol w:w="735"/>
              <w:gridCol w:w="900"/>
              <w:gridCol w:w="2370"/>
              <w:gridCol w:w="885"/>
              <w:gridCol w:w="915"/>
              <w:gridCol w:w="953"/>
            </w:tblGrid>
            <w:tr w14:paraId="268E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jc w:val="center"/>
              </w:trPr>
              <w:tc>
                <w:tcPr>
                  <w:tcW w:w="779" w:type="dxa"/>
                  <w:vMerge w:val="restart"/>
                  <w:noWrap w:val="0"/>
                  <w:vAlign w:val="center"/>
                </w:tcPr>
                <w:p w14:paraId="73A2D564">
                  <w:pPr>
                    <w:jc w:val="center"/>
                    <w:rPr>
                      <w:rFonts w:hint="default" w:ascii="Times New Roman" w:hAnsi="Times New Roman" w:eastAsia="宋体" w:cs="Times New Roman"/>
                      <w:szCs w:val="21"/>
                    </w:rPr>
                  </w:pPr>
                  <w:r>
                    <w:rPr>
                      <w:rFonts w:hint="default" w:ascii="Times New Roman" w:hAnsi="Times New Roman" w:eastAsia="宋体" w:cs="Times New Roman"/>
                      <w:szCs w:val="21"/>
                    </w:rPr>
                    <w:t>废气名称</w:t>
                  </w:r>
                </w:p>
              </w:tc>
              <w:tc>
                <w:tcPr>
                  <w:tcW w:w="735" w:type="dxa"/>
                  <w:vMerge w:val="restart"/>
                  <w:noWrap w:val="0"/>
                  <w:vAlign w:val="center"/>
                </w:tcPr>
                <w:p w14:paraId="718F8DD8">
                  <w:pPr>
                    <w:jc w:val="center"/>
                    <w:rPr>
                      <w:rFonts w:hint="default" w:ascii="Times New Roman" w:hAnsi="Times New Roman" w:eastAsia="宋体" w:cs="Times New Roman"/>
                      <w:szCs w:val="21"/>
                    </w:rPr>
                  </w:pPr>
                  <w:r>
                    <w:rPr>
                      <w:rFonts w:hint="default" w:ascii="Times New Roman" w:hAnsi="Times New Roman" w:eastAsia="宋体" w:cs="Times New Roman"/>
                      <w:szCs w:val="21"/>
                    </w:rPr>
                    <w:t>产生工序</w:t>
                  </w:r>
                </w:p>
              </w:tc>
              <w:tc>
                <w:tcPr>
                  <w:tcW w:w="735" w:type="dxa"/>
                  <w:vMerge w:val="restart"/>
                  <w:noWrap w:val="0"/>
                  <w:vAlign w:val="center"/>
                </w:tcPr>
                <w:p w14:paraId="7629F83D">
                  <w:pPr>
                    <w:jc w:val="center"/>
                    <w:rPr>
                      <w:rFonts w:hint="default" w:ascii="Times New Roman" w:hAnsi="Times New Roman" w:eastAsia="宋体" w:cs="Times New Roman"/>
                      <w:szCs w:val="21"/>
                    </w:rPr>
                  </w:pPr>
                  <w:r>
                    <w:rPr>
                      <w:rFonts w:hint="default" w:ascii="Times New Roman" w:hAnsi="Times New Roman" w:eastAsia="宋体" w:cs="Times New Roman"/>
                      <w:szCs w:val="21"/>
                    </w:rPr>
                    <w:t>主要污染物</w:t>
                  </w:r>
                </w:p>
              </w:tc>
              <w:tc>
                <w:tcPr>
                  <w:tcW w:w="900" w:type="dxa"/>
                  <w:vMerge w:val="restart"/>
                  <w:noWrap w:val="0"/>
                  <w:vAlign w:val="center"/>
                </w:tcPr>
                <w:p w14:paraId="1BF490DA">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产生量</w:t>
                  </w:r>
                  <w:r>
                    <w:rPr>
                      <w:rFonts w:hint="default" w:ascii="Times New Roman" w:hAnsi="Times New Roman" w:eastAsia="宋体" w:cs="Times New Roman"/>
                      <w:szCs w:val="21"/>
                    </w:rPr>
                    <w:t>(t/a)</w:t>
                  </w:r>
                </w:p>
              </w:tc>
              <w:tc>
                <w:tcPr>
                  <w:tcW w:w="2370" w:type="dxa"/>
                  <w:vMerge w:val="restart"/>
                  <w:noWrap w:val="0"/>
                  <w:vAlign w:val="center"/>
                </w:tcPr>
                <w:p w14:paraId="2DBAD163">
                  <w:pPr>
                    <w:jc w:val="center"/>
                    <w:rPr>
                      <w:rFonts w:hint="default" w:ascii="Times New Roman" w:hAnsi="Times New Roman" w:eastAsia="宋体" w:cs="Times New Roman"/>
                      <w:szCs w:val="21"/>
                    </w:rPr>
                  </w:pPr>
                  <w:r>
                    <w:rPr>
                      <w:rFonts w:hint="default" w:ascii="Times New Roman" w:hAnsi="Times New Roman" w:eastAsia="宋体" w:cs="Times New Roman"/>
                      <w:szCs w:val="21"/>
                    </w:rPr>
                    <w:t>治理措施</w:t>
                  </w:r>
                </w:p>
              </w:tc>
              <w:tc>
                <w:tcPr>
                  <w:tcW w:w="2753" w:type="dxa"/>
                  <w:gridSpan w:val="3"/>
                  <w:noWrap w:val="0"/>
                  <w:vAlign w:val="center"/>
                </w:tcPr>
                <w:p w14:paraId="10A604D3">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排放情况</w:t>
                  </w:r>
                </w:p>
              </w:tc>
            </w:tr>
            <w:tr w14:paraId="7ACA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779" w:type="dxa"/>
                  <w:vMerge w:val="continue"/>
                  <w:noWrap w:val="0"/>
                  <w:vAlign w:val="center"/>
                </w:tcPr>
                <w:p w14:paraId="57423490">
                  <w:pPr>
                    <w:jc w:val="center"/>
                    <w:rPr>
                      <w:rFonts w:hint="default" w:ascii="Times New Roman" w:hAnsi="Times New Roman" w:eastAsia="宋体" w:cs="Times New Roman"/>
                      <w:szCs w:val="21"/>
                    </w:rPr>
                  </w:pPr>
                </w:p>
              </w:tc>
              <w:tc>
                <w:tcPr>
                  <w:tcW w:w="735" w:type="dxa"/>
                  <w:vMerge w:val="continue"/>
                  <w:noWrap w:val="0"/>
                  <w:vAlign w:val="center"/>
                </w:tcPr>
                <w:p w14:paraId="7007335D">
                  <w:pPr>
                    <w:jc w:val="center"/>
                    <w:rPr>
                      <w:rFonts w:hint="default" w:ascii="Times New Roman" w:hAnsi="Times New Roman" w:eastAsia="宋体" w:cs="Times New Roman"/>
                      <w:szCs w:val="21"/>
                    </w:rPr>
                  </w:pPr>
                </w:p>
              </w:tc>
              <w:tc>
                <w:tcPr>
                  <w:tcW w:w="735" w:type="dxa"/>
                  <w:vMerge w:val="continue"/>
                  <w:noWrap w:val="0"/>
                  <w:vAlign w:val="center"/>
                </w:tcPr>
                <w:p w14:paraId="0937F25B">
                  <w:pPr>
                    <w:jc w:val="center"/>
                    <w:rPr>
                      <w:rFonts w:hint="default" w:ascii="Times New Roman" w:hAnsi="Times New Roman" w:eastAsia="宋体" w:cs="Times New Roman"/>
                      <w:szCs w:val="21"/>
                    </w:rPr>
                  </w:pPr>
                </w:p>
              </w:tc>
              <w:tc>
                <w:tcPr>
                  <w:tcW w:w="900" w:type="dxa"/>
                  <w:vMerge w:val="continue"/>
                  <w:noWrap w:val="0"/>
                  <w:vAlign w:val="center"/>
                </w:tcPr>
                <w:p w14:paraId="1911A4B0">
                  <w:pPr>
                    <w:jc w:val="center"/>
                    <w:rPr>
                      <w:rFonts w:hint="default" w:ascii="Times New Roman" w:hAnsi="Times New Roman" w:eastAsia="宋体" w:cs="Times New Roman"/>
                      <w:szCs w:val="21"/>
                    </w:rPr>
                  </w:pPr>
                </w:p>
              </w:tc>
              <w:tc>
                <w:tcPr>
                  <w:tcW w:w="2370" w:type="dxa"/>
                  <w:vMerge w:val="continue"/>
                  <w:noWrap w:val="0"/>
                  <w:vAlign w:val="center"/>
                </w:tcPr>
                <w:p w14:paraId="16672EFE">
                  <w:pPr>
                    <w:jc w:val="center"/>
                    <w:rPr>
                      <w:rFonts w:hint="default" w:ascii="Times New Roman" w:hAnsi="Times New Roman" w:eastAsia="宋体" w:cs="Times New Roman"/>
                      <w:szCs w:val="21"/>
                    </w:rPr>
                  </w:pPr>
                </w:p>
              </w:tc>
              <w:tc>
                <w:tcPr>
                  <w:tcW w:w="885" w:type="dxa"/>
                  <w:noWrap w:val="0"/>
                  <w:vAlign w:val="center"/>
                </w:tcPr>
                <w:p w14:paraId="5EF31171">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排放量(t/a)</w:t>
                  </w:r>
                </w:p>
              </w:tc>
              <w:tc>
                <w:tcPr>
                  <w:tcW w:w="915" w:type="dxa"/>
                  <w:noWrap w:val="0"/>
                  <w:vAlign w:val="center"/>
                </w:tcPr>
                <w:p w14:paraId="62DD1841">
                  <w:pPr>
                    <w:jc w:val="center"/>
                    <w:rPr>
                      <w:rFonts w:hint="default" w:ascii="Times New Roman" w:hAnsi="Times New Roman" w:eastAsia="宋体" w:cs="Times New Roman"/>
                      <w:szCs w:val="21"/>
                    </w:rPr>
                  </w:pPr>
                  <w:r>
                    <w:rPr>
                      <w:rFonts w:hint="default" w:ascii="Times New Roman" w:hAnsi="Times New Roman" w:eastAsia="宋体" w:cs="Times New Roman"/>
                      <w:szCs w:val="21"/>
                    </w:rPr>
                    <w:t>速率(kg/h)</w:t>
                  </w:r>
                </w:p>
              </w:tc>
              <w:tc>
                <w:tcPr>
                  <w:tcW w:w="953" w:type="dxa"/>
                  <w:noWrap w:val="0"/>
                  <w:vAlign w:val="center"/>
                </w:tcPr>
                <w:p w14:paraId="68076180">
                  <w:pPr>
                    <w:jc w:val="center"/>
                    <w:rPr>
                      <w:rFonts w:hint="default" w:ascii="Times New Roman" w:hAnsi="Times New Roman" w:eastAsia="宋体" w:cs="Times New Roman"/>
                      <w:szCs w:val="21"/>
                    </w:rPr>
                  </w:pPr>
                  <w:r>
                    <w:rPr>
                      <w:rFonts w:hint="default" w:ascii="Times New Roman" w:hAnsi="Times New Roman" w:eastAsia="宋体" w:cs="Times New Roman"/>
                      <w:szCs w:val="21"/>
                    </w:rPr>
                    <w:t>浓度(mg/m³)</w:t>
                  </w:r>
                </w:p>
              </w:tc>
            </w:tr>
            <w:tr w14:paraId="179E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9" w:hRule="atLeast"/>
                <w:jc w:val="center"/>
              </w:trPr>
              <w:tc>
                <w:tcPr>
                  <w:tcW w:w="779" w:type="dxa"/>
                  <w:noWrap w:val="0"/>
                  <w:vAlign w:val="center"/>
                </w:tcPr>
                <w:p w14:paraId="4DFC74D5">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装料废气</w:t>
                  </w:r>
                </w:p>
              </w:tc>
              <w:tc>
                <w:tcPr>
                  <w:tcW w:w="735" w:type="dxa"/>
                  <w:noWrap w:val="0"/>
                  <w:vAlign w:val="center"/>
                </w:tcPr>
                <w:p w14:paraId="22EB0DA7">
                  <w:pPr>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装料</w:t>
                  </w:r>
                </w:p>
              </w:tc>
              <w:tc>
                <w:tcPr>
                  <w:tcW w:w="735" w:type="dxa"/>
                  <w:noWrap w:val="0"/>
                  <w:vAlign w:val="center"/>
                </w:tcPr>
                <w:p w14:paraId="6DCB44D4">
                  <w:pPr>
                    <w:pStyle w:val="94"/>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900" w:type="dxa"/>
                  <w:noWrap w:val="0"/>
                  <w:vAlign w:val="center"/>
                </w:tcPr>
                <w:p w14:paraId="74D9AABF">
                  <w:pPr>
                    <w:pStyle w:val="94"/>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2.015</w:t>
                  </w:r>
                </w:p>
              </w:tc>
              <w:tc>
                <w:tcPr>
                  <w:tcW w:w="2370" w:type="dxa"/>
                  <w:noWrap w:val="0"/>
                  <w:vAlign w:val="center"/>
                </w:tcPr>
                <w:p w14:paraId="5097582A">
                  <w:pPr>
                    <w:jc w:val="center"/>
                    <w:rPr>
                      <w:rFonts w:hint="default" w:ascii="Times New Roman" w:hAnsi="Times New Roman" w:eastAsia="宋体" w:cs="Times New Roman"/>
                      <w:szCs w:val="21"/>
                    </w:rPr>
                  </w:pPr>
                  <w:r>
                    <w:rPr>
                      <w:rFonts w:hint="default" w:ascii="Times New Roman" w:hAnsi="Times New Roman" w:eastAsia="宋体" w:cs="Times New Roman"/>
                      <w:szCs w:val="21"/>
                    </w:rPr>
                    <w:t>通过</w:t>
                  </w:r>
                  <w:r>
                    <w:rPr>
                      <w:rFonts w:hint="eastAsia" w:ascii="Times New Roman" w:hAnsi="Times New Roman" w:eastAsia="宋体" w:cs="Times New Roman"/>
                      <w:szCs w:val="21"/>
                      <w:lang w:val="en-US" w:eastAsia="zh-CN"/>
                    </w:rPr>
                    <w:t>布袋除尘器</w:t>
                  </w:r>
                  <w:r>
                    <w:rPr>
                      <w:rFonts w:hint="eastAsia" w:cs="Times New Roman"/>
                      <w:szCs w:val="21"/>
                      <w:lang w:eastAsia="zh-CN"/>
                    </w:rPr>
                    <w:t>（</w:t>
                  </w:r>
                  <w:r>
                    <w:rPr>
                      <w:rFonts w:hint="default" w:ascii="Times New Roman" w:hAnsi="Times New Roman" w:cs="Times New Roman"/>
                      <w:bCs/>
                      <w:highlight w:val="none"/>
                      <w:lang w:val="en-US" w:eastAsia="zh-CN"/>
                    </w:rPr>
                    <w:t>风量</w:t>
                  </w:r>
                  <w:r>
                    <w:rPr>
                      <w:rFonts w:hint="eastAsia" w:ascii="Times New Roman" w:hAnsi="Times New Roman" w:cs="Times New Roman"/>
                      <w:bCs/>
                      <w:highlight w:val="none"/>
                      <w:lang w:val="en-US" w:eastAsia="zh-CN"/>
                    </w:rPr>
                    <w:t>2</w:t>
                  </w:r>
                  <w:r>
                    <w:rPr>
                      <w:rFonts w:hint="default" w:ascii="Times New Roman" w:hAnsi="Times New Roman" w:cs="Times New Roman"/>
                      <w:bCs/>
                      <w:highlight w:val="none"/>
                      <w:lang w:val="en-US" w:eastAsia="zh-CN"/>
                    </w:rPr>
                    <w:t>0000Nm</w:t>
                  </w:r>
                  <w:r>
                    <w:rPr>
                      <w:rFonts w:hint="default" w:ascii="Times New Roman" w:hAnsi="Times New Roman" w:cs="Times New Roman"/>
                      <w:bCs/>
                      <w:highlight w:val="none"/>
                      <w:vertAlign w:val="superscript"/>
                      <w:lang w:val="en-US" w:eastAsia="zh-CN"/>
                    </w:rPr>
                    <w:t>3</w:t>
                  </w:r>
                  <w:r>
                    <w:rPr>
                      <w:rFonts w:hint="default" w:ascii="Times New Roman" w:hAnsi="Times New Roman" w:cs="Times New Roman"/>
                      <w:bCs/>
                      <w:highlight w:val="none"/>
                      <w:lang w:val="en-US" w:eastAsia="zh-CN"/>
                    </w:rPr>
                    <w:t>/h，除尘效率为99</w:t>
                  </w:r>
                  <w:r>
                    <w:rPr>
                      <w:rFonts w:hint="eastAsia" w:ascii="Times New Roman" w:hAnsi="Times New Roman" w:cs="Times New Roman"/>
                      <w:bCs/>
                      <w:highlight w:val="none"/>
                      <w:lang w:val="en-US" w:eastAsia="zh-CN"/>
                    </w:rPr>
                    <w:t>.5</w:t>
                  </w:r>
                  <w:r>
                    <w:rPr>
                      <w:rFonts w:hint="default" w:ascii="Times New Roman" w:hAnsi="Times New Roman" w:cs="Times New Roman"/>
                      <w:bCs/>
                      <w:highlight w:val="none"/>
                      <w:lang w:val="en-US" w:eastAsia="zh-CN"/>
                    </w:rPr>
                    <w:t>%</w:t>
                  </w:r>
                  <w:r>
                    <w:rPr>
                      <w:rFonts w:hint="eastAsia" w:cs="Times New Roman"/>
                      <w:szCs w:val="21"/>
                      <w:lang w:eastAsia="zh-CN"/>
                    </w:rPr>
                    <w:t>）</w:t>
                  </w:r>
                  <w:r>
                    <w:rPr>
                      <w:rFonts w:hint="eastAsia" w:ascii="Times New Roman" w:hAnsi="Times New Roman" w:eastAsia="宋体" w:cs="Times New Roman"/>
                      <w:szCs w:val="21"/>
                      <w:lang w:val="en-US" w:eastAsia="zh-CN"/>
                    </w:rPr>
                    <w:t>处理后</w:t>
                  </w:r>
                  <w:r>
                    <w:rPr>
                      <w:rFonts w:hint="default" w:ascii="Times New Roman" w:hAnsi="Times New Roman" w:eastAsia="宋体" w:cs="Times New Roman"/>
                      <w:szCs w:val="21"/>
                    </w:rPr>
                    <w:t>15m排气筒（</w:t>
                  </w:r>
                  <w:r>
                    <w:rPr>
                      <w:rFonts w:hint="eastAsia" w:ascii="Times New Roman" w:hAnsi="Times New Roman" w:eastAsia="宋体" w:cs="Times New Roman"/>
                      <w:szCs w:val="21"/>
                      <w:lang w:val="en-US" w:eastAsia="zh-CN"/>
                    </w:rPr>
                    <w:t>DA002</w:t>
                  </w:r>
                  <w:r>
                    <w:rPr>
                      <w:rFonts w:hint="default" w:ascii="Times New Roman" w:hAnsi="Times New Roman" w:eastAsia="宋体" w:cs="Times New Roman"/>
                      <w:szCs w:val="21"/>
                    </w:rPr>
                    <w:t>）进行排放</w:t>
                  </w:r>
                </w:p>
              </w:tc>
              <w:tc>
                <w:tcPr>
                  <w:tcW w:w="885" w:type="dxa"/>
                  <w:noWrap w:val="0"/>
                  <w:vAlign w:val="center"/>
                </w:tcPr>
                <w:p w14:paraId="54D1D224">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0.01</w:t>
                  </w:r>
                </w:p>
              </w:tc>
              <w:tc>
                <w:tcPr>
                  <w:tcW w:w="915" w:type="dxa"/>
                  <w:noWrap w:val="0"/>
                  <w:vAlign w:val="center"/>
                </w:tcPr>
                <w:p w14:paraId="7774BB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0.00126</w:t>
                  </w:r>
                </w:p>
              </w:tc>
              <w:tc>
                <w:tcPr>
                  <w:tcW w:w="953" w:type="dxa"/>
                  <w:noWrap w:val="0"/>
                  <w:vAlign w:val="center"/>
                </w:tcPr>
                <w:p w14:paraId="16C243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0.0631 </w:t>
                  </w:r>
                </w:p>
              </w:tc>
            </w:tr>
          </w:tbl>
          <w:p w14:paraId="617888B2">
            <w:pPr>
              <w:pStyle w:val="81"/>
              <w:keepNext w:val="0"/>
              <w:keepLines w:val="0"/>
              <w:pageBreakBefore w:val="0"/>
              <w:widowControl/>
              <w:numPr>
                <w:ilvl w:val="0"/>
                <w:numId w:val="0"/>
              </w:numPr>
              <w:kinsoku/>
              <w:wordWrap/>
              <w:overflowPunct/>
              <w:topLinePunct w:val="0"/>
              <w:autoSpaceDE/>
              <w:autoSpaceDN/>
              <w:bidi w:val="0"/>
              <w:adjustRightInd/>
              <w:snapToGrid/>
              <w:spacing w:before="157" w:beforeLines="50" w:line="360" w:lineRule="auto"/>
              <w:ind w:right="0" w:rightChars="0" w:firstLine="460" w:firstLineChars="200"/>
              <w:jc w:val="left"/>
              <w:textAlignment w:val="auto"/>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③包装废气</w:t>
            </w:r>
          </w:p>
          <w:p w14:paraId="789F1CB9">
            <w:pPr>
              <w:pStyle w:val="88"/>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eastAsia="宋体" w:cs="Times New Roman"/>
                <w:b w:val="0"/>
                <w:bCs w:val="0"/>
                <w:color w:val="000000"/>
                <w:highlight w:val="none"/>
                <w:lang w:val="en-US" w:eastAsia="zh-CN"/>
              </w:rPr>
            </w:pPr>
            <w:r>
              <w:rPr>
                <w:rFonts w:hint="eastAsia" w:ascii="Times New Roman" w:hAnsi="Times New Roman" w:cs="Times New Roman"/>
                <w:b w:val="0"/>
                <w:bCs w:val="0"/>
                <w:color w:val="000000"/>
                <w:spacing w:val="-5"/>
                <w:sz w:val="24"/>
                <w:szCs w:val="24"/>
                <w:lang w:val="en-US" w:eastAsia="zh-CN"/>
              </w:rPr>
              <w:t>现有项目</w:t>
            </w:r>
            <w:r>
              <w:rPr>
                <w:rFonts w:hint="eastAsia"/>
                <w:color w:val="000000"/>
                <w:spacing w:val="-1"/>
                <w:lang w:val="en-US" w:eastAsia="zh-CN"/>
              </w:rPr>
              <w:t>包装工序</w:t>
            </w:r>
            <w:r>
              <w:rPr>
                <w:color w:val="000000"/>
                <w:spacing w:val="-1"/>
              </w:rPr>
              <w:t>均为负压自动收集打包</w:t>
            </w:r>
            <w:r>
              <w:rPr>
                <w:rFonts w:hint="eastAsia"/>
                <w:color w:val="000000"/>
                <w:spacing w:val="-1"/>
                <w:lang w:eastAsia="zh-CN"/>
              </w:rPr>
              <w:t>，</w:t>
            </w:r>
            <w:r>
              <w:rPr>
                <w:color w:val="000000"/>
                <w:spacing w:val="12"/>
              </w:rPr>
              <w:t>项</w:t>
            </w:r>
            <w:r>
              <w:rPr>
                <w:color w:val="000000"/>
                <w:spacing w:val="-47"/>
              </w:rPr>
              <w:t xml:space="preserve"> </w:t>
            </w:r>
            <w:r>
              <w:rPr>
                <w:color w:val="000000"/>
                <w:spacing w:val="12"/>
              </w:rPr>
              <w:t>目出料和打包设施均密闭，打包粉尘可全部收集</w:t>
            </w:r>
            <w:r>
              <w:rPr>
                <w:color w:val="000000"/>
                <w:spacing w:val="-1"/>
              </w:rPr>
              <w:t>。</w:t>
            </w:r>
            <w:r>
              <w:rPr>
                <w:color w:val="000000"/>
                <w:spacing w:val="-4"/>
              </w:rPr>
              <w:t>参考《逸散性工业粉尘控制</w:t>
            </w:r>
            <w:r>
              <w:rPr>
                <w:color w:val="000000"/>
                <w:spacing w:val="-1"/>
              </w:rPr>
              <w:t>技术》（中国环境科学出版社，</w:t>
            </w:r>
            <w:r>
              <w:rPr>
                <w:rFonts w:ascii="Times New Roman" w:hAnsi="Times New Roman" w:eastAsia="Times New Roman" w:cs="Times New Roman"/>
                <w:color w:val="000000"/>
                <w:spacing w:val="-1"/>
              </w:rPr>
              <w:t>1989</w:t>
            </w:r>
            <w:r>
              <w:rPr>
                <w:color w:val="000000"/>
                <w:spacing w:val="-1"/>
              </w:rPr>
              <w:t>）中类似行业粉尘产污系数 (≤</w:t>
            </w:r>
            <w:r>
              <w:rPr>
                <w:rFonts w:ascii="Times New Roman" w:hAnsi="Times New Roman" w:eastAsia="Times New Roman" w:cs="Times New Roman"/>
                <w:color w:val="000000"/>
                <w:spacing w:val="-1"/>
              </w:rPr>
              <w:t>1.0kg/t-</w:t>
            </w:r>
            <w:r>
              <w:rPr>
                <w:color w:val="000000"/>
                <w:spacing w:val="-1"/>
              </w:rPr>
              <w:t>物料</w:t>
            </w:r>
            <w:r>
              <w:rPr>
                <w:color w:val="000000"/>
                <w:spacing w:val="17"/>
              </w:rPr>
              <w:t>），</w:t>
            </w:r>
            <w:r>
              <w:rPr>
                <w:color w:val="000000"/>
                <w:spacing w:val="-1"/>
              </w:rPr>
              <w:t>即按物</w:t>
            </w:r>
            <w:r>
              <w:rPr>
                <w:color w:val="000000"/>
                <w:spacing w:val="-4"/>
              </w:rPr>
              <w:t>料处理量的</w:t>
            </w:r>
            <w:r>
              <w:rPr>
                <w:color w:val="000000"/>
                <w:spacing w:val="-19"/>
              </w:rPr>
              <w:t xml:space="preserve"> </w:t>
            </w:r>
            <w:r>
              <w:rPr>
                <w:rFonts w:ascii="Times New Roman" w:hAnsi="Times New Roman" w:eastAsia="Times New Roman" w:cs="Times New Roman"/>
                <w:color w:val="000000"/>
                <w:spacing w:val="-4"/>
              </w:rPr>
              <w:t>1‰</w:t>
            </w:r>
            <w:r>
              <w:rPr>
                <w:color w:val="000000"/>
                <w:spacing w:val="-4"/>
              </w:rPr>
              <w:t>计。</w:t>
            </w:r>
            <w:r>
              <w:rPr>
                <w:rFonts w:hint="eastAsia"/>
                <w:color w:val="000000"/>
                <w:spacing w:val="-4"/>
                <w:lang w:eastAsia="zh-CN"/>
              </w:rPr>
              <w:t>现有</w:t>
            </w:r>
            <w:r>
              <w:rPr>
                <w:rFonts w:hint="eastAsia" w:ascii="Times New Roman" w:hAnsi="Times New Roman" w:eastAsia="宋体" w:cs="Times New Roman"/>
                <w:b w:val="0"/>
                <w:bCs w:val="0"/>
                <w:color w:val="000000"/>
                <w:highlight w:val="none"/>
                <w:lang w:val="en-US" w:eastAsia="zh-CN"/>
              </w:rPr>
              <w:t>项目成品为2000t/a，工作时间为7920h/a，则成品包装工段粉尘产生量为2t/a，粉尘产生速率为0.253kg/h。</w:t>
            </w:r>
          </w:p>
          <w:p w14:paraId="396C7ADF">
            <w:pPr>
              <w:pStyle w:val="88"/>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Times New Roman" w:hAnsi="Times New Roman" w:eastAsia="宋体" w:cs="Times New Roman"/>
                <w:b w:val="0"/>
                <w:bCs w:val="0"/>
                <w:color w:val="000000"/>
                <w:highlight w:val="none"/>
                <w:lang w:val="en-US" w:eastAsia="zh-CN"/>
              </w:rPr>
            </w:pPr>
            <w:r>
              <w:rPr>
                <w:rFonts w:hint="eastAsia" w:ascii="Times New Roman" w:hAnsi="Times New Roman" w:eastAsia="宋体" w:cs="Times New Roman"/>
                <w:b/>
                <w:bCs/>
                <w:color w:val="000000"/>
                <w:highlight w:val="none"/>
                <w:lang w:val="en-US" w:eastAsia="zh-CN"/>
              </w:rPr>
              <w:t>治理措施和处理效率：</w:t>
            </w:r>
            <w:r>
              <w:rPr>
                <w:rFonts w:hint="eastAsia" w:ascii="Times New Roman" w:hAnsi="Times New Roman" w:eastAsia="宋体" w:cs="Times New Roman"/>
                <w:b w:val="0"/>
                <w:bCs w:val="0"/>
                <w:color w:val="000000"/>
                <w:highlight w:val="none"/>
                <w:lang w:val="en-US" w:eastAsia="zh-CN"/>
              </w:rPr>
              <w:t>项目自动装料设施密闭，装料粉尘可全部收集（风量约 20000m</w:t>
            </w:r>
            <w:r>
              <w:rPr>
                <w:rFonts w:hint="eastAsia" w:ascii="Times New Roman" w:hAnsi="Times New Roman" w:eastAsia="宋体" w:cs="Times New Roman"/>
                <w:b w:val="0"/>
                <w:bCs w:val="0"/>
                <w:color w:val="000000"/>
                <w:highlight w:val="none"/>
                <w:vertAlign w:val="superscript"/>
                <w:lang w:val="en-US" w:eastAsia="zh-CN"/>
              </w:rPr>
              <w:t>3</w:t>
            </w:r>
            <w:r>
              <w:rPr>
                <w:rFonts w:hint="eastAsia" w:ascii="Times New Roman" w:hAnsi="Times New Roman" w:eastAsia="宋体" w:cs="Times New Roman"/>
                <w:b w:val="0"/>
                <w:bCs w:val="0"/>
                <w:color w:val="000000"/>
                <w:highlight w:val="none"/>
                <w:lang w:val="en-US" w:eastAsia="zh-CN"/>
              </w:rPr>
              <w:t>/h），经密闭管道进入配套设置的布袋除尘器（与包装粉尘共用一套除尘设施，处理效率 99.5%）处理后经1根15m（DA002）排气筒达标排放。</w:t>
            </w:r>
          </w:p>
          <w:p w14:paraId="29347359">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ind w:left="0" w:leftChars="0" w:firstLine="420" w:firstLineChars="0"/>
              <w:jc w:val="center"/>
              <w:textAlignment w:val="auto"/>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w:t>
            </w:r>
            <w:r>
              <w:rPr>
                <w:rFonts w:hint="default" w:ascii="Times New Roman" w:hAnsi="Times New Roman" w:eastAsia="宋体" w:cs="Times New Roman"/>
                <w:b/>
                <w:bCs/>
                <w:color w:val="000000"/>
                <w:sz w:val="24"/>
                <w:lang w:val="en-US" w:eastAsia="zh-CN"/>
              </w:rPr>
              <w:t>项目</w:t>
            </w:r>
            <w:r>
              <w:rPr>
                <w:rFonts w:hint="eastAsia" w:ascii="Times New Roman" w:hAnsi="Times New Roman" w:eastAsia="宋体" w:cs="Times New Roman"/>
                <w:b/>
                <w:bCs/>
                <w:color w:val="000000"/>
                <w:sz w:val="24"/>
                <w:lang w:val="en-US" w:eastAsia="zh-CN"/>
              </w:rPr>
              <w:t>包装</w:t>
            </w:r>
            <w:r>
              <w:rPr>
                <w:rFonts w:hint="default" w:ascii="Times New Roman" w:hAnsi="Times New Roman" w:eastAsia="宋体" w:cs="Times New Roman"/>
                <w:b/>
                <w:bCs/>
                <w:color w:val="000000"/>
                <w:sz w:val="24"/>
                <w:lang w:val="en-US" w:eastAsia="zh-CN"/>
              </w:rPr>
              <w:t>废气排放情况表</w:t>
            </w:r>
          </w:p>
          <w:tbl>
            <w:tblPr>
              <w:tblStyle w:val="31"/>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765"/>
              <w:gridCol w:w="885"/>
              <w:gridCol w:w="780"/>
              <w:gridCol w:w="2205"/>
              <w:gridCol w:w="855"/>
              <w:gridCol w:w="851"/>
              <w:gridCol w:w="1257"/>
            </w:tblGrid>
            <w:tr w14:paraId="0E45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jc w:val="center"/>
              </w:trPr>
              <w:tc>
                <w:tcPr>
                  <w:tcW w:w="674" w:type="dxa"/>
                  <w:vMerge w:val="restart"/>
                  <w:noWrap w:val="0"/>
                  <w:vAlign w:val="center"/>
                </w:tcPr>
                <w:p w14:paraId="410EA149">
                  <w:pPr>
                    <w:jc w:val="center"/>
                    <w:rPr>
                      <w:rFonts w:hint="default" w:ascii="Times New Roman" w:hAnsi="Times New Roman" w:eastAsia="宋体" w:cs="Times New Roman"/>
                      <w:szCs w:val="21"/>
                    </w:rPr>
                  </w:pPr>
                  <w:r>
                    <w:rPr>
                      <w:rFonts w:hint="default" w:ascii="Times New Roman" w:hAnsi="Times New Roman" w:eastAsia="宋体" w:cs="Times New Roman"/>
                      <w:szCs w:val="21"/>
                    </w:rPr>
                    <w:t>废气名称</w:t>
                  </w:r>
                </w:p>
              </w:tc>
              <w:tc>
                <w:tcPr>
                  <w:tcW w:w="765" w:type="dxa"/>
                  <w:vMerge w:val="restart"/>
                  <w:noWrap w:val="0"/>
                  <w:vAlign w:val="center"/>
                </w:tcPr>
                <w:p w14:paraId="2B2AB5F8">
                  <w:pPr>
                    <w:jc w:val="center"/>
                    <w:rPr>
                      <w:rFonts w:hint="default" w:ascii="Times New Roman" w:hAnsi="Times New Roman" w:eastAsia="宋体" w:cs="Times New Roman"/>
                      <w:szCs w:val="21"/>
                    </w:rPr>
                  </w:pPr>
                  <w:r>
                    <w:rPr>
                      <w:rFonts w:hint="default" w:ascii="Times New Roman" w:hAnsi="Times New Roman" w:eastAsia="宋体" w:cs="Times New Roman"/>
                      <w:szCs w:val="21"/>
                    </w:rPr>
                    <w:t>产生工序</w:t>
                  </w:r>
                </w:p>
              </w:tc>
              <w:tc>
                <w:tcPr>
                  <w:tcW w:w="885" w:type="dxa"/>
                  <w:vMerge w:val="restart"/>
                  <w:noWrap w:val="0"/>
                  <w:vAlign w:val="center"/>
                </w:tcPr>
                <w:p w14:paraId="0E221BC1">
                  <w:pPr>
                    <w:jc w:val="center"/>
                    <w:rPr>
                      <w:rFonts w:hint="default" w:ascii="Times New Roman" w:hAnsi="Times New Roman" w:eastAsia="宋体" w:cs="Times New Roman"/>
                      <w:szCs w:val="21"/>
                    </w:rPr>
                  </w:pPr>
                  <w:r>
                    <w:rPr>
                      <w:rFonts w:hint="default" w:ascii="Times New Roman" w:hAnsi="Times New Roman" w:eastAsia="宋体" w:cs="Times New Roman"/>
                      <w:szCs w:val="21"/>
                    </w:rPr>
                    <w:t>主要污染物</w:t>
                  </w:r>
                </w:p>
              </w:tc>
              <w:tc>
                <w:tcPr>
                  <w:tcW w:w="780" w:type="dxa"/>
                  <w:vMerge w:val="restart"/>
                  <w:noWrap w:val="0"/>
                  <w:vAlign w:val="center"/>
                </w:tcPr>
                <w:p w14:paraId="7C319FB2">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产生量</w:t>
                  </w:r>
                  <w:r>
                    <w:rPr>
                      <w:rFonts w:hint="default" w:ascii="Times New Roman" w:hAnsi="Times New Roman" w:eastAsia="宋体" w:cs="Times New Roman"/>
                      <w:szCs w:val="21"/>
                    </w:rPr>
                    <w:t>(t/a)</w:t>
                  </w:r>
                </w:p>
              </w:tc>
              <w:tc>
                <w:tcPr>
                  <w:tcW w:w="2205" w:type="dxa"/>
                  <w:vMerge w:val="restart"/>
                  <w:noWrap w:val="0"/>
                  <w:vAlign w:val="center"/>
                </w:tcPr>
                <w:p w14:paraId="257E8DB9">
                  <w:pPr>
                    <w:jc w:val="center"/>
                    <w:rPr>
                      <w:rFonts w:hint="default" w:ascii="Times New Roman" w:hAnsi="Times New Roman" w:eastAsia="宋体" w:cs="Times New Roman"/>
                      <w:szCs w:val="21"/>
                    </w:rPr>
                  </w:pPr>
                  <w:r>
                    <w:rPr>
                      <w:rFonts w:hint="default" w:ascii="Times New Roman" w:hAnsi="Times New Roman" w:eastAsia="宋体" w:cs="Times New Roman"/>
                      <w:szCs w:val="21"/>
                    </w:rPr>
                    <w:t>治理措施</w:t>
                  </w:r>
                </w:p>
              </w:tc>
              <w:tc>
                <w:tcPr>
                  <w:tcW w:w="2963" w:type="dxa"/>
                  <w:gridSpan w:val="3"/>
                  <w:noWrap w:val="0"/>
                  <w:vAlign w:val="center"/>
                </w:tcPr>
                <w:p w14:paraId="08A720C4">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排放情况</w:t>
                  </w:r>
                </w:p>
              </w:tc>
            </w:tr>
            <w:tr w14:paraId="0747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674" w:type="dxa"/>
                  <w:vMerge w:val="continue"/>
                  <w:noWrap w:val="0"/>
                  <w:vAlign w:val="center"/>
                </w:tcPr>
                <w:p w14:paraId="637E47C0">
                  <w:pPr>
                    <w:jc w:val="center"/>
                    <w:rPr>
                      <w:rFonts w:hint="default" w:ascii="Times New Roman" w:hAnsi="Times New Roman" w:eastAsia="宋体" w:cs="Times New Roman"/>
                      <w:szCs w:val="21"/>
                    </w:rPr>
                  </w:pPr>
                </w:p>
              </w:tc>
              <w:tc>
                <w:tcPr>
                  <w:tcW w:w="765" w:type="dxa"/>
                  <w:vMerge w:val="continue"/>
                  <w:noWrap w:val="0"/>
                  <w:vAlign w:val="center"/>
                </w:tcPr>
                <w:p w14:paraId="570747D4">
                  <w:pPr>
                    <w:jc w:val="center"/>
                    <w:rPr>
                      <w:rFonts w:hint="default" w:ascii="Times New Roman" w:hAnsi="Times New Roman" w:eastAsia="宋体" w:cs="Times New Roman"/>
                      <w:szCs w:val="21"/>
                    </w:rPr>
                  </w:pPr>
                </w:p>
              </w:tc>
              <w:tc>
                <w:tcPr>
                  <w:tcW w:w="885" w:type="dxa"/>
                  <w:vMerge w:val="continue"/>
                  <w:noWrap w:val="0"/>
                  <w:vAlign w:val="center"/>
                </w:tcPr>
                <w:p w14:paraId="71AB275C">
                  <w:pPr>
                    <w:jc w:val="center"/>
                    <w:rPr>
                      <w:rFonts w:hint="default" w:ascii="Times New Roman" w:hAnsi="Times New Roman" w:eastAsia="宋体" w:cs="Times New Roman"/>
                      <w:szCs w:val="21"/>
                    </w:rPr>
                  </w:pPr>
                </w:p>
              </w:tc>
              <w:tc>
                <w:tcPr>
                  <w:tcW w:w="780" w:type="dxa"/>
                  <w:vMerge w:val="continue"/>
                  <w:noWrap w:val="0"/>
                  <w:vAlign w:val="center"/>
                </w:tcPr>
                <w:p w14:paraId="2C8F3694">
                  <w:pPr>
                    <w:jc w:val="center"/>
                    <w:rPr>
                      <w:rFonts w:hint="default" w:ascii="Times New Roman" w:hAnsi="Times New Roman" w:eastAsia="宋体" w:cs="Times New Roman"/>
                      <w:szCs w:val="21"/>
                    </w:rPr>
                  </w:pPr>
                </w:p>
              </w:tc>
              <w:tc>
                <w:tcPr>
                  <w:tcW w:w="2205" w:type="dxa"/>
                  <w:vMerge w:val="continue"/>
                  <w:noWrap w:val="0"/>
                  <w:vAlign w:val="center"/>
                </w:tcPr>
                <w:p w14:paraId="75323D38">
                  <w:pPr>
                    <w:jc w:val="center"/>
                    <w:rPr>
                      <w:rFonts w:hint="default" w:ascii="Times New Roman" w:hAnsi="Times New Roman" w:eastAsia="宋体" w:cs="Times New Roman"/>
                      <w:szCs w:val="21"/>
                    </w:rPr>
                  </w:pPr>
                </w:p>
              </w:tc>
              <w:tc>
                <w:tcPr>
                  <w:tcW w:w="855" w:type="dxa"/>
                  <w:noWrap w:val="0"/>
                  <w:vAlign w:val="center"/>
                </w:tcPr>
                <w:p w14:paraId="333477CD">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排放量(t/a)</w:t>
                  </w:r>
                </w:p>
              </w:tc>
              <w:tc>
                <w:tcPr>
                  <w:tcW w:w="851" w:type="dxa"/>
                  <w:noWrap w:val="0"/>
                  <w:vAlign w:val="center"/>
                </w:tcPr>
                <w:p w14:paraId="36ED5533">
                  <w:pPr>
                    <w:jc w:val="center"/>
                    <w:rPr>
                      <w:rFonts w:hint="default" w:ascii="Times New Roman" w:hAnsi="Times New Roman" w:eastAsia="宋体" w:cs="Times New Roman"/>
                      <w:szCs w:val="21"/>
                    </w:rPr>
                  </w:pPr>
                  <w:r>
                    <w:rPr>
                      <w:rFonts w:hint="default" w:ascii="Times New Roman" w:hAnsi="Times New Roman" w:eastAsia="宋体" w:cs="Times New Roman"/>
                      <w:szCs w:val="21"/>
                    </w:rPr>
                    <w:t>速率(kg/h)</w:t>
                  </w:r>
                </w:p>
              </w:tc>
              <w:tc>
                <w:tcPr>
                  <w:tcW w:w="1257" w:type="dxa"/>
                  <w:noWrap w:val="0"/>
                  <w:vAlign w:val="center"/>
                </w:tcPr>
                <w:p w14:paraId="665005A7">
                  <w:pPr>
                    <w:jc w:val="center"/>
                    <w:rPr>
                      <w:rFonts w:hint="default" w:ascii="Times New Roman" w:hAnsi="Times New Roman" w:eastAsia="宋体" w:cs="Times New Roman"/>
                      <w:szCs w:val="21"/>
                    </w:rPr>
                  </w:pPr>
                  <w:r>
                    <w:rPr>
                      <w:rFonts w:hint="default" w:ascii="Times New Roman" w:hAnsi="Times New Roman" w:eastAsia="宋体" w:cs="Times New Roman"/>
                      <w:szCs w:val="21"/>
                    </w:rPr>
                    <w:t>浓度(mg/m³)</w:t>
                  </w:r>
                </w:p>
              </w:tc>
            </w:tr>
            <w:tr w14:paraId="448E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74" w:type="dxa"/>
                  <w:noWrap w:val="0"/>
                  <w:vAlign w:val="center"/>
                </w:tcPr>
                <w:p w14:paraId="6DC6B99E">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包装废气</w:t>
                  </w:r>
                </w:p>
              </w:tc>
              <w:tc>
                <w:tcPr>
                  <w:tcW w:w="765" w:type="dxa"/>
                  <w:noWrap w:val="0"/>
                  <w:vAlign w:val="center"/>
                </w:tcPr>
                <w:p w14:paraId="3EBC632E">
                  <w:pPr>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包装</w:t>
                  </w:r>
                </w:p>
              </w:tc>
              <w:tc>
                <w:tcPr>
                  <w:tcW w:w="885" w:type="dxa"/>
                  <w:noWrap w:val="0"/>
                  <w:vAlign w:val="center"/>
                </w:tcPr>
                <w:p w14:paraId="700CB33E">
                  <w:pPr>
                    <w:pStyle w:val="94"/>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780" w:type="dxa"/>
                  <w:noWrap w:val="0"/>
                  <w:vAlign w:val="center"/>
                </w:tcPr>
                <w:p w14:paraId="342D90A1">
                  <w:pPr>
                    <w:pStyle w:val="94"/>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w:t>
                  </w:r>
                </w:p>
              </w:tc>
              <w:tc>
                <w:tcPr>
                  <w:tcW w:w="2205" w:type="dxa"/>
                  <w:noWrap w:val="0"/>
                  <w:vAlign w:val="center"/>
                </w:tcPr>
                <w:p w14:paraId="3AD0F223">
                  <w:pPr>
                    <w:jc w:val="center"/>
                    <w:rPr>
                      <w:rFonts w:hint="default" w:ascii="Times New Roman" w:hAnsi="Times New Roman" w:eastAsia="宋体" w:cs="Times New Roman"/>
                      <w:szCs w:val="21"/>
                    </w:rPr>
                  </w:pPr>
                  <w:r>
                    <w:rPr>
                      <w:rFonts w:hint="default" w:ascii="Times New Roman" w:hAnsi="Times New Roman" w:eastAsia="宋体" w:cs="Times New Roman"/>
                      <w:szCs w:val="21"/>
                    </w:rPr>
                    <w:t>通过</w:t>
                  </w:r>
                  <w:r>
                    <w:rPr>
                      <w:rFonts w:hint="eastAsia" w:ascii="Times New Roman" w:hAnsi="Times New Roman" w:eastAsia="宋体" w:cs="Times New Roman"/>
                      <w:szCs w:val="21"/>
                      <w:lang w:val="en-US" w:eastAsia="zh-CN"/>
                    </w:rPr>
                    <w:t>布袋除尘器</w:t>
                  </w:r>
                  <w:r>
                    <w:rPr>
                      <w:rFonts w:hint="eastAsia" w:cs="Times New Roman"/>
                      <w:szCs w:val="21"/>
                      <w:lang w:eastAsia="zh-CN"/>
                    </w:rPr>
                    <w:t>（</w:t>
                  </w:r>
                  <w:r>
                    <w:rPr>
                      <w:rFonts w:hint="default" w:ascii="Times New Roman" w:hAnsi="Times New Roman" w:cs="Times New Roman"/>
                      <w:bCs/>
                      <w:highlight w:val="none"/>
                      <w:lang w:val="en-US" w:eastAsia="zh-CN"/>
                    </w:rPr>
                    <w:t>风量</w:t>
                  </w:r>
                  <w:r>
                    <w:rPr>
                      <w:rFonts w:hint="eastAsia" w:ascii="Times New Roman" w:hAnsi="Times New Roman" w:cs="Times New Roman"/>
                      <w:bCs/>
                      <w:highlight w:val="none"/>
                      <w:lang w:val="en-US" w:eastAsia="zh-CN"/>
                    </w:rPr>
                    <w:t>2</w:t>
                  </w:r>
                  <w:r>
                    <w:rPr>
                      <w:rFonts w:hint="default" w:ascii="Times New Roman" w:hAnsi="Times New Roman" w:cs="Times New Roman"/>
                      <w:bCs/>
                      <w:highlight w:val="none"/>
                      <w:lang w:val="en-US" w:eastAsia="zh-CN"/>
                    </w:rPr>
                    <w:t>0000Nm</w:t>
                  </w:r>
                  <w:r>
                    <w:rPr>
                      <w:rFonts w:hint="default" w:ascii="Times New Roman" w:hAnsi="Times New Roman" w:cs="Times New Roman"/>
                      <w:bCs/>
                      <w:highlight w:val="none"/>
                      <w:vertAlign w:val="superscript"/>
                      <w:lang w:val="en-US" w:eastAsia="zh-CN"/>
                    </w:rPr>
                    <w:t>3</w:t>
                  </w:r>
                  <w:r>
                    <w:rPr>
                      <w:rFonts w:hint="default" w:ascii="Times New Roman" w:hAnsi="Times New Roman" w:cs="Times New Roman"/>
                      <w:bCs/>
                      <w:highlight w:val="none"/>
                      <w:lang w:val="en-US" w:eastAsia="zh-CN"/>
                    </w:rPr>
                    <w:t>/h，除尘效率为99</w:t>
                  </w:r>
                  <w:r>
                    <w:rPr>
                      <w:rFonts w:hint="eastAsia" w:ascii="Times New Roman" w:hAnsi="Times New Roman" w:cs="Times New Roman"/>
                      <w:bCs/>
                      <w:highlight w:val="none"/>
                      <w:lang w:val="en-US" w:eastAsia="zh-CN"/>
                    </w:rPr>
                    <w:t>.5</w:t>
                  </w:r>
                  <w:r>
                    <w:rPr>
                      <w:rFonts w:hint="default" w:ascii="Times New Roman" w:hAnsi="Times New Roman" w:cs="Times New Roman"/>
                      <w:bCs/>
                      <w:highlight w:val="none"/>
                      <w:lang w:val="en-US" w:eastAsia="zh-CN"/>
                    </w:rPr>
                    <w:t>%</w:t>
                  </w:r>
                  <w:r>
                    <w:rPr>
                      <w:rFonts w:hint="eastAsia" w:cs="Times New Roman"/>
                      <w:szCs w:val="21"/>
                      <w:lang w:eastAsia="zh-CN"/>
                    </w:rPr>
                    <w:t>）</w:t>
                  </w:r>
                  <w:r>
                    <w:rPr>
                      <w:rFonts w:hint="eastAsia" w:ascii="Times New Roman" w:hAnsi="Times New Roman" w:eastAsia="宋体" w:cs="Times New Roman"/>
                      <w:szCs w:val="21"/>
                      <w:lang w:val="en-US" w:eastAsia="zh-CN"/>
                    </w:rPr>
                    <w:t>处理后</w:t>
                  </w:r>
                  <w:r>
                    <w:rPr>
                      <w:rFonts w:hint="default" w:ascii="Times New Roman" w:hAnsi="Times New Roman" w:eastAsia="宋体" w:cs="Times New Roman"/>
                      <w:szCs w:val="21"/>
                    </w:rPr>
                    <w:t>15m排气筒（</w:t>
                  </w:r>
                  <w:r>
                    <w:rPr>
                      <w:rFonts w:hint="eastAsia" w:ascii="Times New Roman" w:hAnsi="Times New Roman" w:eastAsia="宋体" w:cs="Times New Roman"/>
                      <w:szCs w:val="21"/>
                      <w:lang w:val="en-US" w:eastAsia="zh-CN"/>
                    </w:rPr>
                    <w:t>DA002</w:t>
                  </w:r>
                  <w:r>
                    <w:rPr>
                      <w:rFonts w:hint="default" w:ascii="Times New Roman" w:hAnsi="Times New Roman" w:eastAsia="宋体" w:cs="Times New Roman"/>
                      <w:szCs w:val="21"/>
                    </w:rPr>
                    <w:t>）进行排放</w:t>
                  </w:r>
                </w:p>
              </w:tc>
              <w:tc>
                <w:tcPr>
                  <w:tcW w:w="855" w:type="dxa"/>
                  <w:noWrap w:val="0"/>
                  <w:vAlign w:val="center"/>
                </w:tcPr>
                <w:p w14:paraId="5C19D042">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0.01</w:t>
                  </w:r>
                </w:p>
              </w:tc>
              <w:tc>
                <w:tcPr>
                  <w:tcW w:w="851" w:type="dxa"/>
                  <w:noWrap w:val="0"/>
                  <w:vAlign w:val="center"/>
                </w:tcPr>
                <w:p w14:paraId="2CE411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0.00126</w:t>
                  </w:r>
                </w:p>
              </w:tc>
              <w:tc>
                <w:tcPr>
                  <w:tcW w:w="1257" w:type="dxa"/>
                  <w:noWrap w:val="0"/>
                  <w:vAlign w:val="center"/>
                </w:tcPr>
                <w:p w14:paraId="49C10F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0.0631 </w:t>
                  </w:r>
                </w:p>
              </w:tc>
            </w:tr>
          </w:tbl>
          <w:p w14:paraId="5E481449">
            <w:pPr>
              <w:pStyle w:val="81"/>
              <w:keepNext w:val="0"/>
              <w:keepLines w:val="0"/>
              <w:pageBreakBefore w:val="0"/>
              <w:widowControl/>
              <w:numPr>
                <w:ilvl w:val="0"/>
                <w:numId w:val="0"/>
              </w:numPr>
              <w:kinsoku/>
              <w:wordWrap/>
              <w:overflowPunct/>
              <w:topLinePunct w:val="0"/>
              <w:autoSpaceDE/>
              <w:autoSpaceDN/>
              <w:bidi w:val="0"/>
              <w:adjustRightInd/>
              <w:snapToGrid/>
              <w:spacing w:before="157" w:beforeLines="50" w:line="360" w:lineRule="auto"/>
              <w:ind w:right="0" w:rightChars="0" w:firstLine="460" w:firstLineChars="200"/>
              <w:jc w:val="left"/>
              <w:textAlignment w:val="auto"/>
              <w:rPr>
                <w:rFonts w:hint="eastAsia"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④预处理废气</w:t>
            </w:r>
          </w:p>
          <w:p w14:paraId="00D9E1E1">
            <w:pPr>
              <w:keepNext w:val="0"/>
              <w:keepLines w:val="0"/>
              <w:pageBreakBefore w:val="0"/>
              <w:widowControl/>
              <w:kinsoku/>
              <w:wordWrap/>
              <w:overflowPunct/>
              <w:topLinePunct w:val="0"/>
              <w:autoSpaceDE/>
              <w:autoSpaceDN/>
              <w:bidi w:val="0"/>
              <w:adjustRightInd w:val="0"/>
              <w:snapToGrid w:val="0"/>
              <w:spacing w:after="0" w:line="360" w:lineRule="auto"/>
              <w:ind w:firstLine="460" w:firstLineChars="200"/>
              <w:textAlignment w:val="auto"/>
              <w:rPr>
                <w:rFonts w:hint="eastAsia"/>
                <w:color w:val="000000"/>
                <w:sz w:val="24"/>
                <w:lang w:eastAsia="zh-CN"/>
              </w:rPr>
            </w:pPr>
            <w:r>
              <w:rPr>
                <w:rFonts w:hint="eastAsia" w:ascii="Times New Roman" w:hAnsi="Times New Roman" w:cs="Times New Roman"/>
                <w:b w:val="0"/>
                <w:bCs w:val="0"/>
                <w:color w:val="000000"/>
                <w:spacing w:val="-5"/>
                <w:sz w:val="24"/>
                <w:szCs w:val="24"/>
                <w:lang w:val="en-US" w:eastAsia="zh-CN"/>
              </w:rPr>
              <w:t>本项目实施后预处理工艺将搬迁至3#车间内，</w:t>
            </w:r>
            <w:r>
              <w:rPr>
                <w:rFonts w:hint="eastAsia"/>
                <w:color w:val="000000"/>
                <w:sz w:val="24"/>
                <w:lang w:eastAsia="zh-CN"/>
              </w:rPr>
              <w:t>建设单位在投料口下方设置进料口进行收集投料粉尘，在颚式破碎、对轴破碎上方设置集气罩收集破碎粉尘；投料粉尘、破碎粉尘、料仓暂存粉尘、粉碎整形粉尘、包装粉尘、烘干废气通过烘干工艺配套布袋除尘进行处理后通过15m排气筒（</w:t>
            </w:r>
            <w:r>
              <w:rPr>
                <w:rFonts w:hint="eastAsia"/>
                <w:color w:val="000000"/>
                <w:sz w:val="24"/>
                <w:lang w:val="en-US" w:eastAsia="zh-CN"/>
              </w:rPr>
              <w:t>DA003</w:t>
            </w:r>
            <w:r>
              <w:rPr>
                <w:rFonts w:hint="eastAsia"/>
                <w:color w:val="000000"/>
                <w:sz w:val="24"/>
                <w:lang w:eastAsia="zh-CN"/>
              </w:rPr>
              <w:t>）排放。</w:t>
            </w:r>
          </w:p>
          <w:p w14:paraId="2BDF3449">
            <w:pPr>
              <w:keepNext w:val="0"/>
              <w:keepLines w:val="0"/>
              <w:pageBreakBefore w:val="0"/>
              <w:widowControl w:val="0"/>
              <w:numPr>
                <w:ilvl w:val="0"/>
                <w:numId w:val="15"/>
              </w:numPr>
              <w:tabs>
                <w:tab w:val="center" w:pos="4200"/>
                <w:tab w:val="left" w:pos="6035"/>
              </w:tabs>
              <w:kinsoku/>
              <w:wordWrap/>
              <w:overflowPunct/>
              <w:topLinePunct w:val="0"/>
              <w:autoSpaceDE/>
              <w:autoSpaceDN/>
              <w:bidi w:val="0"/>
              <w:adjustRightInd/>
              <w:snapToGrid/>
              <w:ind w:left="0" w:leftChars="0" w:firstLine="420" w:firstLineChars="0"/>
              <w:jc w:val="center"/>
              <w:textAlignment w:val="auto"/>
              <w:rPr>
                <w:rFonts w:hint="default"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sz w:val="24"/>
                <w:lang w:val="en-US" w:eastAsia="zh-CN"/>
              </w:rPr>
              <w:t xml:space="preserve"> 现有</w:t>
            </w:r>
            <w:r>
              <w:rPr>
                <w:rFonts w:hint="default" w:ascii="Times New Roman" w:hAnsi="Times New Roman" w:eastAsia="宋体" w:cs="Times New Roman"/>
                <w:b/>
                <w:bCs/>
                <w:color w:val="000000"/>
                <w:sz w:val="24"/>
                <w:lang w:val="en-US" w:eastAsia="zh-CN"/>
              </w:rPr>
              <w:t>项目</w:t>
            </w:r>
            <w:r>
              <w:rPr>
                <w:rFonts w:hint="eastAsia" w:ascii="Times New Roman" w:hAnsi="Times New Roman" w:eastAsia="宋体" w:cs="Times New Roman"/>
                <w:b/>
                <w:bCs/>
                <w:color w:val="000000"/>
                <w:sz w:val="24"/>
                <w:lang w:val="en-US" w:eastAsia="zh-CN"/>
              </w:rPr>
              <w:t>原料预处理</w:t>
            </w:r>
            <w:r>
              <w:rPr>
                <w:rFonts w:hint="default" w:ascii="Times New Roman" w:hAnsi="Times New Roman" w:eastAsia="宋体" w:cs="Times New Roman"/>
                <w:b/>
                <w:bCs/>
                <w:color w:val="000000"/>
                <w:sz w:val="24"/>
                <w:lang w:val="en-US" w:eastAsia="zh-CN"/>
              </w:rPr>
              <w:t>废气排放情况表</w:t>
            </w:r>
          </w:p>
          <w:tbl>
            <w:tblPr>
              <w:tblStyle w:val="31"/>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720"/>
              <w:gridCol w:w="885"/>
              <w:gridCol w:w="1530"/>
              <w:gridCol w:w="855"/>
              <w:gridCol w:w="735"/>
              <w:gridCol w:w="990"/>
              <w:gridCol w:w="965"/>
              <w:gridCol w:w="843"/>
            </w:tblGrid>
            <w:tr w14:paraId="6198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jc w:val="center"/>
              </w:trPr>
              <w:tc>
                <w:tcPr>
                  <w:tcW w:w="749" w:type="dxa"/>
                  <w:vMerge w:val="restart"/>
                  <w:noWrap w:val="0"/>
                  <w:vAlign w:val="center"/>
                </w:tcPr>
                <w:p w14:paraId="3603A73D">
                  <w:pPr>
                    <w:jc w:val="center"/>
                    <w:rPr>
                      <w:rFonts w:hint="default" w:ascii="Times New Roman" w:hAnsi="Times New Roman" w:eastAsia="宋体" w:cs="Times New Roman"/>
                      <w:szCs w:val="21"/>
                    </w:rPr>
                  </w:pPr>
                  <w:r>
                    <w:rPr>
                      <w:rFonts w:hint="default" w:ascii="Times New Roman" w:hAnsi="Times New Roman" w:eastAsia="宋体" w:cs="Times New Roman"/>
                      <w:szCs w:val="21"/>
                    </w:rPr>
                    <w:t>废气名称</w:t>
                  </w:r>
                </w:p>
              </w:tc>
              <w:tc>
                <w:tcPr>
                  <w:tcW w:w="720" w:type="dxa"/>
                  <w:vMerge w:val="restart"/>
                  <w:noWrap w:val="0"/>
                  <w:vAlign w:val="center"/>
                </w:tcPr>
                <w:p w14:paraId="2A4B257F">
                  <w:pPr>
                    <w:jc w:val="center"/>
                    <w:rPr>
                      <w:rFonts w:hint="default" w:ascii="Times New Roman" w:hAnsi="Times New Roman" w:eastAsia="宋体" w:cs="Times New Roman"/>
                      <w:szCs w:val="21"/>
                    </w:rPr>
                  </w:pPr>
                  <w:r>
                    <w:rPr>
                      <w:rFonts w:hint="default" w:ascii="Times New Roman" w:hAnsi="Times New Roman" w:eastAsia="宋体" w:cs="Times New Roman"/>
                      <w:szCs w:val="21"/>
                    </w:rPr>
                    <w:t>产生工序</w:t>
                  </w:r>
                </w:p>
              </w:tc>
              <w:tc>
                <w:tcPr>
                  <w:tcW w:w="885" w:type="dxa"/>
                  <w:vMerge w:val="restart"/>
                  <w:noWrap w:val="0"/>
                  <w:vAlign w:val="center"/>
                </w:tcPr>
                <w:p w14:paraId="586A9236">
                  <w:pPr>
                    <w:jc w:val="center"/>
                    <w:rPr>
                      <w:rFonts w:hint="default" w:ascii="Times New Roman" w:hAnsi="Times New Roman" w:eastAsia="宋体" w:cs="Times New Roman"/>
                      <w:szCs w:val="21"/>
                    </w:rPr>
                  </w:pPr>
                  <w:r>
                    <w:rPr>
                      <w:rFonts w:hint="default" w:ascii="Times New Roman" w:hAnsi="Times New Roman" w:eastAsia="宋体" w:cs="Times New Roman"/>
                      <w:szCs w:val="21"/>
                    </w:rPr>
                    <w:t>主要污染物</w:t>
                  </w:r>
                </w:p>
              </w:tc>
              <w:tc>
                <w:tcPr>
                  <w:tcW w:w="1530" w:type="dxa"/>
                  <w:vMerge w:val="restart"/>
                  <w:noWrap w:val="0"/>
                  <w:vAlign w:val="center"/>
                </w:tcPr>
                <w:p w14:paraId="20AD3C64">
                  <w:pPr>
                    <w:jc w:val="center"/>
                    <w:rPr>
                      <w:rFonts w:hint="default" w:ascii="Times New Roman" w:hAnsi="Times New Roman" w:eastAsia="宋体" w:cs="Times New Roman"/>
                      <w:szCs w:val="21"/>
                    </w:rPr>
                  </w:pPr>
                  <w:r>
                    <w:rPr>
                      <w:rFonts w:hint="default" w:ascii="Times New Roman" w:hAnsi="Times New Roman" w:eastAsia="宋体" w:cs="Times New Roman"/>
                      <w:szCs w:val="21"/>
                    </w:rPr>
                    <w:t>治理措施</w:t>
                  </w:r>
                </w:p>
              </w:tc>
              <w:tc>
                <w:tcPr>
                  <w:tcW w:w="2580" w:type="dxa"/>
                  <w:gridSpan w:val="3"/>
                  <w:noWrap w:val="0"/>
                  <w:vAlign w:val="center"/>
                </w:tcPr>
                <w:p w14:paraId="1B01EE40">
                  <w:pPr>
                    <w:jc w:val="center"/>
                    <w:rPr>
                      <w:rFonts w:hint="default" w:ascii="Times New Roman" w:hAnsi="Times New Roman" w:eastAsia="宋体" w:cs="Times New Roman"/>
                      <w:szCs w:val="21"/>
                    </w:rPr>
                  </w:pPr>
                  <w:r>
                    <w:rPr>
                      <w:rFonts w:hint="eastAsia" w:ascii="Times New Roman" w:hAnsi="Times New Roman" w:eastAsia="宋体" w:cs="Times New Roman"/>
                      <w:szCs w:val="21"/>
                      <w:lang w:val="en-US" w:eastAsia="zh-CN"/>
                    </w:rPr>
                    <w:t>有组织</w:t>
                  </w:r>
                  <w:r>
                    <w:rPr>
                      <w:rFonts w:hint="default" w:ascii="Times New Roman" w:hAnsi="Times New Roman" w:eastAsia="宋体" w:cs="Times New Roman"/>
                      <w:szCs w:val="21"/>
                    </w:rPr>
                    <w:t>排放情况</w:t>
                  </w:r>
                </w:p>
              </w:tc>
              <w:tc>
                <w:tcPr>
                  <w:tcW w:w="1808" w:type="dxa"/>
                  <w:gridSpan w:val="2"/>
                  <w:noWrap w:val="0"/>
                  <w:vAlign w:val="center"/>
                </w:tcPr>
                <w:p w14:paraId="471F6414">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无组织排放情况</w:t>
                  </w:r>
                </w:p>
              </w:tc>
            </w:tr>
            <w:tr w14:paraId="2A1A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749" w:type="dxa"/>
                  <w:vMerge w:val="continue"/>
                  <w:noWrap w:val="0"/>
                  <w:vAlign w:val="center"/>
                </w:tcPr>
                <w:p w14:paraId="0E5C4175">
                  <w:pPr>
                    <w:jc w:val="center"/>
                    <w:rPr>
                      <w:rFonts w:hint="default" w:ascii="Times New Roman" w:hAnsi="Times New Roman" w:eastAsia="宋体" w:cs="Times New Roman"/>
                      <w:szCs w:val="21"/>
                    </w:rPr>
                  </w:pPr>
                </w:p>
              </w:tc>
              <w:tc>
                <w:tcPr>
                  <w:tcW w:w="720" w:type="dxa"/>
                  <w:vMerge w:val="continue"/>
                  <w:noWrap w:val="0"/>
                  <w:vAlign w:val="center"/>
                </w:tcPr>
                <w:p w14:paraId="6622811C">
                  <w:pPr>
                    <w:jc w:val="center"/>
                    <w:rPr>
                      <w:rFonts w:hint="default" w:ascii="Times New Roman" w:hAnsi="Times New Roman" w:eastAsia="宋体" w:cs="Times New Roman"/>
                      <w:szCs w:val="21"/>
                    </w:rPr>
                  </w:pPr>
                </w:p>
              </w:tc>
              <w:tc>
                <w:tcPr>
                  <w:tcW w:w="885" w:type="dxa"/>
                  <w:vMerge w:val="continue"/>
                  <w:noWrap w:val="0"/>
                  <w:vAlign w:val="center"/>
                </w:tcPr>
                <w:p w14:paraId="2D92B1BE">
                  <w:pPr>
                    <w:jc w:val="center"/>
                    <w:rPr>
                      <w:rFonts w:hint="default" w:ascii="Times New Roman" w:hAnsi="Times New Roman" w:eastAsia="宋体" w:cs="Times New Roman"/>
                      <w:szCs w:val="21"/>
                    </w:rPr>
                  </w:pPr>
                </w:p>
              </w:tc>
              <w:tc>
                <w:tcPr>
                  <w:tcW w:w="1530" w:type="dxa"/>
                  <w:vMerge w:val="continue"/>
                  <w:noWrap w:val="0"/>
                  <w:vAlign w:val="center"/>
                </w:tcPr>
                <w:p w14:paraId="6DB16BE8">
                  <w:pPr>
                    <w:jc w:val="center"/>
                    <w:rPr>
                      <w:rFonts w:hint="default" w:ascii="Times New Roman" w:hAnsi="Times New Roman" w:eastAsia="宋体" w:cs="Times New Roman"/>
                      <w:szCs w:val="21"/>
                    </w:rPr>
                  </w:pPr>
                </w:p>
              </w:tc>
              <w:tc>
                <w:tcPr>
                  <w:tcW w:w="855" w:type="dxa"/>
                  <w:noWrap w:val="0"/>
                  <w:vAlign w:val="center"/>
                </w:tcPr>
                <w:p w14:paraId="4462C4BA">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排放量(t/a)</w:t>
                  </w:r>
                </w:p>
              </w:tc>
              <w:tc>
                <w:tcPr>
                  <w:tcW w:w="735" w:type="dxa"/>
                  <w:noWrap w:val="0"/>
                  <w:vAlign w:val="center"/>
                </w:tcPr>
                <w:p w14:paraId="7579AA04">
                  <w:pPr>
                    <w:jc w:val="center"/>
                    <w:rPr>
                      <w:rFonts w:hint="default" w:ascii="Times New Roman" w:hAnsi="Times New Roman" w:eastAsia="宋体" w:cs="Times New Roman"/>
                      <w:szCs w:val="21"/>
                    </w:rPr>
                  </w:pPr>
                  <w:r>
                    <w:rPr>
                      <w:rFonts w:hint="default" w:ascii="Times New Roman" w:hAnsi="Times New Roman" w:eastAsia="宋体" w:cs="Times New Roman"/>
                      <w:szCs w:val="21"/>
                    </w:rPr>
                    <w:t>速率(kg/h)</w:t>
                  </w:r>
                </w:p>
              </w:tc>
              <w:tc>
                <w:tcPr>
                  <w:tcW w:w="990" w:type="dxa"/>
                  <w:noWrap w:val="0"/>
                  <w:vAlign w:val="center"/>
                </w:tcPr>
                <w:p w14:paraId="564CD18A">
                  <w:pPr>
                    <w:jc w:val="center"/>
                    <w:rPr>
                      <w:rFonts w:hint="default" w:ascii="Times New Roman" w:hAnsi="Times New Roman" w:eastAsia="宋体" w:cs="Times New Roman"/>
                      <w:szCs w:val="21"/>
                    </w:rPr>
                  </w:pPr>
                  <w:r>
                    <w:rPr>
                      <w:rFonts w:hint="default" w:ascii="Times New Roman" w:hAnsi="Times New Roman" w:eastAsia="宋体" w:cs="Times New Roman"/>
                      <w:szCs w:val="21"/>
                    </w:rPr>
                    <w:t>浓度(mg/m³)</w:t>
                  </w:r>
                </w:p>
              </w:tc>
              <w:tc>
                <w:tcPr>
                  <w:tcW w:w="965" w:type="dxa"/>
                  <w:noWrap w:val="0"/>
                  <w:vAlign w:val="center"/>
                </w:tcPr>
                <w:p w14:paraId="47FA976A">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排放量(t/a)</w:t>
                  </w:r>
                </w:p>
              </w:tc>
              <w:tc>
                <w:tcPr>
                  <w:tcW w:w="843" w:type="dxa"/>
                  <w:noWrap w:val="0"/>
                  <w:vAlign w:val="center"/>
                </w:tcPr>
                <w:p w14:paraId="42BFB2C9">
                  <w:pPr>
                    <w:jc w:val="center"/>
                    <w:rPr>
                      <w:rFonts w:hint="default" w:ascii="Times New Roman" w:hAnsi="Times New Roman" w:eastAsia="宋体" w:cs="Times New Roman"/>
                      <w:szCs w:val="21"/>
                    </w:rPr>
                  </w:pPr>
                  <w:r>
                    <w:rPr>
                      <w:rFonts w:hint="default" w:ascii="Times New Roman" w:hAnsi="Times New Roman" w:eastAsia="宋体" w:cs="Times New Roman"/>
                      <w:szCs w:val="21"/>
                    </w:rPr>
                    <w:t>速率(kg/h)</w:t>
                  </w:r>
                </w:p>
              </w:tc>
            </w:tr>
            <w:tr w14:paraId="5C76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jc w:val="center"/>
              </w:trPr>
              <w:tc>
                <w:tcPr>
                  <w:tcW w:w="749" w:type="dxa"/>
                  <w:vMerge w:val="restart"/>
                  <w:noWrap w:val="0"/>
                  <w:vAlign w:val="center"/>
                </w:tcPr>
                <w:p w14:paraId="06D65BBA">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原料预处理废气</w:t>
                  </w:r>
                </w:p>
              </w:tc>
              <w:tc>
                <w:tcPr>
                  <w:tcW w:w="720" w:type="dxa"/>
                  <w:noWrap w:val="0"/>
                  <w:vAlign w:val="center"/>
                </w:tcPr>
                <w:p w14:paraId="0756EBEF">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投料</w:t>
                  </w:r>
                </w:p>
              </w:tc>
              <w:tc>
                <w:tcPr>
                  <w:tcW w:w="885" w:type="dxa"/>
                  <w:noWrap w:val="0"/>
                  <w:vAlign w:val="center"/>
                </w:tcPr>
                <w:p w14:paraId="0A63618D">
                  <w:pPr>
                    <w:pStyle w:val="94"/>
                    <w:rPr>
                      <w:rFonts w:hint="default" w:ascii="Times New Roman" w:hAnsi="Times New Roman" w:eastAsia="宋体" w:cs="Times New Roman"/>
                      <w:szCs w:val="21"/>
                    </w:rPr>
                  </w:pPr>
                  <w:r>
                    <w:rPr>
                      <w:rFonts w:hint="default" w:ascii="Times New Roman" w:hAnsi="Times New Roman" w:eastAsia="宋体" w:cs="Times New Roman"/>
                      <w:szCs w:val="21"/>
                    </w:rPr>
                    <w:t>颗粒物</w:t>
                  </w:r>
                </w:p>
              </w:tc>
              <w:tc>
                <w:tcPr>
                  <w:tcW w:w="1530" w:type="dxa"/>
                  <w:vMerge w:val="restart"/>
                  <w:noWrap w:val="0"/>
                  <w:vAlign w:val="center"/>
                </w:tcPr>
                <w:p w14:paraId="5A3E977C">
                  <w:pPr>
                    <w:jc w:val="center"/>
                    <w:rPr>
                      <w:rFonts w:hint="default" w:ascii="Times New Roman" w:hAnsi="Times New Roman" w:eastAsia="宋体" w:cs="Times New Roman"/>
                      <w:szCs w:val="21"/>
                    </w:rPr>
                  </w:pPr>
                  <w:r>
                    <w:rPr>
                      <w:rFonts w:hint="default" w:ascii="Times New Roman" w:hAnsi="Times New Roman" w:eastAsia="宋体" w:cs="Times New Roman"/>
                      <w:szCs w:val="21"/>
                    </w:rPr>
                    <w:t>经布袋除尘器</w:t>
                  </w:r>
                  <w:r>
                    <w:rPr>
                      <w:rFonts w:hint="eastAsia" w:cs="Times New Roman"/>
                      <w:szCs w:val="21"/>
                      <w:lang w:eastAsia="zh-CN"/>
                    </w:rPr>
                    <w:t>（</w:t>
                  </w:r>
                  <w:r>
                    <w:rPr>
                      <w:rFonts w:hint="default" w:ascii="Times New Roman" w:hAnsi="Times New Roman" w:cs="Times New Roman"/>
                      <w:bCs/>
                      <w:highlight w:val="none"/>
                      <w:lang w:val="en-US" w:eastAsia="zh-CN"/>
                    </w:rPr>
                    <w:t>风量</w:t>
                  </w:r>
                  <w:r>
                    <w:rPr>
                      <w:rFonts w:hint="eastAsia" w:ascii="Times New Roman" w:hAnsi="Times New Roman" w:cs="Times New Roman"/>
                      <w:bCs/>
                      <w:highlight w:val="none"/>
                      <w:lang w:val="en-US" w:eastAsia="zh-CN"/>
                    </w:rPr>
                    <w:t>8586</w:t>
                  </w:r>
                  <w:r>
                    <w:rPr>
                      <w:rFonts w:hint="default" w:ascii="Times New Roman" w:hAnsi="Times New Roman" w:cs="Times New Roman"/>
                      <w:bCs/>
                      <w:highlight w:val="none"/>
                      <w:lang w:val="en-US" w:eastAsia="zh-CN"/>
                    </w:rPr>
                    <w:t>Nm</w:t>
                  </w:r>
                  <w:r>
                    <w:rPr>
                      <w:rFonts w:hint="default" w:ascii="Times New Roman" w:hAnsi="Times New Roman" w:cs="Times New Roman"/>
                      <w:bCs/>
                      <w:highlight w:val="none"/>
                      <w:vertAlign w:val="superscript"/>
                      <w:lang w:val="en-US" w:eastAsia="zh-CN"/>
                    </w:rPr>
                    <w:t>3</w:t>
                  </w:r>
                  <w:r>
                    <w:rPr>
                      <w:rFonts w:hint="default" w:ascii="Times New Roman" w:hAnsi="Times New Roman" w:cs="Times New Roman"/>
                      <w:bCs/>
                      <w:highlight w:val="none"/>
                      <w:lang w:val="en-US" w:eastAsia="zh-CN"/>
                    </w:rPr>
                    <w:t>/h</w:t>
                  </w:r>
                  <w:r>
                    <w:rPr>
                      <w:rFonts w:hint="eastAsia" w:cs="Times New Roman"/>
                      <w:szCs w:val="21"/>
                      <w:lang w:eastAsia="zh-CN"/>
                    </w:rPr>
                    <w:t>）</w:t>
                  </w:r>
                  <w:r>
                    <w:rPr>
                      <w:rFonts w:hint="default" w:ascii="Times New Roman" w:hAnsi="Times New Roman" w:eastAsia="宋体" w:cs="Times New Roman"/>
                      <w:szCs w:val="21"/>
                    </w:rPr>
                    <w:t>处理后15m排气筒（DA003）排放</w:t>
                  </w:r>
                </w:p>
              </w:tc>
              <w:tc>
                <w:tcPr>
                  <w:tcW w:w="855" w:type="dxa"/>
                  <w:noWrap w:val="0"/>
                  <w:vAlign w:val="center"/>
                </w:tcPr>
                <w:p w14:paraId="06CF3578">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0.00198</w:t>
                  </w:r>
                </w:p>
              </w:tc>
              <w:tc>
                <w:tcPr>
                  <w:tcW w:w="735" w:type="dxa"/>
                  <w:noWrap w:val="0"/>
                  <w:vAlign w:val="center"/>
                </w:tcPr>
                <w:p w14:paraId="3B3672A4">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0.0000253</w:t>
                  </w:r>
                </w:p>
              </w:tc>
              <w:tc>
                <w:tcPr>
                  <w:tcW w:w="990" w:type="dxa"/>
                  <w:noWrap w:val="0"/>
                  <w:vAlign w:val="center"/>
                </w:tcPr>
                <w:p w14:paraId="0F558120">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0.0294 </w:t>
                  </w:r>
                </w:p>
              </w:tc>
              <w:tc>
                <w:tcPr>
                  <w:tcW w:w="965" w:type="dxa"/>
                  <w:noWrap w:val="0"/>
                  <w:vAlign w:val="center"/>
                </w:tcPr>
                <w:p w14:paraId="49EE6571">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0.022</w:t>
                  </w:r>
                </w:p>
              </w:tc>
              <w:tc>
                <w:tcPr>
                  <w:tcW w:w="843" w:type="dxa"/>
                  <w:noWrap w:val="0"/>
                  <w:vAlign w:val="center"/>
                </w:tcPr>
                <w:p w14:paraId="3A03928D">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0.00278</w:t>
                  </w:r>
                </w:p>
              </w:tc>
            </w:tr>
            <w:tr w14:paraId="1087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749" w:type="dxa"/>
                  <w:vMerge w:val="continue"/>
                  <w:noWrap w:val="0"/>
                  <w:vAlign w:val="center"/>
                </w:tcPr>
                <w:p w14:paraId="066B57E5">
                  <w:pPr>
                    <w:jc w:val="center"/>
                    <w:rPr>
                      <w:rFonts w:hint="default" w:ascii="Times New Roman" w:hAnsi="Times New Roman" w:eastAsia="宋体" w:cs="Times New Roman"/>
                      <w:szCs w:val="21"/>
                    </w:rPr>
                  </w:pPr>
                </w:p>
              </w:tc>
              <w:tc>
                <w:tcPr>
                  <w:tcW w:w="720" w:type="dxa"/>
                  <w:noWrap w:val="0"/>
                  <w:vAlign w:val="center"/>
                </w:tcPr>
                <w:p w14:paraId="4F63A1E2">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Cs w:val="21"/>
                      <w:lang w:val="en-US" w:eastAsia="zh-CN" w:bidi="ar"/>
                    </w:rPr>
                    <w:t>破碎废气</w:t>
                  </w:r>
                </w:p>
              </w:tc>
              <w:tc>
                <w:tcPr>
                  <w:tcW w:w="885" w:type="dxa"/>
                  <w:noWrap w:val="0"/>
                  <w:vAlign w:val="center"/>
                </w:tcPr>
                <w:p w14:paraId="77FC1199">
                  <w:pPr>
                    <w:pStyle w:val="94"/>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颗粒物</w:t>
                  </w:r>
                </w:p>
              </w:tc>
              <w:tc>
                <w:tcPr>
                  <w:tcW w:w="1530" w:type="dxa"/>
                  <w:vMerge w:val="continue"/>
                  <w:noWrap w:val="0"/>
                  <w:vAlign w:val="center"/>
                </w:tcPr>
                <w:p w14:paraId="4AA92739">
                  <w:pPr>
                    <w:jc w:val="center"/>
                    <w:rPr>
                      <w:rFonts w:hint="default" w:ascii="Times New Roman" w:hAnsi="Times New Roman" w:eastAsia="宋体" w:cs="Times New Roman"/>
                      <w:szCs w:val="21"/>
                    </w:rPr>
                  </w:pPr>
                </w:p>
              </w:tc>
              <w:tc>
                <w:tcPr>
                  <w:tcW w:w="855" w:type="dxa"/>
                  <w:noWrap w:val="0"/>
                  <w:vAlign w:val="center"/>
                </w:tcPr>
                <w:p w14:paraId="1E9C45B5">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0.0455</w:t>
                  </w:r>
                </w:p>
              </w:tc>
              <w:tc>
                <w:tcPr>
                  <w:tcW w:w="735" w:type="dxa"/>
                  <w:noWrap w:val="0"/>
                  <w:vAlign w:val="center"/>
                </w:tcPr>
                <w:p w14:paraId="7AA4B18D">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0.00574 </w:t>
                  </w:r>
                </w:p>
              </w:tc>
              <w:tc>
                <w:tcPr>
                  <w:tcW w:w="990" w:type="dxa"/>
                  <w:noWrap w:val="0"/>
                  <w:vAlign w:val="center"/>
                </w:tcPr>
                <w:p w14:paraId="2B4711E6">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0.669 </w:t>
                  </w:r>
                </w:p>
              </w:tc>
              <w:tc>
                <w:tcPr>
                  <w:tcW w:w="965" w:type="dxa"/>
                  <w:noWrap w:val="0"/>
                  <w:vAlign w:val="center"/>
                </w:tcPr>
                <w:p w14:paraId="6D0339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0.04535</w:t>
                  </w:r>
                </w:p>
              </w:tc>
              <w:tc>
                <w:tcPr>
                  <w:tcW w:w="843" w:type="dxa"/>
                  <w:noWrap w:val="0"/>
                  <w:vAlign w:val="center"/>
                </w:tcPr>
                <w:p w14:paraId="4157CA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0.00572</w:t>
                  </w:r>
                </w:p>
              </w:tc>
            </w:tr>
            <w:tr w14:paraId="2C3D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749" w:type="dxa"/>
                  <w:vMerge w:val="continue"/>
                  <w:noWrap w:val="0"/>
                  <w:vAlign w:val="center"/>
                </w:tcPr>
                <w:p w14:paraId="2825A485">
                  <w:pPr>
                    <w:jc w:val="center"/>
                    <w:rPr>
                      <w:rFonts w:hint="default" w:ascii="Times New Roman" w:hAnsi="Times New Roman" w:eastAsia="宋体" w:cs="Times New Roman"/>
                      <w:szCs w:val="21"/>
                    </w:rPr>
                  </w:pPr>
                </w:p>
              </w:tc>
              <w:tc>
                <w:tcPr>
                  <w:tcW w:w="720" w:type="dxa"/>
                  <w:noWrap w:val="0"/>
                  <w:vAlign w:val="center"/>
                </w:tcPr>
                <w:p w14:paraId="7CD0D3A3">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料仓暂存废气</w:t>
                  </w:r>
                </w:p>
              </w:tc>
              <w:tc>
                <w:tcPr>
                  <w:tcW w:w="885" w:type="dxa"/>
                  <w:noWrap w:val="0"/>
                  <w:vAlign w:val="center"/>
                </w:tcPr>
                <w:p w14:paraId="3FE52860">
                  <w:pPr>
                    <w:pStyle w:val="94"/>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颗粒物</w:t>
                  </w:r>
                </w:p>
              </w:tc>
              <w:tc>
                <w:tcPr>
                  <w:tcW w:w="1530" w:type="dxa"/>
                  <w:vMerge w:val="continue"/>
                  <w:noWrap w:val="0"/>
                  <w:vAlign w:val="center"/>
                </w:tcPr>
                <w:p w14:paraId="7561623D">
                  <w:pPr>
                    <w:jc w:val="center"/>
                    <w:rPr>
                      <w:rFonts w:hint="default" w:ascii="Times New Roman" w:hAnsi="Times New Roman" w:eastAsia="宋体" w:cs="Times New Roman"/>
                      <w:szCs w:val="21"/>
                    </w:rPr>
                  </w:pPr>
                </w:p>
              </w:tc>
              <w:tc>
                <w:tcPr>
                  <w:tcW w:w="855" w:type="dxa"/>
                  <w:noWrap w:val="0"/>
                  <w:vAlign w:val="center"/>
                </w:tcPr>
                <w:p w14:paraId="79C0F5CD">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0.0024</w:t>
                  </w:r>
                </w:p>
              </w:tc>
              <w:tc>
                <w:tcPr>
                  <w:tcW w:w="735" w:type="dxa"/>
                  <w:noWrap w:val="0"/>
                  <w:vAlign w:val="center"/>
                </w:tcPr>
                <w:p w14:paraId="7BDA11CA">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0.000303 </w:t>
                  </w:r>
                </w:p>
              </w:tc>
              <w:tc>
                <w:tcPr>
                  <w:tcW w:w="990" w:type="dxa"/>
                  <w:noWrap w:val="0"/>
                  <w:vAlign w:val="center"/>
                </w:tcPr>
                <w:p w14:paraId="5BB8EE19">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0.0353 </w:t>
                  </w:r>
                </w:p>
              </w:tc>
              <w:tc>
                <w:tcPr>
                  <w:tcW w:w="965" w:type="dxa"/>
                  <w:noWrap w:val="0"/>
                  <w:vAlign w:val="center"/>
                </w:tcPr>
                <w:p w14:paraId="1BFA9D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7EE796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11E4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749" w:type="dxa"/>
                  <w:vMerge w:val="continue"/>
                  <w:noWrap w:val="0"/>
                  <w:vAlign w:val="center"/>
                </w:tcPr>
                <w:p w14:paraId="6BEBB672">
                  <w:pPr>
                    <w:jc w:val="center"/>
                    <w:rPr>
                      <w:rFonts w:hint="default" w:ascii="Times New Roman" w:hAnsi="Times New Roman" w:eastAsia="宋体" w:cs="Times New Roman"/>
                      <w:szCs w:val="21"/>
                    </w:rPr>
                  </w:pPr>
                </w:p>
              </w:tc>
              <w:tc>
                <w:tcPr>
                  <w:tcW w:w="720" w:type="dxa"/>
                  <w:vMerge w:val="restart"/>
                  <w:noWrap w:val="0"/>
                  <w:vAlign w:val="center"/>
                </w:tcPr>
                <w:p w14:paraId="63D874D3">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烘干废气</w:t>
                  </w:r>
                </w:p>
              </w:tc>
              <w:tc>
                <w:tcPr>
                  <w:tcW w:w="885" w:type="dxa"/>
                  <w:noWrap w:val="0"/>
                  <w:vAlign w:val="center"/>
                </w:tcPr>
                <w:p w14:paraId="22ADBBD8">
                  <w:pPr>
                    <w:pStyle w:val="94"/>
                    <w:ind w:firstLine="0" w:firstLineChars="0"/>
                    <w:rPr>
                      <w:rFonts w:hint="eastAsia"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530" w:type="dxa"/>
                  <w:vMerge w:val="continue"/>
                  <w:noWrap w:val="0"/>
                  <w:vAlign w:val="center"/>
                </w:tcPr>
                <w:p w14:paraId="4BBFD855">
                  <w:pPr>
                    <w:jc w:val="center"/>
                    <w:rPr>
                      <w:rFonts w:hint="default" w:ascii="Times New Roman" w:hAnsi="Times New Roman" w:eastAsia="宋体" w:cs="Times New Roman"/>
                      <w:szCs w:val="21"/>
                    </w:rPr>
                  </w:pPr>
                </w:p>
              </w:tc>
              <w:tc>
                <w:tcPr>
                  <w:tcW w:w="855" w:type="dxa"/>
                  <w:noWrap w:val="0"/>
                  <w:vAlign w:val="center"/>
                </w:tcPr>
                <w:p w14:paraId="0E6398B0">
                  <w:pPr>
                    <w:keepNext w:val="0"/>
                    <w:keepLines w:val="0"/>
                    <w:widowControl/>
                    <w:suppressLineNumbers w:val="0"/>
                    <w:jc w:val="center"/>
                    <w:textAlignment w:val="center"/>
                    <w:rPr>
                      <w:rFonts w:hint="eastAsia" w:ascii="Times New Roman" w:hAnsi="Times New Roman" w:eastAsia="宋体" w:cs="Times New Roman"/>
                      <w:kern w:val="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0.00515</w:t>
                  </w:r>
                </w:p>
              </w:tc>
              <w:tc>
                <w:tcPr>
                  <w:tcW w:w="735" w:type="dxa"/>
                  <w:noWrap w:val="0"/>
                  <w:vAlign w:val="center"/>
                </w:tcPr>
                <w:p w14:paraId="7F24D3A2">
                  <w:pPr>
                    <w:keepNext w:val="0"/>
                    <w:keepLines w:val="0"/>
                    <w:widowControl/>
                    <w:suppressLineNumbers w:val="0"/>
                    <w:jc w:val="center"/>
                    <w:textAlignment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0.000650 </w:t>
                  </w:r>
                </w:p>
              </w:tc>
              <w:tc>
                <w:tcPr>
                  <w:tcW w:w="990" w:type="dxa"/>
                  <w:noWrap w:val="0"/>
                  <w:vAlign w:val="center"/>
                </w:tcPr>
                <w:p w14:paraId="7719F465">
                  <w:pPr>
                    <w:keepNext w:val="0"/>
                    <w:keepLines w:val="0"/>
                    <w:widowControl/>
                    <w:suppressLineNumbers w:val="0"/>
                    <w:jc w:val="center"/>
                    <w:textAlignment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0.0757 </w:t>
                  </w:r>
                </w:p>
              </w:tc>
              <w:tc>
                <w:tcPr>
                  <w:tcW w:w="965" w:type="dxa"/>
                  <w:noWrap w:val="0"/>
                  <w:vAlign w:val="center"/>
                </w:tcPr>
                <w:p w14:paraId="077BA75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744F7DC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5DB7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 w:hRule="atLeast"/>
                <w:jc w:val="center"/>
              </w:trPr>
              <w:tc>
                <w:tcPr>
                  <w:tcW w:w="749" w:type="dxa"/>
                  <w:vMerge w:val="continue"/>
                  <w:noWrap w:val="0"/>
                  <w:vAlign w:val="center"/>
                </w:tcPr>
                <w:p w14:paraId="140DA173">
                  <w:pPr>
                    <w:jc w:val="center"/>
                    <w:rPr>
                      <w:rFonts w:hint="default" w:ascii="Times New Roman" w:hAnsi="Times New Roman" w:eastAsia="宋体" w:cs="Times New Roman"/>
                      <w:szCs w:val="21"/>
                    </w:rPr>
                  </w:pPr>
                </w:p>
              </w:tc>
              <w:tc>
                <w:tcPr>
                  <w:tcW w:w="720" w:type="dxa"/>
                  <w:vMerge w:val="continue"/>
                  <w:noWrap w:val="0"/>
                  <w:vAlign w:val="center"/>
                </w:tcPr>
                <w:p w14:paraId="500F557C">
                  <w:pPr>
                    <w:jc w:val="center"/>
                    <w:rPr>
                      <w:rFonts w:hint="default" w:ascii="Times New Roman" w:hAnsi="Times New Roman" w:eastAsia="宋体" w:cs="Times New Roman"/>
                      <w:szCs w:val="21"/>
                    </w:rPr>
                  </w:pPr>
                </w:p>
              </w:tc>
              <w:tc>
                <w:tcPr>
                  <w:tcW w:w="885" w:type="dxa"/>
                  <w:noWrap w:val="0"/>
                  <w:vAlign w:val="center"/>
                </w:tcPr>
                <w:p w14:paraId="18D1379B">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SO</w:t>
                  </w:r>
                  <w:r>
                    <w:rPr>
                      <w:rFonts w:hint="default" w:ascii="Times New Roman" w:hAnsi="Times New Roman" w:eastAsia="宋体" w:cs="Times New Roman"/>
                      <w:szCs w:val="21"/>
                      <w:vertAlign w:val="subscript"/>
                      <w:lang w:val="en-US" w:eastAsia="zh-CN"/>
                    </w:rPr>
                    <w:t>2</w:t>
                  </w:r>
                </w:p>
              </w:tc>
              <w:tc>
                <w:tcPr>
                  <w:tcW w:w="1530" w:type="dxa"/>
                  <w:vMerge w:val="continue"/>
                  <w:noWrap w:val="0"/>
                  <w:vAlign w:val="center"/>
                </w:tcPr>
                <w:p w14:paraId="40220B99">
                  <w:pPr>
                    <w:jc w:val="center"/>
                    <w:rPr>
                      <w:rFonts w:hint="default" w:ascii="Times New Roman" w:hAnsi="Times New Roman" w:eastAsia="宋体" w:cs="Times New Roman"/>
                      <w:szCs w:val="21"/>
                    </w:rPr>
                  </w:pPr>
                </w:p>
              </w:tc>
              <w:tc>
                <w:tcPr>
                  <w:tcW w:w="855" w:type="dxa"/>
                  <w:noWrap w:val="0"/>
                  <w:vAlign w:val="center"/>
                </w:tcPr>
                <w:p w14:paraId="32B070EE">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0.0107</w:t>
                  </w:r>
                </w:p>
              </w:tc>
              <w:tc>
                <w:tcPr>
                  <w:tcW w:w="735" w:type="dxa"/>
                  <w:noWrap w:val="0"/>
                  <w:vAlign w:val="center"/>
                </w:tcPr>
                <w:p w14:paraId="469A9CEF">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0.00135 </w:t>
                  </w:r>
                </w:p>
              </w:tc>
              <w:tc>
                <w:tcPr>
                  <w:tcW w:w="990" w:type="dxa"/>
                  <w:noWrap w:val="0"/>
                  <w:vAlign w:val="center"/>
                </w:tcPr>
                <w:p w14:paraId="2BE90C3C">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0.157 </w:t>
                  </w:r>
                </w:p>
              </w:tc>
              <w:tc>
                <w:tcPr>
                  <w:tcW w:w="965" w:type="dxa"/>
                  <w:noWrap w:val="0"/>
                  <w:vAlign w:val="center"/>
                </w:tcPr>
                <w:p w14:paraId="54509A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7A67C5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2F32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749" w:type="dxa"/>
                  <w:vMerge w:val="continue"/>
                  <w:noWrap w:val="0"/>
                  <w:vAlign w:val="center"/>
                </w:tcPr>
                <w:p w14:paraId="476F3434">
                  <w:pPr>
                    <w:jc w:val="center"/>
                    <w:rPr>
                      <w:rFonts w:hint="default" w:ascii="Times New Roman" w:hAnsi="Times New Roman" w:eastAsia="宋体" w:cs="Times New Roman"/>
                      <w:szCs w:val="21"/>
                    </w:rPr>
                  </w:pPr>
                </w:p>
              </w:tc>
              <w:tc>
                <w:tcPr>
                  <w:tcW w:w="720" w:type="dxa"/>
                  <w:vMerge w:val="continue"/>
                  <w:noWrap w:val="0"/>
                  <w:vAlign w:val="center"/>
                </w:tcPr>
                <w:p w14:paraId="55796715">
                  <w:pPr>
                    <w:jc w:val="center"/>
                    <w:rPr>
                      <w:rFonts w:hint="default" w:ascii="Times New Roman" w:hAnsi="Times New Roman" w:eastAsia="宋体" w:cs="Times New Roman"/>
                      <w:szCs w:val="21"/>
                    </w:rPr>
                  </w:pPr>
                </w:p>
              </w:tc>
              <w:tc>
                <w:tcPr>
                  <w:tcW w:w="885" w:type="dxa"/>
                  <w:noWrap w:val="0"/>
                  <w:vAlign w:val="center"/>
                </w:tcPr>
                <w:p w14:paraId="383BCE14">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NOx</w:t>
                  </w:r>
                </w:p>
              </w:tc>
              <w:tc>
                <w:tcPr>
                  <w:tcW w:w="1530" w:type="dxa"/>
                  <w:vMerge w:val="continue"/>
                  <w:noWrap w:val="0"/>
                  <w:vAlign w:val="center"/>
                </w:tcPr>
                <w:p w14:paraId="6A69EF6C">
                  <w:pPr>
                    <w:jc w:val="center"/>
                    <w:rPr>
                      <w:rFonts w:hint="default" w:ascii="Times New Roman" w:hAnsi="Times New Roman" w:eastAsia="宋体" w:cs="Times New Roman"/>
                      <w:szCs w:val="21"/>
                    </w:rPr>
                  </w:pPr>
                </w:p>
              </w:tc>
              <w:tc>
                <w:tcPr>
                  <w:tcW w:w="855" w:type="dxa"/>
                  <w:noWrap w:val="0"/>
                  <w:vAlign w:val="center"/>
                </w:tcPr>
                <w:p w14:paraId="7C4205D9">
                  <w:pPr>
                    <w:keepNext w:val="0"/>
                    <w:keepLines w:val="0"/>
                    <w:widowControl/>
                    <w:suppressLineNumbers w:val="0"/>
                    <w:jc w:val="center"/>
                    <w:textAlignment w:val="center"/>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0.18855</w:t>
                  </w:r>
                </w:p>
              </w:tc>
              <w:tc>
                <w:tcPr>
                  <w:tcW w:w="735" w:type="dxa"/>
                  <w:noWrap w:val="0"/>
                  <w:vAlign w:val="center"/>
                </w:tcPr>
                <w:p w14:paraId="17BE2237">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0.0238 </w:t>
                  </w:r>
                </w:p>
              </w:tc>
              <w:tc>
                <w:tcPr>
                  <w:tcW w:w="990" w:type="dxa"/>
                  <w:noWrap w:val="0"/>
                  <w:vAlign w:val="center"/>
                </w:tcPr>
                <w:p w14:paraId="6F9A269B">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2.773 </w:t>
                  </w:r>
                </w:p>
              </w:tc>
              <w:tc>
                <w:tcPr>
                  <w:tcW w:w="965" w:type="dxa"/>
                  <w:noWrap w:val="0"/>
                  <w:vAlign w:val="center"/>
                </w:tcPr>
                <w:p w14:paraId="15E2E2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68DCF0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0818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749" w:type="dxa"/>
                  <w:vMerge w:val="continue"/>
                  <w:noWrap w:val="0"/>
                  <w:vAlign w:val="center"/>
                </w:tcPr>
                <w:p w14:paraId="5BEC5156">
                  <w:pPr>
                    <w:jc w:val="center"/>
                    <w:rPr>
                      <w:rFonts w:hint="default" w:ascii="Times New Roman" w:hAnsi="Times New Roman" w:eastAsia="宋体" w:cs="Times New Roman"/>
                      <w:szCs w:val="21"/>
                    </w:rPr>
                  </w:pPr>
                </w:p>
              </w:tc>
              <w:tc>
                <w:tcPr>
                  <w:tcW w:w="720" w:type="dxa"/>
                  <w:noWrap w:val="0"/>
                  <w:vAlign w:val="center"/>
                </w:tcPr>
                <w:p w14:paraId="05A520CC">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包装废气</w:t>
                  </w:r>
                </w:p>
              </w:tc>
              <w:tc>
                <w:tcPr>
                  <w:tcW w:w="885" w:type="dxa"/>
                  <w:noWrap w:val="0"/>
                  <w:vAlign w:val="center"/>
                </w:tcPr>
                <w:p w14:paraId="0C73CD4C">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530" w:type="dxa"/>
                  <w:vMerge w:val="restart"/>
                  <w:noWrap w:val="0"/>
                  <w:vAlign w:val="center"/>
                </w:tcPr>
                <w:p w14:paraId="3EED6785">
                  <w:pPr>
                    <w:jc w:val="center"/>
                    <w:rPr>
                      <w:rFonts w:hint="default" w:ascii="Times New Roman" w:hAnsi="Times New Roman" w:eastAsia="宋体" w:cs="Times New Roman"/>
                      <w:szCs w:val="21"/>
                    </w:rPr>
                  </w:pPr>
                  <w:r>
                    <w:rPr>
                      <w:rFonts w:hint="eastAsia" w:ascii="Times New Roman" w:hAnsi="Times New Roman" w:eastAsia="宋体" w:cs="Times New Roman"/>
                      <w:szCs w:val="21"/>
                      <w:lang w:val="en-US" w:eastAsia="zh-CN"/>
                    </w:rPr>
                    <w:t>经布袋除尘器</w:t>
                  </w:r>
                  <w:r>
                    <w:rPr>
                      <w:rFonts w:hint="eastAsia" w:cs="Times New Roman"/>
                      <w:szCs w:val="21"/>
                      <w:lang w:eastAsia="zh-CN"/>
                    </w:rPr>
                    <w:t>（</w:t>
                  </w:r>
                  <w:r>
                    <w:rPr>
                      <w:rFonts w:hint="default" w:ascii="Times New Roman" w:hAnsi="Times New Roman" w:cs="Times New Roman"/>
                      <w:bCs/>
                      <w:highlight w:val="none"/>
                      <w:lang w:val="en-US" w:eastAsia="zh-CN"/>
                    </w:rPr>
                    <w:t>风量</w:t>
                  </w:r>
                  <w:r>
                    <w:rPr>
                      <w:rFonts w:hint="eastAsia" w:ascii="Times New Roman" w:hAnsi="Times New Roman" w:cs="Times New Roman"/>
                      <w:bCs/>
                      <w:highlight w:val="none"/>
                      <w:lang w:val="en-US" w:eastAsia="zh-CN"/>
                    </w:rPr>
                    <w:t>8586</w:t>
                  </w:r>
                  <w:r>
                    <w:rPr>
                      <w:rFonts w:hint="default" w:ascii="Times New Roman" w:hAnsi="Times New Roman" w:cs="Times New Roman"/>
                      <w:bCs/>
                      <w:highlight w:val="none"/>
                      <w:lang w:val="en-US" w:eastAsia="zh-CN"/>
                    </w:rPr>
                    <w:t>Nm</w:t>
                  </w:r>
                  <w:r>
                    <w:rPr>
                      <w:rFonts w:hint="default" w:ascii="Times New Roman" w:hAnsi="Times New Roman" w:cs="Times New Roman"/>
                      <w:bCs/>
                      <w:highlight w:val="none"/>
                      <w:vertAlign w:val="superscript"/>
                      <w:lang w:val="en-US" w:eastAsia="zh-CN"/>
                    </w:rPr>
                    <w:t>3</w:t>
                  </w:r>
                  <w:r>
                    <w:rPr>
                      <w:rFonts w:hint="default" w:ascii="Times New Roman" w:hAnsi="Times New Roman" w:cs="Times New Roman"/>
                      <w:bCs/>
                      <w:highlight w:val="none"/>
                      <w:lang w:val="en-US" w:eastAsia="zh-CN"/>
                    </w:rPr>
                    <w:t>/h，</w:t>
                  </w:r>
                  <w:r>
                    <w:rPr>
                      <w:rFonts w:hint="eastAsia" w:cs="Times New Roman"/>
                      <w:szCs w:val="21"/>
                      <w:lang w:eastAsia="zh-CN"/>
                    </w:rPr>
                    <w:t>）</w:t>
                  </w:r>
                  <w:r>
                    <w:rPr>
                      <w:rFonts w:hint="eastAsia" w:ascii="Times New Roman" w:hAnsi="Times New Roman" w:eastAsia="宋体" w:cs="Times New Roman"/>
                      <w:szCs w:val="21"/>
                      <w:lang w:val="en-US" w:eastAsia="zh-CN"/>
                    </w:rPr>
                    <w:t>处理后15m排气筒（DA003）排放</w:t>
                  </w:r>
                </w:p>
              </w:tc>
              <w:tc>
                <w:tcPr>
                  <w:tcW w:w="855" w:type="dxa"/>
                  <w:noWrap w:val="0"/>
                  <w:vAlign w:val="center"/>
                </w:tcPr>
                <w:p w14:paraId="56F0AA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0.0011</w:t>
                  </w:r>
                </w:p>
              </w:tc>
              <w:tc>
                <w:tcPr>
                  <w:tcW w:w="735" w:type="dxa"/>
                  <w:noWrap w:val="0"/>
                  <w:vAlign w:val="center"/>
                </w:tcPr>
                <w:p w14:paraId="468D4F36">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0.000139 </w:t>
                  </w:r>
                </w:p>
              </w:tc>
              <w:tc>
                <w:tcPr>
                  <w:tcW w:w="990" w:type="dxa"/>
                  <w:noWrap w:val="0"/>
                  <w:vAlign w:val="center"/>
                </w:tcPr>
                <w:p w14:paraId="5CF72E0C">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0.0162 </w:t>
                  </w:r>
                </w:p>
              </w:tc>
              <w:tc>
                <w:tcPr>
                  <w:tcW w:w="965" w:type="dxa"/>
                  <w:noWrap w:val="0"/>
                  <w:vAlign w:val="center"/>
                </w:tcPr>
                <w:p w14:paraId="3A54ED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534718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3011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49" w:type="dxa"/>
                  <w:vMerge w:val="continue"/>
                  <w:noWrap w:val="0"/>
                  <w:vAlign w:val="center"/>
                </w:tcPr>
                <w:p w14:paraId="3E09E501">
                  <w:pPr>
                    <w:jc w:val="center"/>
                    <w:rPr>
                      <w:rFonts w:hint="default" w:ascii="Times New Roman" w:hAnsi="Times New Roman" w:eastAsia="宋体" w:cs="Times New Roman"/>
                      <w:szCs w:val="21"/>
                    </w:rPr>
                  </w:pPr>
                </w:p>
              </w:tc>
              <w:tc>
                <w:tcPr>
                  <w:tcW w:w="720" w:type="dxa"/>
                  <w:noWrap w:val="0"/>
                  <w:vAlign w:val="center"/>
                </w:tcPr>
                <w:p w14:paraId="04DAFDE8">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二次投料</w:t>
                  </w:r>
                </w:p>
              </w:tc>
              <w:tc>
                <w:tcPr>
                  <w:tcW w:w="885" w:type="dxa"/>
                  <w:noWrap w:val="0"/>
                  <w:vAlign w:val="center"/>
                </w:tcPr>
                <w:p w14:paraId="566DAE5F">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530" w:type="dxa"/>
                  <w:vMerge w:val="continue"/>
                  <w:noWrap w:val="0"/>
                  <w:vAlign w:val="center"/>
                </w:tcPr>
                <w:p w14:paraId="14DD4B72">
                  <w:pPr>
                    <w:jc w:val="center"/>
                    <w:rPr>
                      <w:rFonts w:hint="default" w:ascii="Times New Roman" w:hAnsi="Times New Roman" w:eastAsia="宋体" w:cs="Times New Roman"/>
                      <w:szCs w:val="21"/>
                    </w:rPr>
                  </w:pPr>
                </w:p>
              </w:tc>
              <w:tc>
                <w:tcPr>
                  <w:tcW w:w="855" w:type="dxa"/>
                  <w:noWrap w:val="0"/>
                  <w:vAlign w:val="center"/>
                </w:tcPr>
                <w:p w14:paraId="54580A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0.0002</w:t>
                  </w:r>
                </w:p>
              </w:tc>
              <w:tc>
                <w:tcPr>
                  <w:tcW w:w="735" w:type="dxa"/>
                  <w:noWrap w:val="0"/>
                  <w:vAlign w:val="center"/>
                </w:tcPr>
                <w:p w14:paraId="5091059E">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0.000025</w:t>
                  </w:r>
                </w:p>
              </w:tc>
              <w:tc>
                <w:tcPr>
                  <w:tcW w:w="990" w:type="dxa"/>
                  <w:noWrap w:val="0"/>
                  <w:vAlign w:val="center"/>
                </w:tcPr>
                <w:p w14:paraId="5A707FDE">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0.0029 </w:t>
                  </w:r>
                </w:p>
              </w:tc>
              <w:tc>
                <w:tcPr>
                  <w:tcW w:w="965" w:type="dxa"/>
                  <w:noWrap w:val="0"/>
                  <w:vAlign w:val="center"/>
                </w:tcPr>
                <w:p w14:paraId="795DC3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52AD3B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5BF9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49" w:type="dxa"/>
                  <w:vMerge w:val="continue"/>
                  <w:noWrap w:val="0"/>
                  <w:vAlign w:val="center"/>
                </w:tcPr>
                <w:p w14:paraId="7038BB6E">
                  <w:pPr>
                    <w:jc w:val="center"/>
                    <w:rPr>
                      <w:rFonts w:hint="default" w:ascii="Times New Roman" w:hAnsi="Times New Roman" w:eastAsia="宋体" w:cs="Times New Roman"/>
                      <w:szCs w:val="21"/>
                    </w:rPr>
                  </w:pPr>
                </w:p>
              </w:tc>
              <w:tc>
                <w:tcPr>
                  <w:tcW w:w="720" w:type="dxa"/>
                  <w:noWrap w:val="0"/>
                  <w:vAlign w:val="center"/>
                </w:tcPr>
                <w:p w14:paraId="53C00686">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粉碎</w:t>
                  </w:r>
                </w:p>
              </w:tc>
              <w:tc>
                <w:tcPr>
                  <w:tcW w:w="885" w:type="dxa"/>
                  <w:noWrap w:val="0"/>
                  <w:vAlign w:val="center"/>
                </w:tcPr>
                <w:p w14:paraId="5743AAB4">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530" w:type="dxa"/>
                  <w:vMerge w:val="continue"/>
                  <w:noWrap w:val="0"/>
                  <w:vAlign w:val="center"/>
                </w:tcPr>
                <w:p w14:paraId="0D0816E3">
                  <w:pPr>
                    <w:jc w:val="center"/>
                    <w:rPr>
                      <w:rFonts w:hint="default" w:ascii="Times New Roman" w:hAnsi="Times New Roman" w:eastAsia="宋体" w:cs="Times New Roman"/>
                      <w:szCs w:val="21"/>
                    </w:rPr>
                  </w:pPr>
                </w:p>
              </w:tc>
              <w:tc>
                <w:tcPr>
                  <w:tcW w:w="855" w:type="dxa"/>
                  <w:noWrap w:val="0"/>
                  <w:vAlign w:val="center"/>
                </w:tcPr>
                <w:p w14:paraId="44CA16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0.02275</w:t>
                  </w:r>
                </w:p>
              </w:tc>
              <w:tc>
                <w:tcPr>
                  <w:tcW w:w="735" w:type="dxa"/>
                  <w:noWrap w:val="0"/>
                  <w:vAlign w:val="center"/>
                </w:tcPr>
                <w:p w14:paraId="6F51A038">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0.00287 </w:t>
                  </w:r>
                </w:p>
              </w:tc>
              <w:tc>
                <w:tcPr>
                  <w:tcW w:w="990" w:type="dxa"/>
                  <w:noWrap w:val="0"/>
                  <w:vAlign w:val="center"/>
                </w:tcPr>
                <w:p w14:paraId="4B0D8FCD">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0.335 </w:t>
                  </w:r>
                </w:p>
              </w:tc>
              <w:tc>
                <w:tcPr>
                  <w:tcW w:w="965" w:type="dxa"/>
                  <w:noWrap w:val="0"/>
                  <w:vAlign w:val="center"/>
                </w:tcPr>
                <w:p w14:paraId="3B40E2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2B1D44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2027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49" w:type="dxa"/>
                  <w:vMerge w:val="continue"/>
                  <w:noWrap w:val="0"/>
                  <w:vAlign w:val="center"/>
                </w:tcPr>
                <w:p w14:paraId="4810B01E">
                  <w:pPr>
                    <w:jc w:val="center"/>
                    <w:rPr>
                      <w:rFonts w:hint="default" w:ascii="Times New Roman" w:hAnsi="Times New Roman" w:eastAsia="宋体" w:cs="Times New Roman"/>
                      <w:szCs w:val="21"/>
                    </w:rPr>
                  </w:pPr>
                </w:p>
              </w:tc>
              <w:tc>
                <w:tcPr>
                  <w:tcW w:w="720" w:type="dxa"/>
                  <w:noWrap w:val="0"/>
                  <w:vAlign w:val="center"/>
                </w:tcPr>
                <w:p w14:paraId="663CE9E9">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整形</w:t>
                  </w:r>
                </w:p>
              </w:tc>
              <w:tc>
                <w:tcPr>
                  <w:tcW w:w="885" w:type="dxa"/>
                  <w:noWrap w:val="0"/>
                  <w:vAlign w:val="center"/>
                </w:tcPr>
                <w:p w14:paraId="12F8D7AC">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530" w:type="dxa"/>
                  <w:vMerge w:val="continue"/>
                  <w:noWrap w:val="0"/>
                  <w:vAlign w:val="center"/>
                </w:tcPr>
                <w:p w14:paraId="2F93EB47">
                  <w:pPr>
                    <w:jc w:val="center"/>
                    <w:rPr>
                      <w:rFonts w:hint="default" w:ascii="Times New Roman" w:hAnsi="Times New Roman" w:eastAsia="宋体" w:cs="Times New Roman"/>
                      <w:szCs w:val="21"/>
                    </w:rPr>
                  </w:pPr>
                </w:p>
              </w:tc>
              <w:tc>
                <w:tcPr>
                  <w:tcW w:w="855" w:type="dxa"/>
                  <w:noWrap w:val="0"/>
                  <w:vAlign w:val="center"/>
                </w:tcPr>
                <w:p w14:paraId="65C611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0.0238</w:t>
                  </w:r>
                </w:p>
              </w:tc>
              <w:tc>
                <w:tcPr>
                  <w:tcW w:w="735" w:type="dxa"/>
                  <w:noWrap w:val="0"/>
                  <w:vAlign w:val="center"/>
                </w:tcPr>
                <w:p w14:paraId="69E4A02C">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0.00301 </w:t>
                  </w:r>
                </w:p>
              </w:tc>
              <w:tc>
                <w:tcPr>
                  <w:tcW w:w="990" w:type="dxa"/>
                  <w:noWrap w:val="0"/>
                  <w:vAlign w:val="center"/>
                </w:tcPr>
                <w:p w14:paraId="65CB7CA4">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0.350 </w:t>
                  </w:r>
                </w:p>
              </w:tc>
              <w:tc>
                <w:tcPr>
                  <w:tcW w:w="965" w:type="dxa"/>
                  <w:noWrap w:val="0"/>
                  <w:vAlign w:val="center"/>
                </w:tcPr>
                <w:p w14:paraId="28B2AE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0A092B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7CCE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49" w:type="dxa"/>
                  <w:vMerge w:val="continue"/>
                  <w:noWrap w:val="0"/>
                  <w:vAlign w:val="top"/>
                </w:tcPr>
                <w:p w14:paraId="771A0C3E">
                  <w:pPr>
                    <w:jc w:val="center"/>
                    <w:rPr>
                      <w:rFonts w:hint="default" w:ascii="Times New Roman" w:hAnsi="Times New Roman" w:eastAsia="宋体" w:cs="Times New Roman"/>
                      <w:szCs w:val="21"/>
                    </w:rPr>
                  </w:pPr>
                </w:p>
              </w:tc>
              <w:tc>
                <w:tcPr>
                  <w:tcW w:w="0" w:type="auto"/>
                  <w:noWrap w:val="0"/>
                  <w:vAlign w:val="center"/>
                </w:tcPr>
                <w:p w14:paraId="50A0145D">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包装</w:t>
                  </w:r>
                </w:p>
              </w:tc>
              <w:tc>
                <w:tcPr>
                  <w:tcW w:w="0" w:type="auto"/>
                  <w:noWrap w:val="0"/>
                  <w:vAlign w:val="center"/>
                </w:tcPr>
                <w:p w14:paraId="02D40EDD">
                  <w:pPr>
                    <w:widowControl/>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颗粒物</w:t>
                  </w:r>
                </w:p>
              </w:tc>
              <w:tc>
                <w:tcPr>
                  <w:tcW w:w="1530" w:type="dxa"/>
                  <w:vMerge w:val="continue"/>
                  <w:noWrap w:val="0"/>
                  <w:vAlign w:val="top"/>
                </w:tcPr>
                <w:p w14:paraId="7FE398DD">
                  <w:pPr>
                    <w:jc w:val="center"/>
                    <w:rPr>
                      <w:rFonts w:hint="default" w:ascii="Times New Roman" w:hAnsi="Times New Roman" w:eastAsia="宋体" w:cs="Times New Roman"/>
                      <w:szCs w:val="21"/>
                      <w:lang w:val="en-US" w:eastAsia="zh-CN"/>
                    </w:rPr>
                  </w:pPr>
                </w:p>
              </w:tc>
              <w:tc>
                <w:tcPr>
                  <w:tcW w:w="855" w:type="dxa"/>
                  <w:noWrap w:val="0"/>
                  <w:vAlign w:val="center"/>
                </w:tcPr>
                <w:p w14:paraId="0456527D">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0.0011</w:t>
                  </w:r>
                </w:p>
              </w:tc>
              <w:tc>
                <w:tcPr>
                  <w:tcW w:w="735" w:type="dxa"/>
                  <w:noWrap w:val="0"/>
                  <w:vAlign w:val="center"/>
                </w:tcPr>
                <w:p w14:paraId="420D1D8F">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0.000139 </w:t>
                  </w:r>
                </w:p>
              </w:tc>
              <w:tc>
                <w:tcPr>
                  <w:tcW w:w="990" w:type="dxa"/>
                  <w:noWrap w:val="0"/>
                  <w:vAlign w:val="center"/>
                </w:tcPr>
                <w:p w14:paraId="11C36676">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0.0162 </w:t>
                  </w:r>
                </w:p>
              </w:tc>
              <w:tc>
                <w:tcPr>
                  <w:tcW w:w="965" w:type="dxa"/>
                  <w:noWrap w:val="0"/>
                  <w:vAlign w:val="center"/>
                </w:tcPr>
                <w:p w14:paraId="663A9D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843" w:type="dxa"/>
                  <w:noWrap w:val="0"/>
                  <w:vAlign w:val="center"/>
                </w:tcPr>
                <w:p w14:paraId="0EC5D1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bl>
          <w:p w14:paraId="0E081FF4">
            <w:pPr>
              <w:pStyle w:val="81"/>
              <w:keepNext w:val="0"/>
              <w:keepLines w:val="0"/>
              <w:pageBreakBefore w:val="0"/>
              <w:widowControl/>
              <w:numPr>
                <w:ilvl w:val="0"/>
                <w:numId w:val="0"/>
              </w:numPr>
              <w:kinsoku/>
              <w:wordWrap/>
              <w:overflowPunct/>
              <w:topLinePunct w:val="0"/>
              <w:autoSpaceDE/>
              <w:autoSpaceDN/>
              <w:bidi w:val="0"/>
              <w:adjustRightInd/>
              <w:snapToGrid/>
              <w:spacing w:before="157" w:beforeLines="50" w:line="360" w:lineRule="auto"/>
              <w:ind w:left="419" w:leftChars="0" w:right="0" w:rightChars="0"/>
              <w:jc w:val="left"/>
              <w:textAlignment w:val="auto"/>
              <w:rPr>
                <w:rFonts w:hint="default" w:ascii="Times New Roman" w:hAnsi="Times New Roman" w:cs="Times New Roman"/>
                <w:b w:val="0"/>
                <w:bCs w:val="0"/>
                <w:color w:val="000000"/>
                <w:spacing w:val="-5"/>
                <w:sz w:val="24"/>
                <w:szCs w:val="24"/>
                <w:lang w:val="en-US" w:eastAsia="zh-CN"/>
              </w:rPr>
            </w:pPr>
            <w:r>
              <w:rPr>
                <w:rFonts w:hint="eastAsia" w:ascii="Times New Roman" w:hAnsi="Times New Roman" w:cs="Times New Roman"/>
                <w:b w:val="0"/>
                <w:bCs w:val="0"/>
                <w:color w:val="000000"/>
                <w:spacing w:val="-5"/>
                <w:sz w:val="24"/>
                <w:szCs w:val="24"/>
                <w:lang w:val="en-US" w:eastAsia="zh-CN"/>
              </w:rPr>
              <w:t>2、</w:t>
            </w:r>
            <w:r>
              <w:rPr>
                <w:rFonts w:hint="default" w:ascii="Times New Roman" w:hAnsi="Times New Roman" w:cs="Times New Roman"/>
                <w:b w:val="0"/>
                <w:bCs w:val="0"/>
                <w:color w:val="000000"/>
                <w:spacing w:val="-5"/>
                <w:sz w:val="24"/>
                <w:szCs w:val="24"/>
                <w:lang w:val="en-US" w:eastAsia="zh-CN"/>
              </w:rPr>
              <w:t>废水</w:t>
            </w:r>
          </w:p>
          <w:p w14:paraId="4E1F9D9C">
            <w:pPr>
              <w:pStyle w:val="81"/>
              <w:widowControl/>
              <w:spacing w:line="360" w:lineRule="auto"/>
              <w:ind w:right="91" w:firstLine="460" w:firstLineChars="200"/>
              <w:jc w:val="left"/>
              <w:rPr>
                <w:rFonts w:hint="default" w:ascii="Times New Roman" w:hAnsi="Times New Roman" w:cs="Times New Roman"/>
                <w:b w:val="0"/>
                <w:bCs w:val="0"/>
                <w:color w:val="000000"/>
                <w:spacing w:val="-5"/>
                <w:sz w:val="24"/>
                <w:szCs w:val="24"/>
                <w:lang w:val="en-US" w:eastAsia="zh-CN"/>
              </w:rPr>
            </w:pPr>
            <w:r>
              <w:rPr>
                <w:rFonts w:hint="default" w:ascii="Times New Roman" w:hAnsi="Times New Roman" w:cs="Times New Roman"/>
                <w:b w:val="0"/>
                <w:bCs w:val="0"/>
                <w:color w:val="000000"/>
                <w:spacing w:val="-5"/>
                <w:sz w:val="24"/>
                <w:szCs w:val="24"/>
                <w:lang w:val="en-US" w:eastAsia="zh-CN"/>
              </w:rPr>
              <w:t>本项目建成后现有项目废水污染物</w:t>
            </w:r>
            <w:r>
              <w:rPr>
                <w:rFonts w:hint="eastAsia" w:ascii="Times New Roman" w:hAnsi="Times New Roman" w:cs="Times New Roman"/>
                <w:b w:val="0"/>
                <w:bCs w:val="0"/>
                <w:color w:val="000000"/>
                <w:spacing w:val="-5"/>
                <w:sz w:val="24"/>
                <w:szCs w:val="24"/>
                <w:lang w:val="en-US" w:eastAsia="zh-CN"/>
              </w:rPr>
              <w:t>处理设施及</w:t>
            </w:r>
            <w:r>
              <w:rPr>
                <w:rFonts w:hint="default" w:ascii="Times New Roman" w:hAnsi="Times New Roman" w:cs="Times New Roman"/>
                <w:b w:val="0"/>
                <w:bCs w:val="0"/>
                <w:color w:val="000000"/>
                <w:spacing w:val="-5"/>
                <w:sz w:val="24"/>
                <w:szCs w:val="24"/>
                <w:lang w:val="en-US" w:eastAsia="zh-CN"/>
              </w:rPr>
              <w:t>排放量</w:t>
            </w:r>
            <w:r>
              <w:rPr>
                <w:rFonts w:hint="eastAsia" w:ascii="Times New Roman" w:hAnsi="Times New Roman" w:cs="Times New Roman"/>
                <w:b w:val="0"/>
                <w:bCs w:val="0"/>
                <w:color w:val="000000"/>
                <w:spacing w:val="-5"/>
                <w:sz w:val="24"/>
                <w:szCs w:val="24"/>
                <w:lang w:val="en-US" w:eastAsia="zh-CN"/>
              </w:rPr>
              <w:t>均</w:t>
            </w:r>
            <w:r>
              <w:rPr>
                <w:rFonts w:hint="default" w:ascii="Times New Roman" w:hAnsi="Times New Roman" w:cs="Times New Roman"/>
                <w:b w:val="0"/>
                <w:bCs w:val="0"/>
                <w:color w:val="000000"/>
                <w:spacing w:val="-5"/>
                <w:sz w:val="24"/>
                <w:szCs w:val="24"/>
                <w:lang w:val="en-US" w:eastAsia="zh-CN"/>
              </w:rPr>
              <w:t>不发生变化。</w:t>
            </w:r>
          </w:p>
          <w:p w14:paraId="44CF3F97">
            <w:pPr>
              <w:adjustRightInd w:val="0"/>
              <w:snapToGrid w:val="0"/>
              <w:spacing w:line="360" w:lineRule="auto"/>
              <w:ind w:firstLine="480" w:firstLineChars="200"/>
              <w:jc w:val="left"/>
              <w:outlineLvl w:val="0"/>
              <w:rPr>
                <w:rFonts w:hint="default" w:eastAsia="宋体"/>
                <w:color w:val="000000"/>
                <w:sz w:val="24"/>
                <w:lang w:val="en-US" w:eastAsia="zh-CN"/>
              </w:rPr>
            </w:pPr>
            <w:bookmarkStart w:id="45" w:name="_Toc16799"/>
            <w:r>
              <w:rPr>
                <w:rFonts w:hint="eastAsia"/>
                <w:color w:val="000000"/>
                <w:sz w:val="24"/>
                <w:lang w:val="en-US" w:eastAsia="zh-CN"/>
              </w:rPr>
              <w:t>3、“三本账”分析</w:t>
            </w:r>
            <w:bookmarkEnd w:id="45"/>
          </w:p>
          <w:p w14:paraId="331116C8">
            <w:pPr>
              <w:adjustRightInd w:val="0"/>
              <w:snapToGrid w:val="0"/>
              <w:spacing w:line="360" w:lineRule="auto"/>
              <w:ind w:firstLine="480" w:firstLineChars="200"/>
              <w:jc w:val="left"/>
              <w:outlineLvl w:val="0"/>
              <w:rPr>
                <w:rFonts w:hint="eastAsia"/>
                <w:b/>
                <w:color w:val="000000"/>
                <w:szCs w:val="21"/>
              </w:rPr>
            </w:pPr>
            <w:bookmarkStart w:id="46" w:name="_Toc20606"/>
            <w:r>
              <w:rPr>
                <w:rFonts w:hint="eastAsia"/>
                <w:color w:val="000000"/>
                <w:sz w:val="24"/>
              </w:rPr>
              <w:t>本项目为技改项目，根据项目情况，本项目实施后污染物排放“三本账”见下表：</w:t>
            </w:r>
            <w:bookmarkEnd w:id="43"/>
            <w:bookmarkEnd w:id="44"/>
            <w:bookmarkEnd w:id="46"/>
          </w:p>
          <w:p w14:paraId="3BF2EFD5">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eastAsia" w:ascii="Times New Roman" w:hAnsi="Times New Roman" w:eastAsia="宋体" w:cs="Times New Roman"/>
                <w:b/>
                <w:bCs/>
                <w:color w:val="000000"/>
                <w:spacing w:val="7"/>
                <w:sz w:val="24"/>
                <w:szCs w:val="24"/>
                <w:lang w:val="en-US" w:eastAsia="zh-CN"/>
              </w:rPr>
            </w:pPr>
            <w:r>
              <w:rPr>
                <w:rFonts w:hint="eastAsia" w:ascii="Times New Roman" w:hAnsi="Times New Roman" w:eastAsia="宋体" w:cs="Times New Roman"/>
                <w:b/>
                <w:bCs/>
                <w:color w:val="000000"/>
                <w:spacing w:val="7"/>
                <w:sz w:val="24"/>
                <w:szCs w:val="24"/>
                <w:lang w:val="en-US" w:eastAsia="zh-CN"/>
              </w:rPr>
              <w:t xml:space="preserve">  项目实施后污染物排放“三本账”</w:t>
            </w:r>
          </w:p>
          <w:tbl>
            <w:tblPr>
              <w:tblStyle w:val="31"/>
              <w:tblW w:w="81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9"/>
              <w:gridCol w:w="1245"/>
              <w:gridCol w:w="1256"/>
              <w:gridCol w:w="1154"/>
              <w:gridCol w:w="1023"/>
              <w:gridCol w:w="1168"/>
              <w:gridCol w:w="1330"/>
            </w:tblGrid>
            <w:tr w14:paraId="6EEE2B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1" w:hRule="atLeast"/>
                <w:jc w:val="center"/>
              </w:trPr>
              <w:tc>
                <w:tcPr>
                  <w:tcW w:w="979" w:type="dxa"/>
                  <w:tcBorders>
                    <w:tl2br w:val="single" w:color="auto" w:sz="4" w:space="0"/>
                  </w:tcBorders>
                  <w:noWrap w:val="0"/>
                  <w:tcMar>
                    <w:left w:w="28" w:type="dxa"/>
                    <w:right w:w="28" w:type="dxa"/>
                  </w:tcMar>
                  <w:vAlign w:val="center"/>
                </w:tcPr>
                <w:p w14:paraId="24C53740">
                  <w:pPr>
                    <w:pStyle w:val="94"/>
                    <w:jc w:val="right"/>
                    <w:rPr>
                      <w:snapToGrid w:val="0"/>
                      <w:color w:val="000000"/>
                    </w:rPr>
                  </w:pPr>
                  <w:r>
                    <w:rPr>
                      <w:rFonts w:hint="eastAsia"/>
                      <w:snapToGrid w:val="0"/>
                      <w:color w:val="000000"/>
                    </w:rPr>
                    <w:t>项目</w:t>
                  </w:r>
                </w:p>
                <w:p w14:paraId="6AA2561B">
                  <w:pPr>
                    <w:pStyle w:val="94"/>
                    <w:jc w:val="left"/>
                    <w:rPr>
                      <w:snapToGrid w:val="0"/>
                      <w:color w:val="000000"/>
                    </w:rPr>
                  </w:pPr>
                  <w:r>
                    <w:rPr>
                      <w:rFonts w:hint="eastAsia"/>
                      <w:snapToGrid w:val="0"/>
                      <w:color w:val="000000"/>
                    </w:rPr>
                    <w:t>分类</w:t>
                  </w:r>
                </w:p>
              </w:tc>
              <w:tc>
                <w:tcPr>
                  <w:tcW w:w="1245" w:type="dxa"/>
                  <w:noWrap w:val="0"/>
                  <w:tcMar>
                    <w:left w:w="28" w:type="dxa"/>
                    <w:right w:w="28" w:type="dxa"/>
                  </w:tcMar>
                  <w:vAlign w:val="center"/>
                </w:tcPr>
                <w:p w14:paraId="5067B614">
                  <w:pPr>
                    <w:pStyle w:val="94"/>
                    <w:rPr>
                      <w:snapToGrid w:val="0"/>
                      <w:color w:val="000000"/>
                    </w:rPr>
                  </w:pPr>
                  <w:r>
                    <w:rPr>
                      <w:rFonts w:hint="eastAsia"/>
                      <w:snapToGrid w:val="0"/>
                      <w:color w:val="000000"/>
                    </w:rPr>
                    <w:t>污染物名称</w:t>
                  </w:r>
                </w:p>
              </w:tc>
              <w:tc>
                <w:tcPr>
                  <w:tcW w:w="1256" w:type="dxa"/>
                  <w:noWrap w:val="0"/>
                  <w:tcMar>
                    <w:left w:w="28" w:type="dxa"/>
                    <w:right w:w="28" w:type="dxa"/>
                  </w:tcMar>
                  <w:vAlign w:val="center"/>
                </w:tcPr>
                <w:p w14:paraId="532AA1CE">
                  <w:pPr>
                    <w:pStyle w:val="94"/>
                    <w:rPr>
                      <w:snapToGrid w:val="0"/>
                      <w:color w:val="000000"/>
                    </w:rPr>
                  </w:pPr>
                  <w:r>
                    <w:rPr>
                      <w:snapToGrid w:val="0"/>
                      <w:color w:val="000000"/>
                    </w:rPr>
                    <w:t>现有工程</w:t>
                  </w:r>
                </w:p>
                <w:p w14:paraId="464CEFDE">
                  <w:pPr>
                    <w:pStyle w:val="94"/>
                    <w:rPr>
                      <w:rFonts w:hint="default" w:eastAsia="宋体"/>
                      <w:snapToGrid w:val="0"/>
                      <w:color w:val="000000"/>
                      <w:lang w:val="en-US" w:eastAsia="zh-CN"/>
                    </w:rPr>
                  </w:pPr>
                  <w:r>
                    <w:rPr>
                      <w:snapToGrid w:val="0"/>
                      <w:color w:val="000000"/>
                    </w:rPr>
                    <w:t>排放量</w:t>
                  </w:r>
                  <w:r>
                    <w:rPr>
                      <w:rFonts w:hint="eastAsia"/>
                      <w:snapToGrid w:val="0"/>
                      <w:color w:val="000000"/>
                      <w:lang w:val="en-US" w:eastAsia="zh-CN"/>
                    </w:rPr>
                    <w:t>(t/a)</w:t>
                  </w:r>
                </w:p>
              </w:tc>
              <w:tc>
                <w:tcPr>
                  <w:tcW w:w="1154" w:type="dxa"/>
                  <w:noWrap w:val="0"/>
                  <w:tcMar>
                    <w:left w:w="28" w:type="dxa"/>
                    <w:right w:w="28" w:type="dxa"/>
                  </w:tcMar>
                  <w:vAlign w:val="center"/>
                </w:tcPr>
                <w:p w14:paraId="1CD75D5F">
                  <w:pPr>
                    <w:pStyle w:val="94"/>
                    <w:rPr>
                      <w:snapToGrid w:val="0"/>
                      <w:color w:val="000000"/>
                    </w:rPr>
                  </w:pPr>
                  <w:r>
                    <w:rPr>
                      <w:snapToGrid w:val="0"/>
                      <w:color w:val="000000"/>
                    </w:rPr>
                    <w:t>本项目</w:t>
                  </w:r>
                </w:p>
                <w:p w14:paraId="20ABD22B">
                  <w:pPr>
                    <w:pStyle w:val="94"/>
                    <w:rPr>
                      <w:snapToGrid w:val="0"/>
                      <w:color w:val="000000"/>
                    </w:rPr>
                  </w:pPr>
                  <w:r>
                    <w:rPr>
                      <w:snapToGrid w:val="0"/>
                      <w:color w:val="000000"/>
                    </w:rPr>
                    <w:t>排放量</w:t>
                  </w:r>
                  <w:r>
                    <w:rPr>
                      <w:rFonts w:hint="eastAsia"/>
                      <w:snapToGrid w:val="0"/>
                      <w:color w:val="000000"/>
                      <w:lang w:val="en-US" w:eastAsia="zh-CN"/>
                    </w:rPr>
                    <w:t>(t/a)</w:t>
                  </w:r>
                </w:p>
              </w:tc>
              <w:tc>
                <w:tcPr>
                  <w:tcW w:w="1023" w:type="dxa"/>
                  <w:noWrap w:val="0"/>
                  <w:tcMar>
                    <w:left w:w="28" w:type="dxa"/>
                    <w:right w:w="28" w:type="dxa"/>
                  </w:tcMar>
                  <w:vAlign w:val="center"/>
                </w:tcPr>
                <w:p w14:paraId="7F628CF2">
                  <w:pPr>
                    <w:pStyle w:val="94"/>
                    <w:rPr>
                      <w:snapToGrid w:val="0"/>
                      <w:color w:val="000000"/>
                      <w:spacing w:val="-16"/>
                    </w:rPr>
                  </w:pPr>
                  <w:r>
                    <w:rPr>
                      <w:snapToGrid w:val="0"/>
                      <w:color w:val="000000"/>
                      <w:spacing w:val="-16"/>
                    </w:rPr>
                    <w:t>以新带老削减量</w:t>
                  </w:r>
                  <w:r>
                    <w:rPr>
                      <w:rFonts w:hint="eastAsia"/>
                      <w:snapToGrid w:val="0"/>
                      <w:color w:val="000000"/>
                      <w:lang w:val="en-US" w:eastAsia="zh-CN"/>
                    </w:rPr>
                    <w:t>(t/a)</w:t>
                  </w:r>
                </w:p>
              </w:tc>
              <w:tc>
                <w:tcPr>
                  <w:tcW w:w="1168" w:type="dxa"/>
                  <w:noWrap w:val="0"/>
                  <w:tcMar>
                    <w:left w:w="28" w:type="dxa"/>
                    <w:right w:w="28" w:type="dxa"/>
                  </w:tcMar>
                  <w:vAlign w:val="center"/>
                </w:tcPr>
                <w:p w14:paraId="0ADB5A03">
                  <w:pPr>
                    <w:pStyle w:val="94"/>
                    <w:rPr>
                      <w:snapToGrid w:val="0"/>
                      <w:color w:val="000000"/>
                      <w:spacing w:val="-16"/>
                    </w:rPr>
                  </w:pPr>
                  <w:r>
                    <w:rPr>
                      <w:snapToGrid w:val="0"/>
                      <w:color w:val="000000"/>
                      <w:spacing w:val="-16"/>
                    </w:rPr>
                    <w:t>本项目建成后</w:t>
                  </w:r>
                </w:p>
                <w:p w14:paraId="3BFDF5EC">
                  <w:pPr>
                    <w:pStyle w:val="94"/>
                    <w:rPr>
                      <w:snapToGrid w:val="0"/>
                      <w:color w:val="000000"/>
                      <w:spacing w:val="-16"/>
                    </w:rPr>
                  </w:pPr>
                  <w:r>
                    <w:rPr>
                      <w:rFonts w:hint="eastAsia"/>
                      <w:snapToGrid w:val="0"/>
                      <w:color w:val="000000"/>
                      <w:spacing w:val="-16"/>
                    </w:rPr>
                    <w:t>全厂</w:t>
                  </w:r>
                  <w:r>
                    <w:rPr>
                      <w:snapToGrid w:val="0"/>
                      <w:color w:val="000000"/>
                      <w:spacing w:val="-16"/>
                    </w:rPr>
                    <w:t>排放量</w:t>
                  </w:r>
                  <w:r>
                    <w:rPr>
                      <w:rFonts w:hint="eastAsia"/>
                      <w:snapToGrid w:val="0"/>
                      <w:color w:val="000000"/>
                      <w:lang w:val="en-US" w:eastAsia="zh-CN"/>
                    </w:rPr>
                    <w:t>(t/a)</w:t>
                  </w:r>
                </w:p>
              </w:tc>
              <w:tc>
                <w:tcPr>
                  <w:tcW w:w="1330" w:type="dxa"/>
                  <w:noWrap w:val="0"/>
                  <w:tcMar>
                    <w:left w:w="28" w:type="dxa"/>
                    <w:right w:w="28" w:type="dxa"/>
                  </w:tcMar>
                  <w:vAlign w:val="center"/>
                </w:tcPr>
                <w:p w14:paraId="30CE14F1">
                  <w:pPr>
                    <w:pStyle w:val="94"/>
                    <w:rPr>
                      <w:snapToGrid w:val="0"/>
                      <w:color w:val="000000"/>
                    </w:rPr>
                  </w:pPr>
                  <w:r>
                    <w:rPr>
                      <w:snapToGrid w:val="0"/>
                      <w:color w:val="000000"/>
                    </w:rPr>
                    <w:t>变化量</w:t>
                  </w:r>
                </w:p>
                <w:p w14:paraId="1AD7E0AD">
                  <w:pPr>
                    <w:pStyle w:val="94"/>
                    <w:rPr>
                      <w:snapToGrid w:val="0"/>
                      <w:color w:val="000000"/>
                    </w:rPr>
                  </w:pPr>
                  <w:r>
                    <w:rPr>
                      <w:rFonts w:hint="eastAsia"/>
                      <w:snapToGrid w:val="0"/>
                      <w:color w:val="000000"/>
                      <w:lang w:val="en-US" w:eastAsia="zh-CN"/>
                    </w:rPr>
                    <w:t>(t/a)</w:t>
                  </w:r>
                </w:p>
              </w:tc>
            </w:tr>
            <w:tr w14:paraId="75F53C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979" w:type="dxa"/>
                  <w:vMerge w:val="restart"/>
                  <w:noWrap w:val="0"/>
                  <w:vAlign w:val="center"/>
                </w:tcPr>
                <w:p w14:paraId="0055917A">
                  <w:pPr>
                    <w:pStyle w:val="94"/>
                    <w:rPr>
                      <w:rFonts w:hAnsi="宋体"/>
                      <w:snapToGrid w:val="0"/>
                      <w:color w:val="000000"/>
                    </w:rPr>
                  </w:pPr>
                  <w:r>
                    <w:rPr>
                      <w:rFonts w:hint="eastAsia" w:hAnsi="宋体"/>
                      <w:snapToGrid w:val="0"/>
                      <w:color w:val="000000"/>
                    </w:rPr>
                    <w:t>废气</w:t>
                  </w:r>
                </w:p>
              </w:tc>
              <w:tc>
                <w:tcPr>
                  <w:tcW w:w="1245" w:type="dxa"/>
                  <w:noWrap w:val="0"/>
                  <w:vAlign w:val="center"/>
                </w:tcPr>
                <w:p w14:paraId="3A8FF640">
                  <w:pPr>
                    <w:pStyle w:val="94"/>
                    <w:ind w:firstLine="0" w:firstLineChars="0"/>
                    <w:rPr>
                      <w:color w:val="000000"/>
                      <w:szCs w:val="21"/>
                    </w:rPr>
                  </w:pPr>
                  <w:r>
                    <w:rPr>
                      <w:rFonts w:hint="eastAsia"/>
                      <w:szCs w:val="21"/>
                    </w:rPr>
                    <w:t>SO</w:t>
                  </w:r>
                  <w:r>
                    <w:rPr>
                      <w:szCs w:val="21"/>
                      <w:vertAlign w:val="subscript"/>
                    </w:rPr>
                    <w:t>2</w:t>
                  </w:r>
                </w:p>
              </w:tc>
              <w:tc>
                <w:tcPr>
                  <w:tcW w:w="1256" w:type="dxa"/>
                  <w:noWrap w:val="0"/>
                  <w:vAlign w:val="center"/>
                </w:tcPr>
                <w:p w14:paraId="151FE9BA">
                  <w:pPr>
                    <w:widowControl/>
                    <w:jc w:val="center"/>
                    <w:textAlignment w:val="center"/>
                    <w:rPr>
                      <w:snapToGrid w:val="0"/>
                      <w:color w:val="000000"/>
                    </w:rPr>
                  </w:pPr>
                  <w:r>
                    <w:rPr>
                      <w:rFonts w:hint="eastAsia"/>
                      <w:color w:val="000000"/>
                      <w:kern w:val="0"/>
                      <w:szCs w:val="21"/>
                      <w:lang w:val="en-US" w:eastAsia="zh-CN" w:bidi="ar"/>
                    </w:rPr>
                    <w:t>2.0244</w:t>
                  </w:r>
                </w:p>
              </w:tc>
              <w:tc>
                <w:tcPr>
                  <w:tcW w:w="1154" w:type="dxa"/>
                  <w:noWrap w:val="0"/>
                  <w:vAlign w:val="center"/>
                </w:tcPr>
                <w:p w14:paraId="20E240B2">
                  <w:pPr>
                    <w:widowControl/>
                    <w:jc w:val="center"/>
                    <w:textAlignment w:val="center"/>
                    <w:rPr>
                      <w:rFonts w:hint="default" w:eastAsia="宋体"/>
                      <w:color w:val="000000"/>
                      <w:kern w:val="0"/>
                      <w:szCs w:val="21"/>
                      <w:lang w:val="en-US" w:eastAsia="zh-CN" w:bidi="ar"/>
                    </w:rPr>
                  </w:pPr>
                  <w:r>
                    <w:rPr>
                      <w:rFonts w:hint="eastAsia" w:cs="Times New Roman"/>
                      <w:snapToGrid/>
                      <w:color w:val="000000"/>
                      <w:lang w:val="en-US" w:eastAsia="zh-CN"/>
                    </w:rPr>
                    <w:t>0.72</w:t>
                  </w:r>
                </w:p>
              </w:tc>
              <w:tc>
                <w:tcPr>
                  <w:tcW w:w="1023" w:type="dxa"/>
                  <w:noWrap w:val="0"/>
                  <w:vAlign w:val="center"/>
                </w:tcPr>
                <w:p w14:paraId="21082473">
                  <w:pPr>
                    <w:keepNext w:val="0"/>
                    <w:keepLines w:val="0"/>
                    <w:widowControl/>
                    <w:suppressLineNumbers w:val="0"/>
                    <w:jc w:val="center"/>
                    <w:textAlignment w:val="center"/>
                    <w:rPr>
                      <w:rFonts w:hint="default" w:ascii="Times New Roman" w:hAnsi="Times New Roman" w:eastAsia="宋体" w:cs="Times New Roman"/>
                      <w:snapToGrid w:val="0"/>
                      <w:color w:val="000000"/>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2.0228</w:t>
                  </w:r>
                </w:p>
              </w:tc>
              <w:tc>
                <w:tcPr>
                  <w:tcW w:w="1168" w:type="dxa"/>
                  <w:noWrap w:val="0"/>
                  <w:vAlign w:val="center"/>
                </w:tcPr>
                <w:p w14:paraId="3E7729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0.7216</w:t>
                  </w:r>
                </w:p>
              </w:tc>
              <w:tc>
                <w:tcPr>
                  <w:tcW w:w="1330" w:type="dxa"/>
                  <w:noWrap w:val="0"/>
                  <w:vAlign w:val="center"/>
                </w:tcPr>
                <w:p w14:paraId="1EEC84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-1.3028</w:t>
                  </w:r>
                </w:p>
              </w:tc>
            </w:tr>
            <w:tr w14:paraId="583CB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979" w:type="dxa"/>
                  <w:vMerge w:val="continue"/>
                  <w:noWrap w:val="0"/>
                  <w:vAlign w:val="center"/>
                </w:tcPr>
                <w:p w14:paraId="5EA5F296">
                  <w:pPr>
                    <w:pStyle w:val="94"/>
                    <w:rPr>
                      <w:rFonts w:hAnsi="宋体"/>
                      <w:snapToGrid w:val="0"/>
                      <w:color w:val="000000"/>
                    </w:rPr>
                  </w:pPr>
                </w:p>
              </w:tc>
              <w:tc>
                <w:tcPr>
                  <w:tcW w:w="1245" w:type="dxa"/>
                  <w:noWrap w:val="0"/>
                  <w:vAlign w:val="center"/>
                </w:tcPr>
                <w:p w14:paraId="4B959935">
                  <w:pPr>
                    <w:pStyle w:val="94"/>
                    <w:ind w:firstLine="0" w:firstLineChars="0"/>
                    <w:rPr>
                      <w:snapToGrid w:val="0"/>
                      <w:color w:val="000000"/>
                    </w:rPr>
                  </w:pPr>
                  <w:r>
                    <w:rPr>
                      <w:rFonts w:hint="eastAsia"/>
                      <w:szCs w:val="21"/>
                    </w:rPr>
                    <w:t>NOx</w:t>
                  </w:r>
                </w:p>
              </w:tc>
              <w:tc>
                <w:tcPr>
                  <w:tcW w:w="1256" w:type="dxa"/>
                  <w:noWrap w:val="0"/>
                  <w:vAlign w:val="center"/>
                </w:tcPr>
                <w:p w14:paraId="09EDA935">
                  <w:pPr>
                    <w:widowControl/>
                    <w:jc w:val="center"/>
                    <w:textAlignment w:val="center"/>
                    <w:rPr>
                      <w:snapToGrid w:val="0"/>
                      <w:color w:val="000000"/>
                    </w:rPr>
                  </w:pPr>
                  <w:r>
                    <w:rPr>
                      <w:rFonts w:hint="eastAsia"/>
                      <w:color w:val="000000"/>
                      <w:kern w:val="0"/>
                      <w:szCs w:val="21"/>
                      <w:lang w:val="en-US" w:eastAsia="zh-CN" w:bidi="ar"/>
                    </w:rPr>
                    <w:t>1.5697</w:t>
                  </w:r>
                </w:p>
              </w:tc>
              <w:tc>
                <w:tcPr>
                  <w:tcW w:w="1154" w:type="dxa"/>
                  <w:noWrap w:val="0"/>
                  <w:vAlign w:val="center"/>
                </w:tcPr>
                <w:p w14:paraId="27BF0250">
                  <w:pPr>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eastAsia="宋体"/>
                      <w:snapToGrid w:val="0"/>
                      <w:color w:val="000000"/>
                      <w:lang w:val="en-US" w:eastAsia="zh-CN"/>
                    </w:rPr>
                  </w:pPr>
                  <w:r>
                    <w:rPr>
                      <w:rFonts w:hint="eastAsia" w:eastAsia="宋体"/>
                      <w:snapToGrid w:val="0"/>
                      <w:color w:val="000000"/>
                      <w:lang w:val="en-US" w:eastAsia="zh-CN"/>
                    </w:rPr>
                    <w:t>7.0</w:t>
                  </w:r>
                </w:p>
              </w:tc>
              <w:tc>
                <w:tcPr>
                  <w:tcW w:w="1023" w:type="dxa"/>
                  <w:noWrap w:val="0"/>
                  <w:vAlign w:val="center"/>
                </w:tcPr>
                <w:p w14:paraId="5B95B94C">
                  <w:pPr>
                    <w:keepNext w:val="0"/>
                    <w:keepLines w:val="0"/>
                    <w:widowControl/>
                    <w:suppressLineNumbers w:val="0"/>
                    <w:jc w:val="center"/>
                    <w:textAlignment w:val="center"/>
                    <w:rPr>
                      <w:rFonts w:hint="default" w:ascii="Times New Roman" w:hAnsi="Times New Roman" w:eastAsia="宋体" w:cs="Times New Roman"/>
                      <w:snapToGrid w:val="0"/>
                      <w:color w:val="000000"/>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1.3183</w:t>
                  </w:r>
                </w:p>
              </w:tc>
              <w:tc>
                <w:tcPr>
                  <w:tcW w:w="1168" w:type="dxa"/>
                  <w:noWrap w:val="0"/>
                  <w:vAlign w:val="center"/>
                </w:tcPr>
                <w:p w14:paraId="0BDAAE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7.2514</w:t>
                  </w:r>
                </w:p>
              </w:tc>
              <w:tc>
                <w:tcPr>
                  <w:tcW w:w="1330" w:type="dxa"/>
                  <w:noWrap w:val="0"/>
                  <w:vAlign w:val="center"/>
                </w:tcPr>
                <w:p w14:paraId="3CCD96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+5.6817</w:t>
                  </w:r>
                </w:p>
              </w:tc>
            </w:tr>
            <w:tr w14:paraId="0BD87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6" w:hRule="atLeast"/>
                <w:jc w:val="center"/>
              </w:trPr>
              <w:tc>
                <w:tcPr>
                  <w:tcW w:w="979" w:type="dxa"/>
                  <w:vMerge w:val="continue"/>
                  <w:noWrap w:val="0"/>
                  <w:vAlign w:val="center"/>
                </w:tcPr>
                <w:p w14:paraId="2DC0DE5A">
                  <w:pPr>
                    <w:pStyle w:val="94"/>
                    <w:rPr>
                      <w:rFonts w:hAnsi="宋体"/>
                      <w:snapToGrid w:val="0"/>
                      <w:color w:val="000000"/>
                    </w:rPr>
                  </w:pPr>
                </w:p>
              </w:tc>
              <w:tc>
                <w:tcPr>
                  <w:tcW w:w="1245" w:type="dxa"/>
                  <w:noWrap w:val="0"/>
                  <w:vAlign w:val="center"/>
                </w:tcPr>
                <w:p w14:paraId="3EDE137C">
                  <w:pPr>
                    <w:pStyle w:val="94"/>
                    <w:ind w:firstLine="0" w:firstLineChars="0"/>
                    <w:rPr>
                      <w:snapToGrid w:val="0"/>
                      <w:color w:val="000000"/>
                    </w:rPr>
                  </w:pPr>
                  <w:r>
                    <w:rPr>
                      <w:szCs w:val="21"/>
                    </w:rPr>
                    <w:t>颗粒物(t/a)</w:t>
                  </w:r>
                </w:p>
              </w:tc>
              <w:tc>
                <w:tcPr>
                  <w:tcW w:w="1256" w:type="dxa"/>
                  <w:noWrap w:val="0"/>
                  <w:vAlign w:val="center"/>
                </w:tcPr>
                <w:p w14:paraId="185E07A6">
                  <w:pPr>
                    <w:pStyle w:val="94"/>
                    <w:ind w:firstLine="0" w:firstLineChars="0"/>
                    <w:jc w:val="center"/>
                    <w:rPr>
                      <w:snapToGrid w:val="0"/>
                      <w:color w:val="000000"/>
                    </w:rPr>
                  </w:pPr>
                  <w:r>
                    <w:rPr>
                      <w:rFonts w:hint="eastAsia"/>
                      <w:szCs w:val="21"/>
                      <w:lang w:val="en-US" w:eastAsia="zh-CN"/>
                    </w:rPr>
                    <w:t>0.6006</w:t>
                  </w:r>
                </w:p>
              </w:tc>
              <w:tc>
                <w:tcPr>
                  <w:tcW w:w="1154" w:type="dxa"/>
                  <w:noWrap w:val="0"/>
                  <w:vAlign w:val="center"/>
                </w:tcPr>
                <w:p w14:paraId="3902263E">
                  <w:pPr>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eastAsia="宋体"/>
                      <w:color w:val="000000"/>
                      <w:lang w:val="en-US" w:eastAsia="zh-CN"/>
                    </w:rPr>
                  </w:pPr>
                  <w:r>
                    <w:rPr>
                      <w:rFonts w:hint="eastAsia" w:eastAsia="宋体"/>
                      <w:color w:val="000000"/>
                      <w:lang w:val="en-US" w:eastAsia="zh-CN"/>
                    </w:rPr>
                    <w:t>1.491</w:t>
                  </w:r>
                </w:p>
              </w:tc>
              <w:tc>
                <w:tcPr>
                  <w:tcW w:w="1023" w:type="dxa"/>
                  <w:noWrap w:val="0"/>
                  <w:vAlign w:val="center"/>
                </w:tcPr>
                <w:p w14:paraId="16D54CC7">
                  <w:pPr>
                    <w:keepNext w:val="0"/>
                    <w:keepLines w:val="0"/>
                    <w:widowControl/>
                    <w:suppressLineNumbers w:val="0"/>
                    <w:jc w:val="center"/>
                    <w:textAlignment w:val="center"/>
                    <w:rPr>
                      <w:rFonts w:hint="default" w:ascii="Times New Roman" w:hAnsi="Times New Roman" w:eastAsia="宋体" w:cs="Times New Roman"/>
                      <w:snapToGrid w:val="0"/>
                      <w:color w:val="000000"/>
                      <w:lang w:val="en-US" w:eastAsia="zh-CN"/>
                    </w:rPr>
                  </w:pPr>
                  <w:r>
                    <w:rPr>
                      <w:rFonts w:hint="eastAsia" w:ascii="Times New Roman" w:hAnsi="Times New Roman" w:eastAsia="宋体" w:cs="Times New Roman"/>
                      <w:i w:val="0"/>
                      <w:iCs w:val="0"/>
                      <w:color w:val="000000"/>
                      <w:kern w:val="0"/>
                      <w:sz w:val="21"/>
                      <w:szCs w:val="21"/>
                      <w:u w:val="none"/>
                      <w:lang w:val="en-US" w:eastAsia="zh-CN" w:bidi="ar"/>
                    </w:rPr>
                    <w:t>0.4253</w:t>
                  </w:r>
                </w:p>
              </w:tc>
              <w:tc>
                <w:tcPr>
                  <w:tcW w:w="1168" w:type="dxa"/>
                  <w:noWrap w:val="0"/>
                  <w:vAlign w:val="center"/>
                </w:tcPr>
                <w:p w14:paraId="281897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1.6663</w:t>
                  </w:r>
                </w:p>
              </w:tc>
              <w:tc>
                <w:tcPr>
                  <w:tcW w:w="1330" w:type="dxa"/>
                  <w:noWrap w:val="0"/>
                  <w:vAlign w:val="center"/>
                </w:tcPr>
                <w:p w14:paraId="0B1612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1.0657</w:t>
                  </w:r>
                </w:p>
              </w:tc>
            </w:tr>
            <w:tr w14:paraId="1D2B0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979" w:type="dxa"/>
                  <w:vMerge w:val="continue"/>
                  <w:noWrap w:val="0"/>
                  <w:vAlign w:val="center"/>
                </w:tcPr>
                <w:p w14:paraId="718CAF13">
                  <w:pPr>
                    <w:pStyle w:val="94"/>
                    <w:rPr>
                      <w:rFonts w:hAnsi="宋体"/>
                      <w:snapToGrid w:val="0"/>
                      <w:color w:val="000000"/>
                    </w:rPr>
                  </w:pPr>
                </w:p>
              </w:tc>
              <w:tc>
                <w:tcPr>
                  <w:tcW w:w="1245" w:type="dxa"/>
                  <w:noWrap w:val="0"/>
                  <w:vAlign w:val="center"/>
                </w:tcPr>
                <w:p w14:paraId="21848C66">
                  <w:pPr>
                    <w:pStyle w:val="94"/>
                    <w:ind w:firstLine="0" w:firstLineChars="0"/>
                    <w:rPr>
                      <w:snapToGrid w:val="0"/>
                      <w:color w:val="000000"/>
                    </w:rPr>
                  </w:pPr>
                  <w:r>
                    <w:rPr>
                      <w:rFonts w:hint="eastAsia"/>
                      <w:szCs w:val="21"/>
                    </w:rPr>
                    <w:t>苯并芘</w:t>
                  </w:r>
                </w:p>
              </w:tc>
              <w:tc>
                <w:tcPr>
                  <w:tcW w:w="1256" w:type="dxa"/>
                  <w:noWrap w:val="0"/>
                  <w:vAlign w:val="center"/>
                </w:tcPr>
                <w:p w14:paraId="6F7A9343">
                  <w:pPr>
                    <w:jc w:val="center"/>
                    <w:rPr>
                      <w:snapToGrid w:val="0"/>
                      <w:color w:val="000000"/>
                    </w:rPr>
                  </w:pPr>
                  <w:r>
                    <w:rPr>
                      <w:rFonts w:hint="eastAsia"/>
                      <w:lang w:val="en-US" w:eastAsia="zh-CN"/>
                    </w:rPr>
                    <w:t>5.11×</w:t>
                  </w:r>
                  <w:r>
                    <w:rPr>
                      <w:rFonts w:hint="eastAsia"/>
                    </w:rPr>
                    <w:t>10</w:t>
                  </w:r>
                  <w:r>
                    <w:rPr>
                      <w:rFonts w:hint="eastAsia"/>
                      <w:vertAlign w:val="superscript"/>
                    </w:rPr>
                    <w:t>-</w:t>
                  </w:r>
                  <w:r>
                    <w:rPr>
                      <w:rFonts w:hint="eastAsia"/>
                      <w:vertAlign w:val="superscript"/>
                      <w:lang w:val="en-US" w:eastAsia="zh-CN"/>
                    </w:rPr>
                    <w:t>6</w:t>
                  </w:r>
                </w:p>
              </w:tc>
              <w:tc>
                <w:tcPr>
                  <w:tcW w:w="1154" w:type="dxa"/>
                  <w:noWrap w:val="0"/>
                  <w:vAlign w:val="center"/>
                </w:tcPr>
                <w:p w14:paraId="4AF1A138">
                  <w:pPr>
                    <w:pStyle w:val="94"/>
                    <w:rPr>
                      <w:rFonts w:hint="default" w:eastAsia="宋体"/>
                      <w:color w:val="000000"/>
                      <w:lang w:val="en-US" w:eastAsia="zh-CN"/>
                    </w:rPr>
                  </w:pPr>
                  <w:r>
                    <w:rPr>
                      <w:rFonts w:hint="default" w:eastAsia="宋体"/>
                      <w:color w:val="000000"/>
                      <w:lang w:val="en-US" w:eastAsia="zh-CN"/>
                    </w:rPr>
                    <w:t>1.84×10</w:t>
                  </w:r>
                  <w:r>
                    <w:rPr>
                      <w:rFonts w:hint="default" w:eastAsia="宋体"/>
                      <w:color w:val="000000"/>
                      <w:vertAlign w:val="superscript"/>
                      <w:lang w:val="en-US" w:eastAsia="zh-CN"/>
                    </w:rPr>
                    <w:t>-5</w:t>
                  </w:r>
                </w:p>
              </w:tc>
              <w:tc>
                <w:tcPr>
                  <w:tcW w:w="1023" w:type="dxa"/>
                  <w:noWrap w:val="0"/>
                  <w:vAlign w:val="center"/>
                </w:tcPr>
                <w:p w14:paraId="222FB36E">
                  <w:pPr>
                    <w:keepNext w:val="0"/>
                    <w:keepLines w:val="0"/>
                    <w:widowControl/>
                    <w:suppressLineNumbers w:val="0"/>
                    <w:jc w:val="center"/>
                    <w:textAlignment w:val="center"/>
                    <w:rPr>
                      <w:rFonts w:hint="default" w:ascii="Times New Roman" w:hAnsi="Times New Roman" w:eastAsia="宋体" w:cs="Times New Roman"/>
                      <w:snapToGrid w:val="0"/>
                      <w:color w:val="000000"/>
                      <w:lang w:val="en-US" w:eastAsia="zh-CN"/>
                    </w:rPr>
                  </w:pPr>
                  <w:r>
                    <w:rPr>
                      <w:rFonts w:hint="default" w:ascii="Times New Roman" w:hAnsi="Times New Roman" w:cs="Times New Roman"/>
                      <w:sz w:val="21"/>
                      <w:szCs w:val="21"/>
                      <w:lang w:val="en-US" w:eastAsia="zh-CN"/>
                    </w:rPr>
                    <w:t>2.5×</w:t>
                  </w:r>
                  <w:r>
                    <w:rPr>
                      <w:rFonts w:hint="default" w:ascii="Times New Roman" w:hAnsi="Times New Roman" w:eastAsia="宋体" w:cs="Times New Roman"/>
                      <w:kern w:val="0"/>
                      <w:sz w:val="21"/>
                      <w:szCs w:val="21"/>
                    </w:rPr>
                    <w:t>10</w:t>
                  </w:r>
                  <w:r>
                    <w:rPr>
                      <w:rFonts w:hint="default" w:ascii="Times New Roman" w:hAnsi="Times New Roman" w:eastAsia="宋体" w:cs="Times New Roman"/>
                      <w:kern w:val="0"/>
                      <w:sz w:val="21"/>
                      <w:szCs w:val="21"/>
                      <w:vertAlign w:val="superscript"/>
                    </w:rPr>
                    <w:t>-</w:t>
                  </w:r>
                  <w:r>
                    <w:rPr>
                      <w:rFonts w:hint="default" w:ascii="Times New Roman" w:hAnsi="Times New Roman" w:cs="Times New Roman"/>
                      <w:kern w:val="0"/>
                      <w:sz w:val="21"/>
                      <w:szCs w:val="21"/>
                      <w:vertAlign w:val="superscript"/>
                      <w:lang w:val="en-US" w:eastAsia="zh-CN"/>
                    </w:rPr>
                    <w:t>6</w:t>
                  </w:r>
                </w:p>
              </w:tc>
              <w:tc>
                <w:tcPr>
                  <w:tcW w:w="1168" w:type="dxa"/>
                  <w:noWrap w:val="0"/>
                  <w:vAlign w:val="center"/>
                </w:tcPr>
                <w:p w14:paraId="6481D0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2.096</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vertAlign w:val="superscript"/>
                      <w:lang w:val="en-US" w:eastAsia="zh-CN"/>
                    </w:rPr>
                    <w:t>-5</w:t>
                  </w:r>
                </w:p>
              </w:tc>
              <w:tc>
                <w:tcPr>
                  <w:tcW w:w="1330" w:type="dxa"/>
                  <w:noWrap w:val="0"/>
                  <w:vAlign w:val="center"/>
                </w:tcPr>
                <w:p w14:paraId="1C6BDA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w:t>
                  </w:r>
                  <w:r>
                    <w:rPr>
                      <w:rFonts w:hint="eastAsia" w:ascii="Times New Roman" w:hAnsi="Times New Roman" w:eastAsia="宋体" w:cs="Times New Roman"/>
                      <w:i w:val="0"/>
                      <w:iCs w:val="0"/>
                      <w:color w:val="000000"/>
                      <w:kern w:val="0"/>
                      <w:sz w:val="21"/>
                      <w:szCs w:val="21"/>
                      <w:u w:val="none"/>
                      <w:lang w:val="en-US" w:eastAsia="zh-CN" w:bidi="ar"/>
                    </w:rPr>
                    <w:t>9</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vertAlign w:val="superscript"/>
                      <w:lang w:val="en-US" w:eastAsia="zh-CN"/>
                    </w:rPr>
                    <w:t>-5</w:t>
                  </w:r>
                </w:p>
              </w:tc>
            </w:tr>
            <w:tr w14:paraId="1452C3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979" w:type="dxa"/>
                  <w:vMerge w:val="continue"/>
                  <w:noWrap w:val="0"/>
                  <w:vAlign w:val="center"/>
                </w:tcPr>
                <w:p w14:paraId="2121209C">
                  <w:pPr>
                    <w:pStyle w:val="94"/>
                    <w:rPr>
                      <w:rFonts w:hAnsi="宋体"/>
                      <w:snapToGrid w:val="0"/>
                      <w:color w:val="000000"/>
                    </w:rPr>
                  </w:pPr>
                </w:p>
              </w:tc>
              <w:tc>
                <w:tcPr>
                  <w:tcW w:w="1245" w:type="dxa"/>
                  <w:noWrap w:val="0"/>
                  <w:vAlign w:val="center"/>
                </w:tcPr>
                <w:p w14:paraId="7E9A2DCA">
                  <w:pPr>
                    <w:pStyle w:val="94"/>
                    <w:ind w:firstLine="0" w:firstLineChars="0"/>
                    <w:rPr>
                      <w:color w:val="000000"/>
                      <w:szCs w:val="21"/>
                    </w:rPr>
                  </w:pPr>
                  <w:r>
                    <w:rPr>
                      <w:rFonts w:hint="eastAsia"/>
                      <w:szCs w:val="21"/>
                    </w:rPr>
                    <w:t>挥发性有机物</w:t>
                  </w:r>
                </w:p>
              </w:tc>
              <w:tc>
                <w:tcPr>
                  <w:tcW w:w="1256" w:type="dxa"/>
                  <w:noWrap w:val="0"/>
                  <w:vAlign w:val="center"/>
                </w:tcPr>
                <w:p w14:paraId="12BA69B4">
                  <w:pPr>
                    <w:pStyle w:val="94"/>
                    <w:ind w:firstLine="0" w:firstLineChars="0"/>
                    <w:jc w:val="center"/>
                    <w:rPr>
                      <w:rFonts w:hint="eastAsia"/>
                      <w:color w:val="000000"/>
                      <w:lang w:val="en-US" w:eastAsia="zh-CN"/>
                    </w:rPr>
                  </w:pPr>
                  <w:r>
                    <w:rPr>
                      <w:rFonts w:hint="eastAsia"/>
                      <w:szCs w:val="21"/>
                      <w:lang w:val="en-US" w:eastAsia="zh-CN"/>
                    </w:rPr>
                    <w:t>1.652</w:t>
                  </w:r>
                </w:p>
              </w:tc>
              <w:tc>
                <w:tcPr>
                  <w:tcW w:w="1154" w:type="dxa"/>
                  <w:noWrap w:val="0"/>
                  <w:vAlign w:val="center"/>
                </w:tcPr>
                <w:p w14:paraId="355ED9F3">
                  <w:pPr>
                    <w:pStyle w:val="94"/>
                    <w:rPr>
                      <w:rFonts w:hint="default" w:cs="Times New Roman"/>
                      <w:snapToGrid/>
                      <w:color w:val="000000"/>
                      <w:lang w:val="en-US" w:eastAsia="zh-CN"/>
                    </w:rPr>
                  </w:pPr>
                  <w:r>
                    <w:rPr>
                      <w:rFonts w:hint="default" w:cs="Times New Roman"/>
                      <w:snapToGrid/>
                      <w:color w:val="000000"/>
                      <w:lang w:val="en-US" w:eastAsia="zh-CN"/>
                    </w:rPr>
                    <w:t>0.7</w:t>
                  </w:r>
                  <w:r>
                    <w:rPr>
                      <w:rFonts w:hint="eastAsia" w:cs="Times New Roman"/>
                      <w:snapToGrid/>
                      <w:color w:val="000000"/>
                      <w:lang w:val="en-US" w:eastAsia="zh-CN"/>
                    </w:rPr>
                    <w:t>92</w:t>
                  </w:r>
                </w:p>
              </w:tc>
              <w:tc>
                <w:tcPr>
                  <w:tcW w:w="1023" w:type="dxa"/>
                  <w:noWrap w:val="0"/>
                  <w:vAlign w:val="center"/>
                </w:tcPr>
                <w:p w14:paraId="334E836C">
                  <w:pPr>
                    <w:keepNext w:val="0"/>
                    <w:keepLines w:val="0"/>
                    <w:widowControl/>
                    <w:suppressLineNumbers w:val="0"/>
                    <w:jc w:val="center"/>
                    <w:textAlignment w:val="center"/>
                    <w:rPr>
                      <w:rFonts w:hint="default" w:ascii="Times New Roman" w:hAnsi="Times New Roman" w:cs="Times New Roman"/>
                      <w:snapToGrid w:val="0"/>
                      <w:color w:val="000000"/>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0.826</w:t>
                  </w:r>
                </w:p>
              </w:tc>
              <w:tc>
                <w:tcPr>
                  <w:tcW w:w="1168" w:type="dxa"/>
                  <w:noWrap w:val="0"/>
                  <w:vAlign w:val="center"/>
                </w:tcPr>
                <w:p w14:paraId="059A00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1.618</w:t>
                  </w:r>
                </w:p>
              </w:tc>
              <w:tc>
                <w:tcPr>
                  <w:tcW w:w="1330" w:type="dxa"/>
                  <w:noWrap w:val="0"/>
                  <w:vAlign w:val="center"/>
                </w:tcPr>
                <w:p w14:paraId="2EF5F7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034</w:t>
                  </w:r>
                </w:p>
              </w:tc>
            </w:tr>
            <w:tr w14:paraId="5B1F8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979" w:type="dxa"/>
                  <w:vMerge w:val="continue"/>
                  <w:noWrap w:val="0"/>
                  <w:vAlign w:val="center"/>
                </w:tcPr>
                <w:p w14:paraId="1EDE3911">
                  <w:pPr>
                    <w:pStyle w:val="94"/>
                    <w:rPr>
                      <w:rFonts w:hAnsi="宋体"/>
                      <w:snapToGrid w:val="0"/>
                      <w:color w:val="000000"/>
                    </w:rPr>
                  </w:pPr>
                </w:p>
              </w:tc>
              <w:tc>
                <w:tcPr>
                  <w:tcW w:w="1245" w:type="dxa"/>
                  <w:noWrap w:val="0"/>
                  <w:vAlign w:val="center"/>
                </w:tcPr>
                <w:p w14:paraId="424B2239">
                  <w:pPr>
                    <w:pStyle w:val="94"/>
                    <w:ind w:firstLine="0" w:firstLineChars="0"/>
                    <w:rPr>
                      <w:color w:val="000000"/>
                      <w:szCs w:val="21"/>
                    </w:rPr>
                  </w:pPr>
                  <w:r>
                    <w:rPr>
                      <w:rFonts w:hint="eastAsia"/>
                      <w:szCs w:val="21"/>
                      <w:lang w:val="en-US" w:eastAsia="zh-CN"/>
                    </w:rPr>
                    <w:t>沥青烟</w:t>
                  </w:r>
                </w:p>
              </w:tc>
              <w:tc>
                <w:tcPr>
                  <w:tcW w:w="1256" w:type="dxa"/>
                  <w:noWrap w:val="0"/>
                  <w:vAlign w:val="center"/>
                </w:tcPr>
                <w:p w14:paraId="67B91ED4">
                  <w:pPr>
                    <w:pStyle w:val="94"/>
                    <w:ind w:firstLine="0" w:firstLineChars="0"/>
                    <w:jc w:val="center"/>
                    <w:rPr>
                      <w:rFonts w:hint="eastAsia"/>
                      <w:color w:val="000000"/>
                      <w:lang w:val="en-US" w:eastAsia="zh-CN"/>
                    </w:rPr>
                  </w:pPr>
                  <w:r>
                    <w:rPr>
                      <w:rFonts w:hint="eastAsia"/>
                      <w:szCs w:val="21"/>
                      <w:lang w:val="en-US" w:eastAsia="zh-CN"/>
                    </w:rPr>
                    <w:t>0.00225</w:t>
                  </w:r>
                </w:p>
              </w:tc>
              <w:tc>
                <w:tcPr>
                  <w:tcW w:w="1154" w:type="dxa"/>
                  <w:noWrap w:val="0"/>
                  <w:vAlign w:val="center"/>
                </w:tcPr>
                <w:p w14:paraId="42D151AB">
                  <w:pPr>
                    <w:pStyle w:val="94"/>
                    <w:rPr>
                      <w:rFonts w:hint="default" w:cs="Times New Roman"/>
                      <w:snapToGrid/>
                      <w:color w:val="000000"/>
                      <w:lang w:val="en-US" w:eastAsia="zh-CN"/>
                    </w:rPr>
                  </w:pPr>
                  <w:r>
                    <w:rPr>
                      <w:rFonts w:hint="eastAsia" w:cs="Times New Roman"/>
                      <w:snapToGrid/>
                      <w:color w:val="000000"/>
                      <w:lang w:val="en-US" w:eastAsia="zh-CN"/>
                    </w:rPr>
                    <w:t>0.46</w:t>
                  </w:r>
                </w:p>
              </w:tc>
              <w:tc>
                <w:tcPr>
                  <w:tcW w:w="1023" w:type="dxa"/>
                  <w:noWrap w:val="0"/>
                  <w:vAlign w:val="center"/>
                </w:tcPr>
                <w:p w14:paraId="766CE821">
                  <w:pPr>
                    <w:pStyle w:val="94"/>
                    <w:jc w:val="center"/>
                    <w:rPr>
                      <w:rFonts w:hint="default" w:ascii="Times New Roman" w:hAnsi="Times New Roman" w:cs="Times New Roman"/>
                      <w:snapToGrid w:val="0"/>
                      <w:color w:val="000000"/>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0.00112</w:t>
                  </w:r>
                </w:p>
              </w:tc>
              <w:tc>
                <w:tcPr>
                  <w:tcW w:w="1168" w:type="dxa"/>
                  <w:noWrap w:val="0"/>
                  <w:vAlign w:val="center"/>
                </w:tcPr>
                <w:p w14:paraId="21CB52A8">
                  <w:pPr>
                    <w:keepNext w:val="0"/>
                    <w:keepLines w:val="0"/>
                    <w:widowControl/>
                    <w:suppressLineNumbers w:val="0"/>
                    <w:jc w:val="center"/>
                    <w:textAlignment w:val="center"/>
                    <w:rPr>
                      <w:rFonts w:hint="default" w:ascii="Times New Roman" w:hAnsi="Times New Roman" w:cs="Times New Roman"/>
                      <w:color w:val="00000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0.46113</w:t>
                  </w:r>
                </w:p>
              </w:tc>
              <w:tc>
                <w:tcPr>
                  <w:tcW w:w="1330" w:type="dxa"/>
                  <w:noWrap w:val="0"/>
                  <w:vAlign w:val="center"/>
                </w:tcPr>
                <w:p w14:paraId="5179A9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+0.4589</w:t>
                  </w:r>
                </w:p>
              </w:tc>
            </w:tr>
            <w:tr w14:paraId="0C255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restart"/>
                  <w:noWrap w:val="0"/>
                  <w:vAlign w:val="center"/>
                </w:tcPr>
                <w:p w14:paraId="15E4850B">
                  <w:pPr>
                    <w:pStyle w:val="94"/>
                    <w:rPr>
                      <w:rFonts w:hAnsi="宋体"/>
                      <w:snapToGrid w:val="0"/>
                      <w:color w:val="000000"/>
                    </w:rPr>
                  </w:pPr>
                  <w:r>
                    <w:rPr>
                      <w:rFonts w:hint="eastAsia" w:hAnsi="宋体"/>
                      <w:snapToGrid w:val="0"/>
                      <w:color w:val="000000"/>
                    </w:rPr>
                    <w:t>废水</w:t>
                  </w:r>
                </w:p>
              </w:tc>
              <w:tc>
                <w:tcPr>
                  <w:tcW w:w="1245" w:type="dxa"/>
                  <w:noWrap w:val="0"/>
                  <w:vAlign w:val="center"/>
                </w:tcPr>
                <w:p w14:paraId="084A5ECC">
                  <w:pPr>
                    <w:pStyle w:val="94"/>
                    <w:rPr>
                      <w:snapToGrid w:val="0"/>
                      <w:color w:val="000000"/>
                    </w:rPr>
                  </w:pPr>
                  <w:r>
                    <w:rPr>
                      <w:rFonts w:hint="eastAsia"/>
                      <w:snapToGrid w:val="0"/>
                      <w:color w:val="000000"/>
                    </w:rPr>
                    <w:t>废水量</w:t>
                  </w:r>
                </w:p>
              </w:tc>
              <w:tc>
                <w:tcPr>
                  <w:tcW w:w="1256" w:type="dxa"/>
                  <w:noWrap w:val="0"/>
                  <w:vAlign w:val="center"/>
                </w:tcPr>
                <w:p w14:paraId="1FC9596D">
                  <w:pPr>
                    <w:pStyle w:val="94"/>
                    <w:ind w:firstLine="0" w:firstLineChars="0"/>
                    <w:jc w:val="center"/>
                    <w:rPr>
                      <w:rFonts w:hint="default" w:eastAsia="宋体"/>
                      <w:snapToGrid w:val="0"/>
                      <w:color w:val="000000"/>
                      <w:lang w:val="en-US" w:eastAsia="zh-CN"/>
                    </w:rPr>
                  </w:pPr>
                  <w:r>
                    <w:rPr>
                      <w:rFonts w:hint="eastAsia"/>
                      <w:color w:val="000000"/>
                      <w:lang w:val="en-US" w:eastAsia="zh-CN"/>
                    </w:rPr>
                    <w:t>1151.25</w:t>
                  </w:r>
                </w:p>
              </w:tc>
              <w:tc>
                <w:tcPr>
                  <w:tcW w:w="1154" w:type="dxa"/>
                  <w:noWrap w:val="0"/>
                  <w:vAlign w:val="center"/>
                </w:tcPr>
                <w:p w14:paraId="3034F951">
                  <w:pPr>
                    <w:pStyle w:val="94"/>
                    <w:ind w:firstLine="0" w:firstLineChars="0"/>
                    <w:jc w:val="center"/>
                    <w:rPr>
                      <w:rFonts w:hint="default" w:eastAsia="宋体"/>
                      <w:snapToGrid w:val="0"/>
                      <w:color w:val="000000"/>
                      <w:lang w:val="en-US" w:eastAsia="zh-CN"/>
                    </w:rPr>
                  </w:pPr>
                  <w:r>
                    <w:rPr>
                      <w:rFonts w:hint="default" w:eastAsia="宋体"/>
                      <w:snapToGrid w:val="0"/>
                      <w:color w:val="000000"/>
                      <w:lang w:val="en-US" w:eastAsia="zh-CN"/>
                    </w:rPr>
                    <w:t>359.04</w:t>
                  </w:r>
                </w:p>
              </w:tc>
              <w:tc>
                <w:tcPr>
                  <w:tcW w:w="1023" w:type="dxa"/>
                  <w:noWrap w:val="0"/>
                  <w:vAlign w:val="center"/>
                </w:tcPr>
                <w:p w14:paraId="666505A5">
                  <w:pPr>
                    <w:pStyle w:val="94"/>
                    <w:jc w:val="center"/>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22800835">
                  <w:pPr>
                    <w:pStyle w:val="94"/>
                    <w:ind w:firstLine="0" w:firstLineChars="0"/>
                    <w:jc w:val="center"/>
                    <w:rPr>
                      <w:rFonts w:hint="default"/>
                      <w:snapToGrid w:val="0"/>
                      <w:color w:val="000000"/>
                      <w:lang w:val="en-US"/>
                    </w:rPr>
                  </w:pPr>
                  <w:r>
                    <w:rPr>
                      <w:rFonts w:hint="eastAsia"/>
                      <w:lang w:val="en-US" w:eastAsia="zh-CN"/>
                    </w:rPr>
                    <w:t>6417.2</w:t>
                  </w:r>
                </w:p>
              </w:tc>
              <w:tc>
                <w:tcPr>
                  <w:tcW w:w="1330" w:type="dxa"/>
                  <w:noWrap w:val="0"/>
                  <w:vAlign w:val="center"/>
                </w:tcPr>
                <w:p w14:paraId="67D4C37A">
                  <w:pPr>
                    <w:keepNext w:val="0"/>
                    <w:keepLines w:val="0"/>
                    <w:widowControl/>
                    <w:suppressLineNumbers w:val="0"/>
                    <w:jc w:val="center"/>
                    <w:textAlignment w:val="center"/>
                    <w:rPr>
                      <w:rFonts w:hint="eastAsia" w:eastAsia="宋体"/>
                      <w:snapToGrid w:val="0"/>
                      <w:color w:val="000000"/>
                      <w:sz w:val="21"/>
                      <w:szCs w:val="21"/>
                      <w:lang w:val="en-US" w:eastAsia="zh-CN"/>
                    </w:rPr>
                  </w:pPr>
                  <w:r>
                    <w:rPr>
                      <w:rFonts w:hint="eastAsia" w:ascii="Times New Roman" w:hAnsi="Times New Roman" w:cs="Times New Roman"/>
                      <w:snapToGrid w:val="0"/>
                      <w:color w:val="000000"/>
                      <w:kern w:val="21"/>
                      <w:sz w:val="21"/>
                      <w:szCs w:val="21"/>
                      <w:lang w:val="en-US" w:eastAsia="zh-CN"/>
                    </w:rPr>
                    <w:t>+</w:t>
                  </w:r>
                  <w:r>
                    <w:rPr>
                      <w:rFonts w:hint="default" w:ascii="Times New Roman" w:hAnsi="Times New Roman" w:cs="Times New Roman"/>
                      <w:color w:val="000000"/>
                      <w:sz w:val="21"/>
                      <w:szCs w:val="21"/>
                      <w:lang w:val="en-US" w:eastAsia="zh-CN"/>
                    </w:rPr>
                    <w:t>359.04</w:t>
                  </w:r>
                </w:p>
              </w:tc>
            </w:tr>
            <w:tr w14:paraId="080E6A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continue"/>
                  <w:noWrap w:val="0"/>
                  <w:vAlign w:val="center"/>
                </w:tcPr>
                <w:p w14:paraId="4A594FF3">
                  <w:pPr>
                    <w:pStyle w:val="94"/>
                    <w:rPr>
                      <w:rFonts w:hAnsi="宋体"/>
                      <w:snapToGrid w:val="0"/>
                      <w:color w:val="000000"/>
                    </w:rPr>
                  </w:pPr>
                </w:p>
              </w:tc>
              <w:tc>
                <w:tcPr>
                  <w:tcW w:w="1245" w:type="dxa"/>
                  <w:noWrap w:val="0"/>
                  <w:vAlign w:val="center"/>
                </w:tcPr>
                <w:p w14:paraId="52EB1680">
                  <w:pPr>
                    <w:pStyle w:val="94"/>
                    <w:rPr>
                      <w:rFonts w:hint="default" w:eastAsia="宋体"/>
                      <w:snapToGrid w:val="0"/>
                      <w:color w:val="000000"/>
                      <w:lang w:val="en-US" w:eastAsia="zh-CN"/>
                    </w:rPr>
                  </w:pPr>
                  <w:r>
                    <w:rPr>
                      <w:rFonts w:hint="eastAsia"/>
                      <w:snapToGrid w:val="0"/>
                      <w:color w:val="000000"/>
                    </w:rPr>
                    <w:t>COD</w:t>
                  </w:r>
                  <w:r>
                    <w:rPr>
                      <w:rFonts w:hint="eastAsia"/>
                      <w:snapToGrid w:val="0"/>
                      <w:color w:val="000000"/>
                      <w:lang w:val="en-US" w:eastAsia="zh-CN"/>
                    </w:rPr>
                    <w:t>cr</w:t>
                  </w:r>
                </w:p>
              </w:tc>
              <w:tc>
                <w:tcPr>
                  <w:tcW w:w="1256" w:type="dxa"/>
                  <w:noWrap w:val="0"/>
                  <w:vAlign w:val="center"/>
                </w:tcPr>
                <w:p w14:paraId="533142AB">
                  <w:pPr>
                    <w:pStyle w:val="94"/>
                    <w:ind w:firstLine="0" w:firstLineChars="0"/>
                    <w:jc w:val="center"/>
                    <w:rPr>
                      <w:snapToGrid w:val="0"/>
                      <w:color w:val="000000"/>
                    </w:rPr>
                  </w:pPr>
                  <w:r>
                    <w:rPr>
                      <w:rFonts w:hint="eastAsia"/>
                      <w:color w:val="000000"/>
                      <w:lang w:val="en-US" w:eastAsia="zh-CN"/>
                    </w:rPr>
                    <w:t>0.7013</w:t>
                  </w:r>
                </w:p>
              </w:tc>
              <w:tc>
                <w:tcPr>
                  <w:tcW w:w="1154" w:type="dxa"/>
                  <w:noWrap w:val="0"/>
                  <w:vAlign w:val="center"/>
                </w:tcPr>
                <w:p w14:paraId="6C9A438E">
                  <w:pPr>
                    <w:pStyle w:val="94"/>
                    <w:ind w:firstLine="0" w:firstLineChars="0"/>
                    <w:jc w:val="center"/>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lang w:val="en-US" w:eastAsia="zh-CN"/>
                    </w:rPr>
                    <w:t>0.180</w:t>
                  </w:r>
                </w:p>
              </w:tc>
              <w:tc>
                <w:tcPr>
                  <w:tcW w:w="1023" w:type="dxa"/>
                  <w:noWrap w:val="0"/>
                  <w:vAlign w:val="center"/>
                </w:tcPr>
                <w:p w14:paraId="47652CF6">
                  <w:pPr>
                    <w:pStyle w:val="94"/>
                    <w:jc w:val="center"/>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1BE8D11F">
                  <w:pPr>
                    <w:pStyle w:val="94"/>
                    <w:ind w:firstLine="0" w:firstLineChars="0"/>
                    <w:jc w:val="center"/>
                    <w:rPr>
                      <w:rFonts w:hint="default" w:eastAsia="宋体"/>
                      <w:color w:val="000000"/>
                      <w:lang w:val="en-US" w:eastAsia="zh-CN"/>
                    </w:rPr>
                  </w:pPr>
                  <w:r>
                    <w:rPr>
                      <w:rFonts w:hint="eastAsia" w:eastAsia="宋体"/>
                      <w:color w:val="000000"/>
                      <w:lang w:val="en-US" w:eastAsia="zh-CN"/>
                    </w:rPr>
                    <w:t>0.8813</w:t>
                  </w:r>
                </w:p>
              </w:tc>
              <w:tc>
                <w:tcPr>
                  <w:tcW w:w="1330" w:type="dxa"/>
                  <w:noWrap w:val="0"/>
                  <w:vAlign w:val="center"/>
                </w:tcPr>
                <w:p w14:paraId="6B198190">
                  <w:pPr>
                    <w:keepNext w:val="0"/>
                    <w:keepLines w:val="0"/>
                    <w:widowControl/>
                    <w:suppressLineNumbers w:val="0"/>
                    <w:jc w:val="center"/>
                    <w:textAlignment w:val="center"/>
                    <w:rPr>
                      <w:rFonts w:hint="eastAsia" w:eastAsia="宋体"/>
                      <w:snapToGrid w:val="0"/>
                      <w:color w:val="000000"/>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0.18</w:t>
                  </w:r>
                </w:p>
              </w:tc>
            </w:tr>
            <w:tr w14:paraId="3B64B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continue"/>
                  <w:noWrap w:val="0"/>
                  <w:vAlign w:val="center"/>
                </w:tcPr>
                <w:p w14:paraId="508CF78C">
                  <w:pPr>
                    <w:pStyle w:val="94"/>
                    <w:rPr>
                      <w:rFonts w:hAnsi="宋体"/>
                      <w:snapToGrid w:val="0"/>
                      <w:color w:val="000000"/>
                    </w:rPr>
                  </w:pPr>
                </w:p>
              </w:tc>
              <w:tc>
                <w:tcPr>
                  <w:tcW w:w="1245" w:type="dxa"/>
                  <w:noWrap w:val="0"/>
                  <w:vAlign w:val="center"/>
                </w:tcPr>
                <w:p w14:paraId="1F85B883">
                  <w:pPr>
                    <w:pStyle w:val="94"/>
                    <w:rPr>
                      <w:snapToGrid w:val="0"/>
                      <w:color w:val="000000"/>
                    </w:rPr>
                  </w:pPr>
                  <w:r>
                    <w:rPr>
                      <w:rFonts w:hint="eastAsia"/>
                      <w:snapToGrid w:val="0"/>
                      <w:color w:val="000000"/>
                    </w:rPr>
                    <w:t>NH</w:t>
                  </w:r>
                  <w:r>
                    <w:rPr>
                      <w:snapToGrid w:val="0"/>
                      <w:color w:val="000000"/>
                      <w:vertAlign w:val="subscript"/>
                    </w:rPr>
                    <w:t>3</w:t>
                  </w:r>
                  <w:r>
                    <w:rPr>
                      <w:snapToGrid w:val="0"/>
                      <w:color w:val="000000"/>
                    </w:rPr>
                    <w:t>-N</w:t>
                  </w:r>
                </w:p>
              </w:tc>
              <w:tc>
                <w:tcPr>
                  <w:tcW w:w="1256" w:type="dxa"/>
                  <w:noWrap w:val="0"/>
                  <w:vAlign w:val="center"/>
                </w:tcPr>
                <w:p w14:paraId="5C58457D">
                  <w:pPr>
                    <w:pStyle w:val="94"/>
                    <w:ind w:firstLine="0" w:firstLineChars="0"/>
                    <w:jc w:val="center"/>
                    <w:rPr>
                      <w:snapToGrid w:val="0"/>
                      <w:color w:val="000000"/>
                    </w:rPr>
                  </w:pPr>
                  <w:r>
                    <w:rPr>
                      <w:rFonts w:hint="eastAsia"/>
                      <w:color w:val="000000"/>
                      <w:lang w:val="en-US" w:eastAsia="zh-CN"/>
                    </w:rPr>
                    <w:t>0.0631</w:t>
                  </w:r>
                </w:p>
              </w:tc>
              <w:tc>
                <w:tcPr>
                  <w:tcW w:w="1154" w:type="dxa"/>
                  <w:noWrap w:val="0"/>
                  <w:vAlign w:val="center"/>
                </w:tcPr>
                <w:p w14:paraId="05AB4280">
                  <w:pPr>
                    <w:pStyle w:val="94"/>
                    <w:ind w:firstLine="0" w:firstLineChars="0"/>
                    <w:jc w:val="center"/>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lang w:val="en-US" w:eastAsia="zh-CN"/>
                    </w:rPr>
                    <w:t>0.0162</w:t>
                  </w:r>
                </w:p>
              </w:tc>
              <w:tc>
                <w:tcPr>
                  <w:tcW w:w="1023" w:type="dxa"/>
                  <w:noWrap w:val="0"/>
                  <w:vAlign w:val="center"/>
                </w:tcPr>
                <w:p w14:paraId="7CF262EE">
                  <w:pPr>
                    <w:pStyle w:val="94"/>
                    <w:jc w:val="center"/>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63536633">
                  <w:pPr>
                    <w:pStyle w:val="94"/>
                    <w:ind w:firstLine="0" w:firstLineChars="0"/>
                    <w:jc w:val="center"/>
                    <w:rPr>
                      <w:rFonts w:hint="default" w:eastAsia="宋体"/>
                      <w:color w:val="000000"/>
                      <w:lang w:val="en-US" w:eastAsia="zh-CN"/>
                    </w:rPr>
                  </w:pPr>
                  <w:r>
                    <w:rPr>
                      <w:rFonts w:hint="eastAsia" w:eastAsia="宋体"/>
                      <w:color w:val="000000"/>
                      <w:lang w:val="en-US" w:eastAsia="zh-CN"/>
                    </w:rPr>
                    <w:t>0.0793</w:t>
                  </w:r>
                </w:p>
              </w:tc>
              <w:tc>
                <w:tcPr>
                  <w:tcW w:w="1330" w:type="dxa"/>
                  <w:noWrap w:val="0"/>
                  <w:vAlign w:val="center"/>
                </w:tcPr>
                <w:p w14:paraId="3CD9B8D5">
                  <w:pPr>
                    <w:keepNext w:val="0"/>
                    <w:keepLines w:val="0"/>
                    <w:widowControl/>
                    <w:suppressLineNumbers w:val="0"/>
                    <w:jc w:val="center"/>
                    <w:textAlignment w:val="center"/>
                    <w:rPr>
                      <w:rFonts w:hint="eastAsia" w:eastAsia="宋体"/>
                      <w:snapToGrid w:val="0"/>
                      <w:color w:val="000000"/>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0.0162</w:t>
                  </w:r>
                </w:p>
              </w:tc>
            </w:tr>
            <w:tr w14:paraId="76C6C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continue"/>
                  <w:noWrap w:val="0"/>
                  <w:vAlign w:val="center"/>
                </w:tcPr>
                <w:p w14:paraId="52C057EC">
                  <w:pPr>
                    <w:pStyle w:val="94"/>
                    <w:rPr>
                      <w:rFonts w:hAnsi="宋体"/>
                      <w:snapToGrid w:val="0"/>
                      <w:color w:val="000000"/>
                    </w:rPr>
                  </w:pPr>
                </w:p>
              </w:tc>
              <w:tc>
                <w:tcPr>
                  <w:tcW w:w="1245" w:type="dxa"/>
                  <w:noWrap w:val="0"/>
                  <w:vAlign w:val="center"/>
                </w:tcPr>
                <w:p w14:paraId="37D45312">
                  <w:pPr>
                    <w:pStyle w:val="94"/>
                    <w:rPr>
                      <w:snapToGrid w:val="0"/>
                      <w:color w:val="000000"/>
                    </w:rPr>
                  </w:pPr>
                  <w:r>
                    <w:rPr>
                      <w:rFonts w:hint="eastAsia"/>
                      <w:snapToGrid w:val="0"/>
                      <w:color w:val="000000"/>
                    </w:rPr>
                    <w:t>TP</w:t>
                  </w:r>
                </w:p>
              </w:tc>
              <w:tc>
                <w:tcPr>
                  <w:tcW w:w="1256" w:type="dxa"/>
                  <w:noWrap w:val="0"/>
                  <w:vAlign w:val="center"/>
                </w:tcPr>
                <w:p w14:paraId="4BBD904D">
                  <w:pPr>
                    <w:pStyle w:val="94"/>
                    <w:ind w:firstLine="0" w:firstLineChars="0"/>
                    <w:jc w:val="center"/>
                    <w:rPr>
                      <w:snapToGrid w:val="0"/>
                      <w:color w:val="000000"/>
                    </w:rPr>
                  </w:pPr>
                  <w:r>
                    <w:rPr>
                      <w:rFonts w:hint="eastAsia"/>
                      <w:color w:val="000000"/>
                      <w:lang w:val="en-US" w:eastAsia="zh-CN"/>
                    </w:rPr>
                    <w:t>0.0112</w:t>
                  </w:r>
                </w:p>
              </w:tc>
              <w:tc>
                <w:tcPr>
                  <w:tcW w:w="1154" w:type="dxa"/>
                  <w:noWrap w:val="0"/>
                  <w:vAlign w:val="center"/>
                </w:tcPr>
                <w:p w14:paraId="7E2EE10C">
                  <w:pPr>
                    <w:pStyle w:val="94"/>
                    <w:ind w:firstLine="0" w:firstLineChars="0"/>
                    <w:jc w:val="center"/>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lang w:val="en-US" w:eastAsia="zh-CN"/>
                    </w:rPr>
                    <w:t>0.0029</w:t>
                  </w:r>
                </w:p>
              </w:tc>
              <w:tc>
                <w:tcPr>
                  <w:tcW w:w="1023" w:type="dxa"/>
                  <w:noWrap w:val="0"/>
                  <w:vAlign w:val="center"/>
                </w:tcPr>
                <w:p w14:paraId="25284B08">
                  <w:pPr>
                    <w:pStyle w:val="94"/>
                    <w:jc w:val="center"/>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78B62762">
                  <w:pPr>
                    <w:pStyle w:val="94"/>
                    <w:ind w:firstLine="0" w:firstLineChars="0"/>
                    <w:jc w:val="center"/>
                    <w:rPr>
                      <w:rFonts w:hint="default" w:eastAsia="宋体"/>
                      <w:color w:val="000000"/>
                      <w:lang w:val="en-US" w:eastAsia="zh-CN"/>
                    </w:rPr>
                  </w:pPr>
                  <w:r>
                    <w:rPr>
                      <w:rFonts w:hint="eastAsia" w:eastAsia="宋体"/>
                      <w:color w:val="000000"/>
                      <w:lang w:val="en-US" w:eastAsia="zh-CN"/>
                    </w:rPr>
                    <w:t>0.0141</w:t>
                  </w:r>
                </w:p>
              </w:tc>
              <w:tc>
                <w:tcPr>
                  <w:tcW w:w="1330" w:type="dxa"/>
                  <w:noWrap w:val="0"/>
                  <w:vAlign w:val="center"/>
                </w:tcPr>
                <w:p w14:paraId="071D6F3D">
                  <w:pPr>
                    <w:keepNext w:val="0"/>
                    <w:keepLines w:val="0"/>
                    <w:widowControl/>
                    <w:suppressLineNumbers w:val="0"/>
                    <w:jc w:val="center"/>
                    <w:textAlignment w:val="center"/>
                    <w:rPr>
                      <w:rFonts w:hint="eastAsia" w:eastAsia="宋体"/>
                      <w:snapToGrid w:val="0"/>
                      <w:color w:val="000000"/>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0.0029</w:t>
                  </w:r>
                </w:p>
              </w:tc>
            </w:tr>
            <w:tr w14:paraId="6CF6B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restart"/>
                  <w:noWrap w:val="0"/>
                  <w:vAlign w:val="center"/>
                </w:tcPr>
                <w:p w14:paraId="453B211F">
                  <w:pPr>
                    <w:pStyle w:val="94"/>
                    <w:rPr>
                      <w:rFonts w:hAnsi="宋体"/>
                      <w:snapToGrid w:val="0"/>
                      <w:color w:val="000000"/>
                    </w:rPr>
                  </w:pPr>
                  <w:r>
                    <w:rPr>
                      <w:rFonts w:hint="eastAsia" w:hAnsi="宋体"/>
                      <w:snapToGrid w:val="0"/>
                      <w:color w:val="000000"/>
                    </w:rPr>
                    <w:t>一般工业固体废物</w:t>
                  </w:r>
                </w:p>
              </w:tc>
              <w:tc>
                <w:tcPr>
                  <w:tcW w:w="1245" w:type="dxa"/>
                  <w:noWrap w:val="0"/>
                  <w:vAlign w:val="center"/>
                </w:tcPr>
                <w:p w14:paraId="3F8B6DF9">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rPr>
                  </w:pPr>
                  <w:r>
                    <w:rPr>
                      <w:rFonts w:hint="default" w:ascii="Times New Roman" w:hAnsi="Times New Roman" w:eastAsia="宋体" w:cs="Times New Roman"/>
                      <w:color w:val="000000"/>
                      <w:sz w:val="21"/>
                      <w:szCs w:val="21"/>
                    </w:rPr>
                    <w:t>废包装材料</w:t>
                  </w:r>
                </w:p>
              </w:tc>
              <w:tc>
                <w:tcPr>
                  <w:tcW w:w="1256" w:type="dxa"/>
                  <w:noWrap w:val="0"/>
                  <w:vAlign w:val="center"/>
                </w:tcPr>
                <w:p w14:paraId="066D50B5">
                  <w:pPr>
                    <w:pStyle w:val="94"/>
                    <w:ind w:firstLine="0" w:firstLineChars="0"/>
                    <w:rPr>
                      <w:rFonts w:hint="eastAsia" w:eastAsia="宋体"/>
                      <w:color w:val="000000"/>
                      <w:lang w:eastAsia="zh-CN"/>
                    </w:rPr>
                  </w:pPr>
                  <w:r>
                    <w:rPr>
                      <w:rFonts w:hint="eastAsia"/>
                      <w:color w:val="000000"/>
                      <w:lang w:val="en-US" w:eastAsia="zh-CN"/>
                    </w:rPr>
                    <w:t>2</w:t>
                  </w:r>
                </w:p>
              </w:tc>
              <w:tc>
                <w:tcPr>
                  <w:tcW w:w="1154" w:type="dxa"/>
                  <w:noWrap w:val="0"/>
                  <w:vAlign w:val="center"/>
                </w:tcPr>
                <w:p w14:paraId="00D02960">
                  <w:pPr>
                    <w:pStyle w:val="94"/>
                    <w:rPr>
                      <w:rFonts w:hint="default" w:eastAsia="宋体"/>
                      <w:color w:val="000000"/>
                      <w:lang w:val="en-US" w:eastAsia="zh-CN"/>
                    </w:rPr>
                  </w:pPr>
                  <w:r>
                    <w:rPr>
                      <w:rFonts w:hint="eastAsia"/>
                      <w:color w:val="000000"/>
                      <w:lang w:val="en-US" w:eastAsia="zh-CN"/>
                    </w:rPr>
                    <w:t>1</w:t>
                  </w:r>
                </w:p>
              </w:tc>
              <w:tc>
                <w:tcPr>
                  <w:tcW w:w="1023" w:type="dxa"/>
                  <w:noWrap w:val="0"/>
                  <w:vAlign w:val="center"/>
                </w:tcPr>
                <w:p w14:paraId="3DEE551D">
                  <w:pPr>
                    <w:pStyle w:val="94"/>
                    <w:rPr>
                      <w:rFonts w:hint="eastAsia" w:eastAsia="宋体"/>
                      <w:snapToGrid w:val="0"/>
                      <w:color w:val="000000"/>
                      <w:lang w:val="en-US" w:eastAsia="zh-CN"/>
                    </w:rPr>
                  </w:pPr>
                  <w:r>
                    <w:rPr>
                      <w:rFonts w:hint="eastAsia"/>
                      <w:snapToGrid w:val="0"/>
                      <w:color w:val="000000"/>
                      <w:lang w:val="en-US" w:eastAsia="zh-CN"/>
                    </w:rPr>
                    <w:t>1</w:t>
                  </w:r>
                </w:p>
              </w:tc>
              <w:tc>
                <w:tcPr>
                  <w:tcW w:w="1168" w:type="dxa"/>
                  <w:noWrap w:val="0"/>
                  <w:vAlign w:val="center"/>
                </w:tcPr>
                <w:p w14:paraId="67A7FF02">
                  <w:pPr>
                    <w:pStyle w:val="94"/>
                    <w:rPr>
                      <w:rFonts w:hint="default" w:eastAsia="宋体"/>
                      <w:color w:val="000000"/>
                      <w:lang w:val="en-US" w:eastAsia="zh-CN"/>
                    </w:rPr>
                  </w:pPr>
                  <w:r>
                    <w:rPr>
                      <w:rFonts w:hint="eastAsia"/>
                      <w:color w:val="000000"/>
                      <w:lang w:val="en-US" w:eastAsia="zh-CN"/>
                    </w:rPr>
                    <w:t>2</w:t>
                  </w:r>
                </w:p>
              </w:tc>
              <w:tc>
                <w:tcPr>
                  <w:tcW w:w="1330" w:type="dxa"/>
                  <w:noWrap w:val="0"/>
                  <w:vAlign w:val="center"/>
                </w:tcPr>
                <w:p w14:paraId="1A322BBB">
                  <w:pPr>
                    <w:pStyle w:val="94"/>
                    <w:rPr>
                      <w:rFonts w:hint="default" w:eastAsia="宋体"/>
                      <w:snapToGrid w:val="0"/>
                      <w:color w:val="000000"/>
                      <w:lang w:val="en-US" w:eastAsia="zh-CN"/>
                    </w:rPr>
                  </w:pPr>
                  <w:r>
                    <w:rPr>
                      <w:rFonts w:hint="eastAsia"/>
                      <w:snapToGrid w:val="0"/>
                      <w:color w:val="000000"/>
                      <w:lang w:val="en-US" w:eastAsia="zh-CN"/>
                    </w:rPr>
                    <w:t>0</w:t>
                  </w:r>
                </w:p>
              </w:tc>
            </w:tr>
            <w:tr w14:paraId="5C925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continue"/>
                  <w:noWrap w:val="0"/>
                  <w:vAlign w:val="center"/>
                </w:tcPr>
                <w:p w14:paraId="70D0AB4F">
                  <w:pPr>
                    <w:pStyle w:val="94"/>
                    <w:rPr>
                      <w:rFonts w:hAnsi="宋体"/>
                      <w:snapToGrid w:val="0"/>
                      <w:color w:val="000000"/>
                    </w:rPr>
                  </w:pPr>
                </w:p>
              </w:tc>
              <w:tc>
                <w:tcPr>
                  <w:tcW w:w="1245" w:type="dxa"/>
                  <w:noWrap w:val="0"/>
                  <w:vAlign w:val="center"/>
                </w:tcPr>
                <w:p w14:paraId="406B0D4E">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eastAsia="宋体"/>
                      <w:color w:val="000000"/>
                      <w:lang w:eastAsia="zh-CN"/>
                    </w:rPr>
                  </w:pPr>
                  <w:r>
                    <w:rPr>
                      <w:rFonts w:hint="eastAsia" w:ascii="Times New Roman" w:hAnsi="Times New Roman" w:eastAsia="宋体" w:cs="Times New Roman"/>
                      <w:color w:val="000000"/>
                      <w:sz w:val="21"/>
                      <w:szCs w:val="21"/>
                      <w:lang w:val="en-US" w:eastAsia="zh-CN"/>
                    </w:rPr>
                    <w:t>石膏</w:t>
                  </w:r>
                </w:p>
              </w:tc>
              <w:tc>
                <w:tcPr>
                  <w:tcW w:w="1256" w:type="dxa"/>
                  <w:noWrap w:val="0"/>
                  <w:vAlign w:val="center"/>
                </w:tcPr>
                <w:p w14:paraId="77077DE2">
                  <w:pPr>
                    <w:pStyle w:val="94"/>
                    <w:ind w:firstLine="0" w:firstLineChars="0"/>
                    <w:rPr>
                      <w:rFonts w:hint="default"/>
                      <w:color w:val="000000"/>
                      <w:lang w:val="en-US"/>
                    </w:rPr>
                  </w:pPr>
                  <w:r>
                    <w:rPr>
                      <w:rFonts w:hint="eastAsia"/>
                      <w:color w:val="000000"/>
                      <w:lang w:val="en-US" w:eastAsia="zh-CN"/>
                    </w:rPr>
                    <w:t>123</w:t>
                  </w:r>
                </w:p>
              </w:tc>
              <w:tc>
                <w:tcPr>
                  <w:tcW w:w="1154" w:type="dxa"/>
                  <w:noWrap w:val="0"/>
                  <w:vAlign w:val="center"/>
                </w:tcPr>
                <w:p w14:paraId="27D505E9">
                  <w:pPr>
                    <w:pStyle w:val="94"/>
                    <w:rPr>
                      <w:rFonts w:hint="default" w:eastAsia="宋体"/>
                      <w:color w:val="000000"/>
                      <w:lang w:val="en-US" w:eastAsia="zh-CN"/>
                    </w:rPr>
                  </w:pPr>
                  <w:r>
                    <w:rPr>
                      <w:rFonts w:hint="eastAsia"/>
                      <w:color w:val="000000"/>
                      <w:lang w:val="en-US" w:eastAsia="zh-CN"/>
                    </w:rPr>
                    <w:t>199.52</w:t>
                  </w:r>
                </w:p>
              </w:tc>
              <w:tc>
                <w:tcPr>
                  <w:tcW w:w="1023" w:type="dxa"/>
                  <w:noWrap w:val="0"/>
                  <w:vAlign w:val="center"/>
                </w:tcPr>
                <w:p w14:paraId="452F6123">
                  <w:pPr>
                    <w:pStyle w:val="94"/>
                    <w:rPr>
                      <w:rFonts w:hint="default" w:eastAsia="宋体"/>
                      <w:snapToGrid w:val="0"/>
                      <w:color w:val="000000"/>
                      <w:lang w:val="en-US" w:eastAsia="zh-CN"/>
                    </w:rPr>
                  </w:pPr>
                  <w:r>
                    <w:rPr>
                      <w:rFonts w:hint="eastAsia"/>
                      <w:snapToGrid w:val="0"/>
                      <w:color w:val="000000"/>
                      <w:lang w:val="en-US" w:eastAsia="zh-CN"/>
                    </w:rPr>
                    <w:t>61.5</w:t>
                  </w:r>
                </w:p>
              </w:tc>
              <w:tc>
                <w:tcPr>
                  <w:tcW w:w="1168" w:type="dxa"/>
                  <w:noWrap w:val="0"/>
                  <w:vAlign w:val="center"/>
                </w:tcPr>
                <w:p w14:paraId="6766751B">
                  <w:pPr>
                    <w:pStyle w:val="94"/>
                    <w:rPr>
                      <w:rFonts w:hint="default" w:eastAsia="宋体"/>
                      <w:color w:val="000000"/>
                      <w:lang w:val="en-US" w:eastAsia="zh-CN"/>
                    </w:rPr>
                  </w:pPr>
                  <w:r>
                    <w:rPr>
                      <w:rFonts w:hint="eastAsia"/>
                      <w:color w:val="000000"/>
                      <w:lang w:val="en-US" w:eastAsia="zh-CN"/>
                    </w:rPr>
                    <w:t>261.02</w:t>
                  </w:r>
                </w:p>
              </w:tc>
              <w:tc>
                <w:tcPr>
                  <w:tcW w:w="1330" w:type="dxa"/>
                  <w:noWrap w:val="0"/>
                  <w:vAlign w:val="center"/>
                </w:tcPr>
                <w:p w14:paraId="12F9E8CC">
                  <w:pPr>
                    <w:pStyle w:val="94"/>
                    <w:rPr>
                      <w:rFonts w:hint="default" w:eastAsia="宋体"/>
                      <w:snapToGrid w:val="0"/>
                      <w:color w:val="000000"/>
                      <w:lang w:val="en-US" w:eastAsia="zh-CN"/>
                    </w:rPr>
                  </w:pPr>
                  <w:r>
                    <w:rPr>
                      <w:rFonts w:hint="eastAsia"/>
                      <w:snapToGrid w:val="0"/>
                      <w:color w:val="000000"/>
                      <w:lang w:val="en-US" w:eastAsia="zh-CN"/>
                    </w:rPr>
                    <w:t>+138.02</w:t>
                  </w:r>
                </w:p>
              </w:tc>
            </w:tr>
            <w:tr w14:paraId="24C9B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979" w:type="dxa"/>
                  <w:vMerge w:val="continue"/>
                  <w:noWrap w:val="0"/>
                  <w:vAlign w:val="center"/>
                </w:tcPr>
                <w:p w14:paraId="2D373D38">
                  <w:pPr>
                    <w:pStyle w:val="94"/>
                    <w:rPr>
                      <w:rFonts w:hAnsi="宋体"/>
                      <w:snapToGrid w:val="0"/>
                      <w:color w:val="000000"/>
                    </w:rPr>
                  </w:pPr>
                </w:p>
              </w:tc>
              <w:tc>
                <w:tcPr>
                  <w:tcW w:w="1245" w:type="dxa"/>
                  <w:noWrap w:val="0"/>
                  <w:vAlign w:val="center"/>
                </w:tcPr>
                <w:p w14:paraId="68255714">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color w:val="000000"/>
                    </w:rPr>
                  </w:pPr>
                  <w:r>
                    <w:rPr>
                      <w:rFonts w:hint="eastAsia" w:ascii="Times New Roman" w:hAnsi="Times New Roman" w:eastAsia="宋体" w:cs="Times New Roman"/>
                      <w:color w:val="000000"/>
                      <w:sz w:val="21"/>
                      <w:szCs w:val="21"/>
                      <w:lang w:val="en-US" w:eastAsia="zh-CN"/>
                    </w:rPr>
                    <w:t>预处理池</w:t>
                  </w:r>
                  <w:r>
                    <w:rPr>
                      <w:rFonts w:hint="default" w:ascii="Times New Roman" w:hAnsi="Times New Roman" w:eastAsia="宋体" w:cs="Times New Roman"/>
                      <w:color w:val="000000"/>
                      <w:sz w:val="21"/>
                      <w:szCs w:val="21"/>
                    </w:rPr>
                    <w:t>污泥</w:t>
                  </w:r>
                </w:p>
              </w:tc>
              <w:tc>
                <w:tcPr>
                  <w:tcW w:w="1256" w:type="dxa"/>
                  <w:noWrap w:val="0"/>
                  <w:vAlign w:val="center"/>
                </w:tcPr>
                <w:p w14:paraId="1609AA3F">
                  <w:pPr>
                    <w:jc w:val="center"/>
                    <w:rPr>
                      <w:rFonts w:hint="eastAsia"/>
                      <w:color w:val="000000"/>
                    </w:rPr>
                  </w:pPr>
                  <w:r>
                    <w:rPr>
                      <w:rFonts w:hint="eastAsia" w:cs="Times New Roman"/>
                      <w:color w:val="000000"/>
                      <w:kern w:val="0"/>
                      <w:sz w:val="21"/>
                      <w:szCs w:val="21"/>
                      <w:lang w:val="en-US" w:eastAsia="zh-CN"/>
                    </w:rPr>
                    <w:t>1</w:t>
                  </w:r>
                </w:p>
              </w:tc>
              <w:tc>
                <w:tcPr>
                  <w:tcW w:w="1154" w:type="dxa"/>
                  <w:noWrap w:val="0"/>
                  <w:vAlign w:val="center"/>
                </w:tcPr>
                <w:p w14:paraId="26AFF622">
                  <w:pPr>
                    <w:jc w:val="center"/>
                    <w:rPr>
                      <w:rFonts w:hint="default"/>
                      <w:color w:val="000000"/>
                      <w:lang w:val="en-US" w:eastAsia="zh-CN"/>
                    </w:rPr>
                  </w:pPr>
                  <w:r>
                    <w:rPr>
                      <w:rFonts w:hint="eastAsia" w:cs="Times New Roman"/>
                      <w:color w:val="000000"/>
                      <w:kern w:val="0"/>
                      <w:sz w:val="21"/>
                      <w:szCs w:val="21"/>
                      <w:lang w:val="en-US" w:eastAsia="zh-CN"/>
                    </w:rPr>
                    <w:t>0.5</w:t>
                  </w:r>
                </w:p>
              </w:tc>
              <w:tc>
                <w:tcPr>
                  <w:tcW w:w="1023" w:type="dxa"/>
                  <w:noWrap w:val="0"/>
                  <w:vAlign w:val="center"/>
                </w:tcPr>
                <w:p w14:paraId="1FAEE6D9">
                  <w:pPr>
                    <w:pStyle w:val="94"/>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292B8FB4">
                  <w:pPr>
                    <w:jc w:val="center"/>
                    <w:rPr>
                      <w:rFonts w:hint="default"/>
                      <w:color w:val="000000"/>
                      <w:lang w:val="en-US"/>
                    </w:rPr>
                  </w:pPr>
                  <w:r>
                    <w:rPr>
                      <w:rFonts w:hint="eastAsia" w:cs="Times New Roman"/>
                      <w:color w:val="000000"/>
                      <w:kern w:val="0"/>
                      <w:sz w:val="21"/>
                      <w:szCs w:val="21"/>
                      <w:lang w:val="en-US" w:eastAsia="zh-CN"/>
                    </w:rPr>
                    <w:t>1.5</w:t>
                  </w:r>
                </w:p>
              </w:tc>
              <w:tc>
                <w:tcPr>
                  <w:tcW w:w="1330" w:type="dxa"/>
                  <w:noWrap w:val="0"/>
                  <w:vAlign w:val="center"/>
                </w:tcPr>
                <w:p w14:paraId="6930839B">
                  <w:pPr>
                    <w:jc w:val="center"/>
                    <w:rPr>
                      <w:rFonts w:hint="default"/>
                      <w:snapToGrid w:val="0"/>
                      <w:color w:val="000000"/>
                      <w:lang w:val="en-US" w:eastAsia="zh-CN"/>
                    </w:rPr>
                  </w:pPr>
                  <w:r>
                    <w:rPr>
                      <w:rFonts w:hint="eastAsia"/>
                      <w:snapToGrid w:val="0"/>
                      <w:color w:val="000000"/>
                      <w:lang w:val="en-US" w:eastAsia="zh-CN"/>
                    </w:rPr>
                    <w:t>+0.5</w:t>
                  </w:r>
                </w:p>
              </w:tc>
            </w:tr>
            <w:tr w14:paraId="0330D4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79" w:type="dxa"/>
                  <w:vMerge w:val="continue"/>
                  <w:noWrap w:val="0"/>
                  <w:vAlign w:val="center"/>
                </w:tcPr>
                <w:p w14:paraId="1CEA056B">
                  <w:pPr>
                    <w:pStyle w:val="94"/>
                    <w:rPr>
                      <w:rFonts w:hAnsi="宋体"/>
                      <w:snapToGrid w:val="0"/>
                      <w:color w:val="000000"/>
                    </w:rPr>
                  </w:pPr>
                </w:p>
              </w:tc>
              <w:tc>
                <w:tcPr>
                  <w:tcW w:w="1245" w:type="dxa"/>
                  <w:noWrap w:val="0"/>
                  <w:vAlign w:val="center"/>
                </w:tcPr>
                <w:p w14:paraId="67DECBAA">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color w:val="000000"/>
                    </w:rPr>
                  </w:pPr>
                  <w:r>
                    <w:rPr>
                      <w:rFonts w:hint="default" w:ascii="Times New Roman" w:hAnsi="Times New Roman" w:eastAsia="宋体" w:cs="Times New Roman"/>
                      <w:color w:val="000000"/>
                      <w:sz w:val="21"/>
                      <w:szCs w:val="21"/>
                    </w:rPr>
                    <w:t>生活垃圾</w:t>
                  </w:r>
                </w:p>
              </w:tc>
              <w:tc>
                <w:tcPr>
                  <w:tcW w:w="1256" w:type="dxa"/>
                  <w:noWrap w:val="0"/>
                  <w:vAlign w:val="center"/>
                </w:tcPr>
                <w:p w14:paraId="6A57B7AE">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color w:val="000000"/>
                    </w:rPr>
                  </w:pPr>
                  <w:r>
                    <w:rPr>
                      <w:rFonts w:hint="eastAsia" w:ascii="Times New Roman" w:hAnsi="Times New Roman" w:eastAsia="宋体" w:cs="Times New Roman"/>
                      <w:color w:val="000000"/>
                      <w:sz w:val="21"/>
                      <w:szCs w:val="21"/>
                      <w:lang w:val="en-US" w:eastAsia="zh-CN"/>
                    </w:rPr>
                    <w:t>10.04</w:t>
                  </w:r>
                </w:p>
              </w:tc>
              <w:tc>
                <w:tcPr>
                  <w:tcW w:w="1154" w:type="dxa"/>
                  <w:noWrap w:val="0"/>
                  <w:vAlign w:val="center"/>
                </w:tcPr>
                <w:p w14:paraId="5C7AB8A3">
                  <w:pPr>
                    <w:jc w:val="center"/>
                    <w:rPr>
                      <w:rFonts w:hint="default"/>
                      <w:color w:val="000000"/>
                      <w:lang w:val="en-US" w:eastAsia="zh-CN"/>
                    </w:rPr>
                  </w:pPr>
                  <w:r>
                    <w:rPr>
                      <w:rFonts w:hint="eastAsia" w:cs="Times New Roman"/>
                      <w:color w:val="000000"/>
                      <w:kern w:val="0"/>
                      <w:sz w:val="21"/>
                      <w:szCs w:val="21"/>
                      <w:lang w:val="en-US" w:eastAsia="zh-CN"/>
                    </w:rPr>
                    <w:t>2.64</w:t>
                  </w:r>
                </w:p>
              </w:tc>
              <w:tc>
                <w:tcPr>
                  <w:tcW w:w="1023" w:type="dxa"/>
                  <w:noWrap w:val="0"/>
                  <w:vAlign w:val="center"/>
                </w:tcPr>
                <w:p w14:paraId="001C37D9">
                  <w:pPr>
                    <w:pStyle w:val="94"/>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7631B4B9">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color w:val="000000"/>
                      <w:lang w:val="en-US"/>
                    </w:rPr>
                  </w:pPr>
                  <w:r>
                    <w:rPr>
                      <w:rFonts w:hint="eastAsia" w:ascii="Times New Roman" w:hAnsi="Times New Roman" w:eastAsia="宋体" w:cs="Times New Roman"/>
                      <w:color w:val="000000"/>
                      <w:sz w:val="21"/>
                      <w:szCs w:val="21"/>
                      <w:lang w:val="en-US" w:eastAsia="zh-CN"/>
                    </w:rPr>
                    <w:t>10.04</w:t>
                  </w:r>
                </w:p>
              </w:tc>
              <w:tc>
                <w:tcPr>
                  <w:tcW w:w="1330" w:type="dxa"/>
                  <w:noWrap w:val="0"/>
                  <w:vAlign w:val="center"/>
                </w:tcPr>
                <w:p w14:paraId="61DB87B3">
                  <w:pPr>
                    <w:jc w:val="center"/>
                    <w:rPr>
                      <w:rFonts w:hint="default"/>
                      <w:snapToGrid w:val="0"/>
                      <w:color w:val="000000"/>
                      <w:lang w:val="en-US" w:eastAsia="zh-CN"/>
                    </w:rPr>
                  </w:pPr>
                  <w:r>
                    <w:rPr>
                      <w:rFonts w:hint="eastAsia" w:cs="Times New Roman"/>
                      <w:color w:val="000000"/>
                      <w:kern w:val="0"/>
                      <w:sz w:val="21"/>
                      <w:szCs w:val="21"/>
                      <w:lang w:val="en-US" w:eastAsia="zh-CN"/>
                    </w:rPr>
                    <w:t>0</w:t>
                  </w:r>
                </w:p>
              </w:tc>
            </w:tr>
            <w:tr w14:paraId="5DCB02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79" w:type="dxa"/>
                  <w:vMerge w:val="continue"/>
                  <w:noWrap w:val="0"/>
                  <w:vAlign w:val="center"/>
                </w:tcPr>
                <w:p w14:paraId="03924E80">
                  <w:pPr>
                    <w:pStyle w:val="94"/>
                    <w:rPr>
                      <w:rFonts w:hAnsi="宋体"/>
                      <w:snapToGrid w:val="0"/>
                      <w:color w:val="000000"/>
                    </w:rPr>
                  </w:pPr>
                </w:p>
              </w:tc>
              <w:tc>
                <w:tcPr>
                  <w:tcW w:w="1245" w:type="dxa"/>
                  <w:noWrap w:val="0"/>
                  <w:vAlign w:val="center"/>
                </w:tcPr>
                <w:p w14:paraId="6D125362">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color w:val="000000"/>
                    </w:rPr>
                  </w:pPr>
                  <w:r>
                    <w:rPr>
                      <w:rFonts w:hint="default" w:ascii="Times New Roman" w:hAnsi="Times New Roman" w:eastAsia="宋体" w:cs="Times New Roman"/>
                      <w:color w:val="000000"/>
                      <w:sz w:val="21"/>
                      <w:szCs w:val="21"/>
                    </w:rPr>
                    <w:t>餐厨垃圾及隔油池废油脂</w:t>
                  </w:r>
                </w:p>
              </w:tc>
              <w:tc>
                <w:tcPr>
                  <w:tcW w:w="1256" w:type="dxa"/>
                  <w:noWrap w:val="0"/>
                  <w:vAlign w:val="center"/>
                </w:tcPr>
                <w:p w14:paraId="4EBD36C8">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color w:val="000000"/>
                    </w:rPr>
                  </w:pPr>
                  <w:r>
                    <w:rPr>
                      <w:rFonts w:hint="eastAsia" w:ascii="Times New Roman" w:hAnsi="Times New Roman" w:eastAsia="宋体" w:cs="Times New Roman"/>
                      <w:color w:val="000000"/>
                      <w:sz w:val="21"/>
                      <w:szCs w:val="21"/>
                      <w:lang w:val="en-US" w:eastAsia="zh-CN"/>
                    </w:rPr>
                    <w:t>0.2</w:t>
                  </w:r>
                </w:p>
              </w:tc>
              <w:tc>
                <w:tcPr>
                  <w:tcW w:w="1154" w:type="dxa"/>
                  <w:noWrap w:val="0"/>
                  <w:vAlign w:val="center"/>
                </w:tcPr>
                <w:p w14:paraId="7FEF0135">
                  <w:pPr>
                    <w:jc w:val="center"/>
                    <w:rPr>
                      <w:rFonts w:hint="default"/>
                      <w:color w:val="000000"/>
                      <w:lang w:val="en-US" w:eastAsia="zh-CN"/>
                    </w:rPr>
                  </w:pPr>
                  <w:r>
                    <w:rPr>
                      <w:rFonts w:hint="eastAsia" w:cs="Times New Roman"/>
                      <w:color w:val="000000"/>
                      <w:kern w:val="0"/>
                      <w:sz w:val="21"/>
                      <w:szCs w:val="21"/>
                      <w:lang w:val="en-US" w:eastAsia="zh-CN"/>
                    </w:rPr>
                    <w:t>0.528</w:t>
                  </w:r>
                </w:p>
              </w:tc>
              <w:tc>
                <w:tcPr>
                  <w:tcW w:w="1023" w:type="dxa"/>
                  <w:noWrap w:val="0"/>
                  <w:vAlign w:val="center"/>
                </w:tcPr>
                <w:p w14:paraId="6F220561">
                  <w:pPr>
                    <w:pStyle w:val="94"/>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6A003F09">
                  <w:pPr>
                    <w:pStyle w:val="94"/>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color w:val="000000"/>
                      <w:lang w:val="en-US"/>
                    </w:rPr>
                  </w:pPr>
                  <w:r>
                    <w:rPr>
                      <w:rFonts w:hint="eastAsia" w:ascii="Times New Roman" w:hAnsi="Times New Roman" w:eastAsia="宋体" w:cs="Times New Roman"/>
                      <w:color w:val="000000"/>
                      <w:sz w:val="21"/>
                      <w:szCs w:val="21"/>
                      <w:lang w:val="en-US" w:eastAsia="zh-CN"/>
                    </w:rPr>
                    <w:t>0.728</w:t>
                  </w:r>
                </w:p>
              </w:tc>
              <w:tc>
                <w:tcPr>
                  <w:tcW w:w="1330" w:type="dxa"/>
                  <w:noWrap w:val="0"/>
                  <w:vAlign w:val="center"/>
                </w:tcPr>
                <w:p w14:paraId="6A1AC93B">
                  <w:pPr>
                    <w:jc w:val="center"/>
                    <w:rPr>
                      <w:rFonts w:hint="default"/>
                      <w:snapToGrid w:val="0"/>
                      <w:color w:val="000000"/>
                      <w:lang w:val="en-US" w:eastAsia="zh-CN"/>
                    </w:rPr>
                  </w:pPr>
                  <w:r>
                    <w:rPr>
                      <w:rFonts w:hint="eastAsia" w:cs="Times New Roman"/>
                      <w:color w:val="000000"/>
                      <w:kern w:val="0"/>
                      <w:sz w:val="21"/>
                      <w:szCs w:val="21"/>
                      <w:lang w:val="en-US" w:eastAsia="zh-CN"/>
                    </w:rPr>
                    <w:t>+0.528</w:t>
                  </w:r>
                </w:p>
              </w:tc>
            </w:tr>
            <w:tr w14:paraId="78539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79" w:type="dxa"/>
                  <w:vMerge w:val="restart"/>
                  <w:noWrap w:val="0"/>
                  <w:vAlign w:val="center"/>
                </w:tcPr>
                <w:p w14:paraId="12B12C4B">
                  <w:pPr>
                    <w:pStyle w:val="94"/>
                    <w:rPr>
                      <w:rFonts w:hAnsi="宋体"/>
                      <w:snapToGrid w:val="0"/>
                      <w:color w:val="000000"/>
                    </w:rPr>
                  </w:pPr>
                  <w:r>
                    <w:rPr>
                      <w:rFonts w:hint="eastAsia" w:hAnsi="宋体"/>
                      <w:snapToGrid w:val="0"/>
                      <w:color w:val="000000"/>
                    </w:rPr>
                    <w:t>危险废物</w:t>
                  </w:r>
                </w:p>
              </w:tc>
              <w:tc>
                <w:tcPr>
                  <w:tcW w:w="1245" w:type="dxa"/>
                  <w:noWrap w:val="0"/>
                  <w:vAlign w:val="center"/>
                </w:tcPr>
                <w:p w14:paraId="3D708DC5">
                  <w:pPr>
                    <w:jc w:val="center"/>
                    <w:rPr>
                      <w:rFonts w:hint="default"/>
                      <w:color w:val="000000"/>
                      <w:lang w:val="en-US"/>
                    </w:rPr>
                  </w:pPr>
                  <w:r>
                    <w:rPr>
                      <w:rFonts w:hint="default" w:ascii="Times New Roman" w:hAnsi="Times New Roman" w:eastAsia="宋体" w:cs="Times New Roman"/>
                      <w:color w:val="000000"/>
                      <w:kern w:val="0"/>
                      <w:sz w:val="21"/>
                      <w:szCs w:val="21"/>
                      <w:lang w:val="en-US" w:eastAsia="zh-CN"/>
                    </w:rPr>
                    <w:t>废机油</w:t>
                  </w:r>
                  <w:r>
                    <w:rPr>
                      <w:rFonts w:hint="eastAsia" w:ascii="Times New Roman" w:hAnsi="Times New Roman" w:eastAsia="宋体" w:cs="Times New Roman"/>
                      <w:color w:val="000000"/>
                      <w:kern w:val="0"/>
                      <w:sz w:val="21"/>
                      <w:szCs w:val="21"/>
                      <w:lang w:val="en-US" w:eastAsia="zh-CN"/>
                    </w:rPr>
                    <w:t>/废润滑油</w:t>
                  </w:r>
                </w:p>
              </w:tc>
              <w:tc>
                <w:tcPr>
                  <w:tcW w:w="1256" w:type="dxa"/>
                  <w:noWrap w:val="0"/>
                  <w:vAlign w:val="center"/>
                </w:tcPr>
                <w:p w14:paraId="2E4F46E1">
                  <w:pPr>
                    <w:pStyle w:val="94"/>
                    <w:ind w:firstLine="0" w:firstLineChars="0"/>
                    <w:rPr>
                      <w:color w:val="000000"/>
                    </w:rPr>
                  </w:pPr>
                  <w:r>
                    <w:rPr>
                      <w:rFonts w:hint="eastAsia"/>
                      <w:color w:val="000000"/>
                    </w:rPr>
                    <w:t>0.02</w:t>
                  </w:r>
                </w:p>
              </w:tc>
              <w:tc>
                <w:tcPr>
                  <w:tcW w:w="1154" w:type="dxa"/>
                  <w:noWrap w:val="0"/>
                  <w:vAlign w:val="center"/>
                </w:tcPr>
                <w:p w14:paraId="546413D4">
                  <w:pPr>
                    <w:pStyle w:val="94"/>
                    <w:rPr>
                      <w:rFonts w:hint="default" w:eastAsia="宋体"/>
                      <w:color w:val="000000"/>
                      <w:lang w:val="en-US" w:eastAsia="zh-CN"/>
                    </w:rPr>
                  </w:pPr>
                  <w:r>
                    <w:rPr>
                      <w:rFonts w:hint="eastAsia"/>
                      <w:color w:val="000000"/>
                      <w:lang w:val="en-US" w:eastAsia="zh-CN"/>
                    </w:rPr>
                    <w:t>0.05</w:t>
                  </w:r>
                </w:p>
              </w:tc>
              <w:tc>
                <w:tcPr>
                  <w:tcW w:w="1023" w:type="dxa"/>
                  <w:noWrap w:val="0"/>
                  <w:vAlign w:val="center"/>
                </w:tcPr>
                <w:p w14:paraId="7E7564FA">
                  <w:pPr>
                    <w:pStyle w:val="94"/>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73460397">
                  <w:pPr>
                    <w:pStyle w:val="94"/>
                    <w:rPr>
                      <w:rFonts w:hint="default" w:eastAsia="宋体"/>
                      <w:color w:val="000000"/>
                      <w:lang w:val="en-US" w:eastAsia="zh-CN"/>
                    </w:rPr>
                  </w:pPr>
                  <w:r>
                    <w:rPr>
                      <w:rFonts w:hint="eastAsia" w:eastAsia="宋体"/>
                      <w:color w:val="000000"/>
                      <w:lang w:val="en-US" w:eastAsia="zh-CN"/>
                    </w:rPr>
                    <w:t>0.07</w:t>
                  </w:r>
                </w:p>
              </w:tc>
              <w:tc>
                <w:tcPr>
                  <w:tcW w:w="1330" w:type="dxa"/>
                  <w:noWrap w:val="0"/>
                  <w:vAlign w:val="center"/>
                </w:tcPr>
                <w:p w14:paraId="1CC98396">
                  <w:pPr>
                    <w:pStyle w:val="94"/>
                    <w:rPr>
                      <w:rFonts w:hint="default" w:eastAsia="宋体"/>
                      <w:snapToGrid w:val="0"/>
                      <w:color w:val="000000"/>
                      <w:lang w:val="en-US" w:eastAsia="zh-CN"/>
                    </w:rPr>
                  </w:pPr>
                  <w:r>
                    <w:rPr>
                      <w:rFonts w:hint="eastAsia"/>
                      <w:snapToGrid w:val="0"/>
                      <w:color w:val="000000"/>
                      <w:lang w:val="en-US" w:eastAsia="zh-CN"/>
                    </w:rPr>
                    <w:t>+0.05</w:t>
                  </w:r>
                </w:p>
              </w:tc>
            </w:tr>
            <w:tr w14:paraId="3B347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79" w:type="dxa"/>
                  <w:vMerge w:val="continue"/>
                  <w:noWrap w:val="0"/>
                  <w:vAlign w:val="center"/>
                </w:tcPr>
                <w:p w14:paraId="1C62BACC">
                  <w:pPr>
                    <w:pStyle w:val="94"/>
                    <w:rPr>
                      <w:rFonts w:hAnsi="宋体"/>
                      <w:snapToGrid w:val="0"/>
                      <w:color w:val="000000"/>
                    </w:rPr>
                  </w:pPr>
                </w:p>
              </w:tc>
              <w:tc>
                <w:tcPr>
                  <w:tcW w:w="1245" w:type="dxa"/>
                  <w:noWrap w:val="0"/>
                  <w:vAlign w:val="center"/>
                </w:tcPr>
                <w:p w14:paraId="4C3BA136">
                  <w:pPr>
                    <w:jc w:val="center"/>
                    <w:rPr>
                      <w:color w:val="000000"/>
                    </w:rPr>
                  </w:pPr>
                  <w:r>
                    <w:rPr>
                      <w:rFonts w:hint="default" w:ascii="Times New Roman" w:hAnsi="Times New Roman" w:eastAsia="宋体" w:cs="Times New Roman"/>
                      <w:color w:val="000000"/>
                      <w:kern w:val="0"/>
                      <w:sz w:val="21"/>
                      <w:szCs w:val="21"/>
                      <w:lang w:val="en-US" w:eastAsia="zh-CN"/>
                    </w:rPr>
                    <w:t>废机油</w:t>
                  </w:r>
                  <w:r>
                    <w:rPr>
                      <w:rFonts w:hint="eastAsia" w:ascii="Times New Roman" w:hAnsi="Times New Roman" w:eastAsia="宋体" w:cs="Times New Roman"/>
                      <w:color w:val="000000"/>
                      <w:kern w:val="0"/>
                      <w:sz w:val="21"/>
                      <w:szCs w:val="21"/>
                      <w:lang w:val="en-US" w:eastAsia="zh-CN"/>
                    </w:rPr>
                    <w:t>/润滑油</w:t>
                  </w:r>
                  <w:r>
                    <w:rPr>
                      <w:rFonts w:hint="default" w:ascii="Times New Roman" w:hAnsi="Times New Roman" w:eastAsia="宋体" w:cs="Times New Roman"/>
                      <w:color w:val="000000"/>
                      <w:kern w:val="0"/>
                      <w:sz w:val="21"/>
                      <w:szCs w:val="21"/>
                      <w:lang w:val="en-US" w:eastAsia="zh-CN"/>
                    </w:rPr>
                    <w:t>桶</w:t>
                  </w:r>
                </w:p>
              </w:tc>
              <w:tc>
                <w:tcPr>
                  <w:tcW w:w="1256" w:type="dxa"/>
                  <w:noWrap w:val="0"/>
                  <w:vAlign w:val="center"/>
                </w:tcPr>
                <w:p w14:paraId="47BD3A73">
                  <w:pPr>
                    <w:pStyle w:val="94"/>
                    <w:ind w:firstLine="0" w:firstLineChars="0"/>
                    <w:rPr>
                      <w:rFonts w:hint="eastAsia" w:eastAsia="宋体"/>
                      <w:color w:val="000000"/>
                      <w:lang w:eastAsia="zh-CN"/>
                    </w:rPr>
                  </w:pPr>
                  <w:r>
                    <w:rPr>
                      <w:color w:val="000000"/>
                    </w:rPr>
                    <w:t>0.</w:t>
                  </w:r>
                  <w:r>
                    <w:rPr>
                      <w:rFonts w:hint="eastAsia"/>
                      <w:color w:val="000000"/>
                    </w:rPr>
                    <w:t>0</w:t>
                  </w:r>
                  <w:r>
                    <w:rPr>
                      <w:rFonts w:hint="eastAsia"/>
                      <w:color w:val="000000"/>
                      <w:lang w:val="en-US" w:eastAsia="zh-CN"/>
                    </w:rPr>
                    <w:t>2</w:t>
                  </w:r>
                </w:p>
              </w:tc>
              <w:tc>
                <w:tcPr>
                  <w:tcW w:w="1154" w:type="dxa"/>
                  <w:noWrap w:val="0"/>
                  <w:vAlign w:val="center"/>
                </w:tcPr>
                <w:p w14:paraId="2B202C05">
                  <w:pPr>
                    <w:pStyle w:val="94"/>
                    <w:rPr>
                      <w:rFonts w:hint="default" w:eastAsia="宋体"/>
                      <w:color w:val="000000"/>
                      <w:lang w:val="en-US" w:eastAsia="zh-CN"/>
                    </w:rPr>
                  </w:pPr>
                  <w:r>
                    <w:rPr>
                      <w:rFonts w:hint="eastAsia"/>
                      <w:color w:val="000000"/>
                      <w:lang w:val="en-US" w:eastAsia="zh-CN"/>
                    </w:rPr>
                    <w:t>0.1</w:t>
                  </w:r>
                </w:p>
              </w:tc>
              <w:tc>
                <w:tcPr>
                  <w:tcW w:w="1023" w:type="dxa"/>
                  <w:noWrap w:val="0"/>
                  <w:vAlign w:val="center"/>
                </w:tcPr>
                <w:p w14:paraId="5DB69E26">
                  <w:pPr>
                    <w:pStyle w:val="94"/>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7CFA974E">
                  <w:pPr>
                    <w:pStyle w:val="94"/>
                    <w:rPr>
                      <w:rFonts w:hint="default" w:eastAsia="宋体"/>
                      <w:color w:val="000000"/>
                      <w:lang w:val="en-US" w:eastAsia="zh-CN"/>
                    </w:rPr>
                  </w:pPr>
                  <w:r>
                    <w:rPr>
                      <w:rFonts w:hint="eastAsia" w:eastAsia="宋体"/>
                      <w:color w:val="000000"/>
                      <w:lang w:val="en-US" w:eastAsia="zh-CN"/>
                    </w:rPr>
                    <w:t>0.12</w:t>
                  </w:r>
                </w:p>
              </w:tc>
              <w:tc>
                <w:tcPr>
                  <w:tcW w:w="1330" w:type="dxa"/>
                  <w:noWrap w:val="0"/>
                  <w:vAlign w:val="center"/>
                </w:tcPr>
                <w:p w14:paraId="7C6263CD">
                  <w:pPr>
                    <w:pStyle w:val="94"/>
                    <w:rPr>
                      <w:rFonts w:hint="default" w:eastAsia="宋体"/>
                      <w:snapToGrid w:val="0"/>
                      <w:color w:val="000000"/>
                      <w:lang w:val="en-US" w:eastAsia="zh-CN"/>
                    </w:rPr>
                  </w:pPr>
                  <w:r>
                    <w:rPr>
                      <w:rFonts w:hint="eastAsia"/>
                      <w:snapToGrid w:val="0"/>
                      <w:color w:val="000000"/>
                      <w:lang w:val="en-US" w:eastAsia="zh-CN"/>
                    </w:rPr>
                    <w:t>+0.1</w:t>
                  </w:r>
                </w:p>
              </w:tc>
            </w:tr>
            <w:tr w14:paraId="5FA54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979" w:type="dxa"/>
                  <w:vMerge w:val="continue"/>
                  <w:noWrap w:val="0"/>
                  <w:vAlign w:val="center"/>
                </w:tcPr>
                <w:p w14:paraId="1217834E">
                  <w:pPr>
                    <w:pStyle w:val="94"/>
                    <w:rPr>
                      <w:rFonts w:hAnsi="宋体"/>
                      <w:snapToGrid w:val="0"/>
                      <w:color w:val="000000"/>
                    </w:rPr>
                  </w:pPr>
                </w:p>
              </w:tc>
              <w:tc>
                <w:tcPr>
                  <w:tcW w:w="1245" w:type="dxa"/>
                  <w:noWrap w:val="0"/>
                  <w:vAlign w:val="center"/>
                </w:tcPr>
                <w:p w14:paraId="31F1AFDE">
                  <w:pPr>
                    <w:jc w:val="center"/>
                    <w:rPr>
                      <w:bCs/>
                      <w:color w:val="000000"/>
                    </w:rPr>
                  </w:pPr>
                  <w:r>
                    <w:rPr>
                      <w:rFonts w:hint="default" w:ascii="Times New Roman" w:hAnsi="Times New Roman" w:eastAsia="宋体" w:cs="Times New Roman"/>
                      <w:color w:val="000000"/>
                      <w:kern w:val="0"/>
                      <w:sz w:val="21"/>
                      <w:szCs w:val="21"/>
                      <w:lang w:val="en-US" w:eastAsia="zh-CN"/>
                    </w:rPr>
                    <w:t>含油棉纱手套</w:t>
                  </w:r>
                </w:p>
              </w:tc>
              <w:tc>
                <w:tcPr>
                  <w:tcW w:w="1256" w:type="dxa"/>
                  <w:noWrap w:val="0"/>
                  <w:vAlign w:val="center"/>
                </w:tcPr>
                <w:p w14:paraId="1FE44316">
                  <w:pPr>
                    <w:pStyle w:val="94"/>
                    <w:ind w:firstLine="0" w:firstLineChars="0"/>
                    <w:rPr>
                      <w:rFonts w:hint="default" w:eastAsia="宋体"/>
                      <w:color w:val="000000"/>
                      <w:lang w:val="en-US" w:eastAsia="zh-CN"/>
                    </w:rPr>
                  </w:pPr>
                  <w:r>
                    <w:rPr>
                      <w:rFonts w:hint="eastAsia"/>
                      <w:color w:val="000000"/>
                      <w:lang w:val="en-US" w:eastAsia="zh-CN"/>
                    </w:rPr>
                    <w:t>0.05</w:t>
                  </w:r>
                </w:p>
              </w:tc>
              <w:tc>
                <w:tcPr>
                  <w:tcW w:w="1154" w:type="dxa"/>
                  <w:noWrap w:val="0"/>
                  <w:vAlign w:val="center"/>
                </w:tcPr>
                <w:p w14:paraId="7B7D38AF">
                  <w:pPr>
                    <w:pStyle w:val="94"/>
                    <w:rPr>
                      <w:rFonts w:hint="default"/>
                      <w:color w:val="000000"/>
                      <w:lang w:val="en-US" w:eastAsia="zh-CN"/>
                    </w:rPr>
                  </w:pPr>
                  <w:r>
                    <w:rPr>
                      <w:rFonts w:hint="eastAsia"/>
                      <w:color w:val="000000"/>
                      <w:lang w:val="en-US" w:eastAsia="zh-CN"/>
                    </w:rPr>
                    <w:t>0.02</w:t>
                  </w:r>
                </w:p>
              </w:tc>
              <w:tc>
                <w:tcPr>
                  <w:tcW w:w="1023" w:type="dxa"/>
                  <w:noWrap w:val="0"/>
                  <w:vAlign w:val="center"/>
                </w:tcPr>
                <w:p w14:paraId="0A37B7BB">
                  <w:pPr>
                    <w:pStyle w:val="94"/>
                    <w:rPr>
                      <w:rFonts w:hint="eastAsia" w:eastAsia="宋体"/>
                      <w:snapToGrid w:val="0"/>
                      <w:color w:val="000000"/>
                      <w:lang w:val="en-US" w:eastAsia="zh-CN"/>
                    </w:rPr>
                  </w:pPr>
                  <w:r>
                    <w:rPr>
                      <w:rFonts w:hint="eastAsia"/>
                      <w:snapToGrid w:val="0"/>
                      <w:color w:val="000000"/>
                      <w:lang w:val="en-US" w:eastAsia="zh-CN"/>
                    </w:rPr>
                    <w:t>0</w:t>
                  </w:r>
                </w:p>
              </w:tc>
              <w:tc>
                <w:tcPr>
                  <w:tcW w:w="1168" w:type="dxa"/>
                  <w:noWrap w:val="0"/>
                  <w:vAlign w:val="center"/>
                </w:tcPr>
                <w:p w14:paraId="71329A0A">
                  <w:pPr>
                    <w:pStyle w:val="94"/>
                    <w:rPr>
                      <w:rFonts w:hint="default" w:eastAsia="宋体"/>
                      <w:color w:val="000000"/>
                      <w:lang w:val="en-US" w:eastAsia="zh-CN"/>
                    </w:rPr>
                  </w:pPr>
                  <w:r>
                    <w:rPr>
                      <w:rFonts w:hint="eastAsia"/>
                      <w:color w:val="000000"/>
                      <w:lang w:val="en-US" w:eastAsia="zh-CN"/>
                    </w:rPr>
                    <w:t>0.07</w:t>
                  </w:r>
                </w:p>
              </w:tc>
              <w:tc>
                <w:tcPr>
                  <w:tcW w:w="1330" w:type="dxa"/>
                  <w:noWrap w:val="0"/>
                  <w:vAlign w:val="center"/>
                </w:tcPr>
                <w:p w14:paraId="5227AA8D">
                  <w:pPr>
                    <w:pStyle w:val="94"/>
                    <w:rPr>
                      <w:rFonts w:hint="default"/>
                      <w:snapToGrid w:val="0"/>
                      <w:color w:val="000000"/>
                      <w:lang w:val="en-US" w:eastAsia="zh-CN"/>
                    </w:rPr>
                  </w:pPr>
                  <w:r>
                    <w:rPr>
                      <w:rFonts w:hint="eastAsia"/>
                      <w:snapToGrid w:val="0"/>
                      <w:color w:val="000000"/>
                      <w:lang w:val="en-US" w:eastAsia="zh-CN"/>
                    </w:rPr>
                    <w:t>+0.02</w:t>
                  </w:r>
                </w:p>
              </w:tc>
            </w:tr>
          </w:tbl>
          <w:p w14:paraId="0A19D1E2">
            <w:pPr>
              <w:pStyle w:val="10"/>
              <w:keepNext w:val="0"/>
              <w:keepLines w:val="0"/>
              <w:pageBreakBefore w:val="0"/>
              <w:widowControl/>
              <w:kinsoku/>
              <w:wordWrap/>
              <w:overflowPunct/>
              <w:topLinePunct w:val="0"/>
              <w:autoSpaceDE/>
              <w:autoSpaceDN/>
              <w:bidi w:val="0"/>
              <w:adjustRightInd/>
              <w:snapToGrid w:val="0"/>
              <w:spacing w:before="157" w:beforeLines="50" w:after="0" w:line="360" w:lineRule="auto"/>
              <w:ind w:right="0"/>
              <w:textAlignment w:val="auto"/>
              <w:rPr>
                <w:rFonts w:hint="eastAsia"/>
                <w:b/>
                <w:bCs/>
                <w:color w:val="000000"/>
                <w:sz w:val="28"/>
                <w:szCs w:val="28"/>
              </w:rPr>
            </w:pPr>
            <w:r>
              <w:rPr>
                <w:rFonts w:hint="eastAsia"/>
                <w:b/>
                <w:bCs/>
                <w:color w:val="000000"/>
                <w:sz w:val="28"/>
                <w:szCs w:val="28"/>
                <w:lang w:val="en-US" w:eastAsia="zh-CN"/>
              </w:rPr>
              <w:t>九</w:t>
            </w:r>
            <w:r>
              <w:rPr>
                <w:rFonts w:hint="eastAsia"/>
                <w:b/>
                <w:bCs/>
                <w:color w:val="000000"/>
                <w:sz w:val="28"/>
                <w:szCs w:val="28"/>
              </w:rPr>
              <w:t>、环保措施和环保投资一览表</w:t>
            </w:r>
          </w:p>
          <w:p w14:paraId="336C9A59">
            <w:pPr>
              <w:spacing w:line="360" w:lineRule="auto"/>
              <w:ind w:firstLine="480" w:firstLineChars="200"/>
              <w:rPr>
                <w:rFonts w:hint="eastAsia"/>
                <w:color w:val="000000"/>
                <w:sz w:val="24"/>
              </w:rPr>
            </w:pPr>
            <w:r>
              <w:rPr>
                <w:rFonts w:hint="eastAsia"/>
                <w:color w:val="000000"/>
                <w:sz w:val="24"/>
              </w:rPr>
              <w:t>本项目总投资为</w:t>
            </w:r>
            <w:r>
              <w:rPr>
                <w:rFonts w:hint="eastAsia"/>
                <w:color w:val="000000"/>
                <w:sz w:val="24"/>
                <w:lang w:val="en-US" w:eastAsia="zh-CN"/>
              </w:rPr>
              <w:t>3000</w:t>
            </w:r>
            <w:r>
              <w:rPr>
                <w:rFonts w:hint="eastAsia"/>
                <w:color w:val="000000"/>
                <w:sz w:val="24"/>
              </w:rPr>
              <w:t>万元，其中环保投资为</w:t>
            </w:r>
            <w:r>
              <w:rPr>
                <w:rFonts w:hint="eastAsia"/>
                <w:color w:val="000000"/>
                <w:sz w:val="24"/>
                <w:lang w:val="en-US" w:eastAsia="zh-CN"/>
              </w:rPr>
              <w:t>239</w:t>
            </w:r>
            <w:r>
              <w:rPr>
                <w:rFonts w:hint="eastAsia"/>
                <w:color w:val="000000"/>
                <w:sz w:val="24"/>
              </w:rPr>
              <w:t>万元，占总投资的</w:t>
            </w:r>
            <w:r>
              <w:rPr>
                <w:rFonts w:hint="eastAsia"/>
                <w:color w:val="000000"/>
                <w:sz w:val="24"/>
                <w:lang w:val="en-US" w:eastAsia="zh-CN"/>
              </w:rPr>
              <w:t>7.97</w:t>
            </w:r>
            <w:r>
              <w:rPr>
                <w:rFonts w:hint="eastAsia"/>
                <w:color w:val="000000"/>
                <w:sz w:val="24"/>
              </w:rPr>
              <w:t>%，本项目环保投资一览表如下：</w:t>
            </w:r>
          </w:p>
          <w:p w14:paraId="58A663F1">
            <w:pPr>
              <w:keepNext w:val="0"/>
              <w:keepLines w:val="0"/>
              <w:pageBreakBefore w:val="0"/>
              <w:widowControl w:val="0"/>
              <w:numPr>
                <w:ilvl w:val="0"/>
                <w:numId w:val="25"/>
              </w:numPr>
              <w:kinsoku/>
              <w:wordWrap/>
              <w:overflowPunct/>
              <w:topLinePunct w:val="0"/>
              <w:autoSpaceDE/>
              <w:autoSpaceDN/>
              <w:bidi w:val="0"/>
              <w:adjustRightInd/>
              <w:snapToGrid/>
              <w:spacing w:before="157" w:beforeLines="50" w:line="240" w:lineRule="auto"/>
              <w:ind w:left="0" w:leftChars="0" w:firstLine="420" w:firstLineChars="0"/>
              <w:jc w:val="center"/>
              <w:textAlignment w:val="auto"/>
              <w:rPr>
                <w:rFonts w:hint="eastAsia" w:ascii="Times New Roman" w:hAnsi="Times New Roman" w:eastAsia="宋体" w:cs="Times New Roman"/>
                <w:b/>
                <w:bCs/>
                <w:color w:val="auto"/>
                <w:spacing w:val="7"/>
                <w:sz w:val="24"/>
                <w:szCs w:val="24"/>
                <w:lang w:val="en-US" w:eastAsia="zh-CN"/>
              </w:rPr>
            </w:pPr>
            <w:r>
              <w:rPr>
                <w:rFonts w:hint="eastAsia" w:ascii="Times New Roman" w:hAnsi="Times New Roman" w:eastAsia="宋体" w:cs="Times New Roman"/>
                <w:b/>
                <w:bCs/>
                <w:color w:val="auto"/>
                <w:spacing w:val="7"/>
                <w:sz w:val="24"/>
                <w:szCs w:val="24"/>
                <w:lang w:val="en-US" w:eastAsia="zh-CN"/>
              </w:rPr>
              <w:t xml:space="preserve">  项目环保投资一览表</w:t>
            </w:r>
          </w:p>
          <w:tbl>
            <w:tblPr>
              <w:tblStyle w:val="31"/>
              <w:tblW w:w="8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013"/>
              <w:gridCol w:w="5"/>
              <w:gridCol w:w="4268"/>
              <w:gridCol w:w="1403"/>
              <w:gridCol w:w="806"/>
            </w:tblGrid>
            <w:tr w14:paraId="20F3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 w:type="dxa"/>
                  <w:noWrap w:val="0"/>
                  <w:vAlign w:val="center"/>
                </w:tcPr>
                <w:p w14:paraId="649C5F2D">
                  <w:pPr>
                    <w:jc w:val="center"/>
                    <w:rPr>
                      <w:b/>
                      <w:color w:val="auto"/>
                      <w:szCs w:val="21"/>
                    </w:rPr>
                  </w:pPr>
                  <w:r>
                    <w:rPr>
                      <w:b/>
                      <w:color w:val="auto"/>
                      <w:szCs w:val="21"/>
                    </w:rPr>
                    <w:t>类别</w:t>
                  </w:r>
                </w:p>
              </w:tc>
              <w:tc>
                <w:tcPr>
                  <w:tcW w:w="5286" w:type="dxa"/>
                  <w:gridSpan w:val="3"/>
                  <w:noWrap w:val="0"/>
                  <w:vAlign w:val="center"/>
                </w:tcPr>
                <w:p w14:paraId="33C352F5">
                  <w:pPr>
                    <w:jc w:val="center"/>
                    <w:rPr>
                      <w:b/>
                      <w:color w:val="auto"/>
                      <w:szCs w:val="21"/>
                    </w:rPr>
                  </w:pPr>
                  <w:r>
                    <w:rPr>
                      <w:b/>
                      <w:color w:val="auto"/>
                      <w:szCs w:val="21"/>
                    </w:rPr>
                    <w:t>环保措施</w:t>
                  </w:r>
                </w:p>
              </w:tc>
              <w:tc>
                <w:tcPr>
                  <w:tcW w:w="1403" w:type="dxa"/>
                  <w:noWrap w:val="0"/>
                  <w:vAlign w:val="center"/>
                </w:tcPr>
                <w:p w14:paraId="7CC92AB0">
                  <w:pPr>
                    <w:ind w:left="-73" w:leftChars="-35" w:right="-73" w:rightChars="-35"/>
                    <w:jc w:val="center"/>
                    <w:rPr>
                      <w:b/>
                      <w:color w:val="auto"/>
                      <w:szCs w:val="21"/>
                    </w:rPr>
                  </w:pPr>
                  <w:r>
                    <w:rPr>
                      <w:b/>
                      <w:color w:val="auto"/>
                      <w:szCs w:val="21"/>
                    </w:rPr>
                    <w:t>投资（万元）</w:t>
                  </w:r>
                </w:p>
              </w:tc>
              <w:tc>
                <w:tcPr>
                  <w:tcW w:w="806" w:type="dxa"/>
                  <w:noWrap w:val="0"/>
                  <w:vAlign w:val="center"/>
                </w:tcPr>
                <w:p w14:paraId="191C3BE2">
                  <w:pPr>
                    <w:ind w:left="1" w:hanging="1"/>
                    <w:jc w:val="center"/>
                    <w:rPr>
                      <w:b/>
                      <w:color w:val="auto"/>
                      <w:szCs w:val="21"/>
                    </w:rPr>
                  </w:pPr>
                  <w:r>
                    <w:rPr>
                      <w:rFonts w:hint="eastAsia"/>
                      <w:b/>
                      <w:color w:val="auto"/>
                      <w:szCs w:val="21"/>
                    </w:rPr>
                    <w:t>备注</w:t>
                  </w:r>
                </w:p>
              </w:tc>
            </w:tr>
            <w:tr w14:paraId="3288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4" w:type="dxa"/>
                  <w:vMerge w:val="restart"/>
                  <w:noWrap w:val="0"/>
                  <w:vAlign w:val="center"/>
                </w:tcPr>
                <w:p w14:paraId="5EB7B562">
                  <w:pPr>
                    <w:ind w:left="-63" w:leftChars="-30" w:right="-63" w:rightChars="-30"/>
                    <w:jc w:val="center"/>
                    <w:rPr>
                      <w:b/>
                      <w:color w:val="auto"/>
                      <w:szCs w:val="21"/>
                    </w:rPr>
                  </w:pPr>
                  <w:r>
                    <w:rPr>
                      <w:b/>
                      <w:color w:val="auto"/>
                      <w:szCs w:val="21"/>
                    </w:rPr>
                    <w:t>废水治理</w:t>
                  </w:r>
                </w:p>
              </w:tc>
              <w:tc>
                <w:tcPr>
                  <w:tcW w:w="1018" w:type="dxa"/>
                  <w:gridSpan w:val="2"/>
                  <w:noWrap w:val="0"/>
                  <w:vAlign w:val="center"/>
                </w:tcPr>
                <w:p w14:paraId="2D647C5A">
                  <w:pPr>
                    <w:pStyle w:val="16"/>
                    <w:ind w:left="0" w:leftChars="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生活污水</w:t>
                  </w:r>
                </w:p>
              </w:tc>
              <w:tc>
                <w:tcPr>
                  <w:tcW w:w="4268" w:type="dxa"/>
                  <w:noWrap w:val="0"/>
                  <w:vAlign w:val="center"/>
                </w:tcPr>
                <w:p w14:paraId="3A825E48">
                  <w:pPr>
                    <w:pStyle w:val="95"/>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jc w:val="both"/>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7"/>
                      <w:sz w:val="21"/>
                      <w:szCs w:val="21"/>
                    </w:rPr>
                    <w:t>依托厂区现有预处理池，总容积为</w:t>
                  </w:r>
                  <w:r>
                    <w:rPr>
                      <w:rFonts w:hint="default" w:ascii="Times New Roman" w:hAnsi="Times New Roman" w:cs="Times New Roman"/>
                      <w:color w:val="auto"/>
                      <w:spacing w:val="-23"/>
                      <w:sz w:val="21"/>
                      <w:szCs w:val="21"/>
                      <w:lang w:val="en-US" w:eastAsia="zh-CN"/>
                    </w:rPr>
                    <w:t>100</w:t>
                  </w:r>
                  <w:r>
                    <w:rPr>
                      <w:rFonts w:hint="default" w:ascii="Times New Roman" w:hAnsi="Times New Roman" w:eastAsia="Times New Roman" w:cs="Times New Roman"/>
                      <w:color w:val="auto"/>
                      <w:spacing w:val="7"/>
                      <w:sz w:val="21"/>
                      <w:szCs w:val="21"/>
                    </w:rPr>
                    <w:t>m</w:t>
                  </w:r>
                  <w:r>
                    <w:rPr>
                      <w:rFonts w:hint="eastAsia" w:ascii="Times New Roman" w:hAnsi="Times New Roman" w:eastAsia="宋体" w:cs="Times New Roman"/>
                      <w:color w:val="auto"/>
                      <w:spacing w:val="7"/>
                      <w:sz w:val="21"/>
                      <w:szCs w:val="21"/>
                      <w:vertAlign w:val="superscript"/>
                      <w:lang w:val="en-US" w:eastAsia="zh-CN"/>
                    </w:rPr>
                    <w:t>3</w:t>
                  </w:r>
                </w:p>
              </w:tc>
              <w:tc>
                <w:tcPr>
                  <w:tcW w:w="1403" w:type="dxa"/>
                  <w:noWrap w:val="0"/>
                  <w:vAlign w:val="center"/>
                </w:tcPr>
                <w:p w14:paraId="0DC6E9D7">
                  <w:pPr>
                    <w:jc w:val="center"/>
                    <w:rPr>
                      <w:rFonts w:hint="default" w:eastAsia="宋体"/>
                      <w:color w:val="000000"/>
                      <w:szCs w:val="21"/>
                      <w:lang w:val="en-US" w:eastAsia="zh-CN"/>
                    </w:rPr>
                  </w:pPr>
                  <w:r>
                    <w:rPr>
                      <w:rFonts w:hint="eastAsia" w:eastAsia="宋体"/>
                      <w:color w:val="000000"/>
                      <w:szCs w:val="21"/>
                      <w:lang w:val="en-US" w:eastAsia="zh-CN"/>
                    </w:rPr>
                    <w:t>/</w:t>
                  </w:r>
                </w:p>
              </w:tc>
              <w:tc>
                <w:tcPr>
                  <w:tcW w:w="806" w:type="dxa"/>
                  <w:noWrap w:val="0"/>
                  <w:vAlign w:val="center"/>
                </w:tcPr>
                <w:p w14:paraId="3951A921">
                  <w:pPr>
                    <w:jc w:val="center"/>
                    <w:rPr>
                      <w:color w:val="000000"/>
                      <w:szCs w:val="21"/>
                    </w:rPr>
                  </w:pPr>
                  <w:r>
                    <w:rPr>
                      <w:rFonts w:hint="eastAsia"/>
                      <w:color w:val="000000"/>
                      <w:szCs w:val="21"/>
                    </w:rPr>
                    <w:t>依托</w:t>
                  </w:r>
                </w:p>
              </w:tc>
            </w:tr>
            <w:tr w14:paraId="7CD2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094" w:type="dxa"/>
                  <w:vMerge w:val="continue"/>
                  <w:noWrap w:val="0"/>
                  <w:vAlign w:val="center"/>
                </w:tcPr>
                <w:p w14:paraId="5C7C4D0C">
                  <w:pPr>
                    <w:ind w:left="-63" w:leftChars="-30" w:right="-63" w:rightChars="-30"/>
                    <w:jc w:val="center"/>
                    <w:rPr>
                      <w:b/>
                      <w:color w:val="auto"/>
                      <w:szCs w:val="21"/>
                    </w:rPr>
                  </w:pPr>
                </w:p>
              </w:tc>
              <w:tc>
                <w:tcPr>
                  <w:tcW w:w="1018" w:type="dxa"/>
                  <w:gridSpan w:val="2"/>
                  <w:noWrap w:val="0"/>
                  <w:vAlign w:val="center"/>
                </w:tcPr>
                <w:p w14:paraId="53C31B99">
                  <w:pPr>
                    <w:pStyle w:val="16"/>
                    <w:ind w:left="0" w:leftChars="0"/>
                    <w:rPr>
                      <w:rFonts w:hint="eastAsia" w:eastAsia="宋体"/>
                      <w:color w:val="auto"/>
                      <w:sz w:val="21"/>
                      <w:szCs w:val="21"/>
                      <w:lang w:eastAsia="zh-CN"/>
                    </w:rPr>
                  </w:pPr>
                  <w:r>
                    <w:rPr>
                      <w:rFonts w:hint="eastAsia" w:eastAsia="宋体"/>
                      <w:color w:val="auto"/>
                      <w:sz w:val="21"/>
                      <w:szCs w:val="21"/>
                      <w:lang w:eastAsia="zh-CN"/>
                    </w:rPr>
                    <w:t>生产废水</w:t>
                  </w:r>
                </w:p>
              </w:tc>
              <w:tc>
                <w:tcPr>
                  <w:tcW w:w="4268" w:type="dxa"/>
                  <w:noWrap w:val="0"/>
                  <w:vAlign w:val="center"/>
                </w:tcPr>
                <w:p w14:paraId="36620700">
                  <w:pPr>
                    <w:keepNext w:val="0"/>
                    <w:keepLines w:val="0"/>
                    <w:pageBreakBefore w:val="0"/>
                    <w:widowControl w:val="0"/>
                    <w:kinsoku/>
                    <w:wordWrap/>
                    <w:overflowPunct/>
                    <w:topLinePunct w:val="0"/>
                    <w:autoSpaceDE/>
                    <w:autoSpaceDN/>
                    <w:bidi w:val="0"/>
                    <w:ind w:firstLine="0" w:firstLineChars="0"/>
                    <w:jc w:val="both"/>
                    <w:textAlignment w:val="auto"/>
                    <w:rPr>
                      <w:rFonts w:hint="eastAsia" w:eastAsia="宋体"/>
                      <w:color w:val="auto"/>
                      <w:sz w:val="21"/>
                      <w:szCs w:val="21"/>
                      <w:lang w:eastAsia="zh-CN"/>
                    </w:rPr>
                  </w:pPr>
                  <w:r>
                    <w:rPr>
                      <w:rFonts w:hint="eastAsia"/>
                      <w:color w:val="auto"/>
                      <w:szCs w:val="21"/>
                    </w:rPr>
                    <w:t>冷却塔</w:t>
                  </w:r>
                  <w:r>
                    <w:rPr>
                      <w:rFonts w:hint="eastAsia"/>
                      <w:color w:val="auto"/>
                      <w:szCs w:val="21"/>
                      <w:lang w:eastAsia="zh-CN"/>
                    </w:rPr>
                    <w:t>定期排污水经沉淀</w:t>
                  </w:r>
                  <w:r>
                    <w:rPr>
                      <w:rFonts w:hint="eastAsia"/>
                      <w:color w:val="auto"/>
                      <w:szCs w:val="21"/>
                      <w:lang w:val="en-US" w:eastAsia="zh-CN"/>
                    </w:rPr>
                    <w:t>循环水</w:t>
                  </w:r>
                  <w:r>
                    <w:rPr>
                      <w:rFonts w:hint="eastAsia"/>
                      <w:color w:val="auto"/>
                      <w:szCs w:val="21"/>
                      <w:lang w:eastAsia="zh-CN"/>
                    </w:rPr>
                    <w:t>池（</w:t>
                  </w:r>
                  <w:r>
                    <w:rPr>
                      <w:rFonts w:hint="eastAsia"/>
                      <w:color w:val="auto"/>
                      <w:szCs w:val="21"/>
                      <w:lang w:val="en-US" w:eastAsia="zh-CN"/>
                    </w:rPr>
                    <w:t>120m</w:t>
                  </w:r>
                  <w:r>
                    <w:rPr>
                      <w:rFonts w:hint="eastAsia"/>
                      <w:color w:val="auto"/>
                      <w:szCs w:val="21"/>
                      <w:vertAlign w:val="superscript"/>
                      <w:lang w:val="en-US" w:eastAsia="zh-CN"/>
                    </w:rPr>
                    <w:t>3</w:t>
                  </w:r>
                  <w:r>
                    <w:rPr>
                      <w:rFonts w:hint="eastAsia"/>
                      <w:color w:val="auto"/>
                      <w:szCs w:val="21"/>
                      <w:lang w:eastAsia="zh-CN"/>
                    </w:rPr>
                    <w:t>）处理后回用于脱硫塔补充用水，不外排。</w:t>
                  </w:r>
                </w:p>
              </w:tc>
              <w:tc>
                <w:tcPr>
                  <w:tcW w:w="1403" w:type="dxa"/>
                  <w:noWrap w:val="0"/>
                  <w:vAlign w:val="center"/>
                </w:tcPr>
                <w:p w14:paraId="2E30FE9B">
                  <w:pPr>
                    <w:jc w:val="center"/>
                    <w:rPr>
                      <w:rFonts w:hint="eastAsia"/>
                      <w:color w:val="000000"/>
                      <w:szCs w:val="21"/>
                      <w:lang w:val="en-US" w:eastAsia="zh-CN"/>
                    </w:rPr>
                  </w:pPr>
                  <w:r>
                    <w:rPr>
                      <w:rFonts w:hint="eastAsia"/>
                      <w:color w:val="000000"/>
                      <w:szCs w:val="21"/>
                      <w:lang w:val="en-US" w:eastAsia="zh-CN"/>
                    </w:rPr>
                    <w:t>10.0</w:t>
                  </w:r>
                </w:p>
              </w:tc>
              <w:tc>
                <w:tcPr>
                  <w:tcW w:w="806" w:type="dxa"/>
                  <w:noWrap w:val="0"/>
                  <w:vAlign w:val="center"/>
                </w:tcPr>
                <w:p w14:paraId="210A08D3">
                  <w:pPr>
                    <w:jc w:val="center"/>
                    <w:rPr>
                      <w:rFonts w:hint="eastAsia"/>
                      <w:color w:val="000000"/>
                      <w:szCs w:val="21"/>
                      <w:lang w:eastAsia="zh-CN"/>
                    </w:rPr>
                  </w:pPr>
                  <w:r>
                    <w:rPr>
                      <w:rFonts w:hint="eastAsia"/>
                      <w:color w:val="000000"/>
                      <w:szCs w:val="21"/>
                      <w:lang w:val="en-US" w:eastAsia="zh-CN"/>
                    </w:rPr>
                    <w:t>改建</w:t>
                  </w:r>
                </w:p>
              </w:tc>
            </w:tr>
            <w:tr w14:paraId="449D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94" w:type="dxa"/>
                  <w:vMerge w:val="restart"/>
                  <w:noWrap w:val="0"/>
                  <w:vAlign w:val="center"/>
                </w:tcPr>
                <w:p w14:paraId="4D77FB97">
                  <w:pPr>
                    <w:ind w:left="-63" w:leftChars="-30" w:right="-63" w:rightChars="-30"/>
                    <w:jc w:val="center"/>
                    <w:rPr>
                      <w:rFonts w:hint="eastAsia" w:eastAsia="宋体"/>
                      <w:b/>
                      <w:color w:val="auto"/>
                      <w:szCs w:val="21"/>
                      <w:lang w:eastAsia="zh-CN"/>
                    </w:rPr>
                  </w:pPr>
                  <w:r>
                    <w:rPr>
                      <w:rFonts w:hint="eastAsia"/>
                      <w:b/>
                      <w:color w:val="auto"/>
                      <w:szCs w:val="21"/>
                      <w:lang w:eastAsia="zh-CN"/>
                    </w:rPr>
                    <w:t>废气治理</w:t>
                  </w:r>
                </w:p>
              </w:tc>
              <w:tc>
                <w:tcPr>
                  <w:tcW w:w="1013" w:type="dxa"/>
                  <w:noWrap w:val="0"/>
                  <w:vAlign w:val="center"/>
                </w:tcPr>
                <w:p w14:paraId="653B878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eastAsia="宋体"/>
                      <w:color w:val="auto"/>
                      <w:sz w:val="21"/>
                      <w:szCs w:val="21"/>
                      <w:lang w:val="en-US" w:eastAsia="zh-CN"/>
                    </w:rPr>
                  </w:pPr>
                  <w:r>
                    <w:rPr>
                      <w:color w:val="auto"/>
                      <w:spacing w:val="7"/>
                      <w:sz w:val="21"/>
                      <w:szCs w:val="21"/>
                    </w:rPr>
                    <w:t>预炭化废气</w:t>
                  </w:r>
                </w:p>
              </w:tc>
              <w:tc>
                <w:tcPr>
                  <w:tcW w:w="4273" w:type="dxa"/>
                  <w:gridSpan w:val="2"/>
                  <w:noWrap w:val="0"/>
                  <w:vAlign w:val="center"/>
                </w:tcPr>
                <w:p w14:paraId="4D0ED706">
                  <w:pPr>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bCs/>
                      <w:color w:val="auto"/>
                      <w:kern w:val="21"/>
                      <w:sz w:val="21"/>
                      <w:szCs w:val="21"/>
                    </w:rPr>
                  </w:pPr>
                  <w:r>
                    <w:rPr>
                      <w:color w:val="auto"/>
                      <w:spacing w:val="9"/>
                      <w:sz w:val="21"/>
                      <w:szCs w:val="21"/>
                    </w:rPr>
                    <w:t>隧道窑采用低氮燃烧器，</w:t>
                  </w:r>
                  <w:r>
                    <w:rPr>
                      <w:rFonts w:hint="eastAsia"/>
                      <w:color w:val="auto"/>
                      <w:spacing w:val="9"/>
                      <w:sz w:val="21"/>
                      <w:szCs w:val="21"/>
                      <w:lang w:val="en-US" w:eastAsia="zh-CN"/>
                    </w:rPr>
                    <w:t>内循环</w:t>
                  </w:r>
                  <w:r>
                    <w:rPr>
                      <w:color w:val="auto"/>
                      <w:spacing w:val="9"/>
                      <w:sz w:val="21"/>
                      <w:szCs w:val="21"/>
                    </w:rPr>
                    <w:t>燃烧</w:t>
                  </w:r>
                  <w:r>
                    <w:rPr>
                      <w:rFonts w:hint="eastAsia"/>
                      <w:color w:val="auto"/>
                      <w:spacing w:val="9"/>
                      <w:sz w:val="21"/>
                      <w:szCs w:val="21"/>
                      <w:lang w:val="en-US" w:eastAsia="zh-CN"/>
                    </w:rPr>
                    <w:t>后</w:t>
                  </w:r>
                  <w:r>
                    <w:rPr>
                      <w:color w:val="auto"/>
                      <w:spacing w:val="9"/>
                      <w:sz w:val="21"/>
                      <w:szCs w:val="21"/>
                    </w:rPr>
                    <w:t>产生的预炭化废气经密闭管</w:t>
                  </w:r>
                  <w:r>
                    <w:rPr>
                      <w:color w:val="auto"/>
                      <w:spacing w:val="7"/>
                      <w:sz w:val="21"/>
                      <w:szCs w:val="21"/>
                    </w:rPr>
                    <w:t>道进入“</w:t>
                  </w:r>
                  <w:r>
                    <w:rPr>
                      <w:rFonts w:hint="eastAsia"/>
                      <w:color w:val="auto"/>
                      <w:spacing w:val="7"/>
                      <w:sz w:val="21"/>
                      <w:szCs w:val="21"/>
                      <w:lang w:val="en-US" w:eastAsia="zh-CN"/>
                    </w:rPr>
                    <w:t>降温塔+</w:t>
                  </w:r>
                  <w:r>
                    <w:rPr>
                      <w:rFonts w:hint="eastAsia" w:eastAsia="宋体"/>
                      <w:color w:val="auto"/>
                      <w:szCs w:val="21"/>
                      <w:lang w:eastAsia="zh-CN"/>
                    </w:rPr>
                    <w:t>双碱法脱硫</w:t>
                  </w:r>
                  <w:r>
                    <w:rPr>
                      <w:color w:val="auto"/>
                      <w:spacing w:val="7"/>
                      <w:sz w:val="21"/>
                      <w:szCs w:val="21"/>
                    </w:rPr>
                    <w:t>+</w:t>
                  </w:r>
                  <w:r>
                    <w:rPr>
                      <w:rFonts w:hint="eastAsia"/>
                      <w:color w:val="auto"/>
                      <w:spacing w:val="7"/>
                      <w:sz w:val="21"/>
                      <w:szCs w:val="21"/>
                      <w:lang w:val="en-US" w:eastAsia="zh-CN"/>
                    </w:rPr>
                    <w:t>电捕焦油器</w:t>
                  </w:r>
                  <w:r>
                    <w:rPr>
                      <w:color w:val="auto"/>
                      <w:spacing w:val="-70"/>
                      <w:sz w:val="21"/>
                      <w:szCs w:val="21"/>
                    </w:rPr>
                    <w:t xml:space="preserve"> </w:t>
                  </w:r>
                  <w:r>
                    <w:rPr>
                      <w:color w:val="auto"/>
                      <w:spacing w:val="7"/>
                      <w:sz w:val="21"/>
                      <w:szCs w:val="21"/>
                    </w:rPr>
                    <w:t>”</w:t>
                  </w:r>
                  <w:r>
                    <w:rPr>
                      <w:rFonts w:hint="eastAsia"/>
                      <w:color w:val="auto"/>
                      <w:spacing w:val="7"/>
                      <w:sz w:val="21"/>
                      <w:szCs w:val="21"/>
                      <w:lang w:eastAsia="zh-CN"/>
                    </w:rPr>
                    <w:t>（</w:t>
                  </w:r>
                  <w:r>
                    <w:rPr>
                      <w:rFonts w:hint="eastAsia"/>
                      <w:color w:val="auto"/>
                      <w:spacing w:val="7"/>
                      <w:sz w:val="21"/>
                      <w:szCs w:val="21"/>
                      <w:lang w:val="en-US" w:eastAsia="zh-CN"/>
                    </w:rPr>
                    <w:t>利旧2套，本次新增1套</w:t>
                  </w:r>
                  <w:r>
                    <w:rPr>
                      <w:rFonts w:hint="eastAsia"/>
                      <w:color w:val="auto"/>
                      <w:spacing w:val="7"/>
                      <w:sz w:val="21"/>
                      <w:szCs w:val="21"/>
                      <w:lang w:eastAsia="zh-CN"/>
                    </w:rPr>
                    <w:t>）</w:t>
                  </w:r>
                  <w:r>
                    <w:rPr>
                      <w:color w:val="auto"/>
                      <w:spacing w:val="7"/>
                      <w:sz w:val="21"/>
                      <w:szCs w:val="21"/>
                    </w:rPr>
                    <w:t>装置处理后</w:t>
                  </w:r>
                  <w:r>
                    <w:rPr>
                      <w:rFonts w:hint="eastAsia"/>
                      <w:color w:val="auto"/>
                      <w:spacing w:val="7"/>
                      <w:sz w:val="21"/>
                      <w:szCs w:val="21"/>
                      <w:lang w:val="en-US" w:eastAsia="zh-CN"/>
                    </w:rPr>
                    <w:t>汇入</w:t>
                  </w:r>
                  <w:r>
                    <w:rPr>
                      <w:color w:val="auto"/>
                      <w:spacing w:val="-23"/>
                      <w:sz w:val="21"/>
                      <w:szCs w:val="21"/>
                    </w:rPr>
                    <w:t xml:space="preserve"> </w:t>
                  </w:r>
                  <w:r>
                    <w:rPr>
                      <w:rFonts w:ascii="Times New Roman" w:hAnsi="Times New Roman" w:eastAsia="Times New Roman" w:cs="Times New Roman"/>
                      <w:color w:val="auto"/>
                      <w:spacing w:val="7"/>
                      <w:sz w:val="21"/>
                      <w:szCs w:val="21"/>
                    </w:rPr>
                    <w:t>1</w:t>
                  </w:r>
                  <w:r>
                    <w:rPr>
                      <w:rFonts w:ascii="Times New Roman" w:hAnsi="Times New Roman" w:eastAsia="Times New Roman" w:cs="Times New Roman"/>
                      <w:color w:val="auto"/>
                      <w:spacing w:val="6"/>
                      <w:sz w:val="21"/>
                      <w:szCs w:val="21"/>
                    </w:rPr>
                    <w:t xml:space="preserve"> </w:t>
                  </w:r>
                  <w:r>
                    <w:rPr>
                      <w:color w:val="auto"/>
                      <w:spacing w:val="6"/>
                      <w:sz w:val="21"/>
                      <w:szCs w:val="21"/>
                    </w:rPr>
                    <w:t>根</w:t>
                  </w:r>
                  <w:r>
                    <w:rPr>
                      <w:rFonts w:hint="eastAsia" w:ascii="Times New Roman" w:hAnsi="Times New Roman" w:eastAsia="宋体" w:cs="Times New Roman"/>
                      <w:color w:val="auto"/>
                      <w:spacing w:val="7"/>
                      <w:sz w:val="21"/>
                      <w:szCs w:val="21"/>
                      <w:lang w:val="en-US" w:eastAsia="zh-CN"/>
                    </w:rPr>
                    <w:t>33</w:t>
                  </w:r>
                  <w:r>
                    <w:rPr>
                      <w:rFonts w:ascii="Times New Roman" w:hAnsi="Times New Roman" w:eastAsia="Times New Roman" w:cs="Times New Roman"/>
                      <w:color w:val="auto"/>
                      <w:spacing w:val="7"/>
                      <w:sz w:val="21"/>
                      <w:szCs w:val="21"/>
                    </w:rPr>
                    <w:t xml:space="preserve">m </w:t>
                  </w:r>
                  <w:r>
                    <w:rPr>
                      <w:color w:val="auto"/>
                      <w:spacing w:val="7"/>
                      <w:sz w:val="21"/>
                      <w:szCs w:val="21"/>
                    </w:rPr>
                    <w:t>排气筒（</w:t>
                  </w:r>
                  <w:r>
                    <w:rPr>
                      <w:rFonts w:ascii="Times New Roman" w:hAnsi="Times New Roman" w:eastAsia="Times New Roman" w:cs="Times New Roman"/>
                      <w:color w:val="auto"/>
                      <w:sz w:val="21"/>
                      <w:szCs w:val="21"/>
                    </w:rPr>
                    <w:t>DA</w:t>
                  </w:r>
                  <w:r>
                    <w:rPr>
                      <w:rFonts w:ascii="Times New Roman" w:hAnsi="Times New Roman" w:eastAsia="Times New Roman" w:cs="Times New Roman"/>
                      <w:color w:val="auto"/>
                      <w:spacing w:val="7"/>
                      <w:sz w:val="21"/>
                      <w:szCs w:val="21"/>
                    </w:rPr>
                    <w:t>00</w:t>
                  </w:r>
                  <w:r>
                    <w:rPr>
                      <w:rFonts w:hint="eastAsia" w:ascii="Times New Roman" w:hAnsi="Times New Roman" w:eastAsia="宋体" w:cs="Times New Roman"/>
                      <w:color w:val="auto"/>
                      <w:spacing w:val="7"/>
                      <w:sz w:val="21"/>
                      <w:szCs w:val="21"/>
                      <w:lang w:val="en-US" w:eastAsia="zh-CN"/>
                    </w:rPr>
                    <w:t>1</w:t>
                  </w:r>
                  <w:r>
                    <w:rPr>
                      <w:color w:val="auto"/>
                      <w:spacing w:val="7"/>
                      <w:sz w:val="21"/>
                      <w:szCs w:val="21"/>
                    </w:rPr>
                    <w:t>）排放</w:t>
                  </w:r>
                </w:p>
              </w:tc>
              <w:tc>
                <w:tcPr>
                  <w:tcW w:w="1403" w:type="dxa"/>
                  <w:noWrap w:val="0"/>
                  <w:vAlign w:val="center"/>
                </w:tcPr>
                <w:p w14:paraId="788C15F8">
                  <w:pPr>
                    <w:jc w:val="center"/>
                    <w:rPr>
                      <w:rFonts w:hint="default" w:eastAsia="宋体"/>
                      <w:color w:val="000000"/>
                      <w:szCs w:val="21"/>
                      <w:lang w:val="en-US" w:eastAsia="zh-CN"/>
                    </w:rPr>
                  </w:pPr>
                  <w:r>
                    <w:rPr>
                      <w:rFonts w:hint="eastAsia" w:eastAsia="宋体"/>
                      <w:color w:val="000000"/>
                      <w:szCs w:val="21"/>
                      <w:lang w:val="en-US" w:eastAsia="zh-CN"/>
                    </w:rPr>
                    <w:t>200</w:t>
                  </w:r>
                </w:p>
              </w:tc>
              <w:tc>
                <w:tcPr>
                  <w:tcW w:w="806" w:type="dxa"/>
                  <w:noWrap w:val="0"/>
                  <w:vAlign w:val="center"/>
                </w:tcPr>
                <w:p w14:paraId="6AA46D4F">
                  <w:pPr>
                    <w:jc w:val="center"/>
                    <w:rPr>
                      <w:rFonts w:hint="default" w:eastAsia="宋体"/>
                      <w:color w:val="000000"/>
                      <w:szCs w:val="21"/>
                      <w:lang w:val="en-US" w:eastAsia="zh-CN"/>
                    </w:rPr>
                  </w:pPr>
                  <w:r>
                    <w:rPr>
                      <w:rFonts w:hint="eastAsia" w:eastAsia="宋体"/>
                      <w:color w:val="000000"/>
                      <w:szCs w:val="21"/>
                      <w:lang w:val="en-US" w:eastAsia="zh-CN"/>
                    </w:rPr>
                    <w:t>利旧、新建</w:t>
                  </w:r>
                </w:p>
              </w:tc>
            </w:tr>
            <w:tr w14:paraId="6BC3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94" w:type="dxa"/>
                  <w:vMerge w:val="continue"/>
                  <w:noWrap w:val="0"/>
                  <w:vAlign w:val="center"/>
                </w:tcPr>
                <w:p w14:paraId="13196EEC">
                  <w:pPr>
                    <w:ind w:left="-63" w:leftChars="-30" w:right="-63" w:rightChars="-30"/>
                    <w:jc w:val="center"/>
                    <w:rPr>
                      <w:rFonts w:hint="eastAsia"/>
                      <w:b/>
                      <w:color w:val="auto"/>
                      <w:szCs w:val="21"/>
                      <w:lang w:eastAsia="zh-CN"/>
                    </w:rPr>
                  </w:pPr>
                </w:p>
              </w:tc>
              <w:tc>
                <w:tcPr>
                  <w:tcW w:w="1013" w:type="dxa"/>
                  <w:noWrap w:val="0"/>
                  <w:vAlign w:val="center"/>
                </w:tcPr>
                <w:p w14:paraId="4954FCC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Times New Roman" w:hAnsi="Times New Roman" w:cs="Times New Roman"/>
                      <w:color w:val="auto"/>
                      <w:sz w:val="21"/>
                      <w:szCs w:val="21"/>
                      <w:lang w:eastAsia="zh-CN"/>
                    </w:rPr>
                  </w:pPr>
                  <w:r>
                    <w:rPr>
                      <w:rFonts w:hint="eastAsia" w:eastAsia="宋体"/>
                      <w:color w:val="auto"/>
                      <w:szCs w:val="21"/>
                      <w:lang w:eastAsia="zh-CN"/>
                    </w:rPr>
                    <w:t>半成品包装、成品包装废气</w:t>
                  </w:r>
                </w:p>
              </w:tc>
              <w:tc>
                <w:tcPr>
                  <w:tcW w:w="4273" w:type="dxa"/>
                  <w:gridSpan w:val="2"/>
                  <w:noWrap w:val="0"/>
                  <w:vAlign w:val="center"/>
                </w:tcPr>
                <w:p w14:paraId="0C783A00">
                  <w:pPr>
                    <w:keepNext w:val="0"/>
                    <w:keepLines w:val="0"/>
                    <w:pageBreakBefore w:val="0"/>
                    <w:widowControl w:val="0"/>
                    <w:kinsoku/>
                    <w:wordWrap/>
                    <w:overflowPunct/>
                    <w:topLinePunct w:val="0"/>
                    <w:autoSpaceDE/>
                    <w:autoSpaceDN/>
                    <w:bidi w:val="0"/>
                    <w:ind w:firstLine="0" w:firstLineChars="0"/>
                    <w:jc w:val="center"/>
                    <w:textAlignment w:val="auto"/>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 xml:space="preserve">经密闭管道进入自带袋式除尘器处理后经 1 根 </w:t>
                  </w:r>
                  <w:r>
                    <w:rPr>
                      <w:rFonts w:hint="eastAsia" w:ascii="Times New Roman" w:hAnsi="Times New Roman" w:cs="Times New Roman"/>
                      <w:color w:val="auto"/>
                      <w:sz w:val="21"/>
                      <w:szCs w:val="21"/>
                      <w:lang w:val="en-US" w:eastAsia="zh-CN"/>
                    </w:rPr>
                    <w:t>15</w:t>
                  </w:r>
                  <w:r>
                    <w:rPr>
                      <w:rFonts w:hint="eastAsia" w:ascii="Times New Roman" w:hAnsi="Times New Roman" w:cs="Times New Roman"/>
                      <w:color w:val="auto"/>
                      <w:sz w:val="21"/>
                      <w:szCs w:val="21"/>
                      <w:lang w:eastAsia="zh-CN"/>
                    </w:rPr>
                    <w:t>m排气筒（DA00</w:t>
                  </w:r>
                  <w:r>
                    <w:rPr>
                      <w:rFonts w:hint="eastAsia" w:ascii="Times New Roman" w:hAnsi="Times New Roman" w:cs="Times New Roman"/>
                      <w:color w:val="auto"/>
                      <w:sz w:val="21"/>
                      <w:szCs w:val="21"/>
                      <w:lang w:val="en-US" w:eastAsia="zh-CN"/>
                    </w:rPr>
                    <w:t>2</w:t>
                  </w:r>
                  <w:r>
                    <w:rPr>
                      <w:rFonts w:hint="eastAsia" w:ascii="Times New Roman" w:hAnsi="Times New Roman" w:cs="Times New Roman"/>
                      <w:color w:val="auto"/>
                      <w:sz w:val="21"/>
                      <w:szCs w:val="21"/>
                      <w:lang w:eastAsia="zh-CN"/>
                    </w:rPr>
                    <w:t>）排放</w:t>
                  </w:r>
                </w:p>
              </w:tc>
              <w:tc>
                <w:tcPr>
                  <w:tcW w:w="1403" w:type="dxa"/>
                  <w:noWrap w:val="0"/>
                  <w:vAlign w:val="center"/>
                </w:tcPr>
                <w:p w14:paraId="136B6F8D">
                  <w:pPr>
                    <w:jc w:val="center"/>
                    <w:rPr>
                      <w:rFonts w:hint="default" w:eastAsia="宋体"/>
                      <w:color w:val="000000"/>
                      <w:szCs w:val="21"/>
                      <w:lang w:val="en-US" w:eastAsia="zh-CN"/>
                    </w:rPr>
                  </w:pPr>
                  <w:r>
                    <w:rPr>
                      <w:rFonts w:hint="eastAsia" w:eastAsia="宋体"/>
                      <w:color w:val="000000"/>
                      <w:szCs w:val="21"/>
                      <w:lang w:val="en-US" w:eastAsia="zh-CN"/>
                    </w:rPr>
                    <w:t>20</w:t>
                  </w:r>
                </w:p>
              </w:tc>
              <w:tc>
                <w:tcPr>
                  <w:tcW w:w="806" w:type="dxa"/>
                  <w:noWrap w:val="0"/>
                  <w:vAlign w:val="center"/>
                </w:tcPr>
                <w:p w14:paraId="0DCFDD0C">
                  <w:pPr>
                    <w:jc w:val="center"/>
                    <w:rPr>
                      <w:rFonts w:hint="eastAsia" w:eastAsia="宋体"/>
                      <w:color w:val="000000"/>
                      <w:szCs w:val="21"/>
                      <w:lang w:val="en-US" w:eastAsia="zh-CN"/>
                    </w:rPr>
                  </w:pPr>
                  <w:r>
                    <w:rPr>
                      <w:rFonts w:hint="eastAsia"/>
                      <w:color w:val="000000"/>
                      <w:sz w:val="21"/>
                      <w:szCs w:val="21"/>
                      <w:lang w:val="en-US" w:eastAsia="zh-CN"/>
                    </w:rPr>
                    <w:t>整改新建</w:t>
                  </w:r>
                </w:p>
              </w:tc>
            </w:tr>
            <w:tr w14:paraId="0361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094" w:type="dxa"/>
                  <w:noWrap w:val="0"/>
                  <w:vAlign w:val="center"/>
                </w:tcPr>
                <w:p w14:paraId="2202CD3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b/>
                      <w:color w:val="000000"/>
                      <w:sz w:val="21"/>
                      <w:szCs w:val="21"/>
                    </w:rPr>
                  </w:pPr>
                  <w:r>
                    <w:rPr>
                      <w:rFonts w:hint="eastAsia"/>
                      <w:b/>
                      <w:color w:val="000000"/>
                      <w:sz w:val="21"/>
                      <w:szCs w:val="21"/>
                    </w:rPr>
                    <w:t>噪声</w:t>
                  </w:r>
                  <w:r>
                    <w:rPr>
                      <w:b/>
                      <w:color w:val="000000"/>
                      <w:sz w:val="21"/>
                      <w:szCs w:val="21"/>
                    </w:rPr>
                    <w:t>治理</w:t>
                  </w:r>
                </w:p>
              </w:tc>
              <w:tc>
                <w:tcPr>
                  <w:tcW w:w="5286" w:type="dxa"/>
                  <w:gridSpan w:val="3"/>
                  <w:noWrap w:val="0"/>
                  <w:vAlign w:val="center"/>
                </w:tcPr>
                <w:p w14:paraId="7DE7B0D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000000"/>
                      <w:sz w:val="21"/>
                      <w:szCs w:val="21"/>
                    </w:rPr>
                  </w:pPr>
                  <w:r>
                    <w:rPr>
                      <w:rFonts w:hint="eastAsia"/>
                      <w:color w:val="000000"/>
                      <w:sz w:val="21"/>
                      <w:szCs w:val="21"/>
                    </w:rPr>
                    <w:t>选用低噪声设备，采取设置</w:t>
                  </w:r>
                  <w:r>
                    <w:rPr>
                      <w:rFonts w:hint="eastAsia"/>
                      <w:color w:val="000000"/>
                      <w:sz w:val="21"/>
                      <w:szCs w:val="21"/>
                      <w:lang w:eastAsia="zh-CN"/>
                    </w:rPr>
                    <w:t>减振</w:t>
                  </w:r>
                  <w:r>
                    <w:rPr>
                      <w:rFonts w:hint="eastAsia"/>
                      <w:color w:val="000000"/>
                      <w:sz w:val="21"/>
                      <w:szCs w:val="21"/>
                    </w:rPr>
                    <w:t>垫，设备定期检修、维护，厂房隔声</w:t>
                  </w:r>
                </w:p>
              </w:tc>
              <w:tc>
                <w:tcPr>
                  <w:tcW w:w="1403" w:type="dxa"/>
                  <w:noWrap w:val="0"/>
                  <w:vAlign w:val="center"/>
                </w:tcPr>
                <w:p w14:paraId="0098CCE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color w:val="000000"/>
                      <w:sz w:val="21"/>
                      <w:szCs w:val="21"/>
                      <w:lang w:val="en-US"/>
                    </w:rPr>
                  </w:pPr>
                  <w:r>
                    <w:rPr>
                      <w:rFonts w:hint="eastAsia"/>
                      <w:color w:val="000000"/>
                      <w:sz w:val="21"/>
                      <w:szCs w:val="21"/>
                      <w:lang w:val="en-US" w:eastAsia="zh-CN"/>
                    </w:rPr>
                    <w:t>5.0</w:t>
                  </w:r>
                </w:p>
              </w:tc>
              <w:tc>
                <w:tcPr>
                  <w:tcW w:w="806" w:type="dxa"/>
                  <w:noWrap w:val="0"/>
                  <w:vAlign w:val="center"/>
                </w:tcPr>
                <w:p w14:paraId="2B44658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eastAsia="宋体"/>
                      <w:color w:val="000000"/>
                      <w:sz w:val="21"/>
                      <w:szCs w:val="21"/>
                      <w:lang w:eastAsia="zh-CN"/>
                    </w:rPr>
                  </w:pPr>
                  <w:r>
                    <w:rPr>
                      <w:rFonts w:hint="eastAsia"/>
                      <w:bCs/>
                      <w:color w:val="000000"/>
                      <w:sz w:val="21"/>
                      <w:szCs w:val="21"/>
                      <w:lang w:eastAsia="zh-CN"/>
                    </w:rPr>
                    <w:t>新建</w:t>
                  </w:r>
                </w:p>
              </w:tc>
            </w:tr>
            <w:tr w14:paraId="1929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 w:type="dxa"/>
                  <w:vMerge w:val="restart"/>
                  <w:noWrap w:val="0"/>
                  <w:vAlign w:val="center"/>
                </w:tcPr>
                <w:p w14:paraId="0F9D772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b/>
                      <w:color w:val="000000"/>
                      <w:sz w:val="21"/>
                      <w:szCs w:val="21"/>
                    </w:rPr>
                  </w:pPr>
                  <w:r>
                    <w:rPr>
                      <w:rFonts w:hint="eastAsia"/>
                      <w:b/>
                      <w:color w:val="000000"/>
                      <w:sz w:val="21"/>
                      <w:szCs w:val="21"/>
                    </w:rPr>
                    <w:t>固废</w:t>
                  </w:r>
                  <w:r>
                    <w:rPr>
                      <w:b/>
                      <w:color w:val="000000"/>
                      <w:sz w:val="21"/>
                      <w:szCs w:val="21"/>
                    </w:rPr>
                    <w:t>治理</w:t>
                  </w:r>
                </w:p>
              </w:tc>
              <w:tc>
                <w:tcPr>
                  <w:tcW w:w="5286" w:type="dxa"/>
                  <w:gridSpan w:val="3"/>
                  <w:noWrap w:val="0"/>
                  <w:vAlign w:val="top"/>
                </w:tcPr>
                <w:p w14:paraId="50433615">
                  <w:pPr>
                    <w:pStyle w:val="106"/>
                    <w:keepNext w:val="0"/>
                    <w:keepLines w:val="0"/>
                    <w:pageBreakBefore w:val="0"/>
                    <w:widowControl w:val="0"/>
                    <w:kinsoku/>
                    <w:wordWrap/>
                    <w:overflowPunct/>
                    <w:topLinePunct w:val="0"/>
                    <w:autoSpaceDE/>
                    <w:autoSpaceDN/>
                    <w:bidi w:val="0"/>
                    <w:adjustRightInd/>
                    <w:snapToGrid/>
                    <w:spacing w:before="42" w:line="229" w:lineRule="auto"/>
                    <w:ind w:left="0" w:leftChars="0" w:right="0" w:rightChars="0"/>
                    <w:textAlignment w:val="auto"/>
                    <w:rPr>
                      <w:color w:val="000000"/>
                      <w:sz w:val="21"/>
                      <w:szCs w:val="21"/>
                    </w:rPr>
                  </w:pPr>
                  <w:r>
                    <w:rPr>
                      <w:spacing w:val="12"/>
                      <w:sz w:val="21"/>
                      <w:szCs w:val="21"/>
                    </w:rPr>
                    <w:t>生活垃圾在办公区、车间等区域固定投放垃圾桶，分类收集后由园区环卫</w:t>
                  </w:r>
                  <w:r>
                    <w:rPr>
                      <w:spacing w:val="7"/>
                      <w:sz w:val="21"/>
                      <w:szCs w:val="21"/>
                    </w:rPr>
                    <w:t>部门定期清运处理；</w:t>
                  </w:r>
                </w:p>
              </w:tc>
              <w:tc>
                <w:tcPr>
                  <w:tcW w:w="1403" w:type="dxa"/>
                  <w:noWrap w:val="0"/>
                  <w:vAlign w:val="center"/>
                </w:tcPr>
                <w:p w14:paraId="015D8B2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bCs/>
                      <w:color w:val="000000"/>
                      <w:sz w:val="21"/>
                      <w:szCs w:val="21"/>
                      <w:lang w:val="en-US"/>
                    </w:rPr>
                  </w:pPr>
                  <w:r>
                    <w:rPr>
                      <w:rFonts w:hint="eastAsia"/>
                      <w:bCs/>
                      <w:color w:val="000000"/>
                      <w:sz w:val="21"/>
                      <w:szCs w:val="21"/>
                      <w:lang w:val="en-US" w:eastAsia="zh-CN"/>
                    </w:rPr>
                    <w:t>1.0</w:t>
                  </w:r>
                </w:p>
              </w:tc>
              <w:tc>
                <w:tcPr>
                  <w:tcW w:w="806" w:type="dxa"/>
                  <w:noWrap w:val="0"/>
                  <w:vAlign w:val="center"/>
                </w:tcPr>
                <w:p w14:paraId="02E2D3A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eastAsia="宋体"/>
                      <w:bCs/>
                      <w:color w:val="000000"/>
                      <w:sz w:val="21"/>
                      <w:szCs w:val="21"/>
                      <w:lang w:val="en-US" w:eastAsia="zh-CN"/>
                    </w:rPr>
                  </w:pPr>
                  <w:r>
                    <w:rPr>
                      <w:rFonts w:hint="eastAsia"/>
                      <w:bCs/>
                      <w:color w:val="000000"/>
                      <w:sz w:val="21"/>
                      <w:szCs w:val="21"/>
                      <w:lang w:val="en-US" w:eastAsia="zh-CN"/>
                    </w:rPr>
                    <w:t>新建</w:t>
                  </w:r>
                </w:p>
              </w:tc>
            </w:tr>
            <w:tr w14:paraId="0B6B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 w:type="dxa"/>
                  <w:vMerge w:val="continue"/>
                  <w:noWrap w:val="0"/>
                  <w:vAlign w:val="center"/>
                </w:tcPr>
                <w:p w14:paraId="2D0F1F5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b/>
                      <w:color w:val="000000"/>
                      <w:sz w:val="21"/>
                      <w:szCs w:val="21"/>
                    </w:rPr>
                  </w:pPr>
                </w:p>
              </w:tc>
              <w:tc>
                <w:tcPr>
                  <w:tcW w:w="5286" w:type="dxa"/>
                  <w:gridSpan w:val="3"/>
                  <w:noWrap w:val="0"/>
                  <w:vAlign w:val="top"/>
                </w:tcPr>
                <w:p w14:paraId="76CDE67A">
                  <w:pPr>
                    <w:pStyle w:val="106"/>
                    <w:keepNext w:val="0"/>
                    <w:keepLines w:val="0"/>
                    <w:pageBreakBefore w:val="0"/>
                    <w:widowControl w:val="0"/>
                    <w:kinsoku/>
                    <w:wordWrap/>
                    <w:overflowPunct/>
                    <w:topLinePunct w:val="0"/>
                    <w:autoSpaceDE/>
                    <w:autoSpaceDN/>
                    <w:bidi w:val="0"/>
                    <w:adjustRightInd/>
                    <w:snapToGrid/>
                    <w:spacing w:before="159" w:line="227" w:lineRule="auto"/>
                    <w:ind w:left="0" w:leftChars="0" w:right="0" w:rightChars="0"/>
                    <w:textAlignment w:val="auto"/>
                    <w:rPr>
                      <w:b/>
                      <w:color w:val="000000"/>
                      <w:sz w:val="21"/>
                      <w:szCs w:val="21"/>
                    </w:rPr>
                  </w:pPr>
                  <w:r>
                    <w:rPr>
                      <w:spacing w:val="10"/>
                      <w:sz w:val="21"/>
                      <w:szCs w:val="21"/>
                    </w:rPr>
                    <w:t>废脱硫石膏、废包装材料经一般固废暂存间</w:t>
                  </w:r>
                  <w:r>
                    <w:rPr>
                      <w:spacing w:val="9"/>
                      <w:sz w:val="21"/>
                      <w:szCs w:val="21"/>
                    </w:rPr>
                    <w:t>收集后，外售综合利用</w:t>
                  </w:r>
                </w:p>
              </w:tc>
              <w:tc>
                <w:tcPr>
                  <w:tcW w:w="1403" w:type="dxa"/>
                  <w:noWrap w:val="0"/>
                  <w:vAlign w:val="center"/>
                </w:tcPr>
                <w:p w14:paraId="46DC0FA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bCs/>
                      <w:color w:val="000000"/>
                      <w:sz w:val="21"/>
                      <w:szCs w:val="21"/>
                      <w:lang w:val="en-US" w:eastAsia="zh-CN"/>
                    </w:rPr>
                  </w:pPr>
                  <w:r>
                    <w:rPr>
                      <w:rFonts w:hint="eastAsia"/>
                      <w:bCs/>
                      <w:color w:val="000000"/>
                      <w:sz w:val="21"/>
                      <w:szCs w:val="21"/>
                      <w:lang w:val="en-US" w:eastAsia="zh-CN"/>
                    </w:rPr>
                    <w:t>/</w:t>
                  </w:r>
                </w:p>
              </w:tc>
              <w:tc>
                <w:tcPr>
                  <w:tcW w:w="806" w:type="dxa"/>
                  <w:vMerge w:val="restart"/>
                  <w:noWrap w:val="0"/>
                  <w:vAlign w:val="center"/>
                </w:tcPr>
                <w:p w14:paraId="5C4F397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bCs/>
                      <w:color w:val="000000"/>
                      <w:sz w:val="21"/>
                      <w:szCs w:val="21"/>
                      <w:lang w:val="en-US" w:eastAsia="zh-CN"/>
                    </w:rPr>
                  </w:pPr>
                  <w:r>
                    <w:rPr>
                      <w:spacing w:val="1"/>
                      <w:sz w:val="21"/>
                      <w:szCs w:val="21"/>
                    </w:rPr>
                    <w:t>依托现有措施，</w:t>
                  </w:r>
                  <w:r>
                    <w:rPr>
                      <w:spacing w:val="5"/>
                      <w:sz w:val="21"/>
                      <w:szCs w:val="21"/>
                    </w:rPr>
                    <w:t>不计入</w:t>
                  </w:r>
                </w:p>
              </w:tc>
            </w:tr>
            <w:tr w14:paraId="0D2D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 w:type="dxa"/>
                  <w:vMerge w:val="continue"/>
                  <w:noWrap w:val="0"/>
                  <w:vAlign w:val="center"/>
                </w:tcPr>
                <w:p w14:paraId="46A56AD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b/>
                      <w:color w:val="000000"/>
                      <w:sz w:val="21"/>
                      <w:szCs w:val="21"/>
                    </w:rPr>
                  </w:pPr>
                </w:p>
              </w:tc>
              <w:tc>
                <w:tcPr>
                  <w:tcW w:w="5286" w:type="dxa"/>
                  <w:gridSpan w:val="3"/>
                  <w:noWrap w:val="0"/>
                  <w:vAlign w:val="top"/>
                </w:tcPr>
                <w:p w14:paraId="6E81F88F">
                  <w:pPr>
                    <w:pStyle w:val="106"/>
                    <w:keepNext w:val="0"/>
                    <w:keepLines w:val="0"/>
                    <w:pageBreakBefore w:val="0"/>
                    <w:widowControl w:val="0"/>
                    <w:kinsoku/>
                    <w:wordWrap/>
                    <w:overflowPunct/>
                    <w:topLinePunct w:val="0"/>
                    <w:autoSpaceDE/>
                    <w:autoSpaceDN/>
                    <w:bidi w:val="0"/>
                    <w:adjustRightInd/>
                    <w:snapToGrid/>
                    <w:spacing w:before="115" w:line="254" w:lineRule="auto"/>
                    <w:ind w:left="0" w:leftChars="0" w:right="0" w:rightChars="0" w:hanging="4" w:firstLineChars="0"/>
                    <w:textAlignment w:val="auto"/>
                    <w:rPr>
                      <w:rFonts w:hint="eastAsia" w:eastAsia="宋体"/>
                      <w:color w:val="000000"/>
                      <w:sz w:val="21"/>
                      <w:szCs w:val="21"/>
                      <w:highlight w:val="yellow"/>
                      <w:lang w:eastAsia="zh-CN"/>
                    </w:rPr>
                  </w:pPr>
                  <w:r>
                    <w:rPr>
                      <w:spacing w:val="13"/>
                      <w:sz w:val="21"/>
                      <w:szCs w:val="21"/>
                    </w:rPr>
                    <w:t>废机油</w:t>
                  </w:r>
                  <w:r>
                    <w:rPr>
                      <w:rFonts w:hint="eastAsia"/>
                      <w:spacing w:val="13"/>
                      <w:sz w:val="21"/>
                      <w:szCs w:val="21"/>
                      <w:lang w:val="en-US" w:eastAsia="zh-CN"/>
                    </w:rPr>
                    <w:t>/润滑油</w:t>
                  </w:r>
                  <w:r>
                    <w:rPr>
                      <w:spacing w:val="13"/>
                      <w:sz w:val="21"/>
                      <w:szCs w:val="21"/>
                    </w:rPr>
                    <w:t>及机油</w:t>
                  </w:r>
                  <w:r>
                    <w:rPr>
                      <w:rFonts w:hint="eastAsia"/>
                      <w:spacing w:val="13"/>
                      <w:sz w:val="21"/>
                      <w:szCs w:val="21"/>
                      <w:lang w:val="en-US" w:eastAsia="zh-CN"/>
                    </w:rPr>
                    <w:t>/润滑油</w:t>
                  </w:r>
                  <w:r>
                    <w:rPr>
                      <w:spacing w:val="13"/>
                      <w:sz w:val="21"/>
                      <w:szCs w:val="21"/>
                    </w:rPr>
                    <w:t>桶、废含油抹布经危险废物贮存点收集</w:t>
                  </w:r>
                  <w:r>
                    <w:rPr>
                      <w:spacing w:val="12"/>
                      <w:sz w:val="21"/>
                      <w:szCs w:val="21"/>
                    </w:rPr>
                    <w:t>后，交由资质单位进</w:t>
                  </w:r>
                  <w:r>
                    <w:rPr>
                      <w:spacing w:val="4"/>
                      <w:sz w:val="21"/>
                      <w:szCs w:val="21"/>
                    </w:rPr>
                    <w:t>行处置。</w:t>
                  </w:r>
                </w:p>
              </w:tc>
              <w:tc>
                <w:tcPr>
                  <w:tcW w:w="1403" w:type="dxa"/>
                  <w:noWrap w:val="0"/>
                  <w:vAlign w:val="center"/>
                </w:tcPr>
                <w:p w14:paraId="435726D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bCs/>
                      <w:color w:val="000000"/>
                      <w:sz w:val="21"/>
                      <w:szCs w:val="21"/>
                      <w:lang w:val="en-US" w:eastAsia="zh-CN"/>
                    </w:rPr>
                  </w:pPr>
                  <w:r>
                    <w:rPr>
                      <w:rFonts w:hint="eastAsia" w:eastAsia="宋体"/>
                      <w:bCs/>
                      <w:color w:val="000000"/>
                      <w:sz w:val="21"/>
                      <w:szCs w:val="21"/>
                      <w:lang w:val="en-US" w:eastAsia="zh-CN"/>
                    </w:rPr>
                    <w:t>/</w:t>
                  </w:r>
                </w:p>
              </w:tc>
              <w:tc>
                <w:tcPr>
                  <w:tcW w:w="806" w:type="dxa"/>
                  <w:vMerge w:val="continue"/>
                  <w:noWrap w:val="0"/>
                  <w:vAlign w:val="center"/>
                </w:tcPr>
                <w:p w14:paraId="712E126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bCs/>
                      <w:color w:val="000000"/>
                      <w:sz w:val="21"/>
                      <w:szCs w:val="21"/>
                      <w:lang w:val="en-US" w:eastAsia="zh-CN"/>
                    </w:rPr>
                  </w:pPr>
                </w:p>
              </w:tc>
            </w:tr>
            <w:tr w14:paraId="7265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 w:type="dxa"/>
                  <w:noWrap w:val="0"/>
                  <w:vAlign w:val="center"/>
                </w:tcPr>
                <w:p w14:paraId="30F1E4E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b/>
                      <w:color w:val="000000"/>
                      <w:sz w:val="21"/>
                      <w:szCs w:val="21"/>
                    </w:rPr>
                  </w:pPr>
                  <w:r>
                    <w:rPr>
                      <w:rFonts w:hint="eastAsia"/>
                      <w:b/>
                      <w:color w:val="000000"/>
                      <w:sz w:val="21"/>
                      <w:szCs w:val="21"/>
                    </w:rPr>
                    <w:t>风险防范</w:t>
                  </w:r>
                </w:p>
              </w:tc>
              <w:tc>
                <w:tcPr>
                  <w:tcW w:w="5286" w:type="dxa"/>
                  <w:gridSpan w:val="3"/>
                  <w:noWrap w:val="0"/>
                  <w:vAlign w:val="top"/>
                </w:tcPr>
                <w:p w14:paraId="01C97E62">
                  <w:pPr>
                    <w:pStyle w:val="106"/>
                    <w:keepNext w:val="0"/>
                    <w:keepLines w:val="0"/>
                    <w:pageBreakBefore w:val="0"/>
                    <w:widowControl w:val="0"/>
                    <w:kinsoku/>
                    <w:wordWrap/>
                    <w:overflowPunct/>
                    <w:topLinePunct w:val="0"/>
                    <w:autoSpaceDE/>
                    <w:autoSpaceDN/>
                    <w:bidi w:val="0"/>
                    <w:adjustRightInd/>
                    <w:snapToGrid/>
                    <w:spacing w:before="44" w:line="236" w:lineRule="auto"/>
                    <w:ind w:left="0" w:leftChars="0" w:right="0" w:rightChars="0" w:hanging="13" w:firstLineChars="0"/>
                    <w:jc w:val="both"/>
                    <w:textAlignment w:val="auto"/>
                    <w:rPr>
                      <w:rFonts w:hint="eastAsia"/>
                      <w:color w:val="000000"/>
                      <w:sz w:val="21"/>
                      <w:szCs w:val="21"/>
                    </w:rPr>
                  </w:pPr>
                  <w:r>
                    <w:rPr>
                      <w:spacing w:val="8"/>
                      <w:sz w:val="21"/>
                      <w:szCs w:val="21"/>
                    </w:rPr>
                    <w:t>配备灭火器、灭火栓等消防措施以及通风换气措施；危废贮存点做好防雨、</w:t>
                  </w:r>
                  <w:r>
                    <w:rPr>
                      <w:spacing w:val="6"/>
                      <w:sz w:val="21"/>
                      <w:szCs w:val="21"/>
                    </w:rPr>
                    <w:t>防腐和防渗</w:t>
                  </w:r>
                  <w:r>
                    <w:rPr>
                      <w:rFonts w:ascii="Times New Roman" w:hAnsi="Times New Roman" w:eastAsia="Times New Roman" w:cs="Times New Roman"/>
                      <w:spacing w:val="6"/>
                      <w:sz w:val="21"/>
                      <w:szCs w:val="21"/>
                    </w:rPr>
                    <w:t>“</w:t>
                  </w:r>
                  <w:r>
                    <w:rPr>
                      <w:spacing w:val="6"/>
                      <w:sz w:val="21"/>
                      <w:szCs w:val="21"/>
                    </w:rPr>
                    <w:t>三防</w:t>
                  </w:r>
                  <w:r>
                    <w:rPr>
                      <w:rFonts w:ascii="Times New Roman" w:hAnsi="Times New Roman" w:eastAsia="Times New Roman" w:cs="Times New Roman"/>
                      <w:spacing w:val="6"/>
                      <w:sz w:val="21"/>
                      <w:szCs w:val="21"/>
                    </w:rPr>
                    <w:t>”</w:t>
                  </w:r>
                  <w:r>
                    <w:rPr>
                      <w:spacing w:val="6"/>
                      <w:sz w:val="21"/>
                      <w:szCs w:val="21"/>
                    </w:rPr>
                    <w:t>措施，保证防渗层渗透系数</w:t>
                  </w:r>
                  <w:r>
                    <w:rPr>
                      <w:rFonts w:ascii="Times New Roman" w:hAnsi="Times New Roman" w:eastAsia="Times New Roman" w:cs="Times New Roman"/>
                      <w:spacing w:val="6"/>
                      <w:sz w:val="21"/>
                      <w:szCs w:val="21"/>
                    </w:rPr>
                    <w:t>≤1.0×10</w:t>
                  </w:r>
                  <w:r>
                    <w:rPr>
                      <w:rFonts w:ascii="Times New Roman" w:hAnsi="Times New Roman" w:eastAsia="Times New Roman" w:cs="Times New Roman"/>
                      <w:spacing w:val="6"/>
                      <w:position w:val="6"/>
                      <w:sz w:val="21"/>
                      <w:szCs w:val="21"/>
                    </w:rPr>
                    <w:t>-7</w:t>
                  </w:r>
                  <w:r>
                    <w:rPr>
                      <w:rFonts w:ascii="Times New Roman" w:hAnsi="Times New Roman" w:eastAsia="Times New Roman" w:cs="Times New Roman"/>
                      <w:sz w:val="21"/>
                      <w:szCs w:val="21"/>
                    </w:rPr>
                    <w:t>cm</w:t>
                  </w:r>
                  <w:r>
                    <w:rPr>
                      <w:rFonts w:ascii="Times New Roman" w:hAnsi="Times New Roman" w:eastAsia="Times New Roman" w:cs="Times New Roman"/>
                      <w:spacing w:val="6"/>
                      <w:sz w:val="21"/>
                      <w:szCs w:val="21"/>
                    </w:rPr>
                    <w:t>/s</w:t>
                  </w:r>
                  <w:r>
                    <w:rPr>
                      <w:rFonts w:ascii="Times New Roman" w:hAnsi="Times New Roman" w:eastAsia="Times New Roman" w:cs="Times New Roman"/>
                      <w:spacing w:val="-24"/>
                      <w:sz w:val="21"/>
                      <w:szCs w:val="21"/>
                    </w:rPr>
                    <w:t xml:space="preserve"> </w:t>
                  </w:r>
                  <w:r>
                    <w:rPr>
                      <w:spacing w:val="6"/>
                      <w:sz w:val="21"/>
                      <w:szCs w:val="21"/>
                    </w:rPr>
                    <w:t>，从</w:t>
                  </w:r>
                  <w:r>
                    <w:rPr>
                      <w:spacing w:val="5"/>
                      <w:sz w:val="21"/>
                      <w:szCs w:val="21"/>
                    </w:rPr>
                    <w:t>而避免其中</w:t>
                  </w:r>
                  <w:r>
                    <w:rPr>
                      <w:spacing w:val="8"/>
                      <w:sz w:val="21"/>
                      <w:szCs w:val="21"/>
                    </w:rPr>
                    <w:t>的液态危废泄漏后对土壤及地下水造成明显影响。</w:t>
                  </w:r>
                </w:p>
              </w:tc>
              <w:tc>
                <w:tcPr>
                  <w:tcW w:w="1403" w:type="dxa"/>
                  <w:noWrap w:val="0"/>
                  <w:vAlign w:val="center"/>
                </w:tcPr>
                <w:p w14:paraId="5D290FD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bCs/>
                      <w:color w:val="000000"/>
                      <w:sz w:val="21"/>
                      <w:szCs w:val="21"/>
                      <w:lang w:val="en-US" w:eastAsia="zh-CN"/>
                    </w:rPr>
                  </w:pPr>
                  <w:r>
                    <w:rPr>
                      <w:rFonts w:hint="eastAsia" w:ascii="Times New Roman" w:hAnsi="Times New Roman" w:eastAsia="宋体" w:cs="Times New Roman"/>
                      <w:bCs/>
                      <w:color w:val="000000"/>
                      <w:sz w:val="21"/>
                      <w:szCs w:val="21"/>
                      <w:lang w:val="en-US" w:eastAsia="zh-CN"/>
                    </w:rPr>
                    <w:t>/</w:t>
                  </w:r>
                </w:p>
              </w:tc>
              <w:tc>
                <w:tcPr>
                  <w:tcW w:w="806" w:type="dxa"/>
                  <w:noWrap w:val="0"/>
                  <w:vAlign w:val="center"/>
                </w:tcPr>
                <w:p w14:paraId="030B957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eastAsia="宋体"/>
                      <w:color w:val="000000"/>
                      <w:sz w:val="21"/>
                      <w:szCs w:val="21"/>
                      <w:lang w:val="en-US" w:eastAsia="zh-CN"/>
                    </w:rPr>
                  </w:pPr>
                  <w:r>
                    <w:rPr>
                      <w:spacing w:val="1"/>
                      <w:sz w:val="21"/>
                      <w:szCs w:val="21"/>
                    </w:rPr>
                    <w:t>依托现有措施，</w:t>
                  </w:r>
                  <w:r>
                    <w:rPr>
                      <w:spacing w:val="5"/>
                      <w:sz w:val="21"/>
                      <w:szCs w:val="21"/>
                    </w:rPr>
                    <w:t>不计入</w:t>
                  </w:r>
                </w:p>
              </w:tc>
            </w:tr>
            <w:tr w14:paraId="240A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 w:type="dxa"/>
                  <w:noWrap w:val="0"/>
                  <w:vAlign w:val="center"/>
                </w:tcPr>
                <w:p w14:paraId="5CB02CD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b/>
                      <w:color w:val="000000"/>
                      <w:sz w:val="21"/>
                      <w:szCs w:val="21"/>
                    </w:rPr>
                  </w:pPr>
                  <w:r>
                    <w:rPr>
                      <w:rFonts w:hint="eastAsia"/>
                      <w:b/>
                      <w:color w:val="000000"/>
                      <w:sz w:val="21"/>
                      <w:szCs w:val="21"/>
                    </w:rPr>
                    <w:t>环境管理与监测</w:t>
                  </w:r>
                </w:p>
              </w:tc>
              <w:tc>
                <w:tcPr>
                  <w:tcW w:w="5286" w:type="dxa"/>
                  <w:gridSpan w:val="3"/>
                  <w:noWrap w:val="0"/>
                  <w:vAlign w:val="center"/>
                </w:tcPr>
                <w:p w14:paraId="71DB8C8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bCs/>
                      <w:color w:val="000000"/>
                      <w:sz w:val="21"/>
                      <w:szCs w:val="21"/>
                    </w:rPr>
                  </w:pPr>
                  <w:r>
                    <w:rPr>
                      <w:rFonts w:hint="eastAsia"/>
                      <w:bCs/>
                      <w:color w:val="000000"/>
                      <w:sz w:val="21"/>
                      <w:szCs w:val="21"/>
                    </w:rPr>
                    <w:t>环境计划性监测</w:t>
                  </w:r>
                </w:p>
              </w:tc>
              <w:tc>
                <w:tcPr>
                  <w:tcW w:w="1403" w:type="dxa"/>
                  <w:noWrap w:val="0"/>
                  <w:vAlign w:val="center"/>
                </w:tcPr>
                <w:p w14:paraId="0F3F17B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bCs/>
                      <w:color w:val="000000"/>
                      <w:sz w:val="21"/>
                      <w:szCs w:val="21"/>
                      <w:lang w:val="en-US" w:eastAsia="zh-CN"/>
                    </w:rPr>
                  </w:pPr>
                  <w:r>
                    <w:rPr>
                      <w:rFonts w:hint="eastAsia" w:eastAsia="宋体"/>
                      <w:bCs/>
                      <w:color w:val="000000"/>
                      <w:sz w:val="21"/>
                      <w:szCs w:val="21"/>
                      <w:lang w:val="en-US" w:eastAsia="zh-CN"/>
                    </w:rPr>
                    <w:t>3.0</w:t>
                  </w:r>
                </w:p>
              </w:tc>
              <w:tc>
                <w:tcPr>
                  <w:tcW w:w="806" w:type="dxa"/>
                  <w:noWrap w:val="0"/>
                  <w:vAlign w:val="center"/>
                </w:tcPr>
                <w:p w14:paraId="08E65E4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eastAsia="宋体"/>
                      <w:color w:val="000000"/>
                      <w:sz w:val="21"/>
                      <w:szCs w:val="21"/>
                      <w:lang w:val="en-US" w:eastAsia="zh-CN"/>
                    </w:rPr>
                    <w:t>/</w:t>
                  </w:r>
                </w:p>
              </w:tc>
            </w:tr>
            <w:tr w14:paraId="19BF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0" w:type="dxa"/>
                  <w:gridSpan w:val="4"/>
                  <w:noWrap w:val="0"/>
                  <w:vAlign w:val="center"/>
                </w:tcPr>
                <w:p w14:paraId="2E00640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000000"/>
                      <w:sz w:val="21"/>
                      <w:szCs w:val="21"/>
                    </w:rPr>
                  </w:pPr>
                  <w:r>
                    <w:rPr>
                      <w:color w:val="000000"/>
                      <w:sz w:val="21"/>
                      <w:szCs w:val="21"/>
                    </w:rPr>
                    <w:t>环保设施</w:t>
                  </w:r>
                  <w:r>
                    <w:rPr>
                      <w:rFonts w:hint="eastAsia"/>
                      <w:color w:val="000000"/>
                      <w:sz w:val="21"/>
                      <w:szCs w:val="21"/>
                    </w:rPr>
                    <w:t>投资</w:t>
                  </w:r>
                  <w:r>
                    <w:rPr>
                      <w:color w:val="000000"/>
                      <w:sz w:val="21"/>
                      <w:szCs w:val="21"/>
                    </w:rPr>
                    <w:t>合计</w:t>
                  </w:r>
                </w:p>
              </w:tc>
              <w:tc>
                <w:tcPr>
                  <w:tcW w:w="1403" w:type="dxa"/>
                  <w:noWrap w:val="0"/>
                  <w:vAlign w:val="center"/>
                </w:tcPr>
                <w:p w14:paraId="4FA541A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eastAsia="宋体"/>
                      <w:color w:val="000000"/>
                      <w:sz w:val="21"/>
                      <w:szCs w:val="21"/>
                      <w:lang w:val="en-US" w:eastAsia="zh-CN"/>
                    </w:rPr>
                  </w:pPr>
                  <w:r>
                    <w:rPr>
                      <w:rFonts w:hint="eastAsia"/>
                      <w:color w:val="000000"/>
                      <w:sz w:val="21"/>
                      <w:szCs w:val="21"/>
                      <w:lang w:val="en-US" w:eastAsia="zh-CN"/>
                    </w:rPr>
                    <w:t>239</w:t>
                  </w:r>
                </w:p>
              </w:tc>
              <w:tc>
                <w:tcPr>
                  <w:tcW w:w="806" w:type="dxa"/>
                  <w:noWrap w:val="0"/>
                  <w:vAlign w:val="center"/>
                </w:tcPr>
                <w:p w14:paraId="7887571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000000"/>
                      <w:sz w:val="21"/>
                      <w:szCs w:val="21"/>
                    </w:rPr>
                  </w:pPr>
                  <w:r>
                    <w:rPr>
                      <w:rFonts w:hint="eastAsia"/>
                      <w:color w:val="000000"/>
                      <w:sz w:val="21"/>
                      <w:szCs w:val="21"/>
                    </w:rPr>
                    <w:t>/</w:t>
                  </w:r>
                </w:p>
              </w:tc>
            </w:tr>
          </w:tbl>
          <w:p w14:paraId="312C9088">
            <w:pPr>
              <w:pStyle w:val="63"/>
              <w:rPr>
                <w:rFonts w:hint="eastAsia" w:ascii="宋体" w:hAnsi="宋体" w:cs="宋体"/>
                <w:color w:val="000000"/>
                <w:sz w:val="24"/>
              </w:rPr>
            </w:pPr>
          </w:p>
        </w:tc>
      </w:tr>
    </w:tbl>
    <w:p w14:paraId="29D3FF91">
      <w:pPr>
        <w:pStyle w:val="27"/>
        <w:jc w:val="both"/>
        <w:outlineLvl w:val="0"/>
        <w:rPr>
          <w:rFonts w:hint="eastAsia" w:ascii="黑体" w:hAnsi="黑体" w:eastAsia="黑体"/>
          <w:snapToGrid w:val="0"/>
          <w:sz w:val="30"/>
          <w:szCs w:val="30"/>
        </w:rPr>
      </w:pPr>
    </w:p>
    <w:p w14:paraId="0CCE7474">
      <w:pPr>
        <w:pStyle w:val="46"/>
        <w:ind w:left="0" w:leftChars="0" w:firstLine="0" w:firstLineChars="0"/>
        <w:rPr>
          <w:rFonts w:hint="eastAsia" w:ascii="黑体" w:hAnsi="黑体" w:eastAsia="黑体"/>
          <w:snapToGrid w:val="0"/>
          <w:sz w:val="30"/>
          <w:szCs w:val="30"/>
        </w:rPr>
      </w:pPr>
    </w:p>
    <w:p w14:paraId="33BAD8A8">
      <w:pPr>
        <w:pStyle w:val="27"/>
        <w:jc w:val="center"/>
        <w:outlineLvl w:val="0"/>
        <w:rPr>
          <w:rFonts w:ascii="黑体" w:hAnsi="黑体" w:eastAsia="黑体"/>
          <w:snapToGrid w:val="0"/>
          <w:sz w:val="30"/>
          <w:szCs w:val="30"/>
        </w:rPr>
      </w:pPr>
      <w:bookmarkStart w:id="47" w:name="_Toc1097"/>
      <w:r>
        <w:rPr>
          <w:rFonts w:hint="eastAsia" w:ascii="黑体" w:hAnsi="黑体" w:eastAsia="黑体"/>
          <w:snapToGrid w:val="0"/>
          <w:sz w:val="30"/>
          <w:szCs w:val="30"/>
        </w:rPr>
        <w:t>五、</w:t>
      </w:r>
      <w:bookmarkStart w:id="48" w:name="_Hlk54167917"/>
      <w:r>
        <w:rPr>
          <w:rFonts w:hint="eastAsia" w:ascii="黑体" w:hAnsi="黑体" w:eastAsia="黑体"/>
          <w:snapToGrid w:val="0"/>
          <w:sz w:val="30"/>
          <w:szCs w:val="30"/>
        </w:rPr>
        <w:t>环境保护措施监督检查清单</w:t>
      </w:r>
      <w:bookmarkEnd w:id="47"/>
      <w:bookmarkEnd w:id="48"/>
    </w:p>
    <w:tbl>
      <w:tblPr>
        <w:tblStyle w:val="31"/>
        <w:tblW w:w="98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1380"/>
        <w:gridCol w:w="1425"/>
        <w:gridCol w:w="2831"/>
        <w:gridCol w:w="2655"/>
      </w:tblGrid>
      <w:tr w14:paraId="3F4BA4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3" w:type="dxa"/>
            <w:tcBorders>
              <w:tl2br w:val="single" w:color="auto" w:sz="4" w:space="0"/>
            </w:tcBorders>
            <w:noWrap w:val="0"/>
            <w:vAlign w:val="top"/>
          </w:tcPr>
          <w:p w14:paraId="38028E26">
            <w:pPr>
              <w:adjustRightInd w:val="0"/>
              <w:snapToGrid w:val="0"/>
              <w:ind w:firstLine="840"/>
              <w:rPr>
                <w:rFonts w:hint="eastAsia" w:ascii="宋体" w:hAnsi="宋体" w:cs="宋体"/>
                <w:color w:val="000000"/>
                <w:sz w:val="24"/>
                <w:szCs w:val="24"/>
              </w:rPr>
            </w:pPr>
            <w:r>
              <w:rPr>
                <w:rFonts w:hint="eastAsia" w:ascii="宋体" w:hAnsi="宋体" w:cs="宋体"/>
                <w:color w:val="000000"/>
                <w:sz w:val="24"/>
                <w:szCs w:val="24"/>
              </w:rPr>
              <w:t>内容</w:t>
            </w:r>
          </w:p>
          <w:p w14:paraId="3237E8B9">
            <w:pPr>
              <w:adjustRightInd w:val="0"/>
              <w:snapToGrid w:val="0"/>
              <w:rPr>
                <w:rFonts w:hint="eastAsia" w:ascii="宋体" w:hAnsi="宋体" w:cs="宋体"/>
                <w:color w:val="000000"/>
                <w:sz w:val="24"/>
                <w:szCs w:val="24"/>
              </w:rPr>
            </w:pPr>
            <w:r>
              <w:rPr>
                <w:rFonts w:hint="eastAsia" w:ascii="宋体" w:hAnsi="宋体" w:cs="宋体"/>
                <w:color w:val="000000"/>
                <w:sz w:val="24"/>
                <w:szCs w:val="24"/>
              </w:rPr>
              <w:t>要素</w:t>
            </w:r>
          </w:p>
        </w:tc>
        <w:tc>
          <w:tcPr>
            <w:tcW w:w="1380" w:type="dxa"/>
            <w:noWrap w:val="0"/>
            <w:vAlign w:val="center"/>
          </w:tcPr>
          <w:p w14:paraId="4CD2CDB4">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排放口</w:t>
            </w:r>
            <w:r>
              <w:rPr>
                <w:rFonts w:hint="eastAsia" w:ascii="宋体" w:hAnsi="宋体" w:cs="宋体"/>
                <w:color w:val="000000"/>
                <w:sz w:val="24"/>
                <w:szCs w:val="24"/>
                <w:lang w:eastAsia="zh-CN"/>
              </w:rPr>
              <w:t>（</w:t>
            </w:r>
            <w:r>
              <w:rPr>
                <w:rFonts w:hint="eastAsia" w:ascii="宋体" w:hAnsi="宋体" w:cs="宋体"/>
                <w:color w:val="000000"/>
                <w:sz w:val="24"/>
                <w:szCs w:val="24"/>
              </w:rPr>
              <w:t>编号、名称</w:t>
            </w:r>
            <w:r>
              <w:rPr>
                <w:rFonts w:hint="eastAsia" w:ascii="宋体" w:hAnsi="宋体" w:cs="宋体"/>
                <w:color w:val="000000"/>
                <w:sz w:val="24"/>
                <w:szCs w:val="24"/>
                <w:lang w:eastAsia="zh-CN"/>
              </w:rPr>
              <w:t>）</w:t>
            </w:r>
            <w:r>
              <w:rPr>
                <w:rFonts w:hint="eastAsia" w:ascii="宋体" w:hAnsi="宋体" w:cs="宋体"/>
                <w:color w:val="000000"/>
                <w:sz w:val="24"/>
                <w:szCs w:val="24"/>
              </w:rPr>
              <w:t>/污染源</w:t>
            </w:r>
          </w:p>
        </w:tc>
        <w:tc>
          <w:tcPr>
            <w:tcW w:w="1425" w:type="dxa"/>
            <w:noWrap w:val="0"/>
            <w:vAlign w:val="center"/>
          </w:tcPr>
          <w:p w14:paraId="08856274">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污染物项目</w:t>
            </w:r>
          </w:p>
        </w:tc>
        <w:tc>
          <w:tcPr>
            <w:tcW w:w="2831" w:type="dxa"/>
            <w:noWrap w:val="0"/>
            <w:vAlign w:val="center"/>
          </w:tcPr>
          <w:p w14:paraId="5227CAF3">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环境保护措施</w:t>
            </w:r>
          </w:p>
        </w:tc>
        <w:tc>
          <w:tcPr>
            <w:tcW w:w="2655" w:type="dxa"/>
            <w:noWrap w:val="0"/>
            <w:vAlign w:val="center"/>
          </w:tcPr>
          <w:p w14:paraId="061D5958">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执行标准</w:t>
            </w:r>
          </w:p>
        </w:tc>
      </w:tr>
      <w:tr w14:paraId="7C3D9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533" w:type="dxa"/>
            <w:vMerge w:val="restart"/>
            <w:noWrap w:val="0"/>
            <w:vAlign w:val="center"/>
          </w:tcPr>
          <w:p w14:paraId="35E7DBA9">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大气环境</w:t>
            </w:r>
          </w:p>
        </w:tc>
        <w:tc>
          <w:tcPr>
            <w:tcW w:w="1380" w:type="dxa"/>
            <w:noWrap w:val="0"/>
            <w:vAlign w:val="center"/>
          </w:tcPr>
          <w:p w14:paraId="58084F14">
            <w:pPr>
              <w:adjustRightInd w:val="0"/>
              <w:snapToGrid w:val="0"/>
              <w:jc w:val="center"/>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预碳化废气（</w:t>
            </w:r>
            <w:r>
              <w:rPr>
                <w:rFonts w:hint="default" w:ascii="Times New Roman" w:hAnsi="Times New Roman" w:cs="Times New Roman"/>
                <w:color w:val="000000"/>
                <w:sz w:val="24"/>
                <w:szCs w:val="24"/>
              </w:rPr>
              <w:t>DA001排气筒</w:t>
            </w:r>
            <w:r>
              <w:rPr>
                <w:rFonts w:hint="default" w:ascii="Times New Roman" w:hAnsi="Times New Roman" w:cs="Times New Roman"/>
                <w:color w:val="000000"/>
                <w:sz w:val="24"/>
                <w:szCs w:val="24"/>
                <w:lang w:val="en-US" w:eastAsia="zh-CN"/>
              </w:rPr>
              <w:t>）</w:t>
            </w:r>
          </w:p>
        </w:tc>
        <w:tc>
          <w:tcPr>
            <w:tcW w:w="1425" w:type="dxa"/>
            <w:noWrap w:val="0"/>
            <w:vAlign w:val="center"/>
          </w:tcPr>
          <w:p w14:paraId="60AF027A">
            <w:pPr>
              <w:pStyle w:val="106"/>
              <w:spacing w:before="65" w:line="228" w:lineRule="auto"/>
              <w:ind w:right="11"/>
              <w:jc w:val="left"/>
              <w:rPr>
                <w:rFonts w:hint="default" w:ascii="Times New Roman" w:hAnsi="Times New Roman" w:cs="Times New Roman"/>
                <w:color w:val="000000"/>
                <w:sz w:val="24"/>
                <w:szCs w:val="24"/>
                <w:lang w:eastAsia="zh-CN"/>
              </w:rPr>
            </w:pPr>
            <w:r>
              <w:rPr>
                <w:rFonts w:hint="default" w:ascii="Times New Roman" w:hAnsi="Times New Roman" w:eastAsia="Times New Roman" w:cs="Times New Roman"/>
                <w:spacing w:val="-5"/>
                <w:sz w:val="24"/>
                <w:szCs w:val="24"/>
              </w:rPr>
              <w:t>VOCs</w:t>
            </w:r>
            <w:r>
              <w:rPr>
                <w:rFonts w:hint="default" w:ascii="Times New Roman" w:hAnsi="Times New Roman" w:cs="Times New Roman"/>
                <w:spacing w:val="-5"/>
                <w:sz w:val="24"/>
                <w:szCs w:val="24"/>
              </w:rPr>
              <w:t>、颗粒物、</w:t>
            </w:r>
            <w:r>
              <w:rPr>
                <w:rFonts w:hint="default" w:ascii="Times New Roman" w:hAnsi="Times New Roman" w:eastAsia="Times New Roman" w:cs="Times New Roman"/>
                <w:sz w:val="24"/>
                <w:szCs w:val="24"/>
              </w:rPr>
              <w:t>SO</w:t>
            </w:r>
            <w:r>
              <w:rPr>
                <w:rFonts w:hint="default" w:ascii="Times New Roman" w:hAnsi="Times New Roman" w:eastAsia="Times New Roman" w:cs="Times New Roman"/>
                <w:spacing w:val="1"/>
                <w:position w:val="-1"/>
                <w:sz w:val="24"/>
                <w:szCs w:val="24"/>
                <w:vertAlign w:val="subscript"/>
              </w:rPr>
              <w:t>2</w:t>
            </w:r>
            <w:r>
              <w:rPr>
                <w:rFonts w:hint="default" w:ascii="Times New Roman" w:hAnsi="Times New Roman" w:eastAsia="Times New Roman" w:cs="Times New Roman"/>
                <w:spacing w:val="-12"/>
                <w:position w:val="-1"/>
                <w:sz w:val="24"/>
                <w:szCs w:val="24"/>
              </w:rPr>
              <w:t xml:space="preserve"> </w:t>
            </w:r>
            <w:r>
              <w:rPr>
                <w:rFonts w:hint="default" w:ascii="Times New Roman" w:hAnsi="Times New Roman" w:cs="Times New Roman"/>
                <w:spacing w:val="1"/>
                <w:sz w:val="24"/>
                <w:szCs w:val="24"/>
              </w:rPr>
              <w:t>、</w:t>
            </w:r>
            <w:r>
              <w:rPr>
                <w:rFonts w:hint="default" w:ascii="Times New Roman" w:hAnsi="Times New Roman" w:eastAsia="Times New Roman" w:cs="Times New Roman"/>
                <w:sz w:val="24"/>
                <w:szCs w:val="24"/>
              </w:rPr>
              <w:t>NOx</w:t>
            </w:r>
            <w:r>
              <w:rPr>
                <w:rFonts w:hint="default" w:ascii="Times New Roman" w:hAnsi="Times New Roman" w:eastAsia="Times New Roman" w:cs="Times New Roman"/>
                <w:spacing w:val="-26"/>
                <w:sz w:val="24"/>
                <w:szCs w:val="24"/>
              </w:rPr>
              <w:t xml:space="preserve"> </w:t>
            </w:r>
            <w:r>
              <w:rPr>
                <w:rFonts w:hint="default" w:ascii="Times New Roman" w:hAnsi="Times New Roman" w:cs="Times New Roman"/>
                <w:spacing w:val="1"/>
                <w:sz w:val="24"/>
                <w:szCs w:val="24"/>
              </w:rPr>
              <w:t>、</w:t>
            </w:r>
            <w:r>
              <w:rPr>
                <w:rFonts w:hint="default" w:ascii="Times New Roman" w:hAnsi="Times New Roman" w:cs="Times New Roman"/>
                <w:color w:val="000000"/>
                <w:sz w:val="24"/>
                <w:szCs w:val="24"/>
                <w:highlight w:val="none"/>
                <w:lang w:eastAsia="zh-CN"/>
              </w:rPr>
              <w:t>苯并[a]芘</w:t>
            </w:r>
          </w:p>
        </w:tc>
        <w:tc>
          <w:tcPr>
            <w:tcW w:w="2831" w:type="dxa"/>
            <w:noWrap w:val="0"/>
            <w:vAlign w:val="center"/>
          </w:tcPr>
          <w:p w14:paraId="00D547EE">
            <w:pPr>
              <w:jc w:val="both"/>
              <w:rPr>
                <w:rFonts w:hint="default" w:ascii="Times New Roman" w:hAnsi="Times New Roman" w:cs="Times New Roman"/>
                <w:bCs/>
                <w:color w:val="000000"/>
                <w:sz w:val="24"/>
                <w:szCs w:val="24"/>
                <w:lang w:eastAsia="zh-CN"/>
              </w:rPr>
            </w:pPr>
            <w:r>
              <w:rPr>
                <w:rFonts w:hint="default" w:ascii="Times New Roman" w:hAnsi="Times New Roman" w:eastAsia="宋体" w:cs="Times New Roman"/>
                <w:color w:val="000000"/>
                <w:sz w:val="24"/>
                <w:szCs w:val="24"/>
                <w:lang w:eastAsia="zh-CN"/>
              </w:rPr>
              <w:t>高温碳化废气采用窑内内循环燃烧，然后经隧道窑自带的抽风装置送至“降温塔+脱硫塔（双碱法脱硫）</w:t>
            </w:r>
            <w:r>
              <w:rPr>
                <w:rFonts w:hint="default" w:ascii="Times New Roman" w:hAnsi="Times New Roman" w:eastAsia="宋体" w:cs="Times New Roman"/>
                <w:color w:val="000000"/>
                <w:sz w:val="24"/>
                <w:szCs w:val="24"/>
                <w:lang w:val="en-US" w:eastAsia="zh-CN"/>
              </w:rPr>
              <w:t>+电捕焦油器</w:t>
            </w:r>
            <w:r>
              <w:rPr>
                <w:rFonts w:hint="default" w:ascii="Times New Roman" w:hAnsi="Times New Roman" w:eastAsia="宋体" w:cs="Times New Roman"/>
                <w:color w:val="000000"/>
                <w:sz w:val="24"/>
                <w:szCs w:val="24"/>
                <w:lang w:eastAsia="zh-CN"/>
              </w:rPr>
              <w:t>”处理后由1根</w:t>
            </w:r>
            <w:r>
              <w:rPr>
                <w:rFonts w:hint="default" w:ascii="Times New Roman" w:hAnsi="Times New Roman" w:eastAsia="宋体" w:cs="Times New Roman"/>
                <w:color w:val="000000"/>
                <w:sz w:val="24"/>
                <w:szCs w:val="24"/>
                <w:lang w:val="en-US" w:eastAsia="zh-CN"/>
              </w:rPr>
              <w:t>33</w:t>
            </w:r>
            <w:r>
              <w:rPr>
                <w:rFonts w:hint="default" w:ascii="Times New Roman" w:hAnsi="Times New Roman" w:eastAsia="宋体" w:cs="Times New Roman"/>
                <w:color w:val="000000"/>
                <w:sz w:val="24"/>
                <w:szCs w:val="24"/>
                <w:lang w:eastAsia="zh-CN"/>
              </w:rPr>
              <w:t>m高排气筒排放（DA002）</w:t>
            </w:r>
          </w:p>
        </w:tc>
        <w:tc>
          <w:tcPr>
            <w:tcW w:w="2655" w:type="dxa"/>
            <w:noWrap w:val="0"/>
            <w:vAlign w:val="center"/>
          </w:tcPr>
          <w:p w14:paraId="25CDC9A2">
            <w:pPr>
              <w:adjustRightInd w:val="0"/>
              <w:snapToGrid w:val="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highlight w:val="none"/>
                <w:lang w:eastAsia="zh-CN"/>
              </w:rPr>
              <w:t>沥青烟执行《工业炉窑大气污染物排放标准》（GB9078-1996）标准限值、苯并[a]芘参照《大气污染物综合排放标准》（GB16297-1996）标准限值，颗粒物、SO</w:t>
            </w:r>
            <w:r>
              <w:rPr>
                <w:rFonts w:hint="default" w:ascii="Times New Roman" w:hAnsi="Times New Roman" w:cs="Times New Roman"/>
                <w:color w:val="000000"/>
                <w:sz w:val="24"/>
                <w:szCs w:val="24"/>
                <w:highlight w:val="none"/>
                <w:vertAlign w:val="subscript"/>
                <w:lang w:eastAsia="zh-CN"/>
              </w:rPr>
              <w:t>2</w:t>
            </w:r>
            <w:r>
              <w:rPr>
                <w:rFonts w:hint="default" w:ascii="Times New Roman" w:hAnsi="Times New Roman" w:cs="Times New Roman"/>
                <w:color w:val="000000"/>
                <w:sz w:val="24"/>
                <w:szCs w:val="24"/>
                <w:highlight w:val="none"/>
                <w:lang w:eastAsia="zh-CN"/>
              </w:rPr>
              <w:t>、NOx执行《四川省工业炉窑大气污染综合治理实施清单》（川环函〔2019〕1002）限值要求，VOCs执行《四川省固定污染源大气挥发性有机物排放标准》（DB51/2377-2017）标准限值</w:t>
            </w:r>
          </w:p>
        </w:tc>
      </w:tr>
      <w:tr w14:paraId="50315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533" w:type="dxa"/>
            <w:vMerge w:val="continue"/>
            <w:noWrap w:val="0"/>
            <w:vAlign w:val="center"/>
          </w:tcPr>
          <w:p w14:paraId="6F5F95BC">
            <w:pPr>
              <w:adjustRightInd w:val="0"/>
              <w:snapToGrid w:val="0"/>
              <w:jc w:val="center"/>
              <w:rPr>
                <w:rFonts w:hint="eastAsia" w:ascii="宋体" w:hAnsi="宋体" w:cs="宋体"/>
                <w:color w:val="000000"/>
                <w:sz w:val="24"/>
                <w:szCs w:val="24"/>
              </w:rPr>
            </w:pPr>
          </w:p>
        </w:tc>
        <w:tc>
          <w:tcPr>
            <w:tcW w:w="1380" w:type="dxa"/>
            <w:noWrap w:val="0"/>
            <w:vAlign w:val="center"/>
          </w:tcPr>
          <w:p w14:paraId="3A14AF48">
            <w:pPr>
              <w:pStyle w:val="106"/>
              <w:keepNext w:val="0"/>
              <w:keepLines w:val="0"/>
              <w:pageBreakBefore w:val="0"/>
              <w:widowControl w:val="0"/>
              <w:kinsoku/>
              <w:wordWrap/>
              <w:overflowPunct/>
              <w:topLinePunct w:val="0"/>
              <w:autoSpaceDE/>
              <w:autoSpaceDN/>
              <w:bidi w:val="0"/>
              <w:adjustRightInd/>
              <w:snapToGrid/>
              <w:spacing w:line="252" w:lineRule="auto"/>
              <w:ind w:left="0" w:leftChars="0" w:right="0" w:rightChars="0" w:hanging="3" w:firstLineChars="0"/>
              <w:jc w:val="center"/>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装料粉尘、包装粉尘（DA002）</w:t>
            </w:r>
          </w:p>
        </w:tc>
        <w:tc>
          <w:tcPr>
            <w:tcW w:w="1425" w:type="dxa"/>
            <w:noWrap w:val="0"/>
            <w:vAlign w:val="center"/>
          </w:tcPr>
          <w:p w14:paraId="4C785C29">
            <w:pPr>
              <w:keepNext w:val="0"/>
              <w:keepLines w:val="0"/>
              <w:pageBreakBefore w:val="0"/>
              <w:widowControl w:val="0"/>
              <w:kinsoku/>
              <w:wordWrap/>
              <w:overflowPunct/>
              <w:topLinePunct w:val="0"/>
              <w:autoSpaceDE/>
              <w:autoSpaceDN/>
              <w:bidi w:val="0"/>
              <w:adjustRightInd/>
              <w:snapToGrid/>
              <w:spacing w:line="243" w:lineRule="auto"/>
              <w:ind w:left="0" w:right="0"/>
              <w:jc w:val="center"/>
              <w:textAlignment w:val="auto"/>
              <w:rPr>
                <w:rFonts w:hint="default" w:ascii="Times New Roman" w:hAnsi="Times New Roman" w:eastAsia="宋体" w:cs="Times New Roman"/>
                <w:color w:val="000000"/>
                <w:kern w:val="2"/>
                <w:sz w:val="24"/>
                <w:szCs w:val="24"/>
                <w:lang w:val="en-US" w:eastAsia="zh-CN" w:bidi="ar-SA"/>
              </w:rPr>
            </w:pPr>
          </w:p>
          <w:p w14:paraId="4069BD00">
            <w:pPr>
              <w:pStyle w:val="106"/>
              <w:keepNext w:val="0"/>
              <w:keepLines w:val="0"/>
              <w:pageBreakBefore w:val="0"/>
              <w:widowControl w:val="0"/>
              <w:kinsoku/>
              <w:wordWrap/>
              <w:overflowPunct/>
              <w:topLinePunct w:val="0"/>
              <w:autoSpaceDE/>
              <w:autoSpaceDN/>
              <w:bidi w:val="0"/>
              <w:adjustRightInd/>
              <w:snapToGrid/>
              <w:spacing w:line="228" w:lineRule="auto"/>
              <w:ind w:left="0" w:right="0"/>
              <w:jc w:val="center"/>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颗粒物</w:t>
            </w:r>
          </w:p>
        </w:tc>
        <w:tc>
          <w:tcPr>
            <w:tcW w:w="2831" w:type="dxa"/>
            <w:noWrap w:val="0"/>
            <w:vAlign w:val="center"/>
          </w:tcPr>
          <w:p w14:paraId="1047DAD9">
            <w:pPr>
              <w:pStyle w:val="106"/>
              <w:spacing w:before="35" w:line="239" w:lineRule="auto"/>
              <w:ind w:left="168" w:leftChars="0" w:right="156" w:rightChars="0" w:firstLine="1" w:firstLineChars="0"/>
              <w:jc w:val="center"/>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 xml:space="preserve">经管道收集进入自带袋式除尘器处理后经1 根 </w:t>
            </w:r>
            <w:r>
              <w:rPr>
                <w:rFonts w:hint="eastAsia" w:ascii="Times New Roman" w:hAnsi="Times New Roman" w:eastAsia="宋体" w:cs="Times New Roman"/>
                <w:color w:val="000000"/>
                <w:kern w:val="2"/>
                <w:sz w:val="24"/>
                <w:szCs w:val="24"/>
                <w:lang w:val="en-US" w:eastAsia="zh-CN" w:bidi="ar-SA"/>
              </w:rPr>
              <w:t>15</w:t>
            </w:r>
            <w:r>
              <w:rPr>
                <w:rFonts w:hint="default" w:ascii="Times New Roman" w:hAnsi="Times New Roman" w:eastAsia="宋体" w:cs="Times New Roman"/>
                <w:color w:val="000000"/>
                <w:kern w:val="2"/>
                <w:sz w:val="24"/>
                <w:szCs w:val="24"/>
                <w:lang w:val="en-US" w:eastAsia="zh-CN" w:bidi="ar-SA"/>
              </w:rPr>
              <w:t>m排气筒排放</w:t>
            </w:r>
          </w:p>
        </w:tc>
        <w:tc>
          <w:tcPr>
            <w:tcW w:w="2655" w:type="dxa"/>
            <w:noWrap w:val="0"/>
            <w:vAlign w:val="center"/>
          </w:tcPr>
          <w:p w14:paraId="74782B68">
            <w:pPr>
              <w:pStyle w:val="106"/>
              <w:spacing w:before="36" w:line="228" w:lineRule="auto"/>
              <w:jc w:val="center"/>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《大气污染物综合排放标准》（GB16297- 1996）</w:t>
            </w:r>
          </w:p>
        </w:tc>
      </w:tr>
      <w:tr w14:paraId="2B9322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533" w:type="dxa"/>
            <w:vMerge w:val="restart"/>
            <w:noWrap w:val="0"/>
            <w:vAlign w:val="center"/>
          </w:tcPr>
          <w:p w14:paraId="4C340ABF">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地表水环境</w:t>
            </w:r>
          </w:p>
        </w:tc>
        <w:tc>
          <w:tcPr>
            <w:tcW w:w="1380" w:type="dxa"/>
            <w:noWrap w:val="0"/>
            <w:vAlign w:val="center"/>
          </w:tcPr>
          <w:p w14:paraId="3EB115DF">
            <w:pPr>
              <w:ind w:left="-42" w:leftChars="-20" w:right="-42" w:rightChars="-20"/>
              <w:jc w:val="center"/>
              <w:rPr>
                <w:rFonts w:hint="eastAsia" w:eastAsia="宋体"/>
                <w:color w:val="000000"/>
                <w:sz w:val="24"/>
                <w:szCs w:val="24"/>
                <w:lang w:eastAsia="zh-CN"/>
              </w:rPr>
            </w:pPr>
            <w:r>
              <w:rPr>
                <w:rFonts w:hint="eastAsia"/>
                <w:color w:val="000000"/>
                <w:sz w:val="24"/>
                <w:szCs w:val="24"/>
                <w:lang w:eastAsia="zh-CN"/>
              </w:rPr>
              <w:t>生活污水</w:t>
            </w:r>
          </w:p>
        </w:tc>
        <w:tc>
          <w:tcPr>
            <w:tcW w:w="1425" w:type="dxa"/>
            <w:noWrap w:val="0"/>
            <w:vAlign w:val="center"/>
          </w:tcPr>
          <w:p w14:paraId="440F6CB3">
            <w:pPr>
              <w:adjustRightInd w:val="0"/>
              <w:snapToGrid w:val="0"/>
              <w:jc w:val="center"/>
              <w:rPr>
                <w:rFonts w:hint="eastAsia" w:ascii="宋体" w:hAnsi="宋体" w:eastAsia="宋体" w:cs="宋体"/>
                <w:color w:val="000000"/>
                <w:sz w:val="24"/>
                <w:szCs w:val="24"/>
                <w:lang w:eastAsia="zh-CN"/>
              </w:rPr>
            </w:pPr>
            <w:r>
              <w:rPr>
                <w:rFonts w:hint="default" w:ascii="Times New Roman" w:hAnsi="Times New Roman" w:cs="Times New Roman"/>
                <w:color w:val="000000"/>
                <w:sz w:val="24"/>
                <w:szCs w:val="24"/>
                <w:lang w:val="en-US" w:eastAsia="zh-CN"/>
              </w:rPr>
              <w:t>pH、</w:t>
            </w:r>
            <w:r>
              <w:rPr>
                <w:rFonts w:hint="default" w:ascii="Times New Roman" w:hAnsi="Times New Roman" w:cs="Times New Roman"/>
                <w:color w:val="000000"/>
                <w:sz w:val="24"/>
                <w:szCs w:val="24"/>
              </w:rPr>
              <w:t>COD</w:t>
            </w:r>
            <w:r>
              <w:rPr>
                <w:rFonts w:hint="default" w:ascii="Times New Roman" w:hAnsi="Times New Roman" w:cs="Times New Roman"/>
                <w:color w:val="000000"/>
                <w:sz w:val="24"/>
                <w:szCs w:val="24"/>
                <w:vertAlign w:val="subscript"/>
              </w:rPr>
              <w:t>Cr</w:t>
            </w:r>
            <w:r>
              <w:rPr>
                <w:rFonts w:hint="default" w:ascii="Times New Roman" w:hAnsi="Times New Roman" w:cs="Times New Roman"/>
                <w:color w:val="000000"/>
                <w:sz w:val="24"/>
                <w:szCs w:val="24"/>
              </w:rPr>
              <w:t>、BOD</w:t>
            </w:r>
            <w:r>
              <w:rPr>
                <w:rFonts w:hint="default" w:ascii="Times New Roman" w:hAnsi="Times New Roman" w:cs="Times New Roman"/>
                <w:color w:val="000000"/>
                <w:sz w:val="24"/>
                <w:szCs w:val="24"/>
                <w:vertAlign w:val="subscript"/>
              </w:rPr>
              <w:t>5</w:t>
            </w:r>
            <w:r>
              <w:rPr>
                <w:rFonts w:hint="default" w:ascii="Times New Roman" w:hAnsi="Times New Roman" w:cs="Times New Roman"/>
                <w:color w:val="000000"/>
                <w:sz w:val="24"/>
                <w:szCs w:val="24"/>
              </w:rPr>
              <w:t>、SS、氨氮</w:t>
            </w:r>
            <w:r>
              <w:rPr>
                <w:rFonts w:hint="default" w:ascii="Times New Roman" w:hAnsi="Times New Roman" w:cs="Times New Roman"/>
                <w:color w:val="000000"/>
                <w:sz w:val="24"/>
                <w:szCs w:val="24"/>
                <w:lang w:eastAsia="zh-CN"/>
              </w:rPr>
              <w:t>、动植物油、总磷</w:t>
            </w:r>
            <w:r>
              <w:rPr>
                <w:rFonts w:hint="eastAsia" w:ascii="Times New Roman" w:hAnsi="Times New Roman" w:cs="Times New Roman"/>
                <w:color w:val="000000"/>
                <w:sz w:val="24"/>
                <w:szCs w:val="24"/>
                <w:lang w:eastAsia="zh-CN"/>
              </w:rPr>
              <w:t>等</w:t>
            </w:r>
          </w:p>
        </w:tc>
        <w:tc>
          <w:tcPr>
            <w:tcW w:w="2831" w:type="dxa"/>
            <w:noWrap w:val="0"/>
            <w:vAlign w:val="center"/>
          </w:tcPr>
          <w:p w14:paraId="3ACB2829">
            <w:pPr>
              <w:ind w:right="-42" w:rightChars="-20"/>
              <w:rPr>
                <w:rFonts w:hint="eastAsia" w:eastAsia="宋体"/>
                <w:color w:val="000000"/>
                <w:sz w:val="24"/>
                <w:szCs w:val="24"/>
                <w:lang w:eastAsia="zh-CN"/>
              </w:rPr>
            </w:pPr>
            <w:r>
              <w:rPr>
                <w:rFonts w:hint="eastAsia"/>
                <w:color w:val="000000"/>
                <w:sz w:val="24"/>
                <w:szCs w:val="24"/>
                <w:lang w:eastAsia="zh-CN"/>
              </w:rPr>
              <w:t>食堂废水经隔油池处理后与生活污水进入已建预处理池处理</w:t>
            </w:r>
          </w:p>
        </w:tc>
        <w:tc>
          <w:tcPr>
            <w:tcW w:w="2655" w:type="dxa"/>
            <w:noWrap w:val="0"/>
            <w:vAlign w:val="center"/>
          </w:tcPr>
          <w:p w14:paraId="40BE6100">
            <w:pPr>
              <w:adjustRightInd w:val="0"/>
              <w:snapToGrid w:val="0"/>
              <w:jc w:val="center"/>
              <w:rPr>
                <w:rFonts w:hint="default" w:ascii="宋体" w:hAnsi="宋体" w:eastAsia="宋体" w:cs="宋体"/>
                <w:color w:val="000000"/>
                <w:sz w:val="24"/>
                <w:szCs w:val="24"/>
                <w:lang w:val="en-US" w:eastAsia="zh-CN"/>
              </w:rPr>
            </w:pPr>
            <w:r>
              <w:rPr>
                <w:rFonts w:hint="eastAsia"/>
                <w:color w:val="000000"/>
                <w:sz w:val="24"/>
                <w:szCs w:val="24"/>
              </w:rPr>
              <w:t>《污水综合排放标准》（GB8978-</w:t>
            </w:r>
            <w:r>
              <w:rPr>
                <w:rFonts w:hint="eastAsia"/>
                <w:color w:val="000000"/>
                <w:sz w:val="24"/>
                <w:szCs w:val="24"/>
                <w:lang w:val="en-US" w:eastAsia="zh-CN"/>
              </w:rPr>
              <w:t>19</w:t>
            </w:r>
            <w:r>
              <w:rPr>
                <w:rFonts w:hint="eastAsia"/>
                <w:color w:val="000000"/>
                <w:sz w:val="24"/>
                <w:szCs w:val="24"/>
              </w:rPr>
              <w:t>96）三级标准，NH</w:t>
            </w:r>
            <w:r>
              <w:rPr>
                <w:rFonts w:hint="eastAsia"/>
                <w:color w:val="000000"/>
                <w:sz w:val="24"/>
                <w:szCs w:val="24"/>
                <w:vertAlign w:val="subscript"/>
              </w:rPr>
              <w:t>3</w:t>
            </w:r>
            <w:r>
              <w:rPr>
                <w:rFonts w:hint="eastAsia"/>
                <w:color w:val="000000"/>
                <w:sz w:val="24"/>
                <w:szCs w:val="24"/>
              </w:rPr>
              <w:t>-N、TP参照执行《污水排入城镇下水道水质标准》（GB/T31962-2015）</w:t>
            </w:r>
          </w:p>
        </w:tc>
      </w:tr>
      <w:tr w14:paraId="723310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533" w:type="dxa"/>
            <w:vMerge w:val="continue"/>
            <w:noWrap w:val="0"/>
            <w:vAlign w:val="center"/>
          </w:tcPr>
          <w:p w14:paraId="211F5DE9">
            <w:pPr>
              <w:adjustRightInd w:val="0"/>
              <w:snapToGrid w:val="0"/>
              <w:jc w:val="center"/>
              <w:rPr>
                <w:rFonts w:hint="eastAsia" w:ascii="宋体" w:hAnsi="宋体" w:cs="宋体"/>
                <w:color w:val="000000"/>
                <w:sz w:val="24"/>
                <w:szCs w:val="24"/>
              </w:rPr>
            </w:pPr>
          </w:p>
        </w:tc>
        <w:tc>
          <w:tcPr>
            <w:tcW w:w="1380" w:type="dxa"/>
            <w:noWrap w:val="0"/>
            <w:vAlign w:val="center"/>
          </w:tcPr>
          <w:p w14:paraId="5445F1A6">
            <w:pPr>
              <w:ind w:left="-42" w:leftChars="-20" w:right="-42" w:rightChars="-20"/>
              <w:jc w:val="center"/>
              <w:rPr>
                <w:rFonts w:hint="eastAsia"/>
                <w:color w:val="000000"/>
                <w:sz w:val="24"/>
                <w:szCs w:val="24"/>
                <w:lang w:eastAsia="zh-CN"/>
              </w:rPr>
            </w:pPr>
            <w:r>
              <w:rPr>
                <w:rFonts w:hint="eastAsia"/>
                <w:color w:val="000000"/>
                <w:sz w:val="24"/>
                <w:szCs w:val="24"/>
                <w:lang w:eastAsia="zh-CN"/>
              </w:rPr>
              <w:t>生产废水</w:t>
            </w:r>
          </w:p>
        </w:tc>
        <w:tc>
          <w:tcPr>
            <w:tcW w:w="1425" w:type="dxa"/>
            <w:noWrap w:val="0"/>
            <w:vAlign w:val="center"/>
          </w:tcPr>
          <w:p w14:paraId="503446DE">
            <w:pPr>
              <w:adjustRightInd w:val="0"/>
              <w:snapToGrid w:val="0"/>
              <w:jc w:val="center"/>
              <w:rPr>
                <w:rFonts w:hint="eastAsia" w:ascii="宋体" w:hAnsi="宋体" w:eastAsia="宋体" w:cs="宋体"/>
                <w:color w:val="000000"/>
                <w:sz w:val="24"/>
                <w:szCs w:val="24"/>
                <w:lang w:val="en-US" w:eastAsia="zh-CN"/>
              </w:rPr>
            </w:pPr>
            <w:r>
              <w:rPr>
                <w:rFonts w:hint="default" w:ascii="Times New Roman" w:hAnsi="Times New Roman" w:cs="Times New Roman"/>
                <w:color w:val="000000"/>
                <w:sz w:val="24"/>
                <w:szCs w:val="24"/>
                <w:lang w:val="en-US" w:eastAsia="zh-CN"/>
              </w:rPr>
              <w:t>pH、</w:t>
            </w:r>
            <w:r>
              <w:rPr>
                <w:rFonts w:hint="default" w:ascii="Times New Roman" w:hAnsi="Times New Roman" w:cs="Times New Roman"/>
                <w:color w:val="000000"/>
                <w:sz w:val="24"/>
                <w:szCs w:val="24"/>
              </w:rPr>
              <w:t>COD</w:t>
            </w:r>
            <w:r>
              <w:rPr>
                <w:rFonts w:hint="default" w:ascii="Times New Roman" w:hAnsi="Times New Roman" w:cs="Times New Roman"/>
                <w:color w:val="000000"/>
                <w:sz w:val="24"/>
                <w:szCs w:val="24"/>
                <w:vertAlign w:val="subscript"/>
              </w:rPr>
              <w:t>Cr</w:t>
            </w:r>
            <w:r>
              <w:rPr>
                <w:rFonts w:hint="default" w:ascii="Times New Roman" w:hAnsi="Times New Roman" w:cs="Times New Roman"/>
                <w:color w:val="000000"/>
                <w:sz w:val="24"/>
                <w:szCs w:val="24"/>
              </w:rPr>
              <w:t>、BOD</w:t>
            </w:r>
            <w:r>
              <w:rPr>
                <w:rFonts w:hint="default" w:ascii="Times New Roman" w:hAnsi="Times New Roman" w:cs="Times New Roman"/>
                <w:color w:val="000000"/>
                <w:sz w:val="24"/>
                <w:szCs w:val="24"/>
                <w:vertAlign w:val="subscript"/>
              </w:rPr>
              <w:t>5</w:t>
            </w:r>
            <w:r>
              <w:rPr>
                <w:rFonts w:hint="default" w:ascii="Times New Roman" w:hAnsi="Times New Roman" w:cs="Times New Roman"/>
                <w:color w:val="000000"/>
                <w:sz w:val="24"/>
                <w:szCs w:val="24"/>
              </w:rPr>
              <w:t>、SS</w:t>
            </w:r>
            <w:r>
              <w:rPr>
                <w:rFonts w:hint="eastAsia" w:ascii="Times New Roman" w:hAnsi="Times New Roman" w:cs="Times New Roman"/>
                <w:color w:val="000000"/>
                <w:sz w:val="24"/>
                <w:szCs w:val="24"/>
                <w:lang w:eastAsia="zh-CN"/>
              </w:rPr>
              <w:t>等</w:t>
            </w:r>
          </w:p>
        </w:tc>
        <w:tc>
          <w:tcPr>
            <w:tcW w:w="2831" w:type="dxa"/>
            <w:noWrap w:val="0"/>
            <w:vAlign w:val="center"/>
          </w:tcPr>
          <w:p w14:paraId="0B1BDF5E">
            <w:pPr>
              <w:ind w:right="-42" w:rightChars="-20"/>
              <w:rPr>
                <w:rFonts w:hint="eastAsia"/>
                <w:color w:val="000000"/>
                <w:sz w:val="24"/>
                <w:szCs w:val="24"/>
                <w:lang w:eastAsia="zh-CN"/>
              </w:rPr>
            </w:pPr>
            <w:r>
              <w:rPr>
                <w:rFonts w:hint="eastAsia"/>
                <w:color w:val="000000"/>
                <w:sz w:val="24"/>
                <w:szCs w:val="24"/>
              </w:rPr>
              <w:t>冷却塔</w:t>
            </w:r>
            <w:r>
              <w:rPr>
                <w:rFonts w:hint="eastAsia"/>
                <w:color w:val="000000"/>
                <w:sz w:val="24"/>
                <w:szCs w:val="24"/>
                <w:lang w:eastAsia="zh-CN"/>
              </w:rPr>
              <w:t>定期排污水经沉淀池处理后回用于脱硫塔补充用水，不外排。</w:t>
            </w:r>
          </w:p>
        </w:tc>
        <w:tc>
          <w:tcPr>
            <w:tcW w:w="2655" w:type="dxa"/>
            <w:noWrap w:val="0"/>
            <w:vAlign w:val="center"/>
          </w:tcPr>
          <w:p w14:paraId="0FF06FE1">
            <w:pPr>
              <w:adjustRightInd w:val="0"/>
              <w:snapToGrid w:val="0"/>
              <w:jc w:val="center"/>
              <w:rPr>
                <w:rFonts w:hint="default" w:eastAsia="宋体"/>
                <w:color w:val="000000"/>
                <w:sz w:val="24"/>
                <w:szCs w:val="24"/>
                <w:lang w:val="en-US" w:eastAsia="zh-CN"/>
              </w:rPr>
            </w:pPr>
            <w:r>
              <w:rPr>
                <w:rFonts w:hint="eastAsia"/>
                <w:color w:val="000000"/>
                <w:sz w:val="24"/>
                <w:szCs w:val="24"/>
                <w:lang w:val="en-US" w:eastAsia="zh-CN"/>
              </w:rPr>
              <w:t>/</w:t>
            </w:r>
          </w:p>
        </w:tc>
      </w:tr>
      <w:tr w14:paraId="177296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3" w:type="dxa"/>
            <w:noWrap w:val="0"/>
            <w:vAlign w:val="center"/>
          </w:tcPr>
          <w:p w14:paraId="7CC1A100">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声环境</w:t>
            </w:r>
          </w:p>
        </w:tc>
        <w:tc>
          <w:tcPr>
            <w:tcW w:w="1380" w:type="dxa"/>
            <w:noWrap w:val="0"/>
            <w:vAlign w:val="center"/>
          </w:tcPr>
          <w:p w14:paraId="7187AF2C">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设备噪声</w:t>
            </w:r>
          </w:p>
        </w:tc>
        <w:tc>
          <w:tcPr>
            <w:tcW w:w="1425" w:type="dxa"/>
            <w:noWrap w:val="0"/>
            <w:vAlign w:val="center"/>
          </w:tcPr>
          <w:p w14:paraId="64EE2006">
            <w:pPr>
              <w:adjustRightInd w:val="0"/>
              <w:snapToGrid w:val="0"/>
              <w:jc w:val="center"/>
              <w:rPr>
                <w:rFonts w:ascii="宋体" w:hAnsi="宋体" w:cs="宋体"/>
                <w:color w:val="000000"/>
                <w:sz w:val="24"/>
                <w:szCs w:val="24"/>
              </w:rPr>
            </w:pPr>
            <w:r>
              <w:rPr>
                <w:rFonts w:hint="eastAsia" w:ascii="宋体" w:hAnsi="宋体" w:cs="宋体"/>
                <w:color w:val="000000"/>
                <w:sz w:val="24"/>
                <w:szCs w:val="24"/>
              </w:rPr>
              <w:t>昼间</w:t>
            </w:r>
            <w:r>
              <w:rPr>
                <w:rFonts w:hint="eastAsia" w:ascii="宋体" w:hAnsi="宋体" w:cs="宋体"/>
                <w:color w:val="000000"/>
                <w:sz w:val="24"/>
                <w:szCs w:val="24"/>
                <w:lang w:eastAsia="zh-CN"/>
              </w:rPr>
              <w:t>、夜间</w:t>
            </w:r>
            <w:r>
              <w:rPr>
                <w:rFonts w:hint="eastAsia" w:ascii="宋体" w:hAnsi="宋体" w:cs="宋体"/>
                <w:color w:val="000000"/>
                <w:sz w:val="24"/>
                <w:szCs w:val="24"/>
              </w:rPr>
              <w:t>等效连续A声级</w:t>
            </w:r>
          </w:p>
        </w:tc>
        <w:tc>
          <w:tcPr>
            <w:tcW w:w="2831" w:type="dxa"/>
            <w:noWrap w:val="0"/>
            <w:vAlign w:val="center"/>
          </w:tcPr>
          <w:p w14:paraId="3BF49F00">
            <w:pPr>
              <w:adjustRightInd w:val="0"/>
              <w:snapToGrid w:val="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厂房隔声、选用低噪声设备、基座减</w:t>
            </w:r>
            <w:r>
              <w:rPr>
                <w:rFonts w:hint="default" w:ascii="Times New Roman" w:hAnsi="Times New Roman" w:cs="Times New Roman"/>
                <w:color w:val="000000"/>
                <w:sz w:val="24"/>
                <w:szCs w:val="24"/>
                <w:lang w:eastAsia="zh-CN"/>
              </w:rPr>
              <w:t>振</w:t>
            </w:r>
            <w:r>
              <w:rPr>
                <w:rFonts w:hint="default" w:ascii="Times New Roman" w:hAnsi="Times New Roman" w:cs="Times New Roman"/>
                <w:color w:val="000000"/>
                <w:sz w:val="24"/>
                <w:szCs w:val="24"/>
              </w:rPr>
              <w:t>，合理布置声源位置、加强设备维护保养。</w:t>
            </w:r>
          </w:p>
        </w:tc>
        <w:tc>
          <w:tcPr>
            <w:tcW w:w="2655" w:type="dxa"/>
            <w:noWrap w:val="0"/>
            <w:vAlign w:val="center"/>
          </w:tcPr>
          <w:p w14:paraId="15A32C4F">
            <w:pPr>
              <w:adjustRightInd w:val="0"/>
              <w:snapToGrid w:val="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《工业企业厂界环境噪声排放标准》（GB12348-2008）中</w:t>
            </w:r>
            <w:r>
              <w:rPr>
                <w:rFonts w:hint="default" w:ascii="Times New Roman" w:hAnsi="Times New Roman" w:cs="Times New Roman"/>
                <w:color w:val="000000"/>
                <w:sz w:val="24"/>
                <w:szCs w:val="24"/>
                <w:lang w:val="en-US" w:eastAsia="zh-CN"/>
              </w:rPr>
              <w:t>3</w:t>
            </w:r>
            <w:r>
              <w:rPr>
                <w:rFonts w:hint="default" w:ascii="Times New Roman" w:hAnsi="Times New Roman" w:cs="Times New Roman"/>
                <w:color w:val="000000"/>
                <w:sz w:val="24"/>
                <w:szCs w:val="24"/>
              </w:rPr>
              <w:t>类标准要求</w:t>
            </w:r>
          </w:p>
        </w:tc>
      </w:tr>
      <w:tr w14:paraId="4E5E9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3" w:type="dxa"/>
            <w:noWrap w:val="0"/>
            <w:vAlign w:val="center"/>
          </w:tcPr>
          <w:p w14:paraId="1BFC23CC">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电磁辐射</w:t>
            </w:r>
          </w:p>
        </w:tc>
        <w:tc>
          <w:tcPr>
            <w:tcW w:w="1380" w:type="dxa"/>
            <w:noWrap w:val="0"/>
            <w:vAlign w:val="center"/>
          </w:tcPr>
          <w:p w14:paraId="32671530">
            <w:pPr>
              <w:adjustRightInd w:val="0"/>
              <w:snapToGrid w:val="0"/>
              <w:jc w:val="center"/>
              <w:rPr>
                <w:rFonts w:ascii="宋体" w:hAnsi="宋体" w:cs="宋体"/>
                <w:color w:val="000000"/>
                <w:sz w:val="24"/>
                <w:szCs w:val="24"/>
              </w:rPr>
            </w:pPr>
            <w:r>
              <w:rPr>
                <w:rFonts w:hint="eastAsia" w:ascii="宋体" w:hAnsi="宋体" w:cs="宋体"/>
                <w:color w:val="000000"/>
                <w:sz w:val="24"/>
                <w:szCs w:val="24"/>
              </w:rPr>
              <w:t>/</w:t>
            </w:r>
          </w:p>
        </w:tc>
        <w:tc>
          <w:tcPr>
            <w:tcW w:w="1425" w:type="dxa"/>
            <w:noWrap w:val="0"/>
            <w:vAlign w:val="center"/>
          </w:tcPr>
          <w:p w14:paraId="2872079A">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w:t>
            </w:r>
          </w:p>
        </w:tc>
        <w:tc>
          <w:tcPr>
            <w:tcW w:w="2831" w:type="dxa"/>
            <w:noWrap w:val="0"/>
            <w:vAlign w:val="center"/>
          </w:tcPr>
          <w:p w14:paraId="5E20804B">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w:t>
            </w:r>
          </w:p>
        </w:tc>
        <w:tc>
          <w:tcPr>
            <w:tcW w:w="2655" w:type="dxa"/>
            <w:noWrap w:val="0"/>
            <w:vAlign w:val="center"/>
          </w:tcPr>
          <w:p w14:paraId="54814A32">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w:t>
            </w:r>
          </w:p>
        </w:tc>
      </w:tr>
      <w:tr w14:paraId="4EC3AB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533" w:type="dxa"/>
            <w:noWrap w:val="0"/>
            <w:vAlign w:val="center"/>
          </w:tcPr>
          <w:p w14:paraId="4730BE3F">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固体废物</w:t>
            </w:r>
          </w:p>
        </w:tc>
        <w:tc>
          <w:tcPr>
            <w:tcW w:w="8291" w:type="dxa"/>
            <w:gridSpan w:val="4"/>
            <w:noWrap w:val="0"/>
            <w:vAlign w:val="center"/>
          </w:tcPr>
          <w:p w14:paraId="7FF50F91">
            <w:pPr>
              <w:pStyle w:val="5"/>
              <w:spacing w:line="240" w:lineRule="auto"/>
              <w:ind w:firstLine="0"/>
              <w:rPr>
                <w:rFonts w:hint="eastAsia"/>
                <w:bCs/>
                <w:color w:val="000000"/>
                <w:sz w:val="24"/>
                <w:szCs w:val="24"/>
                <w:lang w:eastAsia="zh-CN"/>
              </w:rPr>
            </w:pPr>
            <w:r>
              <w:rPr>
                <w:rFonts w:hint="eastAsia"/>
                <w:b/>
                <w:color w:val="000000"/>
                <w:sz w:val="24"/>
                <w:szCs w:val="24"/>
                <w:lang w:eastAsia="zh-CN"/>
              </w:rPr>
              <w:t>一</w:t>
            </w:r>
            <w:r>
              <w:rPr>
                <w:b/>
                <w:color w:val="000000"/>
                <w:sz w:val="24"/>
                <w:szCs w:val="24"/>
              </w:rPr>
              <w:t>般固废：</w:t>
            </w:r>
            <w:r>
              <w:rPr>
                <w:rFonts w:hint="eastAsia"/>
                <w:b/>
                <w:color w:val="000000"/>
                <w:sz w:val="24"/>
                <w:szCs w:val="24"/>
                <w:lang w:val="en-US" w:eastAsia="zh-CN"/>
              </w:rPr>
              <w:t>依托</w:t>
            </w:r>
            <w:r>
              <w:rPr>
                <w:rFonts w:hint="eastAsia"/>
                <w:bCs/>
                <w:color w:val="000000"/>
                <w:sz w:val="24"/>
                <w:szCs w:val="24"/>
                <w:lang w:val="en-US" w:eastAsia="zh-CN"/>
              </w:rPr>
              <w:t>已建1处</w:t>
            </w:r>
            <w:r>
              <w:rPr>
                <w:rFonts w:hint="eastAsia"/>
                <w:bCs/>
                <w:color w:val="000000"/>
                <w:sz w:val="24"/>
                <w:szCs w:val="24"/>
                <w:lang w:eastAsia="zh-CN"/>
              </w:rPr>
              <w:t>一般固废暂存间，建筑面积约为</w:t>
            </w:r>
            <w:r>
              <w:rPr>
                <w:rFonts w:hint="eastAsia"/>
                <w:bCs/>
                <w:color w:val="000000"/>
                <w:sz w:val="24"/>
                <w:szCs w:val="24"/>
                <w:lang w:val="en-US" w:eastAsia="zh-CN"/>
              </w:rPr>
              <w:t>20</w:t>
            </w:r>
            <w:r>
              <w:rPr>
                <w:rFonts w:hint="eastAsia"/>
                <w:bCs/>
                <w:color w:val="000000"/>
                <w:sz w:val="24"/>
                <w:szCs w:val="24"/>
                <w:lang w:eastAsia="zh-CN"/>
              </w:rPr>
              <w:t>m</w:t>
            </w:r>
            <w:r>
              <w:rPr>
                <w:rFonts w:hint="eastAsia"/>
                <w:bCs/>
                <w:color w:val="000000"/>
                <w:sz w:val="24"/>
                <w:szCs w:val="24"/>
                <w:vertAlign w:val="superscript"/>
                <w:lang w:eastAsia="zh-CN"/>
              </w:rPr>
              <w:t>2</w:t>
            </w:r>
            <w:r>
              <w:rPr>
                <w:rFonts w:hint="eastAsia"/>
                <w:bCs/>
                <w:color w:val="000000"/>
                <w:sz w:val="24"/>
                <w:szCs w:val="24"/>
                <w:lang w:eastAsia="zh-CN"/>
              </w:rPr>
              <w:t>。</w:t>
            </w:r>
          </w:p>
          <w:p w14:paraId="4F9B9128">
            <w:pPr>
              <w:pStyle w:val="21"/>
              <w:jc w:val="both"/>
              <w:rPr>
                <w:rFonts w:hint="eastAsia"/>
                <w:color w:val="000000"/>
                <w:sz w:val="24"/>
                <w:szCs w:val="24"/>
              </w:rPr>
            </w:pPr>
            <w:r>
              <w:rPr>
                <w:rFonts w:hint="eastAsia" w:ascii="宋体" w:hAnsi="宋体" w:eastAsia="宋体" w:cs="宋体"/>
                <w:b/>
                <w:color w:val="000000"/>
                <w:sz w:val="24"/>
                <w:szCs w:val="24"/>
              </w:rPr>
              <w:t>危险废物：</w:t>
            </w:r>
            <w:r>
              <w:rPr>
                <w:rFonts w:hint="eastAsia" w:ascii="Times New Roman" w:hAnsi="Times New Roman" w:eastAsia="宋体" w:cs="Times New Roman"/>
                <w:bCs/>
                <w:color w:val="000000"/>
                <w:kern w:val="2"/>
                <w:sz w:val="24"/>
                <w:szCs w:val="24"/>
                <w:lang w:val="en-US" w:eastAsia="zh-CN" w:bidi="ar-SA"/>
              </w:rPr>
              <w:t>依托已建1个危废暂存间，占地面积为25m</w:t>
            </w:r>
            <w:r>
              <w:rPr>
                <w:rFonts w:hint="eastAsia" w:ascii="Times New Roman" w:hAnsi="Times New Roman" w:eastAsia="宋体" w:cs="Times New Roman"/>
                <w:bCs/>
                <w:color w:val="000000"/>
                <w:kern w:val="2"/>
                <w:sz w:val="24"/>
                <w:szCs w:val="24"/>
                <w:vertAlign w:val="superscript"/>
                <w:lang w:val="en-US" w:eastAsia="zh-CN" w:bidi="ar-SA"/>
              </w:rPr>
              <w:t>2</w:t>
            </w:r>
            <w:r>
              <w:rPr>
                <w:rFonts w:hint="eastAsia" w:ascii="Times New Roman" w:hAnsi="Times New Roman" w:eastAsia="宋体" w:cs="Times New Roman"/>
                <w:bCs/>
                <w:color w:val="000000"/>
                <w:kern w:val="2"/>
                <w:sz w:val="24"/>
                <w:szCs w:val="24"/>
                <w:lang w:val="en-US" w:eastAsia="zh-CN" w:bidi="ar-SA"/>
              </w:rPr>
              <w:t>，铺设2mm厚高密度聚乙烯膜进行防渗处理、设置防渗漏托盘。项目产生的危废分类收集后，存放于危废暂存间内，定期交由有资质的单位处置。</w:t>
            </w:r>
          </w:p>
        </w:tc>
      </w:tr>
      <w:tr w14:paraId="2646F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533" w:type="dxa"/>
            <w:noWrap w:val="0"/>
            <w:vAlign w:val="center"/>
          </w:tcPr>
          <w:p w14:paraId="73BB6179">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土壤及地下水污染防治措施</w:t>
            </w:r>
          </w:p>
        </w:tc>
        <w:tc>
          <w:tcPr>
            <w:tcW w:w="8291" w:type="dxa"/>
            <w:gridSpan w:val="4"/>
            <w:noWrap w:val="0"/>
            <w:vAlign w:val="center"/>
          </w:tcPr>
          <w:p w14:paraId="2D6F0C52">
            <w:pPr>
              <w:keepNext w:val="0"/>
              <w:keepLines w:val="0"/>
              <w:pageBreakBefore w:val="0"/>
              <w:widowControl w:val="0"/>
              <w:kinsoku/>
              <w:wordWrap/>
              <w:overflowPunct/>
              <w:topLinePunct w:val="0"/>
              <w:autoSpaceDE/>
              <w:autoSpaceDN/>
              <w:bidi w:val="0"/>
              <w:adjustRightInd/>
              <w:snapToGrid/>
              <w:textAlignment w:val="auto"/>
              <w:rPr>
                <w:rFonts w:hint="eastAsia"/>
                <w:color w:val="000000"/>
                <w:sz w:val="24"/>
                <w:szCs w:val="24"/>
              </w:rPr>
            </w:pPr>
            <w:r>
              <w:rPr>
                <w:rFonts w:hint="eastAsia"/>
                <w:b/>
                <w:bCs/>
                <w:color w:val="000000"/>
                <w:sz w:val="24"/>
                <w:szCs w:val="24"/>
              </w:rPr>
              <w:t>重点防渗区：</w:t>
            </w:r>
            <w:r>
              <w:rPr>
                <w:rFonts w:hint="eastAsia"/>
                <w:color w:val="000000"/>
                <w:sz w:val="24"/>
                <w:szCs w:val="24"/>
                <w:lang w:eastAsia="zh-CN"/>
              </w:rPr>
              <w:t>危废暂存间</w:t>
            </w:r>
            <w:r>
              <w:rPr>
                <w:rFonts w:hint="default"/>
                <w:color w:val="000000"/>
                <w:sz w:val="24"/>
                <w:szCs w:val="24"/>
                <w:lang w:eastAsia="zh-CN"/>
              </w:rPr>
              <w:t>采取“防渗混凝土层+2mm厚高密度聚乙烯膜”进行防渗</w:t>
            </w:r>
            <w:r>
              <w:rPr>
                <w:rFonts w:hint="eastAsia"/>
                <w:color w:val="000000"/>
                <w:sz w:val="24"/>
                <w:szCs w:val="24"/>
                <w:lang w:eastAsia="zh-CN"/>
              </w:rPr>
              <w:t>，</w:t>
            </w:r>
            <w:r>
              <w:rPr>
                <w:rFonts w:hint="eastAsia"/>
                <w:color w:val="000000"/>
                <w:sz w:val="24"/>
                <w:szCs w:val="24"/>
                <w:lang w:val="en-US" w:eastAsia="zh-CN"/>
              </w:rPr>
              <w:t>沉淀循环</w:t>
            </w:r>
            <w:r>
              <w:rPr>
                <w:rFonts w:hint="eastAsia"/>
                <w:color w:val="000000"/>
                <w:sz w:val="24"/>
                <w:szCs w:val="24"/>
                <w:lang w:eastAsia="zh-CN"/>
              </w:rPr>
              <w:t>沉淀池、事故废水收集池采用C30 防渗混凝土</w:t>
            </w:r>
            <w:r>
              <w:rPr>
                <w:rFonts w:hint="eastAsia"/>
                <w:color w:val="000000"/>
                <w:sz w:val="24"/>
                <w:szCs w:val="24"/>
                <w:lang w:val="en-US" w:eastAsia="zh-CN"/>
              </w:rPr>
              <w:t>+池体采用防腐涂料做防腐处理；</w:t>
            </w:r>
            <w:r>
              <w:rPr>
                <w:rFonts w:hint="default" w:ascii="Times New Roman" w:hAnsi="Times New Roman" w:cs="Times New Roman"/>
                <w:color w:val="000000"/>
                <w:sz w:val="24"/>
                <w:szCs w:val="24"/>
              </w:rPr>
              <w:t>等效黏土层Mb≥6.0m、渗透系数K≤1.0×10</w:t>
            </w:r>
            <w:r>
              <w:rPr>
                <w:rFonts w:hint="default" w:ascii="Times New Roman" w:hAnsi="Times New Roman" w:cs="Times New Roman"/>
                <w:color w:val="000000"/>
                <w:sz w:val="24"/>
                <w:szCs w:val="24"/>
                <w:vertAlign w:val="superscript"/>
              </w:rPr>
              <w:t>-7</w:t>
            </w:r>
            <w:r>
              <w:rPr>
                <w:rFonts w:hint="default" w:ascii="Times New Roman" w:hAnsi="Times New Roman" w:cs="Times New Roman"/>
                <w:color w:val="000000"/>
                <w:sz w:val="24"/>
                <w:szCs w:val="24"/>
              </w:rPr>
              <w:t>cm/s，其中危废暂存间渗透系数不大于10</w:t>
            </w:r>
            <w:r>
              <w:rPr>
                <w:rFonts w:hint="default" w:ascii="Times New Roman" w:hAnsi="Times New Roman" w:cs="Times New Roman"/>
                <w:color w:val="000000"/>
                <w:sz w:val="24"/>
                <w:szCs w:val="24"/>
                <w:vertAlign w:val="superscript"/>
              </w:rPr>
              <w:t>-10</w:t>
            </w:r>
            <w:r>
              <w:rPr>
                <w:rFonts w:hint="default" w:ascii="Times New Roman" w:hAnsi="Times New Roman" w:cs="Times New Roman"/>
                <w:color w:val="000000"/>
                <w:sz w:val="24"/>
                <w:szCs w:val="24"/>
              </w:rPr>
              <w:t>cm/s，或其他防渗性能等效的材料</w:t>
            </w:r>
            <w:r>
              <w:rPr>
                <w:rFonts w:hint="eastAsia" w:ascii="Times New Roman" w:hAnsi="Times New Roman" w:cs="Times New Roman"/>
                <w:color w:val="000000"/>
                <w:sz w:val="24"/>
                <w:szCs w:val="24"/>
                <w:lang w:eastAsia="zh-CN"/>
              </w:rPr>
              <w:t>。</w:t>
            </w:r>
          </w:p>
          <w:p w14:paraId="566F69B8">
            <w:pPr>
              <w:adjustRightInd w:val="0"/>
              <w:snapToGrid w:val="0"/>
              <w:rPr>
                <w:rFonts w:hint="eastAsia" w:eastAsia="宋体"/>
                <w:color w:val="000000"/>
                <w:sz w:val="24"/>
                <w:szCs w:val="24"/>
                <w:lang w:eastAsia="zh-CN"/>
              </w:rPr>
            </w:pPr>
            <w:r>
              <w:rPr>
                <w:b/>
                <w:bCs/>
                <w:color w:val="000000"/>
                <w:sz w:val="24"/>
                <w:szCs w:val="24"/>
              </w:rPr>
              <w:t>一般防渗区：</w:t>
            </w:r>
            <w:r>
              <w:rPr>
                <w:color w:val="000000"/>
                <w:sz w:val="24"/>
                <w:szCs w:val="24"/>
              </w:rPr>
              <w:t>除重点防渗、简单防渗区以外的区域采用防渗混凝土进行防渗，确保防渗层能够达到等效黏土防渗层 Mb≧1.5m，K≤10</w:t>
            </w:r>
            <w:r>
              <w:rPr>
                <w:color w:val="000000"/>
                <w:sz w:val="24"/>
                <w:szCs w:val="24"/>
                <w:vertAlign w:val="superscript"/>
              </w:rPr>
              <w:t>-7</w:t>
            </w:r>
            <w:r>
              <w:rPr>
                <w:color w:val="000000"/>
                <w:sz w:val="24"/>
                <w:szCs w:val="24"/>
              </w:rPr>
              <w:t>cm/s 的要求</w:t>
            </w:r>
            <w:r>
              <w:rPr>
                <w:rFonts w:hint="eastAsia"/>
                <w:color w:val="000000"/>
                <w:sz w:val="24"/>
                <w:szCs w:val="24"/>
                <w:lang w:eastAsia="zh-CN"/>
              </w:rPr>
              <w:t>。</w:t>
            </w:r>
          </w:p>
          <w:p w14:paraId="6FE320EB">
            <w:pPr>
              <w:adjustRightInd w:val="0"/>
              <w:snapToGrid w:val="0"/>
              <w:rPr>
                <w:rFonts w:hint="eastAsia" w:ascii="宋体" w:hAnsi="宋体" w:cs="宋体"/>
                <w:b w:val="0"/>
                <w:bCs w:val="0"/>
                <w:color w:val="000000"/>
                <w:sz w:val="24"/>
                <w:szCs w:val="24"/>
              </w:rPr>
            </w:pPr>
            <w:r>
              <w:rPr>
                <w:b/>
                <w:bCs/>
                <w:color w:val="000000"/>
                <w:sz w:val="24"/>
                <w:szCs w:val="24"/>
              </w:rPr>
              <w:t>简单防渗区：</w:t>
            </w:r>
            <w:r>
              <w:rPr>
                <w:color w:val="000000"/>
                <w:sz w:val="24"/>
                <w:szCs w:val="24"/>
              </w:rPr>
              <w:t>办公区域采取水泥硬化措施</w:t>
            </w:r>
            <w:r>
              <w:rPr>
                <w:rFonts w:hint="eastAsia"/>
                <w:color w:val="000000"/>
                <w:sz w:val="24"/>
                <w:szCs w:val="24"/>
              </w:rPr>
              <w:t>。</w:t>
            </w:r>
          </w:p>
        </w:tc>
      </w:tr>
      <w:tr w14:paraId="391AEF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33" w:type="dxa"/>
            <w:noWrap w:val="0"/>
            <w:vAlign w:val="center"/>
          </w:tcPr>
          <w:p w14:paraId="668FF634">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生态保护措施</w:t>
            </w:r>
          </w:p>
        </w:tc>
        <w:tc>
          <w:tcPr>
            <w:tcW w:w="8291" w:type="dxa"/>
            <w:gridSpan w:val="4"/>
            <w:noWrap w:val="0"/>
            <w:vAlign w:val="center"/>
          </w:tcPr>
          <w:p w14:paraId="18FC2725">
            <w:pPr>
              <w:adjustRightInd w:val="0"/>
              <w:snapToGrid w:val="0"/>
              <w:jc w:val="center"/>
              <w:rPr>
                <w:rFonts w:hint="eastAsia" w:ascii="宋体" w:hAnsi="宋体" w:cs="宋体"/>
                <w:color w:val="000000"/>
                <w:sz w:val="24"/>
                <w:szCs w:val="24"/>
              </w:rPr>
            </w:pPr>
            <w:r>
              <w:rPr>
                <w:rFonts w:hint="eastAsia" w:ascii="宋体" w:hAnsi="宋体" w:cs="宋体"/>
                <w:color w:val="000000"/>
                <w:sz w:val="24"/>
                <w:szCs w:val="24"/>
              </w:rPr>
              <w:t>不涉及生态环境保护目标</w:t>
            </w:r>
          </w:p>
        </w:tc>
      </w:tr>
      <w:tr w14:paraId="697F1E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533" w:type="dxa"/>
            <w:noWrap w:val="0"/>
            <w:vAlign w:val="center"/>
          </w:tcPr>
          <w:p w14:paraId="2116C1BC">
            <w:pPr>
              <w:adjustRightInd w:val="0"/>
              <w:snapToGrid w:val="0"/>
              <w:rPr>
                <w:rFonts w:hint="default" w:ascii="Times New Roman" w:hAnsi="Times New Roman" w:cs="Times New Roman"/>
                <w:color w:val="000000"/>
                <w:spacing w:val="-8"/>
                <w:sz w:val="24"/>
                <w:szCs w:val="24"/>
              </w:rPr>
            </w:pPr>
            <w:r>
              <w:rPr>
                <w:rFonts w:hint="default" w:ascii="Times New Roman" w:hAnsi="Times New Roman" w:cs="Times New Roman"/>
                <w:color w:val="000000"/>
                <w:spacing w:val="-8"/>
                <w:sz w:val="24"/>
                <w:szCs w:val="24"/>
              </w:rPr>
              <w:t>环境风险</w:t>
            </w:r>
          </w:p>
          <w:p w14:paraId="7882F5D6">
            <w:pPr>
              <w:adjustRightInd w:val="0"/>
              <w:snapToGrid w:val="0"/>
              <w:rPr>
                <w:rFonts w:hint="default" w:ascii="Times New Roman" w:hAnsi="Times New Roman" w:cs="Times New Roman"/>
                <w:color w:val="000000"/>
                <w:spacing w:val="-8"/>
                <w:sz w:val="24"/>
                <w:szCs w:val="24"/>
              </w:rPr>
            </w:pPr>
            <w:r>
              <w:rPr>
                <w:rFonts w:hint="default" w:ascii="Times New Roman" w:hAnsi="Times New Roman" w:cs="Times New Roman"/>
                <w:color w:val="000000"/>
                <w:spacing w:val="-8"/>
                <w:sz w:val="24"/>
                <w:szCs w:val="24"/>
              </w:rPr>
              <w:t>防范措施</w:t>
            </w:r>
          </w:p>
        </w:tc>
        <w:tc>
          <w:tcPr>
            <w:tcW w:w="8291" w:type="dxa"/>
            <w:gridSpan w:val="4"/>
            <w:noWrap w:val="0"/>
            <w:vAlign w:val="center"/>
          </w:tcPr>
          <w:p w14:paraId="4A021FC5">
            <w:pPr>
              <w:widowControl/>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厂区设置</w:t>
            </w:r>
            <w:r>
              <w:rPr>
                <w:rFonts w:hint="default" w:ascii="Times New Roman" w:hAnsi="Times New Roman" w:cs="Times New Roman"/>
                <w:color w:val="000000"/>
                <w:sz w:val="24"/>
                <w:szCs w:val="24"/>
                <w:lang w:eastAsia="zh-CN"/>
              </w:rPr>
              <w:t>了</w:t>
            </w:r>
            <w:r>
              <w:rPr>
                <w:rFonts w:hint="default" w:ascii="Times New Roman" w:hAnsi="Times New Roman" w:cs="Times New Roman"/>
                <w:color w:val="000000"/>
                <w:sz w:val="24"/>
                <w:szCs w:val="24"/>
              </w:rPr>
              <w:t>1座</w:t>
            </w:r>
            <w:r>
              <w:rPr>
                <w:rFonts w:hint="default" w:ascii="Times New Roman" w:hAnsi="Times New Roman" w:cs="Times New Roman"/>
                <w:color w:val="000000"/>
                <w:sz w:val="24"/>
                <w:szCs w:val="24"/>
                <w:lang w:val="en-US" w:eastAsia="zh-CN"/>
              </w:rPr>
              <w:t>300</w:t>
            </w:r>
            <w:r>
              <w:rPr>
                <w:rFonts w:hint="default" w:ascii="Times New Roman" w:hAnsi="Times New Roman" w:cs="Times New Roman"/>
                <w:color w:val="000000"/>
                <w:sz w:val="24"/>
                <w:szCs w:val="24"/>
              </w:rPr>
              <w:t>m</w:t>
            </w:r>
            <w:r>
              <w:rPr>
                <w:rFonts w:hint="default" w:ascii="Times New Roman" w:hAnsi="Times New Roman" w:cs="Times New Roman"/>
                <w:color w:val="000000"/>
                <w:sz w:val="24"/>
                <w:szCs w:val="24"/>
                <w:vertAlign w:val="superscript"/>
              </w:rPr>
              <w:t>3</w:t>
            </w:r>
            <w:r>
              <w:rPr>
                <w:rFonts w:hint="default" w:ascii="Times New Roman" w:hAnsi="Times New Roman" w:cs="Times New Roman"/>
                <w:color w:val="000000"/>
                <w:sz w:val="24"/>
                <w:szCs w:val="24"/>
              </w:rPr>
              <w:t>事故废水收集池，编制突发环境事件应急预案等风险防范措施。</w:t>
            </w:r>
          </w:p>
        </w:tc>
      </w:tr>
      <w:tr w14:paraId="02B4A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9" w:hRule="atLeast"/>
          <w:jc w:val="center"/>
        </w:trPr>
        <w:tc>
          <w:tcPr>
            <w:tcW w:w="1533" w:type="dxa"/>
            <w:noWrap w:val="0"/>
            <w:vAlign w:val="top"/>
          </w:tcPr>
          <w:p w14:paraId="5E1C3BDA">
            <w:pPr>
              <w:adjustRightInd w:val="0"/>
              <w:snapToGrid w:val="0"/>
              <w:rPr>
                <w:rFonts w:ascii="宋体" w:hAnsi="宋体" w:cs="宋体"/>
                <w:color w:val="000000"/>
                <w:spacing w:val="-8"/>
                <w:sz w:val="24"/>
                <w:szCs w:val="24"/>
              </w:rPr>
            </w:pPr>
            <w:r>
              <w:rPr>
                <w:rFonts w:hint="eastAsia" w:ascii="宋体" w:hAnsi="宋体" w:cs="宋体"/>
                <w:color w:val="000000"/>
                <w:spacing w:val="-8"/>
                <w:sz w:val="24"/>
                <w:szCs w:val="24"/>
              </w:rPr>
              <w:t>其他环境</w:t>
            </w:r>
          </w:p>
          <w:p w14:paraId="4794B4FD">
            <w:pPr>
              <w:adjustRightInd w:val="0"/>
              <w:snapToGrid w:val="0"/>
              <w:rPr>
                <w:rFonts w:hint="eastAsia" w:ascii="宋体" w:hAnsi="宋体" w:cs="宋体"/>
                <w:color w:val="000000"/>
                <w:spacing w:val="-8"/>
                <w:sz w:val="24"/>
                <w:szCs w:val="24"/>
              </w:rPr>
            </w:pPr>
            <w:r>
              <w:rPr>
                <w:rFonts w:hint="eastAsia" w:ascii="宋体" w:hAnsi="宋体" w:cs="宋体"/>
                <w:color w:val="000000"/>
                <w:spacing w:val="-8"/>
                <w:sz w:val="24"/>
                <w:szCs w:val="24"/>
              </w:rPr>
              <w:t>管理要求</w:t>
            </w:r>
          </w:p>
        </w:tc>
        <w:tc>
          <w:tcPr>
            <w:tcW w:w="8291" w:type="dxa"/>
            <w:gridSpan w:val="4"/>
            <w:noWrap w:val="0"/>
            <w:vAlign w:val="top"/>
          </w:tcPr>
          <w:p w14:paraId="049A53AB">
            <w:pPr>
              <w:numPr>
                <w:ilvl w:val="0"/>
                <w:numId w:val="0"/>
              </w:numPr>
              <w:adjustRightInd w:val="0"/>
              <w:snapToGrid w:val="0"/>
              <w:spacing w:line="360" w:lineRule="auto"/>
              <w:ind w:left="482" w:leftChars="0"/>
              <w:rPr>
                <w:rFonts w:hint="default" w:ascii="Times New Roman" w:hAnsi="Times New Roman" w:cs="Times New Roman"/>
                <w:b/>
                <w:bCs/>
                <w:color w:val="000000"/>
                <w:sz w:val="24"/>
                <w:szCs w:val="24"/>
              </w:rPr>
            </w:pPr>
            <w:r>
              <w:rPr>
                <w:rFonts w:hint="eastAsia" w:ascii="Times New Roman" w:hAnsi="Times New Roman" w:cs="Times New Roman"/>
                <w:b/>
                <w:bCs/>
                <w:color w:val="000000"/>
                <w:sz w:val="24"/>
                <w:szCs w:val="24"/>
                <w:lang w:val="en-US" w:eastAsia="zh-CN"/>
              </w:rPr>
              <w:t>1.</w:t>
            </w:r>
            <w:r>
              <w:rPr>
                <w:rFonts w:hint="default" w:ascii="Times New Roman" w:hAnsi="Times New Roman" w:cs="Times New Roman"/>
                <w:b/>
                <w:bCs/>
                <w:color w:val="000000"/>
                <w:sz w:val="24"/>
                <w:szCs w:val="24"/>
              </w:rPr>
              <w:t>排污口规范化</w:t>
            </w:r>
          </w:p>
          <w:p w14:paraId="48D194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（1）排污口规范化管理</w:t>
            </w:r>
          </w:p>
          <w:p w14:paraId="240C004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根据原国家环境保护总局制定的《&lt;环境保护图形标志&gt;实施细则</w:t>
            </w:r>
            <w:r>
              <w:rPr>
                <w:rFonts w:hint="default" w:ascii="Times New Roman" w:hAnsi="Times New Roman" w:cs="Times New Roman"/>
                <w:b w:val="0"/>
                <w:bCs w:val="0"/>
                <w:color w:val="000000"/>
                <w:sz w:val="24"/>
                <w:szCs w:val="24"/>
                <w:lang w:eastAsia="zh-CN"/>
              </w:rPr>
              <w:t>（</w:t>
            </w:r>
            <w:r>
              <w:rPr>
                <w:rFonts w:hint="default" w:ascii="Times New Roman" w:hAnsi="Times New Roman" w:cs="Times New Roman"/>
                <w:b w:val="0"/>
                <w:bCs w:val="0"/>
                <w:color w:val="000000"/>
                <w:sz w:val="24"/>
                <w:szCs w:val="24"/>
              </w:rPr>
              <w:t>试行</w:t>
            </w:r>
            <w:r>
              <w:rPr>
                <w:rFonts w:hint="default" w:ascii="Times New Roman" w:hAnsi="Times New Roman" w:cs="Times New Roman"/>
                <w:b w:val="0"/>
                <w:bCs w:val="0"/>
                <w:color w:val="000000"/>
                <w:sz w:val="24"/>
                <w:szCs w:val="24"/>
                <w:lang w:eastAsia="zh-CN"/>
              </w:rPr>
              <w:t>）</w:t>
            </w:r>
            <w:r>
              <w:rPr>
                <w:rFonts w:hint="default" w:ascii="Times New Roman" w:hAnsi="Times New Roman" w:cs="Times New Roman"/>
                <w:b w:val="0"/>
                <w:bCs w:val="0"/>
                <w:color w:val="000000"/>
                <w:sz w:val="24"/>
                <w:szCs w:val="24"/>
              </w:rPr>
              <w:t>》（环监〔1996〕463号）、《关于开展排放口规范化整治工作的通知》（环发〔1999〕24号）以及《环境保护图形标志 排放口（源）》GB 15562.1-1995的规定：</w:t>
            </w:r>
          </w:p>
          <w:p w14:paraId="294A1D2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a废气、废水、噪声排放口、固体废物贮存场所应进行规范化设计，在各排污口设立相应的环境保护图形标志牌，具备采样、监测条件。</w:t>
            </w:r>
          </w:p>
          <w:p w14:paraId="6BE172C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b排污口应符合“一明显、二合理、三便于”的要求，即环保标志明显，排污口设置合理，排污去向合理，便于采集样品，便于监测计量，便于公众监督管理。</w:t>
            </w:r>
          </w:p>
          <w:p w14:paraId="3E6C739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c一切新建、扩建、改建和限期治理的排污单位必须在建设污染治理设施的同时建设规范化排放口，并作为落实环境保护“三同时”制度的必要组成部分和项目验收的内容之一。</w:t>
            </w:r>
          </w:p>
          <w:p w14:paraId="439277A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（2）排污口标志管理</w:t>
            </w:r>
          </w:p>
          <w:p w14:paraId="779F00F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排污单位必须负责规范化的有关环保</w:t>
            </w:r>
            <w:r>
              <w:rPr>
                <w:rFonts w:hint="default" w:ascii="Times New Roman" w:hAnsi="Times New Roman" w:cs="Times New Roman"/>
                <w:b w:val="0"/>
                <w:bCs w:val="0"/>
                <w:color w:val="000000"/>
                <w:sz w:val="24"/>
                <w:szCs w:val="24"/>
                <w:lang w:eastAsia="zh-CN"/>
              </w:rPr>
              <w:t>设施</w:t>
            </w:r>
            <w:r>
              <w:rPr>
                <w:rFonts w:hint="default" w:ascii="Times New Roman" w:hAnsi="Times New Roman" w:cs="Times New Roman"/>
                <w:b w:val="0"/>
                <w:bCs w:val="0"/>
                <w:color w:val="000000"/>
                <w:sz w:val="24"/>
                <w:szCs w:val="24"/>
              </w:rPr>
              <w:t>（如图形标志牌、计量装置、监控装置等）日常的维护保养，任何单位和个人不得擅自拆除，如需变更的须报环境</w:t>
            </w:r>
            <w:r>
              <w:rPr>
                <w:rFonts w:hint="eastAsia" w:ascii="Times New Roman" w:hAnsi="Times New Roman" w:cs="Times New Roman"/>
                <w:b w:val="0"/>
                <w:bCs w:val="0"/>
                <w:color w:val="000000"/>
                <w:sz w:val="24"/>
                <w:szCs w:val="24"/>
                <w:lang w:eastAsia="zh-CN"/>
              </w:rPr>
              <w:t>管理</w:t>
            </w:r>
            <w:r>
              <w:rPr>
                <w:rFonts w:hint="default" w:ascii="Times New Roman" w:hAnsi="Times New Roman" w:cs="Times New Roman"/>
                <w:b w:val="0"/>
                <w:bCs w:val="0"/>
                <w:color w:val="000000"/>
                <w:sz w:val="24"/>
                <w:szCs w:val="24"/>
              </w:rPr>
              <w:t>部门同意并办理变更手续。</w:t>
            </w:r>
          </w:p>
          <w:p w14:paraId="2214D95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sz w:val="24"/>
                <w:szCs w:val="24"/>
                <w:lang w:val="en-US" w:eastAsia="zh-CN"/>
              </w:rPr>
            </w:pPr>
            <w:r>
              <w:rPr>
                <w:rFonts w:hint="eastAsia" w:ascii="Times New Roman" w:hAnsi="Times New Roman" w:cs="Times New Roman"/>
                <w:b/>
                <w:bCs/>
                <w:color w:val="000000"/>
                <w:sz w:val="24"/>
                <w:szCs w:val="24"/>
                <w:lang w:val="en-US" w:eastAsia="zh-CN"/>
              </w:rPr>
              <w:t>2.</w:t>
            </w:r>
            <w:r>
              <w:rPr>
                <w:rFonts w:hint="default" w:ascii="Times New Roman" w:hAnsi="Times New Roman" w:cs="Times New Roman"/>
                <w:b/>
                <w:bCs/>
                <w:color w:val="000000"/>
                <w:sz w:val="24"/>
                <w:szCs w:val="24"/>
                <w:lang w:val="en-US" w:eastAsia="zh-CN"/>
              </w:rPr>
              <w:t>环境管理台账及信息公开</w:t>
            </w:r>
          </w:p>
          <w:p w14:paraId="46DBD3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（1）环境管理台账记录要求</w:t>
            </w:r>
          </w:p>
          <w:p w14:paraId="61BB27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①一般原则</w:t>
            </w:r>
          </w:p>
          <w:p w14:paraId="7D503AA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排污单位应建立环境管理台账制度，落实环境管理台账记录的责任部门和责任人，明确工作职责，包括台账的记录、整理、维护和管理等，并对环境管理台账的真实性、完整性和规范性负责。一般按日或按批次进行记录，异常情况应按次记录。</w:t>
            </w:r>
          </w:p>
          <w:p w14:paraId="18605E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台账应当按照电子化储存和纸质储存两种形式同步管理。台账保存期限不得少于五年。</w:t>
            </w:r>
          </w:p>
          <w:p w14:paraId="5AC638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排污单位排污许可证台账应真实记录排污单位基本信息、生产设施和污染防治设施信息，其中，生产设施信息包括生产设施基本信息和生产设施运行管理信息，污染防治设施信息包括污染防治设施基本信息、污染治理措施运行管理信息、监测记录信息、其他环境管理信息等内容。</w:t>
            </w:r>
          </w:p>
          <w:p w14:paraId="30C844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②基本信息</w:t>
            </w:r>
          </w:p>
          <w:p w14:paraId="3608CF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包括排污单位名称、生产经营场所地址、行业类别、法定代表人、统一社会信用代码、环保投资情况、环境影响评价审批意见文号、排污许可证编号等。</w:t>
            </w:r>
          </w:p>
          <w:p w14:paraId="59FA42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③生产设施信息</w:t>
            </w:r>
          </w:p>
          <w:p w14:paraId="765B42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生产设施信息包括生产设施基本信息和生产设施运行管理信息。</w:t>
            </w:r>
          </w:p>
          <w:p w14:paraId="4829C8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生产设施基本信息应记录设施名称、编码、生产负荷等。</w:t>
            </w:r>
          </w:p>
          <w:p w14:paraId="519E9B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生产设施运行管理信息应记录产品、原辅料及燃料信息。其中，生产设施信息按天记录，原辅料及燃料信息按批次记录。</w:t>
            </w:r>
          </w:p>
          <w:p w14:paraId="799DD6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生产设施信息记录内容应包括主要生产设施的设施编码、生产负荷、主要产品产能和实际产品产量等；原辅料和燃料信息记录应包括原料、燃料、辅料和能源的消耗量；排污单位可根据管理要求增加需要记录的管理信息要求。</w:t>
            </w:r>
          </w:p>
          <w:p w14:paraId="5EE174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（2）信息公开</w:t>
            </w:r>
          </w:p>
          <w:p w14:paraId="640898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根据《建设项目环境影响评价信息公开机制方案</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企业事业单位环境信息公开办法》中的相关规定，本项目建设单位应当向社会公开以下信息：</w:t>
            </w:r>
          </w:p>
          <w:p w14:paraId="7D3B4E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①基础信息，包括单位名称、组织机构代码、法定代表人、生产地址、联系方式，以及生产经营和管理服务的主要内容、产品及规模；</w:t>
            </w:r>
          </w:p>
          <w:p w14:paraId="77B391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②排污信息，包括主要污染物及特征污染物的名称、排放方式、排放总量、超标情况，以及执行的污染物排放标准；</w:t>
            </w:r>
          </w:p>
          <w:p w14:paraId="345107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③防治污染设施的建设和运行情况；</w:t>
            </w:r>
          </w:p>
          <w:p w14:paraId="611CBB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④建设项目环境影响评价及其他环境保护行政许可情况。</w:t>
            </w:r>
          </w:p>
          <w:p w14:paraId="36CF5395">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default" w:ascii="Times New Roman" w:hAnsi="Times New Roman" w:eastAsia="宋体" w:cs="Times New Roman"/>
                <w:b/>
                <w:bCs/>
                <w:color w:val="000000"/>
                <w:sz w:val="24"/>
                <w:szCs w:val="24"/>
                <w:lang w:val="en-US" w:eastAsia="zh-CN"/>
              </w:rPr>
            </w:pPr>
            <w:r>
              <w:rPr>
                <w:rFonts w:hint="eastAsia" w:ascii="Times New Roman" w:hAnsi="Times New Roman" w:cs="Times New Roman"/>
                <w:b/>
                <w:bCs/>
                <w:color w:val="000000"/>
                <w:sz w:val="24"/>
                <w:szCs w:val="24"/>
                <w:lang w:val="en-US" w:eastAsia="zh-CN"/>
              </w:rPr>
              <w:t>3.</w:t>
            </w:r>
            <w:r>
              <w:rPr>
                <w:rFonts w:hint="default" w:ascii="Times New Roman" w:hAnsi="Times New Roman" w:cs="Times New Roman"/>
                <w:b/>
                <w:bCs/>
                <w:color w:val="000000"/>
                <w:sz w:val="24"/>
                <w:szCs w:val="24"/>
                <w:lang w:val="en-US" w:eastAsia="zh-CN"/>
              </w:rPr>
              <w:t>竣工验收</w:t>
            </w:r>
          </w:p>
          <w:p w14:paraId="782EC8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sz w:val="24"/>
                <w:szCs w:val="24"/>
                <w:lang w:eastAsia="zh-CN"/>
              </w:rPr>
            </w:pPr>
            <w:r>
              <w:rPr>
                <w:rFonts w:hint="default" w:ascii="Times New Roman" w:hAnsi="Times New Roman" w:cs="Times New Roman"/>
                <w:color w:val="000000"/>
                <w:sz w:val="24"/>
                <w:szCs w:val="24"/>
              </w:rPr>
              <w:t>建设单位应按照生态环境部＜关于发布《建设项目竣工环境保护验收技术指南污染影响类》的公告＞（公告 2018 年第 9 号）及《建设项目竣工环境保护验收暂行办法》（国环规环评〔2017〕4 号）要求，对项目进行验收</w:t>
            </w:r>
            <w:r>
              <w:rPr>
                <w:rFonts w:hint="default" w:ascii="Times New Roman" w:hAnsi="Times New Roman" w:cs="Times New Roman"/>
                <w:color w:val="000000"/>
                <w:sz w:val="24"/>
                <w:szCs w:val="24"/>
                <w:lang w:eastAsia="zh-CN"/>
              </w:rPr>
              <w:t>。</w:t>
            </w:r>
          </w:p>
          <w:p w14:paraId="319BB35F">
            <w:pPr>
              <w:jc w:val="center"/>
              <w:rPr>
                <w:rFonts w:hint="default" w:ascii="Times New Roman" w:hAnsi="Times New Roman" w:cs="Times New Roman"/>
                <w:color w:val="000000"/>
                <w:sz w:val="24"/>
                <w:szCs w:val="24"/>
              </w:rPr>
            </w:pPr>
          </w:p>
          <w:p w14:paraId="5B5AB4D6">
            <w:pPr>
              <w:jc w:val="center"/>
              <w:rPr>
                <w:rFonts w:hint="default" w:ascii="Times New Roman" w:hAnsi="Times New Roman" w:cs="Times New Roman"/>
                <w:color w:val="000000"/>
                <w:sz w:val="24"/>
                <w:szCs w:val="24"/>
              </w:rPr>
            </w:pPr>
          </w:p>
          <w:p w14:paraId="14E22AE8">
            <w:pPr>
              <w:jc w:val="center"/>
              <w:rPr>
                <w:rFonts w:hint="default" w:ascii="Times New Roman" w:hAnsi="Times New Roman" w:cs="Times New Roman"/>
                <w:color w:val="000000"/>
                <w:sz w:val="24"/>
                <w:szCs w:val="24"/>
              </w:rPr>
            </w:pPr>
          </w:p>
          <w:p w14:paraId="172C155B">
            <w:pPr>
              <w:jc w:val="center"/>
              <w:rPr>
                <w:rFonts w:hint="default" w:ascii="Times New Roman" w:hAnsi="Times New Roman" w:cs="Times New Roman"/>
                <w:color w:val="000000"/>
                <w:sz w:val="24"/>
                <w:szCs w:val="24"/>
              </w:rPr>
            </w:pPr>
          </w:p>
          <w:p w14:paraId="5261685F">
            <w:pPr>
              <w:jc w:val="center"/>
              <w:rPr>
                <w:rFonts w:hint="default" w:ascii="Times New Roman" w:hAnsi="Times New Roman" w:cs="Times New Roman"/>
                <w:color w:val="000000"/>
                <w:sz w:val="24"/>
                <w:szCs w:val="24"/>
              </w:rPr>
            </w:pPr>
          </w:p>
          <w:p w14:paraId="7D1D87B4">
            <w:pPr>
              <w:jc w:val="center"/>
              <w:rPr>
                <w:rFonts w:hint="default" w:ascii="Times New Roman" w:hAnsi="Times New Roman" w:cs="Times New Roman"/>
                <w:color w:val="000000"/>
                <w:sz w:val="24"/>
                <w:szCs w:val="24"/>
              </w:rPr>
            </w:pPr>
          </w:p>
          <w:p w14:paraId="68F1C9CF">
            <w:pPr>
              <w:jc w:val="center"/>
              <w:rPr>
                <w:rFonts w:hint="default" w:ascii="Times New Roman" w:hAnsi="Times New Roman" w:cs="Times New Roman"/>
                <w:color w:val="000000"/>
                <w:sz w:val="24"/>
                <w:szCs w:val="24"/>
              </w:rPr>
            </w:pPr>
          </w:p>
          <w:p w14:paraId="78D2793D">
            <w:pPr>
              <w:jc w:val="center"/>
              <w:rPr>
                <w:rFonts w:hint="default" w:ascii="Times New Roman" w:hAnsi="Times New Roman" w:cs="Times New Roman"/>
                <w:color w:val="000000"/>
                <w:sz w:val="24"/>
                <w:szCs w:val="24"/>
              </w:rPr>
            </w:pPr>
          </w:p>
          <w:p w14:paraId="42EE0433">
            <w:pPr>
              <w:jc w:val="center"/>
              <w:rPr>
                <w:rFonts w:hint="default" w:ascii="Times New Roman" w:hAnsi="Times New Roman" w:cs="Times New Roman"/>
                <w:color w:val="000000"/>
                <w:sz w:val="24"/>
                <w:szCs w:val="24"/>
              </w:rPr>
            </w:pPr>
          </w:p>
          <w:p w14:paraId="1FB25EA0">
            <w:pPr>
              <w:jc w:val="center"/>
              <w:rPr>
                <w:rFonts w:hint="default" w:ascii="Times New Roman" w:hAnsi="Times New Roman" w:cs="Times New Roman"/>
                <w:color w:val="000000"/>
                <w:sz w:val="24"/>
                <w:szCs w:val="24"/>
              </w:rPr>
            </w:pPr>
          </w:p>
          <w:p w14:paraId="5EF67BF1">
            <w:pPr>
              <w:jc w:val="center"/>
              <w:rPr>
                <w:rFonts w:hint="default" w:ascii="Times New Roman" w:hAnsi="Times New Roman" w:cs="Times New Roman"/>
                <w:color w:val="000000"/>
                <w:sz w:val="24"/>
                <w:szCs w:val="24"/>
              </w:rPr>
            </w:pPr>
          </w:p>
          <w:p w14:paraId="2416D56C">
            <w:pPr>
              <w:jc w:val="center"/>
              <w:rPr>
                <w:rFonts w:hint="default" w:ascii="Times New Roman" w:hAnsi="Times New Roman" w:cs="Times New Roman"/>
                <w:color w:val="000000"/>
                <w:sz w:val="24"/>
                <w:szCs w:val="24"/>
              </w:rPr>
            </w:pPr>
          </w:p>
          <w:p w14:paraId="050E94AD">
            <w:pPr>
              <w:jc w:val="center"/>
              <w:rPr>
                <w:rFonts w:hint="default" w:ascii="Times New Roman" w:hAnsi="Times New Roman" w:cs="Times New Roman"/>
                <w:color w:val="000000"/>
                <w:sz w:val="24"/>
                <w:szCs w:val="24"/>
              </w:rPr>
            </w:pPr>
          </w:p>
          <w:p w14:paraId="65B37974">
            <w:pPr>
              <w:jc w:val="center"/>
              <w:rPr>
                <w:rFonts w:hint="default" w:ascii="Times New Roman" w:hAnsi="Times New Roman" w:cs="Times New Roman"/>
                <w:color w:val="000000"/>
                <w:sz w:val="24"/>
                <w:szCs w:val="24"/>
              </w:rPr>
            </w:pPr>
          </w:p>
          <w:p w14:paraId="33ABDBD9">
            <w:pPr>
              <w:tabs>
                <w:tab w:val="left" w:pos="1766"/>
              </w:tabs>
              <w:bidi w:val="0"/>
              <w:jc w:val="left"/>
              <w:rPr>
                <w:rFonts w:hint="eastAsia"/>
                <w:color w:val="000000"/>
                <w:kern w:val="2"/>
                <w:sz w:val="24"/>
                <w:szCs w:val="24"/>
                <w:lang w:val="en-US" w:eastAsia="zh-CN" w:bidi="ar-SA"/>
              </w:rPr>
            </w:pPr>
          </w:p>
        </w:tc>
      </w:tr>
    </w:tbl>
    <w:p w14:paraId="63226123">
      <w:pPr>
        <w:pStyle w:val="27"/>
        <w:jc w:val="center"/>
        <w:outlineLvl w:val="0"/>
        <w:rPr>
          <w:rFonts w:ascii="黑体" w:hAnsi="黑体" w:eastAsia="黑体"/>
          <w:snapToGrid w:val="0"/>
          <w:sz w:val="30"/>
          <w:szCs w:val="30"/>
        </w:rPr>
      </w:pPr>
      <w:r>
        <w:rPr>
          <w:snapToGrid w:val="0"/>
        </w:rPr>
        <w:br w:type="page"/>
      </w:r>
      <w:bookmarkStart w:id="49" w:name="_Toc5795"/>
      <w:r>
        <w:rPr>
          <w:rFonts w:hint="eastAsia" w:ascii="黑体" w:hAnsi="黑体" w:eastAsia="黑体"/>
          <w:snapToGrid w:val="0"/>
          <w:sz w:val="30"/>
          <w:szCs w:val="30"/>
        </w:rPr>
        <w:t>六、结论</w:t>
      </w:r>
      <w:bookmarkEnd w:id="49"/>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ABD20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011F6B3F">
            <w:pPr>
              <w:pStyle w:val="106"/>
              <w:spacing w:before="42" w:line="359" w:lineRule="auto"/>
              <w:ind w:left="112" w:right="103" w:firstLine="481"/>
              <w:jc w:val="left"/>
              <w:rPr>
                <w:rFonts w:ascii="宋体" w:hAnsi="宋体" w:eastAsia="宋体" w:cs="宋体"/>
                <w:spacing w:val="-2"/>
              </w:rPr>
            </w:pPr>
            <w:r>
              <w:rPr>
                <w:spacing w:val="-2"/>
              </w:rPr>
              <w:t>综上所述，本项目符合国家产业政策，选址符合当地园区规划，且建设区域无明</w:t>
            </w:r>
            <w:r>
              <w:rPr>
                <w:spacing w:val="-3"/>
              </w:rPr>
              <w:t>显环</w:t>
            </w:r>
            <w:r>
              <w:rPr>
                <w:spacing w:val="-2"/>
              </w:rPr>
              <w:t>境制约因素。项目运营过程中，只要严格落实本评价提出的各项污染防治措施，并确保环</w:t>
            </w:r>
            <w:r>
              <w:rPr>
                <w:spacing w:val="-4"/>
              </w:rPr>
              <w:t>保设施正常运行，各污染物可做到达标排放</w:t>
            </w:r>
            <w:r>
              <w:rPr>
                <w:spacing w:val="-5"/>
              </w:rPr>
              <w:t>，对周围环境的影响较小，本项目建设符合</w:t>
            </w:r>
            <w:r>
              <w:rPr>
                <w:rFonts w:ascii="Times New Roman" w:hAnsi="Times New Roman" w:eastAsia="Times New Roman" w:cs="Times New Roman"/>
                <w:spacing w:val="-5"/>
              </w:rPr>
              <w:t>“</w:t>
            </w:r>
            <w:r>
              <w:rPr>
                <w:spacing w:val="-5"/>
              </w:rPr>
              <w:t>达</w:t>
            </w:r>
            <w:r>
              <w:rPr>
                <w:spacing w:val="-4"/>
              </w:rPr>
              <w:t>标排放、总量控制</w:t>
            </w:r>
            <w:r>
              <w:rPr>
                <w:rFonts w:ascii="Times New Roman" w:hAnsi="Times New Roman" w:eastAsia="Times New Roman" w:cs="Times New Roman"/>
                <w:spacing w:val="-4"/>
              </w:rPr>
              <w:t>”</w:t>
            </w:r>
            <w:r>
              <w:rPr>
                <w:rFonts w:ascii="Times New Roman" w:hAnsi="Times New Roman" w:eastAsia="Times New Roman" w:cs="Times New Roman"/>
                <w:spacing w:val="-21"/>
              </w:rPr>
              <w:t xml:space="preserve"> </w:t>
            </w:r>
            <w:r>
              <w:rPr>
                <w:spacing w:val="-4"/>
              </w:rPr>
              <w:t>的原则。</w:t>
            </w:r>
          </w:p>
          <w:p w14:paraId="7606B877">
            <w:pPr>
              <w:pStyle w:val="106"/>
              <w:spacing w:before="42" w:line="359" w:lineRule="auto"/>
              <w:ind w:left="112" w:right="103" w:firstLine="481"/>
              <w:jc w:val="left"/>
              <w:rPr>
                <w:rFonts w:hint="eastAsia" w:ascii="宋体" w:hAnsi="宋体" w:eastAsia="宋体" w:cs="宋体"/>
                <w:spacing w:val="-2"/>
              </w:rPr>
            </w:pPr>
            <w:r>
              <w:rPr>
                <w:rFonts w:ascii="宋体" w:hAnsi="宋体" w:eastAsia="宋体" w:cs="宋体"/>
                <w:spacing w:val="-2"/>
              </w:rPr>
              <w:t>因此，从环境的角度来看，本项目的建设是可行的。</w:t>
            </w:r>
          </w:p>
          <w:p w14:paraId="111785E1">
            <w:pPr>
              <w:jc w:val="left"/>
              <w:rPr>
                <w:rFonts w:hint="eastAsia" w:ascii="宋体" w:hAnsi="宋体" w:cs="宋体"/>
                <w:sz w:val="24"/>
              </w:rPr>
            </w:pPr>
          </w:p>
          <w:p w14:paraId="4AD9FBD4">
            <w:pPr>
              <w:pStyle w:val="5"/>
              <w:jc w:val="left"/>
              <w:rPr>
                <w:rFonts w:hint="eastAsia" w:ascii="宋体" w:hAnsi="宋体" w:cs="宋体"/>
              </w:rPr>
            </w:pPr>
          </w:p>
          <w:p w14:paraId="0C83367D">
            <w:pPr>
              <w:pStyle w:val="21"/>
              <w:jc w:val="left"/>
              <w:rPr>
                <w:rFonts w:hint="eastAsia" w:ascii="宋体" w:hAnsi="宋体" w:eastAsia="宋体" w:cs="宋体"/>
              </w:rPr>
            </w:pPr>
          </w:p>
          <w:p w14:paraId="575B0949">
            <w:pPr>
              <w:jc w:val="left"/>
              <w:rPr>
                <w:rFonts w:hint="eastAsia" w:ascii="宋体" w:hAnsi="宋体" w:cs="宋体"/>
                <w:sz w:val="24"/>
              </w:rPr>
            </w:pPr>
          </w:p>
          <w:p w14:paraId="5A4E093D">
            <w:pPr>
              <w:pStyle w:val="5"/>
              <w:jc w:val="left"/>
              <w:rPr>
                <w:rFonts w:hint="eastAsia" w:ascii="宋体" w:hAnsi="宋体" w:cs="宋体"/>
              </w:rPr>
            </w:pPr>
          </w:p>
          <w:p w14:paraId="2242DFE9">
            <w:pPr>
              <w:pStyle w:val="21"/>
              <w:jc w:val="left"/>
              <w:rPr>
                <w:rFonts w:hint="eastAsia" w:ascii="宋体" w:hAnsi="宋体" w:eastAsia="宋体" w:cs="宋体"/>
              </w:rPr>
            </w:pPr>
          </w:p>
          <w:p w14:paraId="07F51B65">
            <w:pPr>
              <w:jc w:val="left"/>
              <w:rPr>
                <w:rFonts w:hint="eastAsia" w:ascii="宋体" w:hAnsi="宋体" w:cs="宋体"/>
                <w:sz w:val="24"/>
              </w:rPr>
            </w:pPr>
          </w:p>
          <w:p w14:paraId="0AD20667">
            <w:pPr>
              <w:pStyle w:val="5"/>
              <w:jc w:val="left"/>
              <w:rPr>
                <w:rFonts w:hint="eastAsia" w:ascii="宋体" w:hAnsi="宋体" w:cs="宋体"/>
              </w:rPr>
            </w:pPr>
          </w:p>
          <w:p w14:paraId="192E1095">
            <w:pPr>
              <w:pStyle w:val="21"/>
              <w:jc w:val="left"/>
              <w:rPr>
                <w:rFonts w:hint="eastAsia"/>
              </w:rPr>
            </w:pPr>
          </w:p>
          <w:p w14:paraId="62074677">
            <w:pPr>
              <w:pStyle w:val="21"/>
              <w:jc w:val="left"/>
              <w:rPr>
                <w:rFonts w:hint="eastAsia" w:ascii="宋体" w:hAnsi="宋体" w:eastAsia="宋体" w:cs="宋体"/>
              </w:rPr>
            </w:pPr>
          </w:p>
          <w:p w14:paraId="6E2F869F">
            <w:pPr>
              <w:jc w:val="left"/>
              <w:rPr>
                <w:rFonts w:hint="eastAsia"/>
              </w:rPr>
            </w:pPr>
          </w:p>
          <w:p w14:paraId="2B60A2A0">
            <w:pPr>
              <w:pStyle w:val="21"/>
              <w:spacing w:line="360" w:lineRule="auto"/>
              <w:ind w:firstLine="480" w:firstLineChars="200"/>
              <w:jc w:val="left"/>
              <w:rPr>
                <w:rFonts w:hint="eastAsia" w:ascii="宋体" w:hAnsi="宋体" w:eastAsia="宋体" w:cs="宋体"/>
              </w:rPr>
            </w:pPr>
          </w:p>
          <w:p w14:paraId="1A94505E">
            <w:pPr>
              <w:spacing w:line="360" w:lineRule="auto"/>
              <w:ind w:firstLine="480" w:firstLineChars="200"/>
              <w:jc w:val="left"/>
              <w:rPr>
                <w:rFonts w:hint="eastAsia" w:ascii="宋体" w:hAnsi="宋体" w:cs="宋体"/>
                <w:sz w:val="24"/>
              </w:rPr>
            </w:pPr>
          </w:p>
          <w:p w14:paraId="75EE5B3D">
            <w:pPr>
              <w:pStyle w:val="21"/>
              <w:jc w:val="left"/>
              <w:rPr>
                <w:rFonts w:hint="eastAsia"/>
              </w:rPr>
            </w:pPr>
          </w:p>
          <w:p w14:paraId="4A3DA1E6">
            <w:pPr>
              <w:jc w:val="left"/>
              <w:rPr>
                <w:rFonts w:hint="eastAsia"/>
              </w:rPr>
            </w:pPr>
          </w:p>
          <w:p w14:paraId="30CE577A">
            <w:pPr>
              <w:pStyle w:val="21"/>
              <w:jc w:val="left"/>
            </w:pPr>
          </w:p>
        </w:tc>
      </w:tr>
    </w:tbl>
    <w:p w14:paraId="371FF55B">
      <w:pPr>
        <w:rPr>
          <w:rFonts w:ascii="宋体"/>
        </w:rPr>
        <w:sectPr>
          <w:pgSz w:w="11905" w:h="16838"/>
          <w:pgMar w:top="1644" w:right="1531" w:bottom="1644" w:left="1531" w:header="851" w:footer="1077" w:gutter="0"/>
          <w:pgNumType w:fmt="decimal"/>
          <w:cols w:space="720" w:num="1"/>
          <w:rtlGutter w:val="0"/>
          <w:docGrid w:linePitch="312" w:charSpace="0"/>
        </w:sectPr>
      </w:pPr>
    </w:p>
    <w:p w14:paraId="2D4A5E78">
      <w:pPr>
        <w:pStyle w:val="27"/>
        <w:adjustRightInd w:val="0"/>
        <w:snapToGrid w:val="0"/>
        <w:spacing w:before="0" w:beforeAutospacing="0" w:after="0" w:afterAutospacing="0" w:line="360" w:lineRule="auto"/>
        <w:outlineLvl w:val="0"/>
        <w:rPr>
          <w:rFonts w:ascii="黑体" w:hAnsi="黑体" w:eastAsia="黑体"/>
          <w:snapToGrid w:val="0"/>
          <w:sz w:val="32"/>
          <w:szCs w:val="32"/>
        </w:rPr>
      </w:pPr>
      <w:bookmarkStart w:id="50" w:name="_Toc10645"/>
      <w:r>
        <w:rPr>
          <w:rFonts w:hint="eastAsia" w:ascii="黑体" w:hAnsi="黑体" w:eastAsia="黑体"/>
          <w:snapToGrid w:val="0"/>
          <w:sz w:val="32"/>
          <w:szCs w:val="32"/>
        </w:rPr>
        <w:t>附表</w:t>
      </w:r>
      <w:bookmarkEnd w:id="50"/>
    </w:p>
    <w:p w14:paraId="65FAF693">
      <w:pPr>
        <w:pStyle w:val="27"/>
        <w:adjustRightInd w:val="0"/>
        <w:snapToGrid w:val="0"/>
        <w:spacing w:before="0" w:beforeAutospacing="0" w:after="0" w:afterAutospacing="0" w:line="360" w:lineRule="auto"/>
        <w:jc w:val="center"/>
        <w:outlineLvl w:val="0"/>
        <w:rPr>
          <w:rFonts w:hint="eastAsia" w:ascii="方正小标宋_GBK" w:hAnsi="黑体" w:eastAsia="方正小标宋_GBK"/>
          <w:snapToGrid w:val="0"/>
          <w:sz w:val="38"/>
          <w:szCs w:val="38"/>
        </w:rPr>
      </w:pPr>
      <w:bookmarkStart w:id="51" w:name="_Toc22832"/>
      <w:r>
        <w:rPr>
          <w:rFonts w:hint="eastAsia" w:ascii="方正小标宋_GBK" w:hAnsi="黑体" w:eastAsia="方正小标宋_GBK"/>
          <w:snapToGrid w:val="0"/>
          <w:sz w:val="38"/>
          <w:szCs w:val="38"/>
        </w:rPr>
        <w:t>建设项目污染物排放量汇总表</w:t>
      </w:r>
      <w:bookmarkEnd w:id="51"/>
    </w:p>
    <w:tbl>
      <w:tblPr>
        <w:tblStyle w:val="31"/>
        <w:tblW w:w="145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2016"/>
        <w:gridCol w:w="1567"/>
        <w:gridCol w:w="1020"/>
        <w:gridCol w:w="1830"/>
        <w:gridCol w:w="1559"/>
        <w:gridCol w:w="1761"/>
        <w:gridCol w:w="1959"/>
        <w:gridCol w:w="1637"/>
      </w:tblGrid>
      <w:tr w14:paraId="6AD207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0" w:type="dxa"/>
            <w:tcBorders>
              <w:tl2br w:val="single" w:color="auto" w:sz="4" w:space="0"/>
            </w:tcBorders>
            <w:noWrap w:val="0"/>
            <w:tcMar>
              <w:left w:w="28" w:type="dxa"/>
              <w:right w:w="28" w:type="dxa"/>
            </w:tcMar>
            <w:vAlign w:val="center"/>
          </w:tcPr>
          <w:p w14:paraId="7B7CF53D">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cs="宋体"/>
                <w:snapToGrid w:val="0"/>
                <w:color w:val="000000"/>
                <w:spacing w:val="-6"/>
                <w:kern w:val="21"/>
                <w:sz w:val="24"/>
                <w:szCs w:val="24"/>
              </w:rPr>
            </w:pPr>
            <w:r>
              <w:rPr>
                <w:rFonts w:hint="eastAsia" w:ascii="黑体" w:hAnsi="黑体" w:eastAsia="黑体" w:cs="宋体"/>
                <w:snapToGrid w:val="0"/>
                <w:color w:val="000000"/>
                <w:spacing w:val="-6"/>
                <w:kern w:val="21"/>
                <w:sz w:val="24"/>
                <w:szCs w:val="24"/>
              </w:rPr>
              <w:t>项目</w:t>
            </w:r>
          </w:p>
          <w:p w14:paraId="3474B2FA">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cs="宋体"/>
                <w:snapToGrid w:val="0"/>
                <w:color w:val="000000"/>
                <w:spacing w:val="-6"/>
                <w:kern w:val="21"/>
                <w:sz w:val="24"/>
                <w:szCs w:val="24"/>
              </w:rPr>
            </w:pPr>
          </w:p>
          <w:p w14:paraId="4CFD614F">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cs="宋体"/>
                <w:snapToGrid w:val="0"/>
                <w:color w:val="000000"/>
                <w:spacing w:val="-6"/>
                <w:kern w:val="21"/>
                <w:sz w:val="24"/>
                <w:szCs w:val="24"/>
              </w:rPr>
            </w:pPr>
            <w:r>
              <w:rPr>
                <w:rFonts w:hint="eastAsia" w:ascii="黑体" w:hAnsi="黑体" w:eastAsia="黑体" w:cs="宋体"/>
                <w:snapToGrid w:val="0"/>
                <w:color w:val="000000"/>
                <w:spacing w:val="-6"/>
                <w:kern w:val="21"/>
                <w:sz w:val="24"/>
                <w:szCs w:val="24"/>
              </w:rPr>
              <w:t>分类</w:t>
            </w:r>
          </w:p>
        </w:tc>
        <w:tc>
          <w:tcPr>
            <w:tcW w:w="2016" w:type="dxa"/>
            <w:noWrap w:val="0"/>
            <w:tcMar>
              <w:left w:w="28" w:type="dxa"/>
              <w:right w:w="28" w:type="dxa"/>
            </w:tcMar>
            <w:vAlign w:val="center"/>
          </w:tcPr>
          <w:p w14:paraId="6F2E11B9">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cs="宋体"/>
                <w:snapToGrid w:val="0"/>
                <w:color w:val="000000"/>
                <w:spacing w:val="-6"/>
                <w:kern w:val="21"/>
                <w:sz w:val="24"/>
                <w:szCs w:val="24"/>
              </w:rPr>
            </w:pPr>
            <w:r>
              <w:rPr>
                <w:rFonts w:hint="eastAsia" w:ascii="黑体" w:hAnsi="黑体" w:eastAsia="黑体" w:cs="宋体"/>
                <w:snapToGrid w:val="0"/>
                <w:color w:val="000000"/>
                <w:spacing w:val="-6"/>
                <w:kern w:val="21"/>
                <w:sz w:val="24"/>
                <w:szCs w:val="24"/>
              </w:rPr>
              <w:t>污染物名称</w:t>
            </w:r>
          </w:p>
        </w:tc>
        <w:tc>
          <w:tcPr>
            <w:tcW w:w="1567" w:type="dxa"/>
            <w:noWrap w:val="0"/>
            <w:tcMar>
              <w:left w:w="28" w:type="dxa"/>
              <w:right w:w="28" w:type="dxa"/>
            </w:tcMar>
            <w:vAlign w:val="center"/>
          </w:tcPr>
          <w:p w14:paraId="53848E07">
            <w:pPr>
              <w:pStyle w:val="49"/>
              <w:keepNext w:val="0"/>
              <w:keepLines w:val="0"/>
              <w:pageBreakBefore w:val="0"/>
              <w:kinsoku/>
              <w:wordWrap/>
              <w:overflowPunct/>
              <w:topLinePunct w:val="0"/>
              <w:autoSpaceDE/>
              <w:autoSpaceDN/>
              <w:bidi w:val="0"/>
              <w:spacing w:beforeLines="0" w:afterLines="0" w:line="240" w:lineRule="auto"/>
              <w:ind w:firstLine="0" w:firstLineChars="0"/>
              <w:jc w:val="both"/>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现有工程</w:t>
            </w:r>
          </w:p>
          <w:p w14:paraId="5F952114">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排放量（固</w:t>
            </w:r>
            <w:r>
              <w:rPr>
                <w:rFonts w:hint="eastAsia" w:ascii="黑体" w:hAnsi="黑体" w:eastAsia="黑体"/>
                <w:snapToGrid w:val="0"/>
                <w:color w:val="000000"/>
                <w:spacing w:val="-6"/>
                <w:kern w:val="21"/>
                <w:sz w:val="24"/>
                <w:szCs w:val="24"/>
              </w:rPr>
              <w:t>体</w:t>
            </w:r>
            <w:r>
              <w:rPr>
                <w:rFonts w:ascii="黑体" w:hAnsi="黑体" w:eastAsia="黑体"/>
                <w:snapToGrid w:val="0"/>
                <w:color w:val="000000"/>
                <w:spacing w:val="-6"/>
                <w:kern w:val="21"/>
                <w:sz w:val="24"/>
                <w:szCs w:val="24"/>
              </w:rPr>
              <w:t>废</w:t>
            </w:r>
            <w:r>
              <w:rPr>
                <w:rFonts w:hint="eastAsia" w:ascii="黑体" w:hAnsi="黑体" w:eastAsia="黑体"/>
                <w:snapToGrid w:val="0"/>
                <w:color w:val="000000"/>
                <w:spacing w:val="-6"/>
                <w:kern w:val="21"/>
                <w:sz w:val="24"/>
                <w:szCs w:val="24"/>
              </w:rPr>
              <w:t>物</w:t>
            </w:r>
            <w:r>
              <w:rPr>
                <w:rFonts w:ascii="黑体" w:hAnsi="黑体" w:eastAsia="黑体"/>
                <w:snapToGrid w:val="0"/>
                <w:color w:val="000000"/>
                <w:spacing w:val="-6"/>
                <w:kern w:val="21"/>
                <w:sz w:val="24"/>
                <w:szCs w:val="24"/>
              </w:rPr>
              <w:t>产生量）</w:t>
            </w:r>
            <w:r>
              <w:rPr>
                <w:rFonts w:ascii="黑体" w:hAnsi="黑体" w:eastAsia="黑体"/>
                <w:snapToGrid w:val="0"/>
                <w:color w:val="000000"/>
                <w:spacing w:val="-6"/>
                <w:kern w:val="21"/>
                <w:sz w:val="24"/>
                <w:szCs w:val="24"/>
              </w:rPr>
              <w:fldChar w:fldCharType="begin"/>
            </w:r>
            <w:r>
              <w:rPr>
                <w:rFonts w:ascii="黑体" w:hAnsi="黑体" w:eastAsia="黑体"/>
                <w:snapToGrid w:val="0"/>
                <w:color w:val="000000"/>
                <w:spacing w:val="-6"/>
                <w:kern w:val="21"/>
                <w:sz w:val="24"/>
                <w:szCs w:val="24"/>
              </w:rPr>
              <w:instrText xml:space="preserve"> = 1 \* GB3 \* MERGEFORMAT </w:instrText>
            </w:r>
            <w:r>
              <w:rPr>
                <w:rFonts w:ascii="黑体" w:hAnsi="黑体" w:eastAsia="黑体"/>
                <w:snapToGrid w:val="0"/>
                <w:color w:val="000000"/>
                <w:spacing w:val="-6"/>
                <w:kern w:val="21"/>
                <w:sz w:val="24"/>
                <w:szCs w:val="24"/>
              </w:rPr>
              <w:fldChar w:fldCharType="separate"/>
            </w:r>
            <w:r>
              <w:rPr>
                <w:rFonts w:hint="eastAsia" w:ascii="黑体" w:hAnsi="黑体" w:eastAsia="黑体" w:cs="宋体"/>
                <w:kern w:val="2"/>
                <w:sz w:val="24"/>
                <w:szCs w:val="24"/>
              </w:rPr>
              <w:t>①</w:t>
            </w:r>
            <w:r>
              <w:rPr>
                <w:rFonts w:ascii="黑体" w:hAnsi="黑体" w:eastAsia="黑体"/>
                <w:snapToGrid w:val="0"/>
                <w:color w:val="000000"/>
                <w:spacing w:val="-6"/>
                <w:kern w:val="21"/>
                <w:sz w:val="24"/>
                <w:szCs w:val="24"/>
              </w:rPr>
              <w:fldChar w:fldCharType="end"/>
            </w:r>
          </w:p>
        </w:tc>
        <w:tc>
          <w:tcPr>
            <w:tcW w:w="1020" w:type="dxa"/>
            <w:noWrap w:val="0"/>
            <w:tcMar>
              <w:left w:w="28" w:type="dxa"/>
              <w:right w:w="28" w:type="dxa"/>
            </w:tcMar>
            <w:vAlign w:val="center"/>
          </w:tcPr>
          <w:p w14:paraId="08FF96E6">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现有工程</w:t>
            </w:r>
          </w:p>
          <w:p w14:paraId="1D59AB59">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许可排放量</w:t>
            </w:r>
            <w:r>
              <w:rPr>
                <w:rFonts w:ascii="黑体" w:hAnsi="黑体" w:eastAsia="黑体"/>
                <w:snapToGrid w:val="0"/>
                <w:color w:val="000000"/>
                <w:spacing w:val="-6"/>
                <w:kern w:val="21"/>
                <w:sz w:val="24"/>
                <w:szCs w:val="24"/>
              </w:rPr>
              <w:fldChar w:fldCharType="begin"/>
            </w:r>
            <w:r>
              <w:rPr>
                <w:rFonts w:ascii="黑体" w:hAnsi="黑体" w:eastAsia="黑体"/>
                <w:snapToGrid w:val="0"/>
                <w:color w:val="000000"/>
                <w:spacing w:val="-6"/>
                <w:kern w:val="21"/>
                <w:sz w:val="24"/>
                <w:szCs w:val="24"/>
              </w:rPr>
              <w:instrText xml:space="preserve"> = 2 \* GB3 \* MERGEFORMAT </w:instrText>
            </w:r>
            <w:r>
              <w:rPr>
                <w:rFonts w:ascii="黑体" w:hAnsi="黑体" w:eastAsia="黑体"/>
                <w:snapToGrid w:val="0"/>
                <w:color w:val="000000"/>
                <w:spacing w:val="-6"/>
                <w:kern w:val="21"/>
                <w:sz w:val="24"/>
                <w:szCs w:val="24"/>
              </w:rPr>
              <w:fldChar w:fldCharType="separate"/>
            </w:r>
            <w:r>
              <w:rPr>
                <w:rFonts w:hint="eastAsia" w:ascii="黑体" w:hAnsi="黑体" w:eastAsia="黑体" w:cs="宋体"/>
                <w:snapToGrid w:val="0"/>
                <w:color w:val="000000"/>
                <w:spacing w:val="-6"/>
                <w:kern w:val="21"/>
                <w:sz w:val="24"/>
                <w:szCs w:val="24"/>
              </w:rPr>
              <w:t>②</w:t>
            </w:r>
            <w:r>
              <w:rPr>
                <w:rFonts w:ascii="黑体" w:hAnsi="黑体" w:eastAsia="黑体"/>
                <w:snapToGrid w:val="0"/>
                <w:color w:val="000000"/>
                <w:spacing w:val="-6"/>
                <w:kern w:val="21"/>
                <w:sz w:val="24"/>
                <w:szCs w:val="24"/>
              </w:rPr>
              <w:fldChar w:fldCharType="end"/>
            </w:r>
          </w:p>
        </w:tc>
        <w:tc>
          <w:tcPr>
            <w:tcW w:w="1830" w:type="dxa"/>
            <w:noWrap w:val="0"/>
            <w:tcMar>
              <w:left w:w="28" w:type="dxa"/>
              <w:right w:w="28" w:type="dxa"/>
            </w:tcMar>
            <w:vAlign w:val="center"/>
          </w:tcPr>
          <w:p w14:paraId="656E6CF2">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在建工程</w:t>
            </w:r>
          </w:p>
          <w:p w14:paraId="3B0390A1">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排放量（固</w:t>
            </w:r>
            <w:r>
              <w:rPr>
                <w:rFonts w:hint="eastAsia" w:ascii="黑体" w:hAnsi="黑体" w:eastAsia="黑体"/>
                <w:snapToGrid w:val="0"/>
                <w:color w:val="000000"/>
                <w:spacing w:val="-6"/>
                <w:kern w:val="21"/>
                <w:sz w:val="24"/>
                <w:szCs w:val="24"/>
              </w:rPr>
              <w:t>体</w:t>
            </w:r>
            <w:r>
              <w:rPr>
                <w:rFonts w:ascii="黑体" w:hAnsi="黑体" w:eastAsia="黑体"/>
                <w:snapToGrid w:val="0"/>
                <w:color w:val="000000"/>
                <w:spacing w:val="-6"/>
                <w:kern w:val="21"/>
                <w:sz w:val="24"/>
                <w:szCs w:val="24"/>
              </w:rPr>
              <w:t>废</w:t>
            </w:r>
            <w:r>
              <w:rPr>
                <w:rFonts w:hint="eastAsia" w:ascii="黑体" w:hAnsi="黑体" w:eastAsia="黑体"/>
                <w:snapToGrid w:val="0"/>
                <w:color w:val="000000"/>
                <w:spacing w:val="-6"/>
                <w:kern w:val="21"/>
                <w:sz w:val="24"/>
                <w:szCs w:val="24"/>
              </w:rPr>
              <w:t>物</w:t>
            </w:r>
            <w:r>
              <w:rPr>
                <w:rFonts w:ascii="黑体" w:hAnsi="黑体" w:eastAsia="黑体"/>
                <w:snapToGrid w:val="0"/>
                <w:color w:val="000000"/>
                <w:spacing w:val="-6"/>
                <w:kern w:val="21"/>
                <w:sz w:val="24"/>
                <w:szCs w:val="24"/>
              </w:rPr>
              <w:t>产生量）</w:t>
            </w:r>
            <w:r>
              <w:rPr>
                <w:rFonts w:ascii="黑体" w:hAnsi="黑体" w:eastAsia="黑体"/>
                <w:snapToGrid w:val="0"/>
                <w:color w:val="000000"/>
                <w:spacing w:val="-6"/>
                <w:kern w:val="21"/>
                <w:sz w:val="24"/>
                <w:szCs w:val="24"/>
              </w:rPr>
              <w:fldChar w:fldCharType="begin"/>
            </w:r>
            <w:r>
              <w:rPr>
                <w:rFonts w:ascii="黑体" w:hAnsi="黑体" w:eastAsia="黑体"/>
                <w:snapToGrid w:val="0"/>
                <w:color w:val="000000"/>
                <w:spacing w:val="-6"/>
                <w:kern w:val="21"/>
                <w:sz w:val="24"/>
                <w:szCs w:val="24"/>
              </w:rPr>
              <w:instrText xml:space="preserve"> = 3 \* GB3 \* MERGEFORMAT </w:instrText>
            </w:r>
            <w:r>
              <w:rPr>
                <w:rFonts w:ascii="黑体" w:hAnsi="黑体" w:eastAsia="黑体"/>
                <w:snapToGrid w:val="0"/>
                <w:color w:val="000000"/>
                <w:spacing w:val="-6"/>
                <w:kern w:val="21"/>
                <w:sz w:val="24"/>
                <w:szCs w:val="24"/>
              </w:rPr>
              <w:fldChar w:fldCharType="separate"/>
            </w:r>
            <w:r>
              <w:rPr>
                <w:rFonts w:hint="eastAsia" w:ascii="黑体" w:hAnsi="黑体" w:eastAsia="黑体" w:cs="宋体"/>
                <w:kern w:val="2"/>
                <w:sz w:val="24"/>
                <w:szCs w:val="24"/>
              </w:rPr>
              <w:t>③</w:t>
            </w:r>
            <w:r>
              <w:rPr>
                <w:rFonts w:ascii="黑体" w:hAnsi="黑体" w:eastAsia="黑体"/>
                <w:snapToGrid w:val="0"/>
                <w:color w:val="000000"/>
                <w:spacing w:val="-6"/>
                <w:kern w:val="21"/>
                <w:sz w:val="24"/>
                <w:szCs w:val="24"/>
              </w:rPr>
              <w:fldChar w:fldCharType="end"/>
            </w:r>
          </w:p>
        </w:tc>
        <w:tc>
          <w:tcPr>
            <w:tcW w:w="1559" w:type="dxa"/>
            <w:noWrap w:val="0"/>
            <w:tcMar>
              <w:left w:w="28" w:type="dxa"/>
              <w:right w:w="28" w:type="dxa"/>
            </w:tcMar>
            <w:vAlign w:val="center"/>
          </w:tcPr>
          <w:p w14:paraId="0CE227FF">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本项目</w:t>
            </w:r>
          </w:p>
          <w:p w14:paraId="6CF5961C">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排放量（固</w:t>
            </w:r>
            <w:r>
              <w:rPr>
                <w:rFonts w:hint="eastAsia" w:ascii="黑体" w:hAnsi="黑体" w:eastAsia="黑体"/>
                <w:snapToGrid w:val="0"/>
                <w:color w:val="000000"/>
                <w:spacing w:val="-6"/>
                <w:kern w:val="21"/>
                <w:sz w:val="24"/>
                <w:szCs w:val="24"/>
              </w:rPr>
              <w:t>体</w:t>
            </w:r>
            <w:r>
              <w:rPr>
                <w:rFonts w:ascii="黑体" w:hAnsi="黑体" w:eastAsia="黑体"/>
                <w:snapToGrid w:val="0"/>
                <w:color w:val="000000"/>
                <w:spacing w:val="-6"/>
                <w:kern w:val="21"/>
                <w:sz w:val="24"/>
                <w:szCs w:val="24"/>
              </w:rPr>
              <w:t>废</w:t>
            </w:r>
            <w:r>
              <w:rPr>
                <w:rFonts w:hint="eastAsia" w:ascii="黑体" w:hAnsi="黑体" w:eastAsia="黑体"/>
                <w:snapToGrid w:val="0"/>
                <w:color w:val="000000"/>
                <w:spacing w:val="-6"/>
                <w:kern w:val="21"/>
                <w:sz w:val="24"/>
                <w:szCs w:val="24"/>
              </w:rPr>
              <w:t>物</w:t>
            </w:r>
            <w:r>
              <w:rPr>
                <w:rFonts w:ascii="黑体" w:hAnsi="黑体" w:eastAsia="黑体"/>
                <w:snapToGrid w:val="0"/>
                <w:color w:val="000000"/>
                <w:spacing w:val="-6"/>
                <w:kern w:val="21"/>
                <w:sz w:val="24"/>
                <w:szCs w:val="24"/>
              </w:rPr>
              <w:t>产生量）</w:t>
            </w:r>
            <w:r>
              <w:rPr>
                <w:rFonts w:ascii="黑体" w:hAnsi="黑体" w:eastAsia="黑体"/>
                <w:snapToGrid w:val="0"/>
                <w:color w:val="000000"/>
                <w:spacing w:val="-6"/>
                <w:kern w:val="21"/>
                <w:sz w:val="24"/>
                <w:szCs w:val="24"/>
              </w:rPr>
              <w:fldChar w:fldCharType="begin"/>
            </w:r>
            <w:r>
              <w:rPr>
                <w:rFonts w:ascii="黑体" w:hAnsi="黑体" w:eastAsia="黑体"/>
                <w:snapToGrid w:val="0"/>
                <w:color w:val="000000"/>
                <w:spacing w:val="-6"/>
                <w:kern w:val="21"/>
                <w:sz w:val="24"/>
                <w:szCs w:val="24"/>
              </w:rPr>
              <w:instrText xml:space="preserve"> = 4 \* GB3 \* MERGEFORMAT </w:instrText>
            </w:r>
            <w:r>
              <w:rPr>
                <w:rFonts w:ascii="黑体" w:hAnsi="黑体" w:eastAsia="黑体"/>
                <w:snapToGrid w:val="0"/>
                <w:color w:val="000000"/>
                <w:spacing w:val="-6"/>
                <w:kern w:val="21"/>
                <w:sz w:val="24"/>
                <w:szCs w:val="24"/>
              </w:rPr>
              <w:fldChar w:fldCharType="separate"/>
            </w:r>
            <w:r>
              <w:rPr>
                <w:rFonts w:hint="eastAsia" w:ascii="黑体" w:hAnsi="黑体" w:eastAsia="黑体" w:cs="宋体"/>
                <w:kern w:val="2"/>
                <w:sz w:val="24"/>
                <w:szCs w:val="24"/>
              </w:rPr>
              <w:t>④</w:t>
            </w:r>
            <w:r>
              <w:rPr>
                <w:rFonts w:ascii="黑体" w:hAnsi="黑体" w:eastAsia="黑体"/>
                <w:snapToGrid w:val="0"/>
                <w:color w:val="000000"/>
                <w:spacing w:val="-6"/>
                <w:kern w:val="21"/>
                <w:sz w:val="24"/>
                <w:szCs w:val="24"/>
              </w:rPr>
              <w:fldChar w:fldCharType="end"/>
            </w:r>
          </w:p>
        </w:tc>
        <w:tc>
          <w:tcPr>
            <w:tcW w:w="1761" w:type="dxa"/>
            <w:noWrap w:val="0"/>
            <w:tcMar>
              <w:left w:w="28" w:type="dxa"/>
              <w:right w:w="28" w:type="dxa"/>
            </w:tcMar>
            <w:vAlign w:val="center"/>
          </w:tcPr>
          <w:p w14:paraId="1183FF7E">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snapToGrid w:val="0"/>
                <w:color w:val="000000"/>
                <w:spacing w:val="-16"/>
                <w:kern w:val="21"/>
                <w:sz w:val="24"/>
                <w:szCs w:val="24"/>
              </w:rPr>
            </w:pPr>
            <w:r>
              <w:rPr>
                <w:rFonts w:ascii="黑体" w:hAnsi="黑体" w:eastAsia="黑体"/>
                <w:snapToGrid w:val="0"/>
                <w:color w:val="000000"/>
                <w:spacing w:val="-16"/>
                <w:kern w:val="21"/>
                <w:sz w:val="24"/>
                <w:szCs w:val="24"/>
              </w:rPr>
              <w:t>以新带老削减量</w:t>
            </w:r>
          </w:p>
          <w:p w14:paraId="17EE7DC7">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16"/>
                <w:kern w:val="21"/>
                <w:sz w:val="24"/>
                <w:szCs w:val="24"/>
              </w:rPr>
            </w:pPr>
            <w:r>
              <w:rPr>
                <w:rFonts w:ascii="黑体" w:hAnsi="黑体" w:eastAsia="黑体"/>
                <w:snapToGrid w:val="0"/>
                <w:color w:val="000000"/>
                <w:spacing w:val="-16"/>
                <w:kern w:val="21"/>
                <w:sz w:val="24"/>
                <w:szCs w:val="24"/>
              </w:rPr>
              <w:t>（新建项目不填）</w:t>
            </w:r>
            <w:r>
              <w:rPr>
                <w:rFonts w:ascii="黑体" w:hAnsi="黑体" w:eastAsia="黑体"/>
                <w:snapToGrid w:val="0"/>
                <w:color w:val="000000"/>
                <w:spacing w:val="-16"/>
                <w:kern w:val="21"/>
                <w:sz w:val="24"/>
                <w:szCs w:val="24"/>
              </w:rPr>
              <w:fldChar w:fldCharType="begin"/>
            </w:r>
            <w:r>
              <w:rPr>
                <w:rFonts w:ascii="黑体" w:hAnsi="黑体" w:eastAsia="黑体"/>
                <w:snapToGrid w:val="0"/>
                <w:color w:val="000000"/>
                <w:spacing w:val="-16"/>
                <w:kern w:val="21"/>
                <w:sz w:val="24"/>
                <w:szCs w:val="24"/>
              </w:rPr>
              <w:instrText xml:space="preserve"> = 5 \* GB3 \* MERGEFORMAT </w:instrText>
            </w:r>
            <w:r>
              <w:rPr>
                <w:rFonts w:ascii="黑体" w:hAnsi="黑体" w:eastAsia="黑体"/>
                <w:snapToGrid w:val="0"/>
                <w:color w:val="000000"/>
                <w:spacing w:val="-16"/>
                <w:kern w:val="21"/>
                <w:sz w:val="24"/>
                <w:szCs w:val="24"/>
              </w:rPr>
              <w:fldChar w:fldCharType="separate"/>
            </w:r>
            <w:r>
              <w:rPr>
                <w:rFonts w:hint="eastAsia" w:ascii="黑体" w:hAnsi="黑体" w:eastAsia="黑体" w:cs="宋体"/>
                <w:kern w:val="2"/>
                <w:sz w:val="24"/>
                <w:szCs w:val="24"/>
              </w:rPr>
              <w:t>⑤</w:t>
            </w:r>
            <w:r>
              <w:rPr>
                <w:rFonts w:ascii="黑体" w:hAnsi="黑体" w:eastAsia="黑体"/>
                <w:snapToGrid w:val="0"/>
                <w:color w:val="000000"/>
                <w:spacing w:val="-16"/>
                <w:kern w:val="21"/>
                <w:sz w:val="24"/>
                <w:szCs w:val="24"/>
              </w:rPr>
              <w:fldChar w:fldCharType="end"/>
            </w:r>
          </w:p>
        </w:tc>
        <w:tc>
          <w:tcPr>
            <w:tcW w:w="1959" w:type="dxa"/>
            <w:noWrap w:val="0"/>
            <w:tcMar>
              <w:left w:w="28" w:type="dxa"/>
              <w:right w:w="28" w:type="dxa"/>
            </w:tcMar>
            <w:vAlign w:val="center"/>
          </w:tcPr>
          <w:p w14:paraId="77B1AF4A">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黑体" w:hAnsi="黑体" w:eastAsia="黑体"/>
                <w:snapToGrid w:val="0"/>
                <w:color w:val="000000"/>
                <w:spacing w:val="-16"/>
                <w:kern w:val="21"/>
                <w:sz w:val="24"/>
                <w:szCs w:val="24"/>
              </w:rPr>
            </w:pPr>
            <w:r>
              <w:rPr>
                <w:rFonts w:ascii="黑体" w:hAnsi="黑体" w:eastAsia="黑体"/>
                <w:snapToGrid w:val="0"/>
                <w:color w:val="000000"/>
                <w:spacing w:val="-16"/>
                <w:kern w:val="21"/>
                <w:sz w:val="24"/>
                <w:szCs w:val="24"/>
              </w:rPr>
              <w:t>本项目建成后</w:t>
            </w:r>
          </w:p>
          <w:p w14:paraId="4700FFA4">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16"/>
                <w:kern w:val="21"/>
                <w:sz w:val="24"/>
                <w:szCs w:val="24"/>
              </w:rPr>
            </w:pPr>
            <w:r>
              <w:rPr>
                <w:rFonts w:hint="eastAsia" w:ascii="黑体" w:hAnsi="黑体" w:eastAsia="黑体"/>
                <w:snapToGrid w:val="0"/>
                <w:color w:val="000000"/>
                <w:spacing w:val="-16"/>
                <w:kern w:val="21"/>
                <w:sz w:val="24"/>
                <w:szCs w:val="24"/>
              </w:rPr>
              <w:t>全厂</w:t>
            </w:r>
            <w:r>
              <w:rPr>
                <w:rFonts w:ascii="黑体" w:hAnsi="黑体" w:eastAsia="黑体"/>
                <w:snapToGrid w:val="0"/>
                <w:color w:val="000000"/>
                <w:spacing w:val="-16"/>
                <w:kern w:val="21"/>
                <w:sz w:val="24"/>
                <w:szCs w:val="24"/>
              </w:rPr>
              <w:t>排放量（固</w:t>
            </w:r>
            <w:r>
              <w:rPr>
                <w:rFonts w:hint="eastAsia" w:ascii="黑体" w:hAnsi="黑体" w:eastAsia="黑体"/>
                <w:snapToGrid w:val="0"/>
                <w:color w:val="000000"/>
                <w:spacing w:val="-16"/>
                <w:kern w:val="21"/>
                <w:sz w:val="24"/>
                <w:szCs w:val="24"/>
              </w:rPr>
              <w:t>体</w:t>
            </w:r>
            <w:r>
              <w:rPr>
                <w:rFonts w:ascii="黑体" w:hAnsi="黑体" w:eastAsia="黑体"/>
                <w:snapToGrid w:val="0"/>
                <w:color w:val="000000"/>
                <w:spacing w:val="-16"/>
                <w:kern w:val="21"/>
                <w:sz w:val="24"/>
                <w:szCs w:val="24"/>
              </w:rPr>
              <w:t>废</w:t>
            </w:r>
            <w:r>
              <w:rPr>
                <w:rFonts w:hint="eastAsia" w:ascii="黑体" w:hAnsi="黑体" w:eastAsia="黑体"/>
                <w:snapToGrid w:val="0"/>
                <w:color w:val="000000"/>
                <w:spacing w:val="-16"/>
                <w:kern w:val="21"/>
                <w:sz w:val="24"/>
                <w:szCs w:val="24"/>
              </w:rPr>
              <w:t>物</w:t>
            </w:r>
            <w:r>
              <w:rPr>
                <w:rFonts w:ascii="黑体" w:hAnsi="黑体" w:eastAsia="黑体"/>
                <w:snapToGrid w:val="0"/>
                <w:color w:val="000000"/>
                <w:spacing w:val="-16"/>
                <w:kern w:val="21"/>
                <w:sz w:val="24"/>
                <w:szCs w:val="24"/>
              </w:rPr>
              <w:t>产生量）</w:t>
            </w:r>
            <w:r>
              <w:rPr>
                <w:rFonts w:ascii="黑体" w:hAnsi="黑体" w:eastAsia="黑体"/>
                <w:snapToGrid w:val="0"/>
                <w:color w:val="000000"/>
                <w:spacing w:val="-16"/>
                <w:kern w:val="21"/>
                <w:sz w:val="24"/>
                <w:szCs w:val="24"/>
              </w:rPr>
              <w:fldChar w:fldCharType="begin"/>
            </w:r>
            <w:r>
              <w:rPr>
                <w:rFonts w:ascii="黑体" w:hAnsi="黑体" w:eastAsia="黑体"/>
                <w:snapToGrid w:val="0"/>
                <w:color w:val="000000"/>
                <w:spacing w:val="-16"/>
                <w:kern w:val="21"/>
                <w:sz w:val="24"/>
                <w:szCs w:val="24"/>
              </w:rPr>
              <w:instrText xml:space="preserve"> = 6 \* GB3 \* MERGEFORMAT </w:instrText>
            </w:r>
            <w:r>
              <w:rPr>
                <w:rFonts w:ascii="黑体" w:hAnsi="黑体" w:eastAsia="黑体"/>
                <w:snapToGrid w:val="0"/>
                <w:color w:val="000000"/>
                <w:spacing w:val="-16"/>
                <w:kern w:val="21"/>
                <w:sz w:val="24"/>
                <w:szCs w:val="24"/>
              </w:rPr>
              <w:fldChar w:fldCharType="separate"/>
            </w:r>
            <w:r>
              <w:rPr>
                <w:rFonts w:hint="eastAsia" w:ascii="黑体" w:hAnsi="黑体" w:eastAsia="黑体" w:cs="宋体"/>
                <w:kern w:val="2"/>
                <w:sz w:val="24"/>
                <w:szCs w:val="24"/>
              </w:rPr>
              <w:t>⑥</w:t>
            </w:r>
            <w:r>
              <w:rPr>
                <w:rFonts w:ascii="黑体" w:hAnsi="黑体" w:eastAsia="黑体"/>
                <w:snapToGrid w:val="0"/>
                <w:color w:val="000000"/>
                <w:spacing w:val="-16"/>
                <w:kern w:val="21"/>
                <w:sz w:val="24"/>
                <w:szCs w:val="24"/>
              </w:rPr>
              <w:fldChar w:fldCharType="end"/>
            </w:r>
          </w:p>
        </w:tc>
        <w:tc>
          <w:tcPr>
            <w:tcW w:w="1637" w:type="dxa"/>
            <w:noWrap w:val="0"/>
            <w:tcMar>
              <w:left w:w="28" w:type="dxa"/>
              <w:right w:w="28" w:type="dxa"/>
            </w:tcMar>
            <w:vAlign w:val="center"/>
          </w:tcPr>
          <w:p w14:paraId="542D1B82">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t>变化量</w:t>
            </w:r>
          </w:p>
          <w:p w14:paraId="1EE231C1">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ascii="黑体" w:hAnsi="黑体" w:eastAsia="黑体"/>
                <w:snapToGrid w:val="0"/>
                <w:color w:val="000000"/>
                <w:spacing w:val="-6"/>
                <w:kern w:val="21"/>
                <w:sz w:val="24"/>
                <w:szCs w:val="24"/>
              </w:rPr>
            </w:pPr>
            <w:r>
              <w:rPr>
                <w:rFonts w:ascii="黑体" w:hAnsi="黑体" w:eastAsia="黑体"/>
                <w:snapToGrid w:val="0"/>
                <w:color w:val="000000"/>
                <w:spacing w:val="-6"/>
                <w:kern w:val="21"/>
                <w:sz w:val="24"/>
                <w:szCs w:val="24"/>
              </w:rPr>
              <w:fldChar w:fldCharType="begin"/>
            </w:r>
            <w:r>
              <w:rPr>
                <w:rFonts w:ascii="黑体" w:hAnsi="黑体" w:eastAsia="黑体"/>
                <w:snapToGrid w:val="0"/>
                <w:color w:val="000000"/>
                <w:spacing w:val="-6"/>
                <w:kern w:val="21"/>
                <w:sz w:val="24"/>
                <w:szCs w:val="24"/>
              </w:rPr>
              <w:instrText xml:space="preserve"> = 7 \* GB3 \* MERGEFORMAT </w:instrText>
            </w:r>
            <w:r>
              <w:rPr>
                <w:rFonts w:ascii="黑体" w:hAnsi="黑体" w:eastAsia="黑体"/>
                <w:snapToGrid w:val="0"/>
                <w:color w:val="000000"/>
                <w:spacing w:val="-6"/>
                <w:kern w:val="21"/>
                <w:sz w:val="24"/>
                <w:szCs w:val="24"/>
              </w:rPr>
              <w:fldChar w:fldCharType="separate"/>
            </w:r>
            <w:r>
              <w:rPr>
                <w:rFonts w:hint="eastAsia" w:ascii="黑体" w:hAnsi="黑体" w:eastAsia="黑体" w:cs="宋体"/>
                <w:kern w:val="2"/>
                <w:sz w:val="24"/>
                <w:szCs w:val="24"/>
              </w:rPr>
              <w:t>⑦</w:t>
            </w:r>
            <w:r>
              <w:rPr>
                <w:rFonts w:ascii="黑体" w:hAnsi="黑体" w:eastAsia="黑体"/>
                <w:snapToGrid w:val="0"/>
                <w:color w:val="000000"/>
                <w:spacing w:val="-6"/>
                <w:kern w:val="21"/>
                <w:sz w:val="24"/>
                <w:szCs w:val="24"/>
              </w:rPr>
              <w:fldChar w:fldCharType="end"/>
            </w:r>
          </w:p>
        </w:tc>
      </w:tr>
      <w:tr w14:paraId="646BAC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250" w:type="dxa"/>
            <w:vMerge w:val="restart"/>
            <w:noWrap w:val="0"/>
            <w:vAlign w:val="center"/>
          </w:tcPr>
          <w:p w14:paraId="232C3AEB">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废气</w:t>
            </w:r>
          </w:p>
        </w:tc>
        <w:tc>
          <w:tcPr>
            <w:tcW w:w="2016" w:type="dxa"/>
            <w:noWrap w:val="0"/>
            <w:vAlign w:val="center"/>
          </w:tcPr>
          <w:p w14:paraId="59CD9E04">
            <w:pPr>
              <w:pStyle w:val="94"/>
              <w:ind w:firstLine="0" w:firstLineChars="0"/>
              <w:rPr>
                <w:rFonts w:hint="default" w:ascii="Times New Roman" w:hAnsi="Times New Roman" w:eastAsia="宋体" w:cs="Times New Roman"/>
                <w:snapToGrid w:val="0"/>
                <w:color w:val="000000"/>
                <w:kern w:val="21"/>
                <w:sz w:val="24"/>
                <w:szCs w:val="24"/>
                <w:lang w:eastAsia="zh-CN"/>
              </w:rPr>
            </w:pPr>
            <w:r>
              <w:rPr>
                <w:rFonts w:hint="eastAsia"/>
                <w:sz w:val="24"/>
                <w:szCs w:val="24"/>
              </w:rPr>
              <w:t>SO</w:t>
            </w:r>
            <w:r>
              <w:rPr>
                <w:sz w:val="24"/>
                <w:szCs w:val="24"/>
                <w:vertAlign w:val="subscript"/>
              </w:rPr>
              <w:t>2</w:t>
            </w:r>
          </w:p>
        </w:tc>
        <w:tc>
          <w:tcPr>
            <w:tcW w:w="1567" w:type="dxa"/>
            <w:noWrap w:val="0"/>
            <w:vAlign w:val="center"/>
          </w:tcPr>
          <w:p w14:paraId="2B1EFD4F">
            <w:pPr>
              <w:widowControl/>
              <w:jc w:val="center"/>
              <w:textAlignment w:val="center"/>
              <w:rPr>
                <w:rFonts w:hint="default" w:ascii="Times New Roman" w:hAnsi="Times New Roman" w:eastAsia="宋体" w:cs="Times New Roman"/>
                <w:snapToGrid w:val="0"/>
                <w:color w:val="000000"/>
                <w:kern w:val="21"/>
                <w:sz w:val="24"/>
                <w:szCs w:val="24"/>
                <w:lang w:val="en-US" w:eastAsia="zh-CN"/>
              </w:rPr>
            </w:pPr>
            <w:r>
              <w:rPr>
                <w:rFonts w:hint="eastAsia"/>
                <w:color w:val="000000"/>
                <w:kern w:val="0"/>
                <w:sz w:val="24"/>
                <w:szCs w:val="24"/>
                <w:lang w:val="en-US" w:eastAsia="zh-CN" w:bidi="ar"/>
              </w:rPr>
              <w:t>2.0244</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0D4E8AB0">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w:t>
            </w:r>
          </w:p>
        </w:tc>
        <w:tc>
          <w:tcPr>
            <w:tcW w:w="1830" w:type="dxa"/>
            <w:noWrap w:val="0"/>
            <w:vAlign w:val="center"/>
          </w:tcPr>
          <w:p w14:paraId="774F0C3A">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w:t>
            </w:r>
          </w:p>
        </w:tc>
        <w:tc>
          <w:tcPr>
            <w:tcW w:w="1559" w:type="dxa"/>
            <w:noWrap w:val="0"/>
            <w:vAlign w:val="center"/>
          </w:tcPr>
          <w:p w14:paraId="7A71606C">
            <w:pPr>
              <w:widowControl/>
              <w:jc w:val="center"/>
              <w:textAlignment w:val="center"/>
              <w:rPr>
                <w:rFonts w:hint="default" w:ascii="Times New Roman" w:hAnsi="Times New Roman" w:eastAsia="宋体" w:cs="Times New Roman"/>
                <w:snapToGrid w:val="0"/>
                <w:color w:val="000000"/>
                <w:kern w:val="21"/>
                <w:sz w:val="24"/>
                <w:szCs w:val="24"/>
                <w:lang w:val="en-US" w:eastAsia="zh-CN"/>
              </w:rPr>
            </w:pPr>
            <w:r>
              <w:rPr>
                <w:rFonts w:hint="eastAsia" w:cs="Times New Roman"/>
                <w:snapToGrid/>
                <w:color w:val="000000"/>
                <w:sz w:val="24"/>
                <w:szCs w:val="24"/>
                <w:lang w:val="en-US" w:eastAsia="zh-CN"/>
              </w:rPr>
              <w:t>0.72</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10BE866B">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2.0228</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684C68EA">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val="en-US" w:eastAsia="zh-CN"/>
              </w:rPr>
            </w:pPr>
            <w:r>
              <w:rPr>
                <w:rFonts w:hint="eastAsia" w:ascii="Times New Roman" w:hAnsi="Times New Roman" w:eastAsia="宋体" w:cs="Times New Roman"/>
                <w:i w:val="0"/>
                <w:iCs w:val="0"/>
                <w:color w:val="000000"/>
                <w:kern w:val="0"/>
                <w:sz w:val="24"/>
                <w:szCs w:val="24"/>
                <w:u w:val="none"/>
                <w:lang w:val="en-US" w:eastAsia="zh-CN" w:bidi="ar"/>
              </w:rPr>
              <w:t>0.7216</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0BF550E8">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val="en-US" w:eastAsia="zh-CN"/>
              </w:rPr>
            </w:pPr>
            <w:r>
              <w:rPr>
                <w:rFonts w:hint="eastAsia" w:ascii="Times New Roman" w:hAnsi="Times New Roman" w:eastAsia="宋体" w:cs="Times New Roman"/>
                <w:i w:val="0"/>
                <w:iCs w:val="0"/>
                <w:color w:val="000000"/>
                <w:kern w:val="0"/>
                <w:sz w:val="24"/>
                <w:szCs w:val="24"/>
                <w:u w:val="none"/>
                <w:lang w:val="en-US" w:eastAsia="zh-CN" w:bidi="ar"/>
              </w:rPr>
              <w:t>-1.3028</w:t>
            </w:r>
            <w:r>
              <w:rPr>
                <w:rFonts w:hint="default" w:ascii="Times New Roman" w:hAnsi="Times New Roman" w:cs="Times New Roman"/>
                <w:snapToGrid w:val="0"/>
                <w:color w:val="000000"/>
                <w:sz w:val="24"/>
                <w:szCs w:val="24"/>
                <w:lang w:val="en-US" w:eastAsia="zh-CN"/>
              </w:rPr>
              <w:t>t/a</w:t>
            </w:r>
          </w:p>
        </w:tc>
      </w:tr>
      <w:tr w14:paraId="6DC60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250" w:type="dxa"/>
            <w:vMerge w:val="continue"/>
            <w:noWrap w:val="0"/>
            <w:vAlign w:val="center"/>
          </w:tcPr>
          <w:p w14:paraId="0B930BB1">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13C5695B">
            <w:pPr>
              <w:pStyle w:val="94"/>
              <w:ind w:firstLine="0" w:firstLineChars="0"/>
              <w:rPr>
                <w:rFonts w:hint="default" w:ascii="Times New Roman" w:hAnsi="Times New Roman" w:cs="Times New Roman"/>
                <w:snapToGrid w:val="0"/>
                <w:color w:val="000000"/>
                <w:kern w:val="21"/>
                <w:sz w:val="24"/>
                <w:szCs w:val="24"/>
                <w:lang w:eastAsia="zh-CN"/>
              </w:rPr>
            </w:pPr>
            <w:r>
              <w:rPr>
                <w:rFonts w:hint="eastAsia"/>
                <w:sz w:val="24"/>
                <w:szCs w:val="24"/>
              </w:rPr>
              <w:t>NOx</w:t>
            </w:r>
          </w:p>
        </w:tc>
        <w:tc>
          <w:tcPr>
            <w:tcW w:w="1567" w:type="dxa"/>
            <w:noWrap w:val="0"/>
            <w:vAlign w:val="center"/>
          </w:tcPr>
          <w:p w14:paraId="080E6574">
            <w:pPr>
              <w:widowControl/>
              <w:jc w:val="center"/>
              <w:textAlignment w:val="center"/>
              <w:rPr>
                <w:rFonts w:hint="default" w:ascii="Times New Roman" w:hAnsi="Times New Roman" w:cs="Times New Roman"/>
                <w:snapToGrid w:val="0"/>
                <w:color w:val="000000"/>
                <w:kern w:val="21"/>
                <w:sz w:val="24"/>
                <w:szCs w:val="24"/>
                <w:lang w:val="en-US" w:eastAsia="zh-CN"/>
              </w:rPr>
            </w:pPr>
            <w:r>
              <w:rPr>
                <w:rFonts w:hint="eastAsia"/>
                <w:color w:val="000000"/>
                <w:kern w:val="0"/>
                <w:sz w:val="24"/>
                <w:szCs w:val="24"/>
                <w:lang w:val="en-US" w:eastAsia="zh-CN" w:bidi="ar"/>
              </w:rPr>
              <w:t>1.5697</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72745CE3">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3263CF19">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0371AB22">
            <w:pPr>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s="Times New Roman"/>
                <w:color w:val="000000"/>
                <w:sz w:val="24"/>
                <w:szCs w:val="24"/>
                <w:lang w:val="en-US" w:eastAsia="zh-CN"/>
              </w:rPr>
            </w:pPr>
            <w:r>
              <w:rPr>
                <w:rFonts w:hint="eastAsia" w:eastAsia="宋体"/>
                <w:snapToGrid w:val="0"/>
                <w:color w:val="000000"/>
                <w:sz w:val="24"/>
                <w:szCs w:val="24"/>
                <w:lang w:val="en-US" w:eastAsia="zh-CN"/>
              </w:rPr>
              <w:t>7.0</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7A968250">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1.3183</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51D7701F">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eastAsia" w:ascii="Times New Roman" w:hAnsi="Times New Roman" w:eastAsia="宋体" w:cs="Times New Roman"/>
                <w:i w:val="0"/>
                <w:iCs w:val="0"/>
                <w:color w:val="000000"/>
                <w:kern w:val="0"/>
                <w:sz w:val="24"/>
                <w:szCs w:val="24"/>
                <w:u w:val="none"/>
                <w:lang w:val="en-US" w:eastAsia="zh-CN" w:bidi="ar"/>
              </w:rPr>
              <w:t>7.2514</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4C814E5D">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rPr>
            </w:pP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5.6817</w:t>
            </w:r>
            <w:r>
              <w:rPr>
                <w:rFonts w:hint="default" w:ascii="Times New Roman" w:hAnsi="Times New Roman" w:cs="Times New Roman"/>
                <w:snapToGrid w:val="0"/>
                <w:color w:val="000000"/>
                <w:sz w:val="24"/>
                <w:szCs w:val="24"/>
                <w:lang w:val="en-US" w:eastAsia="zh-CN"/>
              </w:rPr>
              <w:t>t/a</w:t>
            </w:r>
          </w:p>
        </w:tc>
      </w:tr>
      <w:tr w14:paraId="62EC46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250" w:type="dxa"/>
            <w:vMerge w:val="continue"/>
            <w:noWrap w:val="0"/>
            <w:vAlign w:val="center"/>
          </w:tcPr>
          <w:p w14:paraId="7896EC85">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0849DF7F">
            <w:pPr>
              <w:pStyle w:val="94"/>
              <w:ind w:firstLine="0" w:firstLineChars="0"/>
              <w:rPr>
                <w:rFonts w:hint="default" w:ascii="Times New Roman" w:hAnsi="Times New Roman" w:cs="Times New Roman"/>
                <w:snapToGrid w:val="0"/>
                <w:color w:val="000000"/>
                <w:kern w:val="21"/>
                <w:sz w:val="24"/>
                <w:szCs w:val="24"/>
                <w:lang w:eastAsia="zh-CN"/>
              </w:rPr>
            </w:pPr>
            <w:r>
              <w:rPr>
                <w:sz w:val="24"/>
                <w:szCs w:val="24"/>
              </w:rPr>
              <w:t>颗粒物(t/a)</w:t>
            </w:r>
          </w:p>
        </w:tc>
        <w:tc>
          <w:tcPr>
            <w:tcW w:w="1567" w:type="dxa"/>
            <w:noWrap w:val="0"/>
            <w:vAlign w:val="center"/>
          </w:tcPr>
          <w:p w14:paraId="706534B6">
            <w:pPr>
              <w:pStyle w:val="94"/>
              <w:ind w:firstLine="0" w:firstLineChars="0"/>
              <w:jc w:val="center"/>
              <w:rPr>
                <w:rFonts w:hint="default" w:ascii="Times New Roman" w:hAnsi="Times New Roman" w:cs="Times New Roman"/>
                <w:snapToGrid w:val="0"/>
                <w:color w:val="000000"/>
                <w:kern w:val="21"/>
                <w:sz w:val="24"/>
                <w:szCs w:val="24"/>
                <w:lang w:val="en-US" w:eastAsia="zh-CN"/>
              </w:rPr>
            </w:pPr>
            <w:r>
              <w:rPr>
                <w:rFonts w:hint="eastAsia"/>
                <w:sz w:val="24"/>
                <w:szCs w:val="24"/>
                <w:lang w:val="en-US" w:eastAsia="zh-CN"/>
              </w:rPr>
              <w:t>0.6006</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09F3C4CB">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257412BD">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5284CF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1.491</w:t>
            </w:r>
            <w:r>
              <w:rPr>
                <w:rFonts w:hint="default" w:ascii="Times New Roman" w:hAnsi="Times New Roman" w:eastAsia="宋体" w:cs="Times New Roman"/>
                <w:i w:val="0"/>
                <w:iCs w:val="0"/>
                <w:color w:val="000000"/>
                <w:kern w:val="0"/>
                <w:sz w:val="24"/>
                <w:szCs w:val="24"/>
                <w:u w:val="none"/>
                <w:lang w:val="en-US" w:eastAsia="zh-CN" w:bidi="ar"/>
              </w:rPr>
              <w:t>t/a</w:t>
            </w:r>
          </w:p>
        </w:tc>
        <w:tc>
          <w:tcPr>
            <w:tcW w:w="1761" w:type="dxa"/>
            <w:noWrap w:val="0"/>
            <w:vAlign w:val="center"/>
          </w:tcPr>
          <w:p w14:paraId="5516EF0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0.4253</w:t>
            </w:r>
            <w:r>
              <w:rPr>
                <w:rFonts w:hint="default" w:ascii="Times New Roman" w:hAnsi="Times New Roman" w:eastAsia="宋体" w:cs="Times New Roman"/>
                <w:i w:val="0"/>
                <w:iCs w:val="0"/>
                <w:color w:val="000000"/>
                <w:kern w:val="0"/>
                <w:sz w:val="24"/>
                <w:szCs w:val="24"/>
                <w:u w:val="none"/>
                <w:lang w:val="en-US" w:eastAsia="zh-CN" w:bidi="ar"/>
              </w:rPr>
              <w:t>t/a</w:t>
            </w:r>
          </w:p>
        </w:tc>
        <w:tc>
          <w:tcPr>
            <w:tcW w:w="1959" w:type="dxa"/>
            <w:noWrap w:val="0"/>
            <w:vAlign w:val="center"/>
          </w:tcPr>
          <w:p w14:paraId="26EF5C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cs="Times New Roman"/>
                <w:snapToGrid w:val="0"/>
                <w:color w:val="000000"/>
                <w:sz w:val="24"/>
                <w:szCs w:val="24"/>
                <w:lang w:val="en-US" w:eastAsia="zh-CN"/>
              </w:rPr>
              <w:t>1.6663t/a</w:t>
            </w:r>
          </w:p>
        </w:tc>
        <w:tc>
          <w:tcPr>
            <w:tcW w:w="1637" w:type="dxa"/>
            <w:noWrap w:val="0"/>
            <w:vAlign w:val="center"/>
          </w:tcPr>
          <w:p w14:paraId="7CE105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1.0657</w:t>
            </w:r>
            <w:r>
              <w:rPr>
                <w:rFonts w:hint="default" w:ascii="Times New Roman" w:hAnsi="Times New Roman" w:cs="Times New Roman"/>
                <w:snapToGrid w:val="0"/>
                <w:color w:val="000000"/>
                <w:sz w:val="24"/>
                <w:szCs w:val="24"/>
                <w:lang w:val="en-US" w:eastAsia="zh-CN"/>
              </w:rPr>
              <w:t>t/a</w:t>
            </w:r>
          </w:p>
        </w:tc>
      </w:tr>
      <w:tr w14:paraId="0C6D63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50" w:type="dxa"/>
            <w:vMerge w:val="continue"/>
            <w:noWrap w:val="0"/>
            <w:vAlign w:val="center"/>
          </w:tcPr>
          <w:p w14:paraId="373638F0">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736A7207">
            <w:pPr>
              <w:pStyle w:val="94"/>
              <w:ind w:firstLine="0" w:firstLineChars="0"/>
              <w:rPr>
                <w:rFonts w:hint="default" w:ascii="Times New Roman" w:hAnsi="Times New Roman" w:eastAsia="宋体" w:cs="Times New Roman"/>
                <w:snapToGrid w:val="0"/>
                <w:color w:val="000000"/>
                <w:kern w:val="21"/>
                <w:sz w:val="24"/>
                <w:szCs w:val="24"/>
                <w:lang w:val="en-US" w:eastAsia="zh-CN"/>
              </w:rPr>
            </w:pPr>
            <w:r>
              <w:rPr>
                <w:rFonts w:hint="eastAsia"/>
                <w:sz w:val="24"/>
                <w:szCs w:val="24"/>
              </w:rPr>
              <w:t>苯并芘</w:t>
            </w:r>
          </w:p>
        </w:tc>
        <w:tc>
          <w:tcPr>
            <w:tcW w:w="1567" w:type="dxa"/>
            <w:noWrap w:val="0"/>
            <w:vAlign w:val="center"/>
          </w:tcPr>
          <w:p w14:paraId="5A30BB0D">
            <w:pPr>
              <w:jc w:val="center"/>
              <w:rPr>
                <w:rFonts w:hint="default" w:ascii="Times New Roman" w:hAnsi="Times New Roman" w:cs="Times New Roman"/>
                <w:snapToGrid w:val="0"/>
                <w:color w:val="000000"/>
                <w:kern w:val="21"/>
                <w:sz w:val="24"/>
                <w:szCs w:val="24"/>
                <w:lang w:val="en-US" w:eastAsia="zh-CN"/>
              </w:rPr>
            </w:pPr>
            <w:r>
              <w:rPr>
                <w:rFonts w:hint="eastAsia"/>
                <w:sz w:val="24"/>
                <w:szCs w:val="24"/>
                <w:lang w:val="en-US" w:eastAsia="zh-CN"/>
              </w:rPr>
              <w:t>5.11×</w:t>
            </w:r>
            <w:r>
              <w:rPr>
                <w:rFonts w:hint="eastAsia"/>
                <w:sz w:val="24"/>
                <w:szCs w:val="24"/>
              </w:rPr>
              <w:t>10</w:t>
            </w:r>
            <w:r>
              <w:rPr>
                <w:rFonts w:hint="eastAsia"/>
                <w:sz w:val="24"/>
                <w:szCs w:val="24"/>
                <w:vertAlign w:val="superscript"/>
              </w:rPr>
              <w:t>-</w:t>
            </w:r>
            <w:r>
              <w:rPr>
                <w:rFonts w:hint="eastAsia"/>
                <w:sz w:val="24"/>
                <w:szCs w:val="24"/>
                <w:vertAlign w:val="superscript"/>
                <w:lang w:val="en-US" w:eastAsia="zh-CN"/>
              </w:rPr>
              <w:t>6</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5E1CCFF1">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27E17674">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3308A862">
            <w:pPr>
              <w:pStyle w:val="94"/>
              <w:ind w:firstLine="0" w:firstLineChars="0"/>
              <w:rPr>
                <w:rFonts w:hint="default" w:ascii="Times New Roman" w:hAnsi="Times New Roman" w:cs="Times New Roman"/>
                <w:color w:val="000000"/>
                <w:sz w:val="24"/>
                <w:szCs w:val="24"/>
                <w:lang w:val="en-US" w:eastAsia="zh-CN"/>
              </w:rPr>
            </w:pPr>
            <w:r>
              <w:rPr>
                <w:rFonts w:hint="default" w:eastAsia="宋体"/>
                <w:color w:val="000000"/>
                <w:sz w:val="24"/>
                <w:szCs w:val="24"/>
                <w:lang w:val="en-US" w:eastAsia="zh-CN"/>
              </w:rPr>
              <w:t>1.84×10</w:t>
            </w:r>
            <w:r>
              <w:rPr>
                <w:rFonts w:hint="default" w:eastAsia="宋体"/>
                <w:color w:val="000000"/>
                <w:sz w:val="24"/>
                <w:szCs w:val="24"/>
                <w:vertAlign w:val="superscript"/>
                <w:lang w:val="en-US" w:eastAsia="zh-CN"/>
              </w:rPr>
              <w:t>-5</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336BD8F6">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z w:val="24"/>
                <w:szCs w:val="24"/>
                <w:lang w:val="en-US" w:eastAsia="zh-CN"/>
              </w:rPr>
              <w:t>2.5×</w:t>
            </w:r>
            <w:r>
              <w:rPr>
                <w:rFonts w:hint="default" w:ascii="Times New Roman" w:hAnsi="Times New Roman" w:eastAsia="宋体" w:cs="Times New Roman"/>
                <w:kern w:val="0"/>
                <w:sz w:val="24"/>
                <w:szCs w:val="24"/>
              </w:rPr>
              <w:t>10</w:t>
            </w:r>
            <w:r>
              <w:rPr>
                <w:rFonts w:hint="default" w:ascii="Times New Roman" w:hAnsi="Times New Roman" w:eastAsia="宋体" w:cs="Times New Roman"/>
                <w:kern w:val="0"/>
                <w:sz w:val="24"/>
                <w:szCs w:val="24"/>
                <w:vertAlign w:val="superscript"/>
              </w:rPr>
              <w:t>-</w:t>
            </w:r>
            <w:r>
              <w:rPr>
                <w:rFonts w:hint="default" w:ascii="Times New Roman" w:hAnsi="Times New Roman" w:cs="Times New Roman"/>
                <w:kern w:val="0"/>
                <w:sz w:val="24"/>
                <w:szCs w:val="24"/>
                <w:vertAlign w:val="superscript"/>
                <w:lang w:val="en-US" w:eastAsia="zh-CN"/>
              </w:rPr>
              <w:t>6</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69006F89">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2.</w:t>
            </w:r>
            <w:r>
              <w:rPr>
                <w:rFonts w:hint="eastAsia" w:ascii="Times New Roman" w:hAnsi="Times New Roman" w:eastAsia="宋体" w:cs="Times New Roman"/>
                <w:i w:val="0"/>
                <w:iCs w:val="0"/>
                <w:color w:val="000000"/>
                <w:kern w:val="0"/>
                <w:sz w:val="24"/>
                <w:szCs w:val="24"/>
                <w:u w:val="none"/>
                <w:lang w:val="en-US" w:eastAsia="zh-CN" w:bidi="ar"/>
              </w:rPr>
              <w:t>101</w:t>
            </w:r>
            <w:r>
              <w:rPr>
                <w:rFonts w:hint="default" w:ascii="Times New Roman" w:hAnsi="Times New Roman" w:eastAsia="宋体" w:cs="Times New Roman"/>
                <w:color w:val="000000"/>
                <w:sz w:val="24"/>
                <w:szCs w:val="24"/>
                <w:lang w:val="en-US" w:eastAsia="zh-CN"/>
              </w:rPr>
              <w:t>×10</w:t>
            </w:r>
            <w:r>
              <w:rPr>
                <w:rFonts w:hint="default" w:ascii="Times New Roman" w:hAnsi="Times New Roman" w:eastAsia="宋体" w:cs="Times New Roman"/>
                <w:color w:val="000000"/>
                <w:sz w:val="24"/>
                <w:szCs w:val="24"/>
                <w:vertAlign w:val="superscript"/>
                <w:lang w:val="en-US" w:eastAsia="zh-CN"/>
              </w:rPr>
              <w:t>-5</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3DEB99C0">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+1.5</w:t>
            </w:r>
            <w:r>
              <w:rPr>
                <w:rFonts w:hint="eastAsia" w:ascii="Times New Roman" w:hAnsi="Times New Roman" w:eastAsia="宋体" w:cs="Times New Roman"/>
                <w:i w:val="0"/>
                <w:iCs w:val="0"/>
                <w:color w:val="000000"/>
                <w:kern w:val="0"/>
                <w:sz w:val="24"/>
                <w:szCs w:val="24"/>
                <w:u w:val="none"/>
                <w:lang w:val="en-US" w:eastAsia="zh-CN" w:bidi="ar"/>
              </w:rPr>
              <w:t>9</w:t>
            </w:r>
            <w:r>
              <w:rPr>
                <w:rFonts w:hint="default" w:ascii="Times New Roman" w:hAnsi="Times New Roman" w:eastAsia="宋体" w:cs="Times New Roman"/>
                <w:color w:val="000000"/>
                <w:sz w:val="24"/>
                <w:szCs w:val="24"/>
                <w:lang w:val="en-US" w:eastAsia="zh-CN"/>
              </w:rPr>
              <w:t>×10</w:t>
            </w:r>
            <w:r>
              <w:rPr>
                <w:rFonts w:hint="default" w:ascii="Times New Roman" w:hAnsi="Times New Roman" w:eastAsia="宋体" w:cs="Times New Roman"/>
                <w:color w:val="000000"/>
                <w:sz w:val="24"/>
                <w:szCs w:val="24"/>
                <w:vertAlign w:val="superscript"/>
                <w:lang w:val="en-US" w:eastAsia="zh-CN"/>
              </w:rPr>
              <w:t>-5</w:t>
            </w:r>
            <w:r>
              <w:rPr>
                <w:rFonts w:hint="default" w:ascii="Times New Roman" w:hAnsi="Times New Roman" w:cs="Times New Roman"/>
                <w:snapToGrid w:val="0"/>
                <w:color w:val="000000"/>
                <w:sz w:val="24"/>
                <w:szCs w:val="24"/>
                <w:lang w:val="en-US" w:eastAsia="zh-CN"/>
              </w:rPr>
              <w:t>t/a</w:t>
            </w:r>
          </w:p>
        </w:tc>
      </w:tr>
      <w:tr w14:paraId="72EA99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0" w:type="dxa"/>
            <w:vMerge w:val="continue"/>
            <w:noWrap w:val="0"/>
            <w:vAlign w:val="center"/>
          </w:tcPr>
          <w:p w14:paraId="46D4A308">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1312364D">
            <w:pPr>
              <w:pStyle w:val="94"/>
              <w:ind w:firstLine="0" w:firstLineChars="0"/>
              <w:rPr>
                <w:rFonts w:hint="default" w:ascii="Times New Roman" w:hAnsi="Times New Roman" w:cs="Times New Roman"/>
                <w:snapToGrid w:val="0"/>
                <w:color w:val="000000"/>
                <w:kern w:val="21"/>
                <w:sz w:val="24"/>
                <w:szCs w:val="24"/>
                <w:lang w:eastAsia="zh-CN"/>
              </w:rPr>
            </w:pPr>
            <w:r>
              <w:rPr>
                <w:rFonts w:hint="eastAsia"/>
                <w:sz w:val="24"/>
                <w:szCs w:val="24"/>
              </w:rPr>
              <w:t>挥发性有机物</w:t>
            </w:r>
          </w:p>
        </w:tc>
        <w:tc>
          <w:tcPr>
            <w:tcW w:w="1567" w:type="dxa"/>
            <w:noWrap w:val="0"/>
            <w:vAlign w:val="center"/>
          </w:tcPr>
          <w:p w14:paraId="715F49BC">
            <w:pPr>
              <w:pStyle w:val="94"/>
              <w:ind w:firstLine="0" w:firstLineChars="0"/>
              <w:jc w:val="center"/>
              <w:rPr>
                <w:rFonts w:hint="default" w:ascii="Times New Roman" w:hAnsi="Times New Roman" w:cs="Times New Roman"/>
                <w:snapToGrid w:val="0"/>
                <w:color w:val="000000"/>
                <w:kern w:val="21"/>
                <w:sz w:val="24"/>
                <w:szCs w:val="24"/>
                <w:lang w:val="en-US" w:eastAsia="zh-CN"/>
              </w:rPr>
            </w:pPr>
            <w:r>
              <w:rPr>
                <w:rFonts w:hint="eastAsia"/>
                <w:sz w:val="24"/>
                <w:szCs w:val="24"/>
                <w:lang w:val="en-US" w:eastAsia="zh-CN"/>
              </w:rPr>
              <w:t>1.652</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72B9A50B">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35978EBC">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7CB650B4">
            <w:pPr>
              <w:pStyle w:val="94"/>
              <w:ind w:firstLine="0" w:firstLineChars="0"/>
              <w:rPr>
                <w:rFonts w:hint="default" w:ascii="Times New Roman" w:hAnsi="Times New Roman" w:eastAsia="宋体" w:cs="Times New Roman"/>
                <w:color w:val="000000"/>
                <w:sz w:val="24"/>
                <w:szCs w:val="24"/>
                <w:lang w:val="en-US" w:eastAsia="zh-CN"/>
              </w:rPr>
            </w:pPr>
            <w:r>
              <w:rPr>
                <w:rFonts w:hint="default" w:cs="Times New Roman"/>
                <w:snapToGrid/>
                <w:color w:val="000000"/>
                <w:sz w:val="24"/>
                <w:szCs w:val="24"/>
                <w:lang w:val="en-US" w:eastAsia="zh-CN"/>
              </w:rPr>
              <w:t>0.7</w:t>
            </w:r>
            <w:r>
              <w:rPr>
                <w:rFonts w:hint="eastAsia" w:cs="Times New Roman"/>
                <w:snapToGrid/>
                <w:color w:val="000000"/>
                <w:sz w:val="24"/>
                <w:szCs w:val="24"/>
                <w:lang w:val="en-US" w:eastAsia="zh-CN"/>
              </w:rPr>
              <w:t>92</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633C78F4">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0.826</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6B30E077">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618</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321AC7A4">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w:t>
            </w:r>
            <w:r>
              <w:rPr>
                <w:rFonts w:hint="eastAsia" w:ascii="Times New Roman" w:hAnsi="Times New Roman" w:eastAsia="宋体" w:cs="Times New Roman"/>
                <w:i w:val="0"/>
                <w:iCs w:val="0"/>
                <w:color w:val="000000"/>
                <w:kern w:val="0"/>
                <w:sz w:val="24"/>
                <w:szCs w:val="24"/>
                <w:u w:val="none"/>
                <w:lang w:val="en-US" w:eastAsia="zh-CN" w:bidi="ar"/>
              </w:rPr>
              <w:t>034</w:t>
            </w:r>
            <w:r>
              <w:rPr>
                <w:rFonts w:hint="default" w:ascii="Times New Roman" w:hAnsi="Times New Roman" w:cs="Times New Roman"/>
                <w:snapToGrid w:val="0"/>
                <w:color w:val="000000"/>
                <w:sz w:val="24"/>
                <w:szCs w:val="24"/>
                <w:lang w:val="en-US" w:eastAsia="zh-CN"/>
              </w:rPr>
              <w:t>t/a</w:t>
            </w:r>
          </w:p>
        </w:tc>
      </w:tr>
      <w:tr w14:paraId="77A36E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50" w:type="dxa"/>
            <w:vMerge w:val="continue"/>
            <w:noWrap w:val="0"/>
            <w:vAlign w:val="center"/>
          </w:tcPr>
          <w:p w14:paraId="5592EE10">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473117F0">
            <w:pPr>
              <w:pStyle w:val="94"/>
              <w:ind w:firstLine="0" w:firstLineChars="0"/>
              <w:rPr>
                <w:rFonts w:hint="default" w:ascii="Times New Roman" w:hAnsi="Times New Roman" w:cs="Times New Roman"/>
                <w:snapToGrid w:val="0"/>
                <w:color w:val="000000"/>
                <w:kern w:val="21"/>
                <w:sz w:val="24"/>
                <w:szCs w:val="24"/>
                <w:lang w:val="en-US" w:eastAsia="zh-CN"/>
              </w:rPr>
            </w:pPr>
            <w:r>
              <w:rPr>
                <w:rFonts w:hint="eastAsia"/>
                <w:sz w:val="24"/>
                <w:szCs w:val="24"/>
                <w:lang w:val="en-US" w:eastAsia="zh-CN"/>
              </w:rPr>
              <w:t>沥青烟</w:t>
            </w:r>
          </w:p>
        </w:tc>
        <w:tc>
          <w:tcPr>
            <w:tcW w:w="1567" w:type="dxa"/>
            <w:noWrap w:val="0"/>
            <w:vAlign w:val="center"/>
          </w:tcPr>
          <w:p w14:paraId="592828D0">
            <w:pPr>
              <w:pStyle w:val="94"/>
              <w:ind w:firstLine="0" w:firstLineChars="0"/>
              <w:jc w:val="center"/>
              <w:rPr>
                <w:rFonts w:hint="default" w:ascii="Times New Roman" w:hAnsi="Times New Roman" w:eastAsia="宋体" w:cs="Times New Roman"/>
                <w:snapToGrid w:val="0"/>
                <w:color w:val="000000"/>
                <w:kern w:val="21"/>
                <w:sz w:val="24"/>
                <w:szCs w:val="24"/>
                <w:lang w:val="en-US" w:eastAsia="zh-CN"/>
              </w:rPr>
            </w:pPr>
            <w:r>
              <w:rPr>
                <w:rFonts w:hint="eastAsia"/>
                <w:sz w:val="24"/>
                <w:szCs w:val="24"/>
                <w:lang w:val="en-US" w:eastAsia="zh-CN"/>
              </w:rPr>
              <w:t>0.00225</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60C1B5CF">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09555E76">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7B9111CB">
            <w:pPr>
              <w:pStyle w:val="94"/>
              <w:ind w:firstLine="0" w:firstLineChars="0"/>
              <w:rPr>
                <w:rFonts w:hint="default" w:ascii="Times New Roman" w:hAnsi="Times New Roman" w:cs="Times New Roman"/>
                <w:color w:val="000000"/>
                <w:sz w:val="24"/>
                <w:szCs w:val="24"/>
                <w:lang w:val="en-US" w:eastAsia="zh-CN"/>
              </w:rPr>
            </w:pPr>
            <w:r>
              <w:rPr>
                <w:rFonts w:hint="eastAsia" w:cs="Times New Roman"/>
                <w:snapToGrid/>
                <w:color w:val="000000"/>
                <w:sz w:val="24"/>
                <w:szCs w:val="24"/>
                <w:lang w:val="en-US" w:eastAsia="zh-CN"/>
              </w:rPr>
              <w:t>0.46</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6D0F062E">
            <w:pPr>
              <w:pStyle w:val="94"/>
              <w:ind w:firstLine="0" w:firstLineChars="0"/>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0.00112</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391702EA">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0.46113</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38BF9F2D">
            <w:pPr>
              <w:keepNext w:val="0"/>
              <w:keepLines w:val="0"/>
              <w:widowControl/>
              <w:suppressLineNumbers w:val="0"/>
              <w:jc w:val="center"/>
              <w:textAlignment w:val="center"/>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+0.4589</w:t>
            </w:r>
            <w:r>
              <w:rPr>
                <w:rFonts w:hint="default" w:ascii="Times New Roman" w:hAnsi="Times New Roman" w:cs="Times New Roman"/>
                <w:snapToGrid w:val="0"/>
                <w:color w:val="000000"/>
                <w:sz w:val="24"/>
                <w:szCs w:val="24"/>
                <w:lang w:val="en-US" w:eastAsia="zh-CN"/>
              </w:rPr>
              <w:t>t/a</w:t>
            </w:r>
          </w:p>
        </w:tc>
      </w:tr>
      <w:tr w14:paraId="32AE5E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50" w:type="dxa"/>
            <w:vMerge w:val="restart"/>
            <w:noWrap w:val="0"/>
            <w:vAlign w:val="center"/>
          </w:tcPr>
          <w:p w14:paraId="6C2E3CBB">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废水</w:t>
            </w:r>
          </w:p>
        </w:tc>
        <w:tc>
          <w:tcPr>
            <w:tcW w:w="2016" w:type="dxa"/>
            <w:noWrap w:val="0"/>
            <w:vAlign w:val="center"/>
          </w:tcPr>
          <w:p w14:paraId="3967230C">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废水量</w:t>
            </w:r>
          </w:p>
        </w:tc>
        <w:tc>
          <w:tcPr>
            <w:tcW w:w="1567" w:type="dxa"/>
            <w:noWrap w:val="0"/>
            <w:vAlign w:val="center"/>
          </w:tcPr>
          <w:p w14:paraId="46320351">
            <w:pPr>
              <w:pStyle w:val="94"/>
              <w:ind w:firstLine="0" w:firstLineChars="0"/>
              <w:jc w:val="center"/>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sz w:val="24"/>
                <w:szCs w:val="24"/>
                <w:lang w:val="en-US" w:eastAsia="zh-CN"/>
              </w:rPr>
              <w:t>1551.25t/a</w:t>
            </w:r>
          </w:p>
        </w:tc>
        <w:tc>
          <w:tcPr>
            <w:tcW w:w="1020" w:type="dxa"/>
            <w:noWrap w:val="0"/>
            <w:vAlign w:val="center"/>
          </w:tcPr>
          <w:p w14:paraId="70BFC7F8">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18FF8C45">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553DB212">
            <w:pPr>
              <w:pStyle w:val="8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kern w:val="0"/>
                <w:sz w:val="24"/>
                <w:szCs w:val="24"/>
                <w:lang w:val="en-US" w:eastAsia="zh-CN" w:bidi="ar-SA"/>
              </w:rPr>
            </w:pPr>
            <w:r>
              <w:rPr>
                <w:rFonts w:hint="default" w:ascii="Times New Roman" w:hAnsi="Times New Roman" w:cs="Times New Roman"/>
                <w:color w:val="000000"/>
                <w:sz w:val="24"/>
                <w:szCs w:val="24"/>
                <w:lang w:val="en-US" w:eastAsia="zh-CN"/>
              </w:rPr>
              <w:t>359.04</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2B5FF982">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eastAsia="宋体" w:cs="Times New Roman"/>
                <w:snapToGrid w:val="0"/>
                <w:color w:val="000000"/>
                <w:kern w:val="21"/>
                <w:sz w:val="24"/>
                <w:szCs w:val="24"/>
                <w:lang w:val="en-US" w:eastAsia="zh-CN"/>
              </w:rPr>
              <w:t>0</w:t>
            </w:r>
          </w:p>
        </w:tc>
        <w:tc>
          <w:tcPr>
            <w:tcW w:w="1959" w:type="dxa"/>
            <w:noWrap w:val="0"/>
            <w:vAlign w:val="center"/>
          </w:tcPr>
          <w:p w14:paraId="1DD0AD6D">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val="en-US" w:eastAsia="zh-CN"/>
              </w:rPr>
            </w:pPr>
            <w:r>
              <w:rPr>
                <w:rFonts w:hint="eastAsia" w:ascii="Times New Roman" w:hAnsi="Times New Roman" w:cs="Times New Roman"/>
                <w:snapToGrid w:val="0"/>
                <w:color w:val="000000"/>
                <w:kern w:val="21"/>
                <w:sz w:val="24"/>
                <w:szCs w:val="24"/>
                <w:lang w:val="en-US" w:eastAsia="zh-CN"/>
              </w:rPr>
              <w:t>1910.29</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599D5987">
            <w:pPr>
              <w:keepNext w:val="0"/>
              <w:keepLines w:val="0"/>
              <w:widowControl/>
              <w:suppressLineNumbers w:val="0"/>
              <w:jc w:val="center"/>
              <w:textAlignment w:val="center"/>
              <w:rPr>
                <w:rFonts w:hint="eastAsia" w:ascii="Times New Roman" w:hAnsi="Times New Roman" w:eastAsia="宋体" w:cs="Times New Roman"/>
                <w:snapToGrid w:val="0"/>
                <w:color w:val="000000"/>
                <w:kern w:val="21"/>
                <w:sz w:val="24"/>
                <w:szCs w:val="24"/>
                <w:lang w:val="en-US" w:eastAsia="zh-CN"/>
              </w:rPr>
            </w:pPr>
            <w:r>
              <w:rPr>
                <w:rFonts w:hint="eastAsia" w:ascii="Times New Roman" w:hAnsi="Times New Roman" w:cs="Times New Roman"/>
                <w:snapToGrid w:val="0"/>
                <w:color w:val="000000"/>
                <w:kern w:val="21"/>
                <w:sz w:val="24"/>
                <w:szCs w:val="24"/>
                <w:lang w:val="en-US" w:eastAsia="zh-CN"/>
              </w:rPr>
              <w:t>+</w:t>
            </w:r>
            <w:r>
              <w:rPr>
                <w:rFonts w:hint="default" w:ascii="Times New Roman" w:hAnsi="Times New Roman" w:cs="Times New Roman"/>
                <w:color w:val="000000"/>
                <w:sz w:val="24"/>
                <w:szCs w:val="24"/>
                <w:lang w:val="en-US" w:eastAsia="zh-CN"/>
              </w:rPr>
              <w:t>359.04</w:t>
            </w:r>
            <w:r>
              <w:rPr>
                <w:rFonts w:hint="default" w:ascii="Times New Roman" w:hAnsi="Times New Roman" w:cs="Times New Roman"/>
                <w:snapToGrid w:val="0"/>
                <w:color w:val="000000"/>
                <w:sz w:val="24"/>
                <w:szCs w:val="24"/>
                <w:lang w:val="en-US" w:eastAsia="zh-CN"/>
              </w:rPr>
              <w:t>t/a</w:t>
            </w:r>
          </w:p>
        </w:tc>
      </w:tr>
      <w:tr w14:paraId="20B46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250" w:type="dxa"/>
            <w:vMerge w:val="continue"/>
            <w:noWrap w:val="0"/>
            <w:vAlign w:val="center"/>
          </w:tcPr>
          <w:p w14:paraId="6BA7F798">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295D93D6">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COD</w:t>
            </w:r>
          </w:p>
        </w:tc>
        <w:tc>
          <w:tcPr>
            <w:tcW w:w="1567" w:type="dxa"/>
            <w:noWrap w:val="0"/>
            <w:vAlign w:val="center"/>
          </w:tcPr>
          <w:p w14:paraId="5C248D06">
            <w:pPr>
              <w:pStyle w:val="94"/>
              <w:ind w:firstLine="0" w:firstLineChars="0"/>
              <w:jc w:val="center"/>
              <w:rPr>
                <w:rFonts w:hint="default" w:ascii="Times New Roman" w:hAnsi="Times New Roman" w:cs="Times New Roman"/>
                <w:snapToGrid w:val="0"/>
                <w:color w:val="000000"/>
                <w:kern w:val="21"/>
                <w:sz w:val="24"/>
                <w:szCs w:val="24"/>
              </w:rPr>
            </w:pPr>
            <w:r>
              <w:rPr>
                <w:rFonts w:hint="default" w:ascii="Times New Roman" w:hAnsi="Times New Roman" w:cs="Times New Roman"/>
                <w:color w:val="000000"/>
                <w:sz w:val="24"/>
                <w:szCs w:val="24"/>
                <w:lang w:val="en-US" w:eastAsia="zh-CN"/>
              </w:rPr>
              <w:t>0.7013</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30166BFA">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3DAF4BCA">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11EFE1A8">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bidi="ar-SA"/>
              </w:rPr>
            </w:pPr>
            <w:r>
              <w:rPr>
                <w:rFonts w:hint="default" w:ascii="Times New Roman" w:hAnsi="Times New Roman" w:eastAsia="宋体" w:cs="Times New Roman"/>
                <w:snapToGrid w:val="0"/>
                <w:color w:val="000000"/>
                <w:kern w:val="21"/>
                <w:sz w:val="24"/>
                <w:szCs w:val="24"/>
                <w:lang w:val="en-US" w:eastAsia="zh-CN"/>
              </w:rPr>
              <w:t>0.180</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4DA2C945">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eastAsia="宋体" w:cs="Times New Roman"/>
                <w:snapToGrid w:val="0"/>
                <w:color w:val="000000"/>
                <w:kern w:val="21"/>
                <w:sz w:val="24"/>
                <w:szCs w:val="24"/>
                <w:lang w:val="en-US" w:eastAsia="zh-CN"/>
              </w:rPr>
              <w:t>0</w:t>
            </w:r>
          </w:p>
        </w:tc>
        <w:tc>
          <w:tcPr>
            <w:tcW w:w="1959" w:type="dxa"/>
            <w:noWrap w:val="0"/>
            <w:vAlign w:val="center"/>
          </w:tcPr>
          <w:p w14:paraId="20B9155C">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eastAsia="zh-CN"/>
              </w:rPr>
            </w:pPr>
            <w:r>
              <w:rPr>
                <w:rFonts w:hint="default" w:ascii="Times New Roman" w:hAnsi="Times New Roman" w:eastAsia="宋体" w:cs="Times New Roman"/>
                <w:i w:val="0"/>
                <w:iCs w:val="0"/>
                <w:color w:val="000000"/>
                <w:kern w:val="0"/>
                <w:sz w:val="24"/>
                <w:szCs w:val="24"/>
                <w:u w:val="none"/>
                <w:lang w:val="en-US" w:eastAsia="zh-CN" w:bidi="ar"/>
              </w:rPr>
              <w:t>0.8813</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09E6E0E7">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eastAsia="zh-CN"/>
              </w:rPr>
            </w:pPr>
            <w:r>
              <w:rPr>
                <w:rFonts w:hint="eastAsia"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0.18</w:t>
            </w:r>
            <w:r>
              <w:rPr>
                <w:rFonts w:hint="default" w:ascii="Times New Roman" w:hAnsi="Times New Roman" w:cs="Times New Roman"/>
                <w:snapToGrid w:val="0"/>
                <w:color w:val="000000"/>
                <w:sz w:val="24"/>
                <w:szCs w:val="24"/>
                <w:lang w:val="en-US" w:eastAsia="zh-CN"/>
              </w:rPr>
              <w:t>t/a</w:t>
            </w:r>
          </w:p>
        </w:tc>
      </w:tr>
      <w:tr w14:paraId="1F247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250" w:type="dxa"/>
            <w:vMerge w:val="continue"/>
            <w:noWrap w:val="0"/>
            <w:vAlign w:val="center"/>
          </w:tcPr>
          <w:p w14:paraId="4E99D3AE">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528B673A">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rPr>
              <w:t>NH</w:t>
            </w:r>
            <w:r>
              <w:rPr>
                <w:rFonts w:hint="default" w:ascii="Times New Roman" w:hAnsi="Times New Roman" w:cs="Times New Roman"/>
                <w:snapToGrid w:val="0"/>
                <w:color w:val="000000"/>
                <w:kern w:val="21"/>
                <w:sz w:val="24"/>
                <w:szCs w:val="24"/>
                <w:vertAlign w:val="subscript"/>
              </w:rPr>
              <w:t>3</w:t>
            </w:r>
            <w:r>
              <w:rPr>
                <w:rFonts w:hint="default" w:ascii="Times New Roman" w:hAnsi="Times New Roman" w:cs="Times New Roman"/>
                <w:snapToGrid w:val="0"/>
                <w:color w:val="000000"/>
                <w:kern w:val="21"/>
                <w:sz w:val="24"/>
                <w:szCs w:val="24"/>
              </w:rPr>
              <w:t>-N</w:t>
            </w:r>
          </w:p>
        </w:tc>
        <w:tc>
          <w:tcPr>
            <w:tcW w:w="1567" w:type="dxa"/>
            <w:noWrap w:val="0"/>
            <w:vAlign w:val="center"/>
          </w:tcPr>
          <w:p w14:paraId="5E349E75">
            <w:pPr>
              <w:pStyle w:val="94"/>
              <w:ind w:firstLine="0" w:firstLineChars="0"/>
              <w:jc w:val="center"/>
              <w:rPr>
                <w:rFonts w:hint="default" w:ascii="Times New Roman" w:hAnsi="Times New Roman" w:cs="Times New Roman"/>
                <w:snapToGrid w:val="0"/>
                <w:color w:val="000000"/>
                <w:kern w:val="21"/>
                <w:sz w:val="24"/>
                <w:szCs w:val="24"/>
              </w:rPr>
            </w:pPr>
            <w:r>
              <w:rPr>
                <w:rFonts w:hint="default" w:ascii="Times New Roman" w:hAnsi="Times New Roman" w:cs="Times New Roman"/>
                <w:color w:val="000000"/>
                <w:sz w:val="24"/>
                <w:szCs w:val="24"/>
                <w:lang w:val="en-US" w:eastAsia="zh-CN"/>
              </w:rPr>
              <w:t>0.0631</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235C8754">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4397AEED">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6EB0D0DF">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eastAsia="宋体" w:cs="Times New Roman"/>
                <w:snapToGrid w:val="0"/>
                <w:color w:val="000000"/>
                <w:kern w:val="21"/>
                <w:sz w:val="24"/>
                <w:szCs w:val="24"/>
                <w:lang w:val="en-US" w:eastAsia="zh-CN"/>
              </w:rPr>
              <w:t>0.0162</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36899287">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eastAsia="宋体" w:cs="Times New Roman"/>
                <w:snapToGrid w:val="0"/>
                <w:color w:val="000000"/>
                <w:kern w:val="21"/>
                <w:sz w:val="24"/>
                <w:szCs w:val="24"/>
                <w:lang w:val="en-US" w:eastAsia="zh-CN"/>
              </w:rPr>
              <w:t>0</w:t>
            </w:r>
          </w:p>
        </w:tc>
        <w:tc>
          <w:tcPr>
            <w:tcW w:w="1959" w:type="dxa"/>
            <w:noWrap w:val="0"/>
            <w:vAlign w:val="center"/>
          </w:tcPr>
          <w:p w14:paraId="70758A32">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eastAsia="zh-CN"/>
              </w:rPr>
            </w:pPr>
            <w:r>
              <w:rPr>
                <w:rFonts w:hint="default" w:ascii="Times New Roman" w:hAnsi="Times New Roman" w:eastAsia="宋体" w:cs="Times New Roman"/>
                <w:i w:val="0"/>
                <w:iCs w:val="0"/>
                <w:color w:val="000000"/>
                <w:kern w:val="0"/>
                <w:sz w:val="24"/>
                <w:szCs w:val="24"/>
                <w:u w:val="none"/>
                <w:lang w:val="en-US" w:eastAsia="zh-CN" w:bidi="ar"/>
              </w:rPr>
              <w:t>0.0793</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1DF5EF2D">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eastAsia="zh-CN"/>
              </w:rPr>
            </w:pPr>
            <w:r>
              <w:rPr>
                <w:rFonts w:hint="eastAsia"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0.0162</w:t>
            </w:r>
            <w:r>
              <w:rPr>
                <w:rFonts w:hint="default" w:ascii="Times New Roman" w:hAnsi="Times New Roman" w:cs="Times New Roman"/>
                <w:snapToGrid w:val="0"/>
                <w:color w:val="000000"/>
                <w:sz w:val="24"/>
                <w:szCs w:val="24"/>
                <w:lang w:val="en-US" w:eastAsia="zh-CN"/>
              </w:rPr>
              <w:t>t/a</w:t>
            </w:r>
          </w:p>
        </w:tc>
      </w:tr>
      <w:tr w14:paraId="5885B8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250" w:type="dxa"/>
            <w:vMerge w:val="continue"/>
            <w:noWrap w:val="0"/>
            <w:vAlign w:val="center"/>
          </w:tcPr>
          <w:p w14:paraId="3AAC851F">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5A50A2C7">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TP</w:t>
            </w:r>
          </w:p>
        </w:tc>
        <w:tc>
          <w:tcPr>
            <w:tcW w:w="1567" w:type="dxa"/>
            <w:noWrap w:val="0"/>
            <w:vAlign w:val="center"/>
          </w:tcPr>
          <w:p w14:paraId="1DA56606">
            <w:pPr>
              <w:pStyle w:val="94"/>
              <w:ind w:firstLine="0" w:firstLineChars="0"/>
              <w:jc w:val="center"/>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color w:val="000000"/>
                <w:sz w:val="24"/>
                <w:szCs w:val="24"/>
                <w:lang w:val="en-US" w:eastAsia="zh-CN"/>
              </w:rPr>
              <w:t>0.0112</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60D11A6D">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73F7645C">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5CDB9908">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snapToGrid w:val="0"/>
                <w:color w:val="000000"/>
                <w:kern w:val="21"/>
                <w:sz w:val="24"/>
                <w:szCs w:val="24"/>
                <w:lang w:val="en-US" w:eastAsia="zh-CN"/>
              </w:rPr>
              <w:t>0.0029</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26D7AAB4">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0AE1D021">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0.0141</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063AF0AC">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eastAsia"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0.0029</w:t>
            </w:r>
            <w:r>
              <w:rPr>
                <w:rFonts w:hint="default" w:ascii="Times New Roman" w:hAnsi="Times New Roman" w:cs="Times New Roman"/>
                <w:snapToGrid w:val="0"/>
                <w:color w:val="000000"/>
                <w:sz w:val="24"/>
                <w:szCs w:val="24"/>
                <w:lang w:val="en-US" w:eastAsia="zh-CN"/>
              </w:rPr>
              <w:t>t/a</w:t>
            </w:r>
          </w:p>
        </w:tc>
      </w:tr>
      <w:tr w14:paraId="2474A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0" w:type="dxa"/>
            <w:vMerge w:val="restart"/>
            <w:noWrap w:val="0"/>
            <w:vAlign w:val="center"/>
          </w:tcPr>
          <w:p w14:paraId="3AE82F04">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固废</w:t>
            </w:r>
          </w:p>
        </w:tc>
        <w:tc>
          <w:tcPr>
            <w:tcW w:w="2016" w:type="dxa"/>
            <w:noWrap w:val="0"/>
            <w:vAlign w:val="center"/>
          </w:tcPr>
          <w:p w14:paraId="2FB2FC07">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rPr>
              <w:t>废包装材料</w:t>
            </w:r>
          </w:p>
        </w:tc>
        <w:tc>
          <w:tcPr>
            <w:tcW w:w="1567" w:type="dxa"/>
            <w:noWrap w:val="0"/>
            <w:vAlign w:val="center"/>
          </w:tcPr>
          <w:p w14:paraId="758AB9FF">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lang w:val="en-US" w:eastAsia="zh-CN"/>
              </w:rPr>
              <w:t>2</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35C83BDE">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4B3E7D68">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44BD9833">
            <w:pPr>
              <w:pStyle w:val="92"/>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1</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52034DD4">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eastAsia="宋体" w:cs="Times New Roman"/>
                <w:snapToGrid w:val="0"/>
                <w:color w:val="000000"/>
                <w:kern w:val="21"/>
                <w:sz w:val="24"/>
                <w:szCs w:val="24"/>
                <w:lang w:val="en-US" w:eastAsia="zh-CN"/>
              </w:rPr>
              <w:t>1</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3AB28988">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rPr>
            </w:pPr>
            <w:r>
              <w:rPr>
                <w:rFonts w:hint="default" w:ascii="Times New Roman" w:hAnsi="Times New Roman" w:eastAsia="宋体" w:cs="Times New Roman"/>
                <w:i w:val="0"/>
                <w:iCs w:val="0"/>
                <w:color w:val="000000"/>
                <w:kern w:val="0"/>
                <w:sz w:val="24"/>
                <w:szCs w:val="24"/>
                <w:u w:val="none"/>
                <w:lang w:val="en-US" w:eastAsia="zh-CN" w:bidi="ar"/>
              </w:rPr>
              <w:t>2</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26F4A1B4">
            <w:pPr>
              <w:keepNext w:val="0"/>
              <w:keepLines w:val="0"/>
              <w:widowControl/>
              <w:suppressLineNumbers w:val="0"/>
              <w:jc w:val="center"/>
              <w:textAlignment w:val="center"/>
              <w:rPr>
                <w:rFonts w:hint="default" w:ascii="Times New Roman" w:hAnsi="Times New Roman" w:eastAsia="宋体" w:cs="Times New Roman"/>
                <w:snapToGrid w:val="0"/>
                <w:color w:val="000000"/>
                <w:kern w:val="21"/>
                <w:sz w:val="24"/>
                <w:szCs w:val="24"/>
                <w:lang w:eastAsia="zh-CN"/>
              </w:rPr>
            </w:pPr>
            <w:r>
              <w:rPr>
                <w:rFonts w:hint="default" w:ascii="Times New Roman" w:hAnsi="Times New Roman" w:eastAsia="宋体" w:cs="Times New Roman"/>
                <w:i w:val="0"/>
                <w:iCs w:val="0"/>
                <w:color w:val="000000"/>
                <w:kern w:val="0"/>
                <w:sz w:val="24"/>
                <w:szCs w:val="24"/>
                <w:u w:val="none"/>
                <w:lang w:val="en-US" w:eastAsia="zh-CN" w:bidi="ar"/>
              </w:rPr>
              <w:t>0</w:t>
            </w:r>
          </w:p>
        </w:tc>
      </w:tr>
      <w:tr w14:paraId="5AEC6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50" w:type="dxa"/>
            <w:vMerge w:val="continue"/>
            <w:noWrap w:val="0"/>
            <w:vAlign w:val="center"/>
          </w:tcPr>
          <w:p w14:paraId="2B599DC5">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p>
        </w:tc>
        <w:tc>
          <w:tcPr>
            <w:tcW w:w="2016" w:type="dxa"/>
            <w:noWrap w:val="0"/>
            <w:vAlign w:val="center"/>
          </w:tcPr>
          <w:p w14:paraId="1EF420B6">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rPr>
              <w:t>石膏</w:t>
            </w:r>
          </w:p>
        </w:tc>
        <w:tc>
          <w:tcPr>
            <w:tcW w:w="1567" w:type="dxa"/>
            <w:noWrap w:val="0"/>
            <w:vAlign w:val="center"/>
          </w:tcPr>
          <w:p w14:paraId="27C67B3F">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lang w:val="en-US" w:eastAsia="zh-CN"/>
              </w:rPr>
              <w:t>123</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5CA70780">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5DD81250">
            <w:pPr>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1F66B2B3">
            <w:pPr>
              <w:pStyle w:val="92"/>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199.52</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26339A85">
            <w:pPr>
              <w:pStyle w:val="49"/>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61.5</w:t>
            </w:r>
            <w:r>
              <w:rPr>
                <w:rFonts w:hint="default" w:ascii="Times New Roman" w:hAnsi="Times New Roman" w:cs="Times New Roman"/>
                <w:snapToGrid w:val="0"/>
                <w:color w:val="000000"/>
                <w:sz w:val="24"/>
                <w:szCs w:val="24"/>
                <w:lang w:val="en-US" w:eastAsia="zh-CN"/>
              </w:rPr>
              <w:t>t/a</w:t>
            </w:r>
          </w:p>
        </w:tc>
        <w:tc>
          <w:tcPr>
            <w:tcW w:w="1959" w:type="dxa"/>
            <w:noWrap w:val="0"/>
            <w:vAlign w:val="center"/>
          </w:tcPr>
          <w:p w14:paraId="1CF970C6">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261.02</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693DE3D4">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138.02</w:t>
            </w:r>
            <w:r>
              <w:rPr>
                <w:rFonts w:hint="default" w:ascii="Times New Roman" w:hAnsi="Times New Roman" w:cs="Times New Roman"/>
                <w:snapToGrid w:val="0"/>
                <w:color w:val="000000"/>
                <w:sz w:val="24"/>
                <w:szCs w:val="24"/>
                <w:lang w:val="en-US" w:eastAsia="zh-CN"/>
              </w:rPr>
              <w:t>t/a</w:t>
            </w:r>
          </w:p>
        </w:tc>
      </w:tr>
      <w:tr w14:paraId="31644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50" w:type="dxa"/>
            <w:vMerge w:val="continue"/>
            <w:noWrap w:val="0"/>
            <w:vAlign w:val="center"/>
          </w:tcPr>
          <w:p w14:paraId="7AEA2B91">
            <w:pPr>
              <w:pStyle w:val="49"/>
              <w:spacing w:beforeLines="0" w:afterLines="0" w:line="240" w:lineRule="auto"/>
              <w:jc w:val="center"/>
              <w:rPr>
                <w:rFonts w:hint="default" w:ascii="Times New Roman" w:hAnsi="Times New Roman" w:cs="Times New Roman"/>
                <w:snapToGrid w:val="0"/>
                <w:color w:val="000000"/>
                <w:kern w:val="21"/>
                <w:sz w:val="24"/>
                <w:szCs w:val="24"/>
              </w:rPr>
            </w:pPr>
          </w:p>
        </w:tc>
        <w:tc>
          <w:tcPr>
            <w:tcW w:w="2016" w:type="dxa"/>
            <w:noWrap w:val="0"/>
            <w:vAlign w:val="center"/>
          </w:tcPr>
          <w:p w14:paraId="2D635AE6">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eastAsia" w:ascii="Times New Roman" w:hAnsi="Times New Roman" w:eastAsia="宋体" w:cs="Times New Roman"/>
                <w:color w:val="000000"/>
                <w:sz w:val="24"/>
                <w:szCs w:val="24"/>
                <w:lang w:val="en-US" w:eastAsia="zh-CN"/>
              </w:rPr>
              <w:t>预处理池</w:t>
            </w:r>
            <w:r>
              <w:rPr>
                <w:rFonts w:hint="default" w:ascii="Times New Roman" w:hAnsi="Times New Roman" w:eastAsia="宋体" w:cs="Times New Roman"/>
                <w:color w:val="000000"/>
                <w:sz w:val="24"/>
                <w:szCs w:val="24"/>
              </w:rPr>
              <w:t>污泥</w:t>
            </w:r>
          </w:p>
        </w:tc>
        <w:tc>
          <w:tcPr>
            <w:tcW w:w="1567" w:type="dxa"/>
            <w:noWrap w:val="0"/>
            <w:vAlign w:val="center"/>
          </w:tcPr>
          <w:p w14:paraId="09230C35">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lang w:val="en-US" w:eastAsia="zh-CN"/>
              </w:rPr>
              <w:t>1</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48446959">
            <w:pPr>
              <w:spacing w:beforeLines="0" w:afterLines="0" w:line="240" w:lineRule="auto"/>
              <w:jc w:val="center"/>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2DBF3535">
            <w:pPr>
              <w:spacing w:beforeLines="0" w:afterLines="0" w:line="240" w:lineRule="auto"/>
              <w:jc w:val="center"/>
              <w:rPr>
                <w:rFonts w:hint="default" w:ascii="Times New Roman" w:hAnsi="Times New Roman" w:cs="Times New Roman"/>
                <w:snapToGrid w:val="0"/>
                <w:color w:val="000000"/>
                <w:kern w:val="21"/>
                <w:sz w:val="24"/>
                <w:szCs w:val="24"/>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4A35A086">
            <w:pPr>
              <w:pStyle w:val="92"/>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Cs/>
                <w:color w:val="000000"/>
                <w:sz w:val="24"/>
                <w:szCs w:val="24"/>
                <w:lang w:val="en-US" w:eastAsia="zh-CN"/>
              </w:rPr>
            </w:pPr>
            <w:r>
              <w:rPr>
                <w:rFonts w:hint="default" w:ascii="Times New Roman" w:hAnsi="Times New Roman" w:cs="Times New Roman"/>
                <w:bCs/>
                <w:color w:val="000000"/>
                <w:sz w:val="24"/>
                <w:szCs w:val="24"/>
                <w:lang w:val="en-US" w:eastAsia="zh-CN"/>
              </w:rPr>
              <w:t>0</w:t>
            </w:r>
            <w:r>
              <w:rPr>
                <w:rFonts w:hint="eastAsia" w:ascii="Times New Roman" w:hAnsi="Times New Roman" w:cs="Times New Roman"/>
                <w:bCs/>
                <w:color w:val="000000"/>
                <w:sz w:val="24"/>
                <w:szCs w:val="24"/>
                <w:lang w:val="en-US" w:eastAsia="zh-CN"/>
              </w:rPr>
              <w:t>.5</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356C607E">
            <w:pPr>
              <w:spacing w:beforeLines="0" w:afterLines="0" w:line="240" w:lineRule="auto"/>
              <w:jc w:val="center"/>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1FA4740B">
            <w:pPr>
              <w:keepNext w:val="0"/>
              <w:keepLines w:val="0"/>
              <w:widowControl/>
              <w:suppressLineNumbers w:val="0"/>
              <w:jc w:val="center"/>
              <w:textAlignment w:val="center"/>
              <w:rPr>
                <w:rFonts w:hint="default" w:ascii="Times New Roman" w:hAnsi="Times New Roman" w:cs="Times New Roman"/>
                <w:bCs/>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.5</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67E76DAB">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eastAsia" w:ascii="Times New Roman" w:hAnsi="Times New Roman" w:eastAsia="宋体" w:cs="Times New Roman"/>
                <w:i w:val="0"/>
                <w:iCs w:val="0"/>
                <w:color w:val="000000"/>
                <w:kern w:val="0"/>
                <w:sz w:val="24"/>
                <w:szCs w:val="24"/>
                <w:u w:val="none"/>
                <w:lang w:val="en-US" w:eastAsia="zh-CN" w:bidi="ar"/>
              </w:rPr>
              <w:t>+0.5</w:t>
            </w:r>
            <w:r>
              <w:rPr>
                <w:rFonts w:hint="default" w:ascii="Times New Roman" w:hAnsi="Times New Roman" w:cs="Times New Roman"/>
                <w:snapToGrid w:val="0"/>
                <w:color w:val="000000"/>
                <w:sz w:val="24"/>
                <w:szCs w:val="24"/>
                <w:lang w:val="en-US" w:eastAsia="zh-CN"/>
              </w:rPr>
              <w:t>t/a</w:t>
            </w:r>
          </w:p>
        </w:tc>
      </w:tr>
      <w:tr w14:paraId="4D4EA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50" w:type="dxa"/>
            <w:vMerge w:val="continue"/>
            <w:noWrap w:val="0"/>
            <w:vAlign w:val="center"/>
          </w:tcPr>
          <w:p w14:paraId="4AE27819">
            <w:pPr>
              <w:pStyle w:val="49"/>
              <w:spacing w:beforeLines="0" w:afterLines="0" w:line="240" w:lineRule="auto"/>
              <w:jc w:val="center"/>
              <w:rPr>
                <w:rFonts w:hint="default" w:ascii="Times New Roman" w:hAnsi="Times New Roman" w:cs="Times New Roman"/>
                <w:snapToGrid w:val="0"/>
                <w:color w:val="000000"/>
                <w:kern w:val="21"/>
                <w:sz w:val="24"/>
                <w:szCs w:val="24"/>
              </w:rPr>
            </w:pPr>
          </w:p>
        </w:tc>
        <w:tc>
          <w:tcPr>
            <w:tcW w:w="2016" w:type="dxa"/>
            <w:noWrap w:val="0"/>
            <w:vAlign w:val="center"/>
          </w:tcPr>
          <w:p w14:paraId="01C3CEBD">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rPr>
              <w:t>生活垃圾</w:t>
            </w:r>
          </w:p>
        </w:tc>
        <w:tc>
          <w:tcPr>
            <w:tcW w:w="1567" w:type="dxa"/>
            <w:noWrap w:val="0"/>
            <w:vAlign w:val="center"/>
          </w:tcPr>
          <w:p w14:paraId="0D3A922E">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lang w:val="en-US" w:eastAsia="zh-CN"/>
              </w:rPr>
              <w:t>10.04</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60F9D43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55653DA7">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45B24ED5">
            <w:pPr>
              <w:pStyle w:val="92"/>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Cs/>
                <w:color w:val="000000"/>
                <w:sz w:val="24"/>
                <w:szCs w:val="24"/>
                <w:lang w:val="en-US" w:eastAsia="zh-CN"/>
              </w:rPr>
            </w:pPr>
            <w:r>
              <w:rPr>
                <w:rFonts w:hint="default" w:ascii="Times New Roman" w:hAnsi="Times New Roman" w:cs="Times New Roman"/>
                <w:bCs/>
                <w:color w:val="000000"/>
                <w:sz w:val="24"/>
                <w:szCs w:val="24"/>
                <w:lang w:val="en-US" w:eastAsia="zh-CN"/>
              </w:rPr>
              <w:t>2.64t/a</w:t>
            </w:r>
          </w:p>
        </w:tc>
        <w:tc>
          <w:tcPr>
            <w:tcW w:w="1761" w:type="dxa"/>
            <w:noWrap w:val="0"/>
            <w:vAlign w:val="center"/>
          </w:tcPr>
          <w:p w14:paraId="4AF6FC67">
            <w:pPr>
              <w:spacing w:beforeLines="0" w:afterLines="0" w:line="240" w:lineRule="auto"/>
              <w:jc w:val="center"/>
              <w:rPr>
                <w:rFonts w:hint="default" w:ascii="Times New Roman" w:hAnsi="Times New Roman" w:eastAsia="宋体"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238B93C7">
            <w:pPr>
              <w:keepNext w:val="0"/>
              <w:keepLines w:val="0"/>
              <w:widowControl/>
              <w:suppressLineNumbers w:val="0"/>
              <w:jc w:val="center"/>
              <w:textAlignment w:val="center"/>
              <w:rPr>
                <w:rFonts w:hint="default" w:ascii="Times New Roman" w:hAnsi="Times New Roman" w:cs="Times New Roman"/>
                <w:bCs/>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12.68</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5DF9E330">
            <w:pPr>
              <w:keepNext w:val="0"/>
              <w:keepLines w:val="0"/>
              <w:widowControl/>
              <w:suppressLineNumbers w:val="0"/>
              <w:jc w:val="center"/>
              <w:textAlignment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2.64</w:t>
            </w:r>
            <w:r>
              <w:rPr>
                <w:rFonts w:hint="default" w:ascii="Times New Roman" w:hAnsi="Times New Roman" w:cs="Times New Roman"/>
                <w:snapToGrid w:val="0"/>
                <w:color w:val="000000"/>
                <w:sz w:val="24"/>
                <w:szCs w:val="24"/>
                <w:lang w:val="en-US" w:eastAsia="zh-CN"/>
              </w:rPr>
              <w:t>t/a</w:t>
            </w:r>
          </w:p>
        </w:tc>
      </w:tr>
      <w:tr w14:paraId="433A69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50" w:type="dxa"/>
            <w:vMerge w:val="continue"/>
            <w:noWrap w:val="0"/>
            <w:vAlign w:val="center"/>
          </w:tcPr>
          <w:p w14:paraId="05792A15">
            <w:pPr>
              <w:pStyle w:val="49"/>
              <w:spacing w:beforeLines="0" w:afterLines="0" w:line="240" w:lineRule="auto"/>
              <w:jc w:val="center"/>
              <w:rPr>
                <w:rFonts w:hint="default" w:ascii="Times New Roman" w:hAnsi="Times New Roman" w:cs="Times New Roman"/>
                <w:snapToGrid w:val="0"/>
                <w:color w:val="000000"/>
                <w:kern w:val="21"/>
                <w:sz w:val="24"/>
                <w:szCs w:val="24"/>
              </w:rPr>
            </w:pPr>
          </w:p>
        </w:tc>
        <w:tc>
          <w:tcPr>
            <w:tcW w:w="2016" w:type="dxa"/>
            <w:noWrap w:val="0"/>
            <w:vAlign w:val="center"/>
          </w:tcPr>
          <w:p w14:paraId="52ED237C">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rPr>
              <w:t>餐厨垃圾及隔油池废油脂</w:t>
            </w:r>
          </w:p>
        </w:tc>
        <w:tc>
          <w:tcPr>
            <w:tcW w:w="1567" w:type="dxa"/>
            <w:noWrap w:val="0"/>
            <w:vAlign w:val="center"/>
          </w:tcPr>
          <w:p w14:paraId="1C3C5E44">
            <w:pPr>
              <w:pStyle w:val="94"/>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sz w:val="24"/>
                <w:szCs w:val="24"/>
                <w:lang w:val="en-US" w:eastAsia="zh-CN"/>
              </w:rPr>
              <w:t>0.2</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6E696293">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247A15B2">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2A0DBF06">
            <w:pPr>
              <w:pStyle w:val="92"/>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bCs/>
                <w:color w:val="000000"/>
                <w:sz w:val="24"/>
                <w:szCs w:val="24"/>
                <w:lang w:val="en-US" w:eastAsia="zh-CN"/>
              </w:rPr>
            </w:pPr>
            <w:r>
              <w:rPr>
                <w:rFonts w:hint="default" w:ascii="Times New Roman" w:hAnsi="Times New Roman" w:cs="Times New Roman"/>
                <w:bCs/>
                <w:color w:val="000000"/>
                <w:sz w:val="24"/>
                <w:szCs w:val="24"/>
                <w:lang w:val="en-US" w:eastAsia="zh-CN"/>
              </w:rPr>
              <w:t>0</w:t>
            </w:r>
            <w:r>
              <w:rPr>
                <w:rFonts w:hint="eastAsia" w:ascii="Times New Roman" w:hAnsi="Times New Roman" w:cs="Times New Roman"/>
                <w:bCs/>
                <w:color w:val="000000"/>
                <w:sz w:val="24"/>
                <w:szCs w:val="24"/>
                <w:lang w:val="en-US" w:eastAsia="zh-CN"/>
              </w:rPr>
              <w:t>.528</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2F88CAB7">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74DDF840">
            <w:pPr>
              <w:keepNext w:val="0"/>
              <w:keepLines w:val="0"/>
              <w:widowControl/>
              <w:suppressLineNumbers w:val="0"/>
              <w:jc w:val="center"/>
              <w:textAlignment w:val="center"/>
              <w:rPr>
                <w:rFonts w:hint="default" w:ascii="Times New Roman" w:hAnsi="Times New Roman" w:cs="Times New Roman"/>
                <w:bCs/>
                <w:color w:val="000000"/>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0</w:t>
            </w:r>
            <w:r>
              <w:rPr>
                <w:rFonts w:hint="eastAsia" w:ascii="Times New Roman" w:hAnsi="Times New Roman" w:eastAsia="宋体" w:cs="Times New Roman"/>
                <w:i w:val="0"/>
                <w:iCs w:val="0"/>
                <w:color w:val="000000"/>
                <w:kern w:val="0"/>
                <w:sz w:val="24"/>
                <w:szCs w:val="24"/>
                <w:u w:val="none"/>
                <w:lang w:val="en-US" w:eastAsia="zh-CN" w:bidi="ar"/>
              </w:rPr>
              <w:t>.728</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30402092">
            <w:pPr>
              <w:keepNext w:val="0"/>
              <w:keepLines w:val="0"/>
              <w:widowControl/>
              <w:suppressLineNumbers w:val="0"/>
              <w:jc w:val="center"/>
              <w:textAlignment w:val="center"/>
              <w:rPr>
                <w:rFonts w:hint="default" w:ascii="Times New Roman" w:hAnsi="Times New Roman" w:cs="Times New Roman"/>
                <w:bCs/>
                <w:color w:val="000000"/>
                <w:sz w:val="24"/>
                <w:szCs w:val="24"/>
                <w:lang w:val="en-US" w:eastAsia="zh-CN"/>
              </w:rPr>
            </w:pPr>
            <w:r>
              <w:rPr>
                <w:rFonts w:hint="eastAsia" w:ascii="Times New Roman" w:hAnsi="Times New Roman" w:cs="Times New Roman"/>
                <w:bCs/>
                <w:color w:val="000000"/>
                <w:sz w:val="24"/>
                <w:szCs w:val="24"/>
                <w:lang w:val="en-US" w:eastAsia="zh-CN"/>
              </w:rPr>
              <w:t>+0.528</w:t>
            </w:r>
            <w:r>
              <w:rPr>
                <w:rFonts w:hint="default" w:ascii="Times New Roman" w:hAnsi="Times New Roman" w:cs="Times New Roman"/>
                <w:snapToGrid w:val="0"/>
                <w:color w:val="000000"/>
                <w:sz w:val="24"/>
                <w:szCs w:val="24"/>
                <w:lang w:val="en-US" w:eastAsia="zh-CN"/>
              </w:rPr>
              <w:t>t/a</w:t>
            </w:r>
          </w:p>
        </w:tc>
      </w:tr>
      <w:tr w14:paraId="69A9E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250" w:type="dxa"/>
            <w:vMerge w:val="continue"/>
            <w:noWrap w:val="0"/>
            <w:vAlign w:val="center"/>
          </w:tcPr>
          <w:p w14:paraId="4AC90747">
            <w:pPr>
              <w:pStyle w:val="49"/>
              <w:spacing w:beforeLines="0" w:afterLines="0" w:line="240" w:lineRule="auto"/>
              <w:jc w:val="center"/>
              <w:rPr>
                <w:rFonts w:hint="default" w:ascii="Times New Roman" w:hAnsi="Times New Roman" w:cs="Times New Roman"/>
                <w:snapToGrid w:val="0"/>
                <w:color w:val="000000"/>
                <w:kern w:val="21"/>
                <w:sz w:val="24"/>
                <w:szCs w:val="24"/>
              </w:rPr>
            </w:pPr>
          </w:p>
        </w:tc>
        <w:tc>
          <w:tcPr>
            <w:tcW w:w="2016" w:type="dxa"/>
            <w:noWrap w:val="0"/>
            <w:vAlign w:val="center"/>
          </w:tcPr>
          <w:p w14:paraId="5E6D81B8">
            <w:pPr>
              <w:jc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szCs w:val="24"/>
                <w:lang w:val="en-US" w:eastAsia="zh-CN" w:bidi="ar-SA"/>
              </w:rPr>
              <w:t>废机油</w:t>
            </w:r>
            <w:r>
              <w:rPr>
                <w:rFonts w:hint="eastAsia" w:ascii="Times New Roman" w:hAnsi="Times New Roman" w:eastAsia="宋体" w:cs="Times New Roman"/>
                <w:color w:val="000000"/>
                <w:kern w:val="0"/>
                <w:sz w:val="24"/>
                <w:szCs w:val="24"/>
                <w:lang w:val="en-US" w:eastAsia="zh-CN" w:bidi="ar-SA"/>
              </w:rPr>
              <w:t>/废润滑油</w:t>
            </w:r>
          </w:p>
        </w:tc>
        <w:tc>
          <w:tcPr>
            <w:tcW w:w="1567" w:type="dxa"/>
            <w:noWrap w:val="0"/>
            <w:vAlign w:val="center"/>
          </w:tcPr>
          <w:p w14:paraId="26A18F30">
            <w:pPr>
              <w:pStyle w:val="94"/>
              <w:ind w:firstLine="0" w:firstLineChars="0"/>
              <w:rPr>
                <w:rFonts w:hint="default"/>
                <w:color w:val="000000"/>
                <w:kern w:val="0"/>
                <w:sz w:val="24"/>
                <w:szCs w:val="24"/>
                <w:lang w:val="en-US" w:eastAsia="zh-CN" w:bidi="ar-SA"/>
              </w:rPr>
            </w:pPr>
            <w:r>
              <w:rPr>
                <w:rFonts w:hint="eastAsia"/>
                <w:color w:val="000000"/>
                <w:sz w:val="24"/>
                <w:szCs w:val="24"/>
              </w:rPr>
              <w:t>0.02</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2A0D8100">
            <w:pPr>
              <w:ind w:firstLine="0" w:firstLineChars="0"/>
              <w:jc w:val="center"/>
              <w:rPr>
                <w:rFonts w:hint="default" w:eastAsia="宋体"/>
                <w:color w:val="000000"/>
                <w:kern w:val="0"/>
                <w:sz w:val="24"/>
                <w:szCs w:val="24"/>
                <w:lang w:val="en-US" w:eastAsia="zh-CN" w:bidi="ar-SA"/>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7962F8E8">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5AC6D046">
            <w:pPr>
              <w:pStyle w:val="94"/>
              <w:ind w:firstLine="0" w:firstLineChars="0"/>
              <w:rPr>
                <w:rFonts w:hint="default" w:eastAsia="宋体"/>
                <w:color w:val="000000"/>
                <w:kern w:val="0"/>
                <w:sz w:val="24"/>
                <w:szCs w:val="24"/>
                <w:lang w:val="en-US" w:eastAsia="zh-CN" w:bidi="ar-SA"/>
              </w:rPr>
            </w:pPr>
            <w:r>
              <w:rPr>
                <w:rFonts w:hint="eastAsia"/>
                <w:color w:val="000000"/>
                <w:sz w:val="24"/>
                <w:szCs w:val="24"/>
                <w:lang w:val="en-US" w:eastAsia="zh-CN"/>
              </w:rPr>
              <w:t>0.05</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233A1E83">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77A1FEBB">
            <w:pPr>
              <w:pStyle w:val="94"/>
              <w:ind w:firstLine="0" w:firstLineChars="0"/>
              <w:rPr>
                <w:rFonts w:hint="default" w:eastAsia="宋体"/>
                <w:color w:val="000000"/>
                <w:kern w:val="0"/>
                <w:sz w:val="24"/>
                <w:szCs w:val="24"/>
                <w:lang w:val="en-US" w:eastAsia="zh-CN" w:bidi="ar-SA"/>
              </w:rPr>
            </w:pPr>
            <w:r>
              <w:rPr>
                <w:rFonts w:hint="eastAsia" w:eastAsia="宋体"/>
                <w:color w:val="000000"/>
                <w:sz w:val="24"/>
                <w:szCs w:val="24"/>
                <w:lang w:val="en-US" w:eastAsia="zh-CN"/>
              </w:rPr>
              <w:t>0.07</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1B49CF84">
            <w:pPr>
              <w:pStyle w:val="94"/>
              <w:ind w:firstLine="0" w:firstLineChars="0"/>
              <w:rPr>
                <w:rFonts w:hint="default" w:eastAsia="宋体"/>
                <w:snapToGrid w:val="0"/>
                <w:color w:val="000000"/>
                <w:kern w:val="0"/>
                <w:sz w:val="24"/>
                <w:szCs w:val="24"/>
                <w:lang w:val="en-US" w:eastAsia="zh-CN" w:bidi="ar-SA"/>
              </w:rPr>
            </w:pPr>
            <w:r>
              <w:rPr>
                <w:rFonts w:hint="eastAsia"/>
                <w:snapToGrid w:val="0"/>
                <w:color w:val="000000"/>
                <w:sz w:val="24"/>
                <w:szCs w:val="24"/>
                <w:lang w:val="en-US" w:eastAsia="zh-CN"/>
              </w:rPr>
              <w:t>+0.05</w:t>
            </w:r>
            <w:r>
              <w:rPr>
                <w:rFonts w:hint="default" w:ascii="Times New Roman" w:hAnsi="Times New Roman" w:cs="Times New Roman"/>
                <w:snapToGrid w:val="0"/>
                <w:color w:val="000000"/>
                <w:sz w:val="24"/>
                <w:szCs w:val="24"/>
                <w:lang w:val="en-US" w:eastAsia="zh-CN"/>
              </w:rPr>
              <w:t>t/a</w:t>
            </w:r>
          </w:p>
        </w:tc>
      </w:tr>
      <w:tr w14:paraId="225F6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50" w:type="dxa"/>
            <w:vMerge w:val="continue"/>
            <w:noWrap w:val="0"/>
            <w:vAlign w:val="center"/>
          </w:tcPr>
          <w:p w14:paraId="3D6D9C35">
            <w:pPr>
              <w:pStyle w:val="49"/>
              <w:spacing w:beforeLines="0" w:afterLines="0" w:line="240" w:lineRule="auto"/>
              <w:jc w:val="center"/>
              <w:rPr>
                <w:rFonts w:hint="default" w:ascii="Times New Roman" w:hAnsi="Times New Roman" w:cs="Times New Roman"/>
                <w:snapToGrid w:val="0"/>
                <w:color w:val="000000"/>
                <w:kern w:val="21"/>
                <w:sz w:val="24"/>
                <w:szCs w:val="24"/>
              </w:rPr>
            </w:pPr>
          </w:p>
        </w:tc>
        <w:tc>
          <w:tcPr>
            <w:tcW w:w="2016" w:type="dxa"/>
            <w:noWrap w:val="0"/>
            <w:vAlign w:val="center"/>
          </w:tcPr>
          <w:p w14:paraId="7B168B37">
            <w:pPr>
              <w:jc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szCs w:val="24"/>
                <w:lang w:val="en-US" w:eastAsia="zh-CN" w:bidi="ar-SA"/>
              </w:rPr>
              <w:t>废机油</w:t>
            </w:r>
            <w:r>
              <w:rPr>
                <w:rFonts w:hint="eastAsia" w:ascii="Times New Roman" w:hAnsi="Times New Roman" w:eastAsia="宋体" w:cs="Times New Roman"/>
                <w:color w:val="000000"/>
                <w:kern w:val="0"/>
                <w:sz w:val="24"/>
                <w:szCs w:val="24"/>
                <w:lang w:val="en-US" w:eastAsia="zh-CN" w:bidi="ar-SA"/>
              </w:rPr>
              <w:t>/润滑油桶</w:t>
            </w:r>
            <w:r>
              <w:rPr>
                <w:rFonts w:hint="default" w:ascii="Times New Roman" w:hAnsi="Times New Roman" w:eastAsia="宋体" w:cs="Times New Roman"/>
                <w:color w:val="000000"/>
                <w:kern w:val="0"/>
                <w:sz w:val="24"/>
                <w:szCs w:val="24"/>
                <w:lang w:val="en-US" w:eastAsia="zh-CN" w:bidi="ar-SA"/>
              </w:rPr>
              <w:t>桶</w:t>
            </w:r>
          </w:p>
        </w:tc>
        <w:tc>
          <w:tcPr>
            <w:tcW w:w="1567" w:type="dxa"/>
            <w:noWrap w:val="0"/>
            <w:vAlign w:val="center"/>
          </w:tcPr>
          <w:p w14:paraId="67111601">
            <w:pPr>
              <w:pStyle w:val="94"/>
              <w:ind w:firstLine="0" w:firstLineChars="0"/>
              <w:rPr>
                <w:rFonts w:hint="default" w:eastAsia="宋体"/>
                <w:color w:val="000000"/>
                <w:kern w:val="0"/>
                <w:sz w:val="24"/>
                <w:szCs w:val="24"/>
                <w:lang w:val="en-US" w:eastAsia="zh-CN" w:bidi="ar-SA"/>
              </w:rPr>
            </w:pPr>
            <w:r>
              <w:rPr>
                <w:color w:val="000000"/>
                <w:sz w:val="24"/>
                <w:szCs w:val="24"/>
              </w:rPr>
              <w:t>0.</w:t>
            </w:r>
            <w:r>
              <w:rPr>
                <w:rFonts w:hint="eastAsia"/>
                <w:color w:val="000000"/>
                <w:sz w:val="24"/>
                <w:szCs w:val="24"/>
              </w:rPr>
              <w:t>0</w:t>
            </w:r>
            <w:r>
              <w:rPr>
                <w:rFonts w:hint="eastAsia"/>
                <w:color w:val="000000"/>
                <w:sz w:val="24"/>
                <w:szCs w:val="24"/>
                <w:lang w:val="en-US" w:eastAsia="zh-CN"/>
              </w:rPr>
              <w:t>2</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4C391AE0">
            <w:pPr>
              <w:ind w:firstLine="0" w:firstLineChars="0"/>
              <w:jc w:val="center"/>
              <w:rPr>
                <w:rFonts w:hint="default" w:eastAsia="宋体"/>
                <w:color w:val="000000"/>
                <w:kern w:val="0"/>
                <w:sz w:val="24"/>
                <w:szCs w:val="24"/>
                <w:lang w:val="en-US" w:eastAsia="zh-CN" w:bidi="ar-SA"/>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4E1A29B2">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7EAA3913">
            <w:pPr>
              <w:pStyle w:val="94"/>
              <w:ind w:firstLine="0" w:firstLineChars="0"/>
              <w:rPr>
                <w:rFonts w:hint="default" w:eastAsia="宋体"/>
                <w:color w:val="000000"/>
                <w:kern w:val="0"/>
                <w:sz w:val="24"/>
                <w:szCs w:val="24"/>
                <w:lang w:val="en-US" w:eastAsia="zh-CN" w:bidi="ar-SA"/>
              </w:rPr>
            </w:pPr>
            <w:r>
              <w:rPr>
                <w:rFonts w:hint="eastAsia"/>
                <w:color w:val="000000"/>
                <w:sz w:val="24"/>
                <w:szCs w:val="24"/>
                <w:lang w:val="en-US" w:eastAsia="zh-CN"/>
              </w:rPr>
              <w:t>0.1</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5FF73866">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64F7D0FB">
            <w:pPr>
              <w:pStyle w:val="94"/>
              <w:ind w:firstLine="0" w:firstLineChars="0"/>
              <w:rPr>
                <w:rFonts w:hint="default" w:eastAsia="宋体"/>
                <w:color w:val="000000"/>
                <w:kern w:val="0"/>
                <w:sz w:val="24"/>
                <w:szCs w:val="24"/>
                <w:lang w:val="en-US" w:eastAsia="zh-CN" w:bidi="ar-SA"/>
              </w:rPr>
            </w:pPr>
            <w:r>
              <w:rPr>
                <w:rFonts w:hint="eastAsia" w:eastAsia="宋体"/>
                <w:color w:val="000000"/>
                <w:sz w:val="24"/>
                <w:szCs w:val="24"/>
                <w:lang w:val="en-US" w:eastAsia="zh-CN"/>
              </w:rPr>
              <w:t>0.12</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0A562FAE">
            <w:pPr>
              <w:pStyle w:val="94"/>
              <w:ind w:firstLine="0" w:firstLineChars="0"/>
              <w:rPr>
                <w:rFonts w:hint="default" w:eastAsia="宋体"/>
                <w:snapToGrid w:val="0"/>
                <w:color w:val="000000"/>
                <w:kern w:val="0"/>
                <w:sz w:val="24"/>
                <w:szCs w:val="24"/>
                <w:lang w:val="en-US" w:eastAsia="zh-CN" w:bidi="ar-SA"/>
              </w:rPr>
            </w:pPr>
            <w:r>
              <w:rPr>
                <w:rFonts w:hint="eastAsia"/>
                <w:snapToGrid w:val="0"/>
                <w:color w:val="000000"/>
                <w:sz w:val="24"/>
                <w:szCs w:val="24"/>
                <w:lang w:val="en-US" w:eastAsia="zh-CN"/>
              </w:rPr>
              <w:t>+0.1</w:t>
            </w:r>
            <w:r>
              <w:rPr>
                <w:rFonts w:hint="default" w:ascii="Times New Roman" w:hAnsi="Times New Roman" w:cs="Times New Roman"/>
                <w:snapToGrid w:val="0"/>
                <w:color w:val="000000"/>
                <w:sz w:val="24"/>
                <w:szCs w:val="24"/>
                <w:lang w:val="en-US" w:eastAsia="zh-CN"/>
              </w:rPr>
              <w:t>t/a</w:t>
            </w:r>
          </w:p>
        </w:tc>
      </w:tr>
      <w:tr w14:paraId="53168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50" w:type="dxa"/>
            <w:vMerge w:val="continue"/>
            <w:noWrap w:val="0"/>
            <w:vAlign w:val="center"/>
          </w:tcPr>
          <w:p w14:paraId="25972B6E">
            <w:pPr>
              <w:pStyle w:val="49"/>
              <w:spacing w:beforeLines="0" w:afterLines="0" w:line="240" w:lineRule="auto"/>
              <w:jc w:val="center"/>
              <w:rPr>
                <w:rFonts w:hint="default" w:ascii="Times New Roman" w:hAnsi="Times New Roman" w:cs="Times New Roman"/>
                <w:snapToGrid w:val="0"/>
                <w:color w:val="000000"/>
                <w:kern w:val="21"/>
                <w:sz w:val="24"/>
                <w:szCs w:val="24"/>
              </w:rPr>
            </w:pPr>
          </w:p>
        </w:tc>
        <w:tc>
          <w:tcPr>
            <w:tcW w:w="2016" w:type="dxa"/>
            <w:noWrap w:val="0"/>
            <w:vAlign w:val="center"/>
          </w:tcPr>
          <w:p w14:paraId="3AD2231E">
            <w:pPr>
              <w:jc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szCs w:val="24"/>
                <w:lang w:val="en-US" w:eastAsia="zh-CN" w:bidi="ar-SA"/>
              </w:rPr>
              <w:t>含油棉纱手套</w:t>
            </w:r>
          </w:p>
        </w:tc>
        <w:tc>
          <w:tcPr>
            <w:tcW w:w="1567" w:type="dxa"/>
            <w:noWrap w:val="0"/>
            <w:vAlign w:val="center"/>
          </w:tcPr>
          <w:p w14:paraId="456456FC">
            <w:pPr>
              <w:pStyle w:val="94"/>
              <w:ind w:firstLine="0" w:firstLineChars="0"/>
              <w:rPr>
                <w:rFonts w:hint="default" w:eastAsia="宋体"/>
                <w:color w:val="000000"/>
                <w:kern w:val="0"/>
                <w:sz w:val="24"/>
                <w:szCs w:val="24"/>
                <w:lang w:val="en-US" w:eastAsia="zh-CN" w:bidi="ar-SA"/>
              </w:rPr>
            </w:pPr>
            <w:r>
              <w:rPr>
                <w:rFonts w:hint="eastAsia"/>
                <w:color w:val="000000"/>
                <w:sz w:val="24"/>
                <w:szCs w:val="24"/>
                <w:lang w:val="en-US" w:eastAsia="zh-CN"/>
              </w:rPr>
              <w:t>0.05</w:t>
            </w:r>
            <w:r>
              <w:rPr>
                <w:rFonts w:hint="default" w:ascii="Times New Roman" w:hAnsi="Times New Roman" w:cs="Times New Roman"/>
                <w:snapToGrid w:val="0"/>
                <w:color w:val="000000"/>
                <w:sz w:val="24"/>
                <w:szCs w:val="24"/>
                <w:lang w:val="en-US" w:eastAsia="zh-CN"/>
              </w:rPr>
              <w:t>t/a</w:t>
            </w:r>
          </w:p>
        </w:tc>
        <w:tc>
          <w:tcPr>
            <w:tcW w:w="1020" w:type="dxa"/>
            <w:noWrap w:val="0"/>
            <w:vAlign w:val="center"/>
          </w:tcPr>
          <w:p w14:paraId="4AEDF56C">
            <w:pPr>
              <w:ind w:firstLine="0" w:firstLineChars="0"/>
              <w:jc w:val="center"/>
              <w:rPr>
                <w:rFonts w:hint="default"/>
                <w:color w:val="000000"/>
                <w:kern w:val="0"/>
                <w:sz w:val="24"/>
                <w:szCs w:val="24"/>
                <w:lang w:val="en-US" w:eastAsia="zh-CN" w:bidi="ar-SA"/>
              </w:rPr>
            </w:pPr>
            <w:r>
              <w:rPr>
                <w:rFonts w:hint="default" w:ascii="Times New Roman" w:hAnsi="Times New Roman" w:cs="Times New Roman"/>
                <w:snapToGrid w:val="0"/>
                <w:color w:val="000000"/>
                <w:kern w:val="21"/>
                <w:sz w:val="24"/>
                <w:szCs w:val="24"/>
                <w:lang w:val="en-US" w:eastAsia="zh-CN"/>
              </w:rPr>
              <w:t>/</w:t>
            </w:r>
          </w:p>
        </w:tc>
        <w:tc>
          <w:tcPr>
            <w:tcW w:w="1830" w:type="dxa"/>
            <w:noWrap w:val="0"/>
            <w:vAlign w:val="center"/>
          </w:tcPr>
          <w:p w14:paraId="6F23C534">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w:t>
            </w:r>
          </w:p>
        </w:tc>
        <w:tc>
          <w:tcPr>
            <w:tcW w:w="1559" w:type="dxa"/>
            <w:noWrap w:val="0"/>
            <w:vAlign w:val="center"/>
          </w:tcPr>
          <w:p w14:paraId="03ED4C0E">
            <w:pPr>
              <w:pStyle w:val="94"/>
              <w:ind w:firstLine="0" w:firstLineChars="0"/>
              <w:rPr>
                <w:rFonts w:hint="default"/>
                <w:color w:val="000000"/>
                <w:kern w:val="0"/>
                <w:sz w:val="24"/>
                <w:szCs w:val="24"/>
                <w:lang w:val="en-US" w:eastAsia="zh-CN" w:bidi="ar-SA"/>
              </w:rPr>
            </w:pPr>
            <w:r>
              <w:rPr>
                <w:rFonts w:hint="eastAsia"/>
                <w:color w:val="000000"/>
                <w:sz w:val="24"/>
                <w:szCs w:val="24"/>
                <w:lang w:val="en-US" w:eastAsia="zh-CN"/>
              </w:rPr>
              <w:t>0.02</w:t>
            </w:r>
            <w:r>
              <w:rPr>
                <w:rFonts w:hint="default" w:ascii="Times New Roman" w:hAnsi="Times New Roman" w:cs="Times New Roman"/>
                <w:snapToGrid w:val="0"/>
                <w:color w:val="000000"/>
                <w:sz w:val="24"/>
                <w:szCs w:val="24"/>
                <w:lang w:val="en-US" w:eastAsia="zh-CN"/>
              </w:rPr>
              <w:t>t/a</w:t>
            </w:r>
          </w:p>
        </w:tc>
        <w:tc>
          <w:tcPr>
            <w:tcW w:w="1761" w:type="dxa"/>
            <w:noWrap w:val="0"/>
            <w:vAlign w:val="center"/>
          </w:tcPr>
          <w:p w14:paraId="6F7BFA61">
            <w:pPr>
              <w:spacing w:beforeLines="0" w:afterLines="0" w:line="240" w:lineRule="auto"/>
              <w:jc w:val="center"/>
              <w:rPr>
                <w:rFonts w:hint="default" w:ascii="Times New Roman" w:hAnsi="Times New Roman" w:cs="Times New Roman"/>
                <w:snapToGrid w:val="0"/>
                <w:color w:val="000000"/>
                <w:kern w:val="21"/>
                <w:sz w:val="24"/>
                <w:szCs w:val="24"/>
                <w:lang w:val="en-US" w:eastAsia="zh-CN"/>
              </w:rPr>
            </w:pPr>
            <w:r>
              <w:rPr>
                <w:rFonts w:hint="default" w:ascii="Times New Roman" w:hAnsi="Times New Roman" w:cs="Times New Roman"/>
                <w:snapToGrid w:val="0"/>
                <w:color w:val="000000"/>
                <w:kern w:val="21"/>
                <w:sz w:val="24"/>
                <w:szCs w:val="24"/>
                <w:lang w:val="en-US" w:eastAsia="zh-CN"/>
              </w:rPr>
              <w:t>0</w:t>
            </w:r>
          </w:p>
        </w:tc>
        <w:tc>
          <w:tcPr>
            <w:tcW w:w="1959" w:type="dxa"/>
            <w:noWrap w:val="0"/>
            <w:vAlign w:val="center"/>
          </w:tcPr>
          <w:p w14:paraId="141A2721">
            <w:pPr>
              <w:pStyle w:val="94"/>
              <w:ind w:firstLine="0" w:firstLineChars="0"/>
              <w:rPr>
                <w:rFonts w:hint="default" w:eastAsia="宋体"/>
                <w:color w:val="000000"/>
                <w:kern w:val="0"/>
                <w:sz w:val="24"/>
                <w:szCs w:val="24"/>
                <w:lang w:val="en-US" w:eastAsia="zh-CN" w:bidi="ar-SA"/>
              </w:rPr>
            </w:pPr>
            <w:r>
              <w:rPr>
                <w:rFonts w:hint="eastAsia"/>
                <w:color w:val="000000"/>
                <w:sz w:val="24"/>
                <w:szCs w:val="24"/>
                <w:lang w:val="en-US" w:eastAsia="zh-CN"/>
              </w:rPr>
              <w:t>0.07</w:t>
            </w:r>
            <w:r>
              <w:rPr>
                <w:rFonts w:hint="default" w:ascii="Times New Roman" w:hAnsi="Times New Roman" w:cs="Times New Roman"/>
                <w:snapToGrid w:val="0"/>
                <w:color w:val="000000"/>
                <w:sz w:val="24"/>
                <w:szCs w:val="24"/>
                <w:lang w:val="en-US" w:eastAsia="zh-CN"/>
              </w:rPr>
              <w:t>t/a</w:t>
            </w:r>
          </w:p>
        </w:tc>
        <w:tc>
          <w:tcPr>
            <w:tcW w:w="1637" w:type="dxa"/>
            <w:noWrap w:val="0"/>
            <w:vAlign w:val="center"/>
          </w:tcPr>
          <w:p w14:paraId="07E4CCF7">
            <w:pPr>
              <w:pStyle w:val="94"/>
              <w:ind w:firstLine="0" w:firstLineChars="0"/>
              <w:rPr>
                <w:rFonts w:hint="default"/>
                <w:snapToGrid w:val="0"/>
                <w:color w:val="000000"/>
                <w:kern w:val="0"/>
                <w:sz w:val="24"/>
                <w:szCs w:val="24"/>
                <w:lang w:val="en-US" w:eastAsia="zh-CN" w:bidi="ar-SA"/>
              </w:rPr>
            </w:pPr>
            <w:r>
              <w:rPr>
                <w:rFonts w:hint="eastAsia"/>
                <w:snapToGrid w:val="0"/>
                <w:color w:val="000000"/>
                <w:sz w:val="24"/>
                <w:szCs w:val="24"/>
                <w:lang w:val="en-US" w:eastAsia="zh-CN"/>
              </w:rPr>
              <w:t>+0.02</w:t>
            </w:r>
            <w:r>
              <w:rPr>
                <w:rFonts w:hint="default" w:ascii="Times New Roman" w:hAnsi="Times New Roman" w:cs="Times New Roman"/>
                <w:snapToGrid w:val="0"/>
                <w:color w:val="000000"/>
                <w:sz w:val="24"/>
                <w:szCs w:val="24"/>
                <w:lang w:val="en-US" w:eastAsia="zh-CN"/>
              </w:rPr>
              <w:t>t/a</w:t>
            </w:r>
          </w:p>
        </w:tc>
      </w:tr>
    </w:tbl>
    <w:p w14:paraId="66474DF0">
      <w:pPr>
        <w:pStyle w:val="49"/>
        <w:spacing w:before="192" w:beforeLines="80" w:after="24"/>
        <w:jc w:val="left"/>
        <w:rPr>
          <w:rFonts w:hint="eastAsia" w:hAnsi="宋体"/>
          <w:snapToGrid w:val="0"/>
          <w:vanish/>
          <w:color w:val="000000"/>
          <w:spacing w:val="-6"/>
          <w:kern w:val="21"/>
          <w:szCs w:val="21"/>
        </w:rPr>
      </w:pPr>
      <w:r>
        <w:rPr>
          <w:rFonts w:hAnsi="宋体"/>
          <w:snapToGrid w:val="0"/>
          <w:color w:val="000000"/>
          <w:kern w:val="21"/>
          <w:szCs w:val="21"/>
        </w:rPr>
        <w:t>注：</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snapToGrid w:val="0"/>
          <w:color w:val="000000"/>
          <w:spacing w:val="-16"/>
          <w:kern w:val="21"/>
          <w:szCs w:val="21"/>
        </w:rPr>
        <w:fldChar w:fldCharType="separate"/>
      </w:r>
      <w:r>
        <w:rPr>
          <w:rFonts w:hint="eastAsia" w:hAnsi="宋体"/>
          <w:szCs w:val="21"/>
        </w:rPr>
        <w:t>⑥</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snapToGrid w:val="0"/>
          <w:color w:val="000000"/>
          <w:spacing w:val="-6"/>
          <w:kern w:val="21"/>
          <w:szCs w:val="21"/>
        </w:rPr>
        <w:fldChar w:fldCharType="separate"/>
      </w:r>
      <w:r>
        <w:rPr>
          <w:rFonts w:hint="eastAsia" w:hAnsi="宋体"/>
          <w:szCs w:val="21"/>
        </w:rPr>
        <w:t>①</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3 \* GB3 \* MERGEFORMAT </w:instrText>
      </w:r>
      <w:r>
        <w:rPr>
          <w:rFonts w:hAnsi="宋体"/>
          <w:snapToGrid w:val="0"/>
          <w:color w:val="000000"/>
          <w:spacing w:val="-6"/>
          <w:kern w:val="21"/>
          <w:szCs w:val="21"/>
        </w:rPr>
        <w:fldChar w:fldCharType="separate"/>
      </w:r>
      <w:r>
        <w:rPr>
          <w:rFonts w:hint="eastAsia" w:hAnsi="宋体"/>
          <w:szCs w:val="21"/>
        </w:rPr>
        <w:t>③</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4 \* GB3 \* MERGEFORMAT </w:instrText>
      </w:r>
      <w:r>
        <w:rPr>
          <w:rFonts w:hAnsi="宋体"/>
          <w:snapToGrid w:val="0"/>
          <w:color w:val="000000"/>
          <w:spacing w:val="-6"/>
          <w:kern w:val="21"/>
          <w:szCs w:val="21"/>
        </w:rPr>
        <w:fldChar w:fldCharType="separate"/>
      </w:r>
      <w:r>
        <w:rPr>
          <w:rFonts w:hint="eastAsia" w:hAnsi="宋体"/>
          <w:szCs w:val="21"/>
        </w:rPr>
        <w:t>④</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5 \* GB3 \* MERGEFORMAT </w:instrText>
      </w:r>
      <w:r>
        <w:rPr>
          <w:rFonts w:hAnsi="宋体"/>
          <w:snapToGrid w:val="0"/>
          <w:color w:val="000000"/>
          <w:spacing w:val="-16"/>
          <w:kern w:val="21"/>
          <w:szCs w:val="21"/>
        </w:rPr>
        <w:fldChar w:fldCharType="separate"/>
      </w:r>
      <w:r>
        <w:rPr>
          <w:rFonts w:hint="eastAsia" w:hAnsi="宋体"/>
          <w:szCs w:val="21"/>
        </w:rPr>
        <w:t>⑤</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7 \* GB3 \* MERGEFORMAT </w:instrText>
      </w:r>
      <w:r>
        <w:rPr>
          <w:rFonts w:hAnsi="宋体"/>
          <w:snapToGrid w:val="0"/>
          <w:color w:val="000000"/>
          <w:spacing w:val="-6"/>
          <w:kern w:val="21"/>
          <w:szCs w:val="21"/>
        </w:rPr>
        <w:fldChar w:fldCharType="separate"/>
      </w:r>
      <w:r>
        <w:rPr>
          <w:rFonts w:hint="eastAsia" w:hAnsi="宋体"/>
          <w:szCs w:val="21"/>
        </w:rPr>
        <w:t>⑦</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snapToGrid w:val="0"/>
          <w:color w:val="000000"/>
          <w:spacing w:val="-16"/>
          <w:kern w:val="21"/>
          <w:szCs w:val="21"/>
        </w:rPr>
        <w:fldChar w:fldCharType="separate"/>
      </w:r>
      <w:r>
        <w:rPr>
          <w:rFonts w:hint="eastAsia" w:hAnsi="宋体"/>
          <w:szCs w:val="21"/>
        </w:rPr>
        <w:t>⑥</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snapToGrid w:val="0"/>
          <w:color w:val="000000"/>
          <w:spacing w:val="-6"/>
          <w:kern w:val="21"/>
          <w:szCs w:val="21"/>
        </w:rPr>
        <w:fldChar w:fldCharType="separate"/>
      </w:r>
      <w:r>
        <w:rPr>
          <w:rFonts w:hint="eastAsia" w:hAnsi="宋体"/>
          <w:szCs w:val="21"/>
        </w:rPr>
        <w:t>①</w:t>
      </w:r>
      <w:r>
        <w:rPr>
          <w:rFonts w:hAnsi="宋体"/>
          <w:snapToGrid w:val="0"/>
          <w:color w:val="000000"/>
          <w:spacing w:val="-6"/>
          <w:kern w:val="21"/>
          <w:szCs w:val="21"/>
        </w:rPr>
        <w:fldChar w:fldCharType="end"/>
      </w:r>
    </w:p>
    <w:p w14:paraId="409B29CC">
      <w:pPr>
        <w:rPr>
          <w:rFonts w:hint="eastAsia"/>
          <w:vanish/>
        </w:rPr>
        <w:sectPr>
          <w:footerReference r:id="rId5" w:type="default"/>
          <w:pgSz w:w="16838" w:h="11905" w:orient="landscape"/>
          <w:pgMar w:top="1531" w:right="1644" w:bottom="1531" w:left="1644" w:header="851" w:footer="1077" w:gutter="0"/>
          <w:pgNumType w:fmt="decimal"/>
          <w:cols w:space="720" w:num="1"/>
          <w:rtlGutter w:val="0"/>
          <w:docGrid w:linePitch="312" w:charSpace="0"/>
        </w:sectPr>
      </w:pPr>
    </w:p>
    <w:p w14:paraId="7F36A53D">
      <w:pPr>
        <w:rPr>
          <w:rFonts w:ascii="宋体" w:hAnsi="宋体" w:eastAsia="黑体"/>
        </w:rPr>
      </w:pPr>
    </w:p>
    <w:sectPr>
      <w:footerReference r:id="rId6" w:type="default"/>
      <w:pgSz w:w="16838" w:h="11905" w:orient="landscape"/>
      <w:pgMar w:top="1531" w:right="1644" w:bottom="1531" w:left="1644" w:header="851" w:footer="1077" w:gutter="0"/>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Dutch801 Rm BT">
    <w:altName w:val="Times New Roman"/>
    <w:panose1 w:val="02020603060505020304"/>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altName w:val="微软雅黑"/>
    <w:panose1 w:val="02010600030101010101"/>
    <w:charset w:val="86"/>
    <w:family w:val="auto"/>
    <w:pitch w:val="default"/>
    <w:sig w:usb0="00000000" w:usb1="00000000" w:usb2="00000016" w:usb3="00000000" w:csb0="0004000F" w:csb1="00000000"/>
  </w:font>
  <w:font w:name="兰米仿宋体">
    <w:altName w:val="仿宋"/>
    <w:panose1 w:val="02000503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新宋体">
    <w:panose1 w:val="02010609030101010101"/>
    <w:charset w:val="86"/>
    <w:family w:val="auto"/>
    <w:pitch w:val="default"/>
    <w:sig w:usb0="00000003" w:usb1="288F0000" w:usb2="0000000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AAABD">
    <w:pPr>
      <w:pStyle w:val="19"/>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2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C2540C">
                          <w:pPr>
                            <w:pStyle w:val="19"/>
                          </w:pPr>
                        </w:p>
                      </w:txbxContent>
                    </wps:txbx>
                    <wps:bodyPr vert="horz" wrap="none" lIns="0" tIns="0" rIns="0" bIns="0" anchor="t" anchorCtr="0" upright="0">
                      <a:spAutoFit/>
                    </wps:bodyPr>
                  </wps:wsp>
                </a:graphicData>
              </a:graphic>
            </wp:anchor>
          </w:drawing>
        </mc:Choice>
        <mc:Fallback>
          <w:pict>
            <v:shape id="文本框 206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NTPNweIBAADCAwAADgAA&#10;AAAAAAABACAAAAAeAQAAZHJzL2Uyb0RvYy54bWxQSwUGAAAAAAYABgBZAQAAcgUAAAAA&#10;">
              <v:fill on="f" focussize="0,0"/>
              <v:stroke on="f"/>
              <v:imagedata o:title=""/>
              <o:lock v:ext="edit" aspectratio="f"/>
              <v:textbox inset="0mm,0mm,0mm,0mm" style="mso-fit-shape-to-text:t;">
                <w:txbxContent>
                  <w:p w14:paraId="0AC2540C">
                    <w:pPr>
                      <w:pStyle w:val="19"/>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-142875</wp:posOffset>
              </wp:positionV>
              <wp:extent cx="1828800" cy="1828800"/>
              <wp:effectExtent l="0" t="0" r="0" b="0"/>
              <wp:wrapNone/>
              <wp:docPr id="36" name="文本框 20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57BE7E">
                          <w:pPr>
                            <w:pStyle w:val="19"/>
                          </w:pPr>
                        </w:p>
                      </w:txbxContent>
                    </wps:txbx>
                    <wps:bodyPr wrap="none" lIns="0" tIns="0" rIns="0" bIns="0" upright="0">
                      <a:spAutoFit/>
                    </wps:bodyPr>
                  </wps:wsp>
                </a:graphicData>
              </a:graphic>
            </wp:anchor>
          </w:drawing>
        </mc:Choice>
        <mc:Fallback>
          <w:pict>
            <v:shape id="文本框 2062" o:spid="_x0000_s1026" o:spt="202" type="#_x0000_t202" style="position:absolute;left:0pt;margin-top:-11.25pt;height:144pt;width:144pt;mso-position-horizontal:center;mso-position-horizontal-relative:margin;mso-wrap-style:none;z-index:251663360;mso-width-relative:page;mso-height-relative:page;" filled="f" stroked="f" coordsize="21600,21600" o:gfxdata="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yD6iadQAAAAIAQAADwAAAAAAAAABACAAAAAiAAAAZHJzL2Rv&#10;d25yZXYueG1sUEsBAhQAFAAAAAgAh07iQENEr4bMAQAAnQMAAA4AAAAAAAAAAQAgAAAAIwEAAGRy&#10;cy9lMm9Eb2MueG1sUEsFBgAAAAAGAAYAWQEAAGEFAAAAAA==&#10;">
              <v:fill on="f" focussize="0,0"/>
              <v:stroke on="f"/>
              <v:imagedata o:title=""/>
              <o:lock v:ext="edit" aspectratio="f"/>
              <v:textbox inset="0mm,0mm,0mm,0mm" style="mso-fit-shape-to-text:t;">
                <w:txbxContent>
                  <w:p w14:paraId="2E57BE7E">
                    <w:pPr>
                      <w:pStyle w:val="19"/>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20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345C77">
                          <w:pPr>
                            <w:pStyle w:val="19"/>
                            <w:rPr>
                              <w:rStyle w:val="35"/>
                              <w:rFonts w:ascii="宋体" w:hAnsi="宋体"/>
                              <w:sz w:val="28"/>
                              <w:szCs w:val="28"/>
                            </w:rPr>
                          </w:pPr>
                        </w:p>
                      </w:txbxContent>
                    </wps:txbx>
                    <wps:bodyPr wrap="none" lIns="0" tIns="0" rIns="0" bIns="0" upright="0">
                      <a:spAutoFit/>
                    </wps:bodyPr>
                  </wps:wsp>
                </a:graphicData>
              </a:graphic>
            </wp:anchor>
          </w:drawing>
        </mc:Choice>
        <mc:Fallback>
          <w:pict>
            <v:shape id="文本框 2063"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Vlh0dzAEAAJ0DAAAOAAAAAAAAAAEAIAAAAB4BAABkcnMvZTJv&#10;RG9jLnhtbFBLBQYAAAAABgAGAFkBAABcBQAAAAA=&#10;">
              <v:fill on="f" focussize="0,0"/>
              <v:stroke on="f"/>
              <v:imagedata o:title=""/>
              <o:lock v:ext="edit" aspectratio="f"/>
              <v:textbox inset="0mm,0mm,0mm,0mm" style="mso-fit-shape-to-text:t;">
                <w:txbxContent>
                  <w:p w14:paraId="5F345C77">
                    <w:pPr>
                      <w:pStyle w:val="19"/>
                      <w:rPr>
                        <w:rStyle w:val="35"/>
                        <w:rFonts w:ascii="宋体" w:hAnsi="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385A1">
    <w:pPr>
      <w:pStyle w:val="19"/>
      <w:ind w:right="360"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posOffset>2750185</wp:posOffset>
              </wp:positionH>
              <wp:positionV relativeFrom="paragraph">
                <wp:posOffset>0</wp:posOffset>
              </wp:positionV>
              <wp:extent cx="180340" cy="1828800"/>
              <wp:effectExtent l="0" t="0" r="0" b="0"/>
              <wp:wrapNone/>
              <wp:docPr id="38" name="文本框 2064"/>
              <wp:cNvGraphicFramePr/>
              <a:graphic xmlns:a="http://schemas.openxmlformats.org/drawingml/2006/main">
                <a:graphicData uri="http://schemas.microsoft.com/office/word/2010/wordprocessingShape">
                  <wps:wsp>
                    <wps:cNvSpPr txBox="1"/>
                    <wps:spPr>
                      <a:xfrm>
                        <a:off x="0" y="0"/>
                        <a:ext cx="180340" cy="1828800"/>
                      </a:xfrm>
                      <a:prstGeom prst="rect">
                        <a:avLst/>
                      </a:prstGeom>
                      <a:noFill/>
                      <a:ln>
                        <a:noFill/>
                      </a:ln>
                    </wps:spPr>
                    <wps:txbx>
                      <w:txbxContent>
                        <w:p w14:paraId="6E2B9CA8">
                          <w:pPr>
                            <w:pStyle w:val="19"/>
                          </w:pPr>
                          <w:r>
                            <w:fldChar w:fldCharType="begin"/>
                          </w:r>
                          <w:r>
                            <w:instrText xml:space="preserve"> PAGE  \* MERGEFORMAT </w:instrText>
                          </w:r>
                          <w:r>
                            <w:fldChar w:fldCharType="separate"/>
                          </w:r>
                          <w:r>
                            <w:t>1</w:t>
                          </w:r>
                          <w:r>
                            <w:fldChar w:fldCharType="end"/>
                          </w:r>
                        </w:p>
                      </w:txbxContent>
                    </wps:txbx>
                    <wps:bodyPr vert="horz" wrap="square" lIns="0" tIns="0" rIns="0" bIns="0" anchor="t" anchorCtr="0" upright="0">
                      <a:spAutoFit/>
                    </wps:bodyPr>
                  </wps:wsp>
                </a:graphicData>
              </a:graphic>
            </wp:anchor>
          </w:drawing>
        </mc:Choice>
        <mc:Fallback>
          <w:pict>
            <v:shape id="文本框 2064" o:spid="_x0000_s1026" o:spt="202" type="#_x0000_t202" style="position:absolute;left:0pt;margin-left:216.55pt;margin-top:0pt;height:144pt;width:14.2pt;mso-position-horizontal-relative:margin;z-index:251665408;mso-width-relative:page;mso-height-relative:page;" filled="f" stroked="f" coordsize="21600,21600" o:gfxdata="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1Ih8x1QAA&#10;AAgBAAAPAAAAAAAAAAEAIAAAACIAAABkcnMvZG93bnJldi54bWxQSwECFAAUAAAACACHTuJAbvK7&#10;o+gBAADDAwAADgAAAAAAAAABACAAAAAkAQAAZHJzL2Uyb0RvYy54bWxQSwUGAAAAAAYABgBZAQAA&#10;fgUAAAAA&#10;">
              <v:fill on="f" focussize="0,0"/>
              <v:stroke on="f"/>
              <v:imagedata o:title=""/>
              <o:lock v:ext="edit" aspectratio="f"/>
              <v:textbox inset="0mm,0mm,0mm,0mm" style="mso-fit-shape-to-text:t;">
                <w:txbxContent>
                  <w:p w14:paraId="6E2B9CA8">
                    <w:pPr>
                      <w:pStyle w:val="1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-142875</wp:posOffset>
              </wp:positionV>
              <wp:extent cx="1828800" cy="1828800"/>
              <wp:effectExtent l="0" t="0" r="0" b="0"/>
              <wp:wrapNone/>
              <wp:docPr id="39" name="文本框 20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C15C56">
                          <w:pPr>
                            <w:pStyle w:val="19"/>
                          </w:pPr>
                        </w:p>
                      </w:txbxContent>
                    </wps:txbx>
                    <wps:bodyPr wrap="none" lIns="0" tIns="0" rIns="0" bIns="0" upright="0">
                      <a:spAutoFit/>
                    </wps:bodyPr>
                  </wps:wsp>
                </a:graphicData>
              </a:graphic>
            </wp:anchor>
          </w:drawing>
        </mc:Choice>
        <mc:Fallback>
          <w:pict>
            <v:shape id="文本框 2062" o:spid="_x0000_s1026" o:spt="202" type="#_x0000_t202" style="position:absolute;left:0pt;margin-top:-11.25pt;height:144pt;width:144pt;mso-position-horizontal:center;mso-position-horizontal-relative:margin;mso-wrap-style:none;z-index:251666432;mso-width-relative:page;mso-height-relative:page;" filled="f" stroked="f" coordsize="21600,21600" o:gfxdata="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g+omnUAAAACAEAAA8AAAAAAAAAAQAgAAAAIgAAAGRycy9k&#10;b3ducmV2LnhtbFBLAQIUABQAAAAIAIdO4kAv5yEfzQEAAJ0DAAAOAAAAAAAAAAEAIAAAACMBAABk&#10;cnMvZTJvRG9jLnhtbFBLBQYAAAAABgAGAFkBAABiBQAAAAA=&#10;">
              <v:fill on="f" focussize="0,0"/>
              <v:stroke on="f"/>
              <v:imagedata o:title=""/>
              <o:lock v:ext="edit" aspectratio="f"/>
              <v:textbox inset="0mm,0mm,0mm,0mm" style="mso-fit-shape-to-text:t;">
                <w:txbxContent>
                  <w:p w14:paraId="1BC15C56">
                    <w:pPr>
                      <w:pStyle w:val="19"/>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20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0032BF">
                          <w:pPr>
                            <w:pStyle w:val="19"/>
                            <w:rPr>
                              <w:rStyle w:val="35"/>
                              <w:rFonts w:ascii="宋体" w:hAnsi="宋体"/>
                              <w:sz w:val="28"/>
                              <w:szCs w:val="28"/>
                            </w:rPr>
                          </w:pPr>
                        </w:p>
                      </w:txbxContent>
                    </wps:txbx>
                    <wps:bodyPr wrap="none" lIns="0" tIns="0" rIns="0" bIns="0" upright="0">
                      <a:spAutoFit/>
                    </wps:bodyPr>
                  </wps:wsp>
                </a:graphicData>
              </a:graphic>
            </wp:anchor>
          </w:drawing>
        </mc:Choice>
        <mc:Fallback>
          <w:pict>
            <v:shape id="文本框 2063"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JSTQwzAEAAJ0DAAAOAAAAAAAAAAEAIAAAAB4BAABkcnMvZTJv&#10;RG9jLnhtbFBLBQYAAAAABgAGAFkBAABcBQAAAAA=&#10;">
              <v:fill on="f" focussize="0,0"/>
              <v:stroke on="f"/>
              <v:imagedata o:title=""/>
              <o:lock v:ext="edit" aspectratio="f"/>
              <v:textbox inset="0mm,0mm,0mm,0mm" style="mso-fit-shape-to-text:t;">
                <w:txbxContent>
                  <w:p w14:paraId="790032BF">
                    <w:pPr>
                      <w:pStyle w:val="19"/>
                      <w:rPr>
                        <w:rStyle w:val="35"/>
                        <w:rFonts w:ascii="宋体" w:hAnsi="宋体"/>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12DE7">
    <w:pPr>
      <w:pStyle w:val="19"/>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B7D0D8">
                          <w:pPr>
                            <w:pStyle w:val="19"/>
                            <w:rPr>
                              <w:rStyle w:val="35"/>
                              <w:rFonts w:ascii="宋体" w:hAnsi="宋体"/>
                              <w:sz w:val="28"/>
                              <w:szCs w:val="28"/>
                            </w:rPr>
                          </w:pPr>
                          <w:r>
                            <w:rPr>
                              <w:rStyle w:val="35"/>
                              <w:rFonts w:hint="eastAsia" w:ascii="宋体" w:hAnsi="宋体"/>
                              <w:sz w:val="28"/>
                              <w:szCs w:val="28"/>
                            </w:rPr>
                            <w:t>—</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84</w:t>
                          </w:r>
                          <w:r>
                            <w:rPr>
                              <w:rFonts w:ascii="宋体" w:hAnsi="宋体"/>
                              <w:sz w:val="26"/>
                              <w:szCs w:val="26"/>
                            </w:rPr>
                            <w:fldChar w:fldCharType="end"/>
                          </w:r>
                          <w:r>
                            <w:rPr>
                              <w:rStyle w:val="35"/>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Wv7LA4QEAAMIDAAAOAAAA&#10;AAAAAAEAIAAAAB4BAABkcnMvZTJvRG9jLnhtbFBLBQYAAAAABgAGAFkBAABxBQAAAAA=&#10;">
              <v:fill on="f" focussize="0,0"/>
              <v:stroke on="f"/>
              <v:imagedata o:title=""/>
              <o:lock v:ext="edit" aspectratio="f"/>
              <v:textbox inset="0mm,0mm,0mm,0mm" style="mso-fit-shape-to-text:t;">
                <w:txbxContent>
                  <w:p w14:paraId="38B7D0D8">
                    <w:pPr>
                      <w:pStyle w:val="19"/>
                      <w:rPr>
                        <w:rStyle w:val="35"/>
                        <w:rFonts w:ascii="宋体" w:hAnsi="宋体"/>
                        <w:sz w:val="28"/>
                        <w:szCs w:val="28"/>
                      </w:rPr>
                    </w:pPr>
                    <w:r>
                      <w:rPr>
                        <w:rStyle w:val="35"/>
                        <w:rFonts w:hint="eastAsia" w:ascii="宋体" w:hAnsi="宋体"/>
                        <w:sz w:val="28"/>
                        <w:szCs w:val="28"/>
                      </w:rPr>
                      <w:t>—</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84</w:t>
                    </w:r>
                    <w:r>
                      <w:rPr>
                        <w:rFonts w:ascii="宋体" w:hAnsi="宋体"/>
                        <w:sz w:val="26"/>
                        <w:szCs w:val="26"/>
                      </w:rPr>
                      <w:fldChar w:fldCharType="end"/>
                    </w:r>
                    <w:r>
                      <w:rPr>
                        <w:rStyle w:val="35"/>
                        <w:rFonts w:hint="eastAsia" w:ascii="宋体" w:hAnsi="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02B20">
    <w:pPr>
      <w:pStyle w:val="19"/>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2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A37388">
                          <w:pPr>
                            <w:pStyle w:val="19"/>
                            <w:rPr>
                              <w:rStyle w:val="35"/>
                              <w:rFonts w:ascii="宋体" w:hAnsi="宋体"/>
                              <w:sz w:val="28"/>
                              <w:szCs w:val="28"/>
                            </w:rPr>
                          </w:pPr>
                          <w:r>
                            <w:rPr>
                              <w:rStyle w:val="35"/>
                              <w:rFonts w:hint="eastAsia" w:ascii="宋体" w:hAnsi="宋体"/>
                              <w:sz w:val="28"/>
                              <w:szCs w:val="28"/>
                            </w:rPr>
                            <w:t>—</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11</w:t>
                          </w:r>
                          <w:r>
                            <w:rPr>
                              <w:rFonts w:ascii="宋体" w:hAnsi="宋体"/>
                              <w:sz w:val="26"/>
                              <w:szCs w:val="26"/>
                            </w:rPr>
                            <w:fldChar w:fldCharType="end"/>
                          </w:r>
                          <w:r>
                            <w:rPr>
                              <w:rStyle w:val="35"/>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RRWV44QEAAMIDAAAOAAAA&#10;AAAAAAEAIAAAAB4BAABkcnMvZTJvRG9jLnhtbFBLBQYAAAAABgAGAFkBAABxBQAAAAA=&#10;">
              <v:fill on="f" focussize="0,0"/>
              <v:stroke on="f"/>
              <v:imagedata o:title=""/>
              <o:lock v:ext="edit" aspectratio="f"/>
              <v:textbox inset="0mm,0mm,0mm,0mm" style="mso-fit-shape-to-text:t;">
                <w:txbxContent>
                  <w:p w14:paraId="2FA37388">
                    <w:pPr>
                      <w:pStyle w:val="19"/>
                      <w:rPr>
                        <w:rStyle w:val="35"/>
                        <w:rFonts w:ascii="宋体" w:hAnsi="宋体"/>
                        <w:sz w:val="28"/>
                        <w:szCs w:val="28"/>
                      </w:rPr>
                    </w:pPr>
                    <w:r>
                      <w:rPr>
                        <w:rStyle w:val="35"/>
                        <w:rFonts w:hint="eastAsia" w:ascii="宋体" w:hAnsi="宋体"/>
                        <w:sz w:val="28"/>
                        <w:szCs w:val="28"/>
                      </w:rPr>
                      <w:t>—</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11</w:t>
                    </w:r>
                    <w:r>
                      <w:rPr>
                        <w:rFonts w:ascii="宋体" w:hAnsi="宋体"/>
                        <w:sz w:val="26"/>
                        <w:szCs w:val="26"/>
                      </w:rPr>
                      <w:fldChar w:fldCharType="end"/>
                    </w:r>
                    <w:r>
                      <w:rPr>
                        <w:rStyle w:val="35"/>
                        <w:rFonts w:hint="eastAsia" w:ascii="宋体" w:hAnsi="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89015"/>
    <w:multiLevelType w:val="singleLevel"/>
    <w:tmpl w:val="87E89015"/>
    <w:lvl w:ilvl="0" w:tentative="0">
      <w:start w:val="2"/>
      <w:numFmt w:val="decimal"/>
      <w:suff w:val="nothing"/>
      <w:lvlText w:val="（%1）"/>
      <w:lvlJc w:val="left"/>
      <w:pPr>
        <w:ind w:left="480" w:firstLine="0"/>
      </w:pPr>
    </w:lvl>
  </w:abstractNum>
  <w:abstractNum w:abstractNumId="1">
    <w:nsid w:val="89EAD71C"/>
    <w:multiLevelType w:val="multilevel"/>
    <w:tmpl w:val="89EAD71C"/>
    <w:lvl w:ilvl="0" w:tentative="0">
      <w:start w:val="1"/>
      <w:numFmt w:val="chineseCountingThousand"/>
      <w:suff w:val="nothing"/>
      <w:lvlText w:val="%1、"/>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space"/>
      <w:lvlText w:val="%2.%3"/>
      <w:lvlJc w:val="left"/>
      <w:pPr>
        <w:ind w:left="0" w:firstLine="0"/>
      </w:pPr>
      <w:rPr>
        <w:rFonts w:hint="eastAsia"/>
      </w:rPr>
    </w:lvl>
    <w:lvl w:ilvl="3" w:tentative="0">
      <w:start w:val="1"/>
      <w:numFmt w:val="decimal"/>
      <w:lvlRestart w:val="1"/>
      <w:suff w:val="nothing"/>
      <w:lvlText w:val="%4、"/>
      <w:lvlJc w:val="left"/>
      <w:pPr>
        <w:ind w:left="0" w:firstLine="0"/>
      </w:pPr>
      <w:rPr>
        <w:rFonts w:hint="eastAsia"/>
      </w:rPr>
    </w:lvl>
    <w:lvl w:ilvl="4" w:tentative="0">
      <w:start w:val="1"/>
      <w:numFmt w:val="lowerLetter"/>
      <w:lvlText w:val="%5)"/>
      <w:lvlJc w:val="left"/>
      <w:pPr>
        <w:ind w:left="2100" w:hanging="420"/>
      </w:pPr>
      <w:rPr>
        <w:rFonts w:hint="eastAsia"/>
      </w:rPr>
    </w:lvl>
    <w:lvl w:ilvl="5" w:tentative="0">
      <w:start w:val="1"/>
      <w:numFmt w:val="decimal"/>
      <w:lvlRestart w:val="1"/>
      <w:pStyle w:val="84"/>
      <w:isLgl/>
      <w:suff w:val="space"/>
      <w:lvlText w:val="表%1-%6"/>
      <w:lvlJc w:val="left"/>
      <w:pPr>
        <w:tabs>
          <w:tab w:val="left" w:pos="0"/>
        </w:tabs>
        <w:ind w:left="0" w:firstLine="0"/>
      </w:pPr>
      <w:rPr>
        <w:rFonts w:hint="eastAsia"/>
        <w:sz w:val="21"/>
        <w:szCs w:val="21"/>
      </w:rPr>
    </w:lvl>
    <w:lvl w:ilvl="6" w:tentative="0">
      <w:start w:val="1"/>
      <w:numFmt w:val="decimal"/>
      <w:lvlRestart w:val="1"/>
      <w:isLgl/>
      <w:suff w:val="space"/>
      <w:lvlText w:val="图%1-%7"/>
      <w:lvlJc w:val="left"/>
      <w:pPr>
        <w:ind w:left="0" w:firstLine="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93EB822A"/>
    <w:multiLevelType w:val="singleLevel"/>
    <w:tmpl w:val="93EB822A"/>
    <w:lvl w:ilvl="0" w:tentative="0">
      <w:start w:val="1"/>
      <w:numFmt w:val="decimal"/>
      <w:suff w:val="nothing"/>
      <w:lvlText w:val="表3-%1"/>
      <w:lvlJc w:val="left"/>
      <w:pPr>
        <w:tabs>
          <w:tab w:val="left" w:pos="0"/>
        </w:tabs>
        <w:ind w:left="0" w:firstLine="420"/>
      </w:pPr>
      <w:rPr>
        <w:rFonts w:hint="default" w:ascii="Times New Roman" w:hAnsi="Times New Roman" w:cs="Times New Roman"/>
        <w:sz w:val="24"/>
        <w:szCs w:val="24"/>
        <w:vertAlign w:val="baseline"/>
      </w:rPr>
    </w:lvl>
  </w:abstractNum>
  <w:abstractNum w:abstractNumId="3">
    <w:nsid w:val="954F86EB"/>
    <w:multiLevelType w:val="singleLevel"/>
    <w:tmpl w:val="954F86EB"/>
    <w:lvl w:ilvl="0" w:tentative="0">
      <w:start w:val="2"/>
      <w:numFmt w:val="decimal"/>
      <w:suff w:val="nothing"/>
      <w:lvlText w:val="（%1）"/>
      <w:lvlJc w:val="left"/>
      <w:pPr>
        <w:ind w:left="80"/>
      </w:pPr>
    </w:lvl>
  </w:abstractNum>
  <w:abstractNum w:abstractNumId="4">
    <w:nsid w:val="96A39B75"/>
    <w:multiLevelType w:val="singleLevel"/>
    <w:tmpl w:val="96A39B75"/>
    <w:lvl w:ilvl="0" w:tentative="0">
      <w:start w:val="1"/>
      <w:numFmt w:val="chineseCounting"/>
      <w:suff w:val="nothing"/>
      <w:lvlText w:val="（%1）"/>
      <w:lvlJc w:val="left"/>
      <w:rPr>
        <w:rFonts w:hint="eastAsia"/>
      </w:rPr>
    </w:lvl>
  </w:abstractNum>
  <w:abstractNum w:abstractNumId="5">
    <w:nsid w:val="A5F4AEBA"/>
    <w:multiLevelType w:val="singleLevel"/>
    <w:tmpl w:val="A5F4AEBA"/>
    <w:lvl w:ilvl="0" w:tentative="0">
      <w:start w:val="8"/>
      <w:numFmt w:val="decimal"/>
      <w:suff w:val="nothing"/>
      <w:lvlText w:val="%1、"/>
      <w:lvlJc w:val="left"/>
      <w:pPr>
        <w:ind w:left="360" w:firstLine="0"/>
      </w:pPr>
    </w:lvl>
  </w:abstractNum>
  <w:abstractNum w:abstractNumId="6">
    <w:nsid w:val="A8059402"/>
    <w:multiLevelType w:val="singleLevel"/>
    <w:tmpl w:val="A8059402"/>
    <w:lvl w:ilvl="0" w:tentative="0">
      <w:start w:val="1"/>
      <w:numFmt w:val="decimal"/>
      <w:suff w:val="nothing"/>
      <w:lvlText w:val="%1、"/>
      <w:lvlJc w:val="left"/>
      <w:pPr>
        <w:ind w:left="-544"/>
      </w:pPr>
    </w:lvl>
  </w:abstractNum>
  <w:abstractNum w:abstractNumId="7">
    <w:nsid w:val="A9AB0EBA"/>
    <w:multiLevelType w:val="singleLevel"/>
    <w:tmpl w:val="A9AB0EBA"/>
    <w:lvl w:ilvl="0" w:tentative="0">
      <w:start w:val="3"/>
      <w:numFmt w:val="decimal"/>
      <w:suff w:val="space"/>
      <w:lvlText w:val="（%1）"/>
      <w:lvlJc w:val="left"/>
    </w:lvl>
  </w:abstractNum>
  <w:abstractNum w:abstractNumId="8">
    <w:nsid w:val="AA38678B"/>
    <w:multiLevelType w:val="singleLevel"/>
    <w:tmpl w:val="AA38678B"/>
    <w:lvl w:ilvl="0" w:tentative="0">
      <w:start w:val="1"/>
      <w:numFmt w:val="decimal"/>
      <w:suff w:val="nothing"/>
      <w:lvlText w:val="表4-%1"/>
      <w:lvlJc w:val="left"/>
      <w:pPr>
        <w:ind w:left="0" w:firstLine="420"/>
      </w:pPr>
      <w:rPr>
        <w:rFonts w:hint="default"/>
      </w:rPr>
    </w:lvl>
  </w:abstractNum>
  <w:abstractNum w:abstractNumId="9">
    <w:nsid w:val="B9634D92"/>
    <w:multiLevelType w:val="singleLevel"/>
    <w:tmpl w:val="B9634D92"/>
    <w:lvl w:ilvl="0" w:tentative="0">
      <w:start w:val="1"/>
      <w:numFmt w:val="upperLetter"/>
      <w:lvlText w:val="%1."/>
      <w:lvlJc w:val="left"/>
      <w:pPr>
        <w:ind w:left="0" w:firstLine="0"/>
      </w:pPr>
      <w:rPr>
        <w:rFonts w:hint="eastAsia"/>
      </w:rPr>
    </w:lvl>
  </w:abstractNum>
  <w:abstractNum w:abstractNumId="10">
    <w:nsid w:val="CFB8F0B5"/>
    <w:multiLevelType w:val="singleLevel"/>
    <w:tmpl w:val="CFB8F0B5"/>
    <w:lvl w:ilvl="0" w:tentative="0">
      <w:start w:val="1"/>
      <w:numFmt w:val="lowerLetter"/>
      <w:lvlText w:val="%1."/>
      <w:lvlJc w:val="left"/>
      <w:pPr>
        <w:ind w:left="425" w:hanging="425"/>
      </w:pPr>
      <w:rPr>
        <w:rFonts w:hint="default"/>
      </w:rPr>
    </w:lvl>
  </w:abstractNum>
  <w:abstractNum w:abstractNumId="11">
    <w:nsid w:val="EC67CA9D"/>
    <w:multiLevelType w:val="singleLevel"/>
    <w:tmpl w:val="EC67CA9D"/>
    <w:lvl w:ilvl="0" w:tentative="0">
      <w:start w:val="1"/>
      <w:numFmt w:val="decimal"/>
      <w:suff w:val="nothing"/>
      <w:lvlText w:val="（%1）"/>
      <w:lvlJc w:val="left"/>
    </w:lvl>
  </w:abstractNum>
  <w:abstractNum w:abstractNumId="12">
    <w:nsid w:val="EFEFFD6E"/>
    <w:multiLevelType w:val="singleLevel"/>
    <w:tmpl w:val="EFEFFD6E"/>
    <w:lvl w:ilvl="0" w:tentative="0">
      <w:start w:val="5"/>
      <w:numFmt w:val="chineseCounting"/>
      <w:suff w:val="space"/>
      <w:lvlText w:val="第%1条"/>
      <w:lvlJc w:val="left"/>
      <w:rPr>
        <w:rFonts w:hint="eastAsia"/>
      </w:rPr>
    </w:lvl>
  </w:abstractNum>
  <w:abstractNum w:abstractNumId="13">
    <w:nsid w:val="F089D35E"/>
    <w:multiLevelType w:val="singleLevel"/>
    <w:tmpl w:val="F089D35E"/>
    <w:lvl w:ilvl="0" w:tentative="0">
      <w:start w:val="1"/>
      <w:numFmt w:val="decimal"/>
      <w:suff w:val="nothing"/>
      <w:lvlText w:val="（%1）"/>
      <w:lvlJc w:val="left"/>
    </w:lvl>
  </w:abstractNum>
  <w:abstractNum w:abstractNumId="14">
    <w:nsid w:val="03C8ACFE"/>
    <w:multiLevelType w:val="singleLevel"/>
    <w:tmpl w:val="03C8ACFE"/>
    <w:lvl w:ilvl="0" w:tentative="0">
      <w:start w:val="1"/>
      <w:numFmt w:val="chineseCounting"/>
      <w:suff w:val="nothing"/>
      <w:lvlText w:val="（%1）"/>
      <w:lvlJc w:val="left"/>
      <w:rPr>
        <w:rFonts w:hint="eastAsia"/>
        <w:b w:val="0"/>
        <w:bCs w:val="0"/>
      </w:rPr>
    </w:lvl>
  </w:abstractNum>
  <w:abstractNum w:abstractNumId="15">
    <w:nsid w:val="067050BA"/>
    <w:multiLevelType w:val="singleLevel"/>
    <w:tmpl w:val="067050BA"/>
    <w:lvl w:ilvl="0" w:tentative="0">
      <w:start w:val="1"/>
      <w:numFmt w:val="chineseCounting"/>
      <w:suff w:val="nothing"/>
      <w:lvlText w:val="（%1）"/>
      <w:lvlJc w:val="left"/>
      <w:rPr>
        <w:rFonts w:hint="eastAsia"/>
      </w:rPr>
    </w:lvl>
  </w:abstractNum>
  <w:abstractNum w:abstractNumId="16">
    <w:nsid w:val="08D82F89"/>
    <w:multiLevelType w:val="singleLevel"/>
    <w:tmpl w:val="08D82F89"/>
    <w:lvl w:ilvl="0" w:tentative="0">
      <w:start w:val="1"/>
      <w:numFmt w:val="chineseCounting"/>
      <w:suff w:val="nothing"/>
      <w:lvlText w:val="（%1）"/>
      <w:lvlJc w:val="left"/>
      <w:rPr>
        <w:rFonts w:hint="eastAsia"/>
      </w:rPr>
    </w:lvl>
  </w:abstractNum>
  <w:abstractNum w:abstractNumId="17">
    <w:nsid w:val="135823D4"/>
    <w:multiLevelType w:val="singleLevel"/>
    <w:tmpl w:val="135823D4"/>
    <w:lvl w:ilvl="0" w:tentative="0">
      <w:start w:val="1"/>
      <w:numFmt w:val="decimal"/>
      <w:suff w:val="nothing"/>
      <w:lvlText w:val="（%1）"/>
      <w:lvlJc w:val="left"/>
    </w:lvl>
  </w:abstractNum>
  <w:abstractNum w:abstractNumId="18">
    <w:nsid w:val="14E23B9C"/>
    <w:multiLevelType w:val="singleLevel"/>
    <w:tmpl w:val="14E23B9C"/>
    <w:lvl w:ilvl="0" w:tentative="0">
      <w:start w:val="1"/>
      <w:numFmt w:val="upperLetter"/>
      <w:lvlText w:val="%1."/>
      <w:lvlJc w:val="left"/>
      <w:pPr>
        <w:ind w:left="0" w:firstLine="0"/>
      </w:pPr>
      <w:rPr>
        <w:rFonts w:hint="eastAsia"/>
      </w:rPr>
    </w:lvl>
  </w:abstractNum>
  <w:abstractNum w:abstractNumId="19">
    <w:nsid w:val="152B63CC"/>
    <w:multiLevelType w:val="singleLevel"/>
    <w:tmpl w:val="152B63CC"/>
    <w:lvl w:ilvl="0" w:tentative="0">
      <w:start w:val="1"/>
      <w:numFmt w:val="decimal"/>
      <w:suff w:val="nothing"/>
      <w:lvlText w:val="表1-%1"/>
      <w:lvlJc w:val="left"/>
      <w:pPr>
        <w:ind w:left="0" w:firstLine="420"/>
      </w:pPr>
      <w:rPr>
        <w:rFonts w:hint="default" w:ascii="Times New Roman" w:hAnsi="Times New Roman" w:cs="Times New Roman"/>
        <w:b/>
        <w:bCs/>
      </w:rPr>
    </w:lvl>
  </w:abstractNum>
  <w:abstractNum w:abstractNumId="20">
    <w:nsid w:val="1BF9B7E6"/>
    <w:multiLevelType w:val="singleLevel"/>
    <w:tmpl w:val="1BF9B7E6"/>
    <w:lvl w:ilvl="0" w:tentative="0">
      <w:start w:val="8"/>
      <w:numFmt w:val="chineseCounting"/>
      <w:suff w:val="nothing"/>
      <w:lvlText w:val="%1、"/>
      <w:lvlJc w:val="left"/>
      <w:pPr>
        <w:ind w:left="540" w:firstLine="0"/>
      </w:pPr>
      <w:rPr>
        <w:rFonts w:hint="eastAsia"/>
      </w:rPr>
    </w:lvl>
  </w:abstractNum>
  <w:abstractNum w:abstractNumId="21">
    <w:nsid w:val="243F3CEB"/>
    <w:multiLevelType w:val="singleLevel"/>
    <w:tmpl w:val="243F3CEB"/>
    <w:lvl w:ilvl="0" w:tentative="0">
      <w:start w:val="5"/>
      <w:numFmt w:val="decimal"/>
      <w:suff w:val="nothing"/>
      <w:lvlText w:val="（%1）"/>
      <w:lvlJc w:val="left"/>
    </w:lvl>
  </w:abstractNum>
  <w:abstractNum w:abstractNumId="22">
    <w:nsid w:val="47A84BD0"/>
    <w:multiLevelType w:val="multilevel"/>
    <w:tmpl w:val="47A84BD0"/>
    <w:lvl w:ilvl="0" w:tentative="0">
      <w:start w:val="1"/>
      <w:numFmt w:val="chineseCountingThousand"/>
      <w:suff w:val="nothing"/>
      <w:lvlText w:val="%1、"/>
      <w:lvlJc w:val="left"/>
      <w:pPr>
        <w:ind w:left="0" w:firstLine="0"/>
      </w:pPr>
      <w:rPr>
        <w:rFonts w:hint="eastAsia"/>
      </w:rPr>
    </w:lvl>
    <w:lvl w:ilvl="1" w:tentative="0">
      <w:start w:val="1"/>
      <w:numFmt w:val="decimal"/>
      <w:suff w:val="nothing"/>
      <w:lvlText w:val="%2、"/>
      <w:lvlJc w:val="left"/>
      <w:pPr>
        <w:ind w:left="-62" w:firstLine="0"/>
      </w:pPr>
      <w:rPr>
        <w:rFonts w:hint="eastAsia"/>
      </w:rPr>
    </w:lvl>
    <w:lvl w:ilvl="2" w:tentative="0">
      <w:start w:val="1"/>
      <w:numFmt w:val="decimal"/>
      <w:suff w:val="space"/>
      <w:lvlText w:val="%2.%3"/>
      <w:lvlJc w:val="left"/>
      <w:pPr>
        <w:ind w:left="0" w:firstLine="0"/>
      </w:pPr>
      <w:rPr>
        <w:rFonts w:hint="eastAsia"/>
      </w:rPr>
    </w:lvl>
    <w:lvl w:ilvl="3" w:tentative="0">
      <w:start w:val="1"/>
      <w:numFmt w:val="decimal"/>
      <w:lvlRestart w:val="1"/>
      <w:suff w:val="nothing"/>
      <w:lvlText w:val="%4、"/>
      <w:lvlJc w:val="left"/>
      <w:pPr>
        <w:ind w:left="0" w:firstLine="0"/>
      </w:pPr>
      <w:rPr>
        <w:rFonts w:hint="eastAsia"/>
      </w:rPr>
    </w:lvl>
    <w:lvl w:ilvl="4" w:tentative="0">
      <w:start w:val="1"/>
      <w:numFmt w:val="lowerLetter"/>
      <w:lvlText w:val="%5)"/>
      <w:lvlJc w:val="left"/>
      <w:pPr>
        <w:ind w:left="2100" w:hanging="420"/>
      </w:pPr>
      <w:rPr>
        <w:rFonts w:hint="eastAsia"/>
      </w:rPr>
    </w:lvl>
    <w:lvl w:ilvl="5" w:tentative="0">
      <w:start w:val="1"/>
      <w:numFmt w:val="decimal"/>
      <w:lvlRestart w:val="1"/>
      <w:isLgl/>
      <w:suff w:val="space"/>
      <w:lvlText w:val="表%1-%6"/>
      <w:lvlJc w:val="left"/>
      <w:pPr>
        <w:ind w:left="2730" w:firstLine="0"/>
      </w:pPr>
      <w:rPr>
        <w:rFonts w:hint="eastAsia"/>
      </w:rPr>
    </w:lvl>
    <w:lvl w:ilvl="6" w:tentative="0">
      <w:start w:val="1"/>
      <w:numFmt w:val="decimal"/>
      <w:lvlRestart w:val="1"/>
      <w:pStyle w:val="102"/>
      <w:isLgl/>
      <w:suff w:val="space"/>
      <w:lvlText w:val="图%1-%7"/>
      <w:lvlJc w:val="left"/>
      <w:pPr>
        <w:ind w:left="0" w:firstLine="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3">
    <w:nsid w:val="49A83F62"/>
    <w:multiLevelType w:val="singleLevel"/>
    <w:tmpl w:val="49A83F62"/>
    <w:lvl w:ilvl="0" w:tentative="0">
      <w:start w:val="2"/>
      <w:numFmt w:val="chineseCounting"/>
      <w:suff w:val="nothing"/>
      <w:lvlText w:val="%1、"/>
      <w:lvlJc w:val="left"/>
      <w:rPr>
        <w:rFonts w:hint="eastAsia"/>
      </w:rPr>
    </w:lvl>
  </w:abstractNum>
  <w:abstractNum w:abstractNumId="24">
    <w:nsid w:val="49FE2816"/>
    <w:multiLevelType w:val="singleLevel"/>
    <w:tmpl w:val="49FE2816"/>
    <w:lvl w:ilvl="0" w:tentative="0">
      <w:start w:val="1"/>
      <w:numFmt w:val="decimal"/>
      <w:suff w:val="nothing"/>
      <w:lvlText w:val="（%1）"/>
      <w:lvlJc w:val="left"/>
    </w:lvl>
  </w:abstractNum>
  <w:abstractNum w:abstractNumId="25">
    <w:nsid w:val="5E3D3B09"/>
    <w:multiLevelType w:val="singleLevel"/>
    <w:tmpl w:val="5E3D3B09"/>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26">
    <w:nsid w:val="67C0DA6C"/>
    <w:multiLevelType w:val="singleLevel"/>
    <w:tmpl w:val="67C0DA6C"/>
    <w:lvl w:ilvl="0" w:tentative="0">
      <w:start w:val="1"/>
      <w:numFmt w:val="decimal"/>
      <w:suff w:val="nothing"/>
      <w:lvlText w:val="表2-%1"/>
      <w:lvlJc w:val="left"/>
      <w:pPr>
        <w:ind w:left="0" w:firstLine="420"/>
      </w:pPr>
      <w:rPr>
        <w:rFonts w:hint="default"/>
        <w:b/>
        <w:bCs/>
        <w:color w:val="000000"/>
        <w:sz w:val="24"/>
        <w:szCs w:val="24"/>
      </w:rPr>
    </w:lvl>
  </w:abstractNum>
  <w:num w:numId="1">
    <w:abstractNumId w:val="25"/>
  </w:num>
  <w:num w:numId="2">
    <w:abstractNumId w:val="1"/>
  </w:num>
  <w:num w:numId="3">
    <w:abstractNumId w:val="22"/>
  </w:num>
  <w:num w:numId="4">
    <w:abstractNumId w:val="19"/>
  </w:num>
  <w:num w:numId="5">
    <w:abstractNumId w:val="7"/>
  </w:num>
  <w:num w:numId="6">
    <w:abstractNumId w:val="24"/>
  </w:num>
  <w:num w:numId="7">
    <w:abstractNumId w:val="15"/>
  </w:num>
  <w:num w:numId="8">
    <w:abstractNumId w:val="4"/>
  </w:num>
  <w:num w:numId="9">
    <w:abstractNumId w:val="16"/>
  </w:num>
  <w:num w:numId="10">
    <w:abstractNumId w:val="14"/>
  </w:num>
  <w:num w:numId="11">
    <w:abstractNumId w:val="20"/>
  </w:num>
  <w:num w:numId="12">
    <w:abstractNumId w:val="12"/>
  </w:num>
  <w:num w:numId="13">
    <w:abstractNumId w:val="13"/>
  </w:num>
  <w:num w:numId="14">
    <w:abstractNumId w:val="23"/>
  </w:num>
  <w:num w:numId="15">
    <w:abstractNumId w:val="26"/>
  </w:num>
  <w:num w:numId="16">
    <w:abstractNumId w:val="5"/>
  </w:num>
  <w:num w:numId="17">
    <w:abstractNumId w:val="11"/>
  </w:num>
  <w:num w:numId="18">
    <w:abstractNumId w:val="18"/>
  </w:num>
  <w:num w:numId="19">
    <w:abstractNumId w:val="9"/>
  </w:num>
  <w:num w:numId="20">
    <w:abstractNumId w:val="10"/>
  </w:num>
  <w:num w:numId="21">
    <w:abstractNumId w:val="0"/>
  </w:num>
  <w:num w:numId="22">
    <w:abstractNumId w:val="3"/>
  </w:num>
  <w:num w:numId="23">
    <w:abstractNumId w:val="2"/>
  </w:num>
  <w:num w:numId="24">
    <w:abstractNumId w:val="6"/>
  </w:num>
  <w:num w:numId="25">
    <w:abstractNumId w:val="8"/>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zNmZhOWNiODA3NWY5MjQwNDU2MGYxNzYyOWY1ZmIifQ=="/>
  </w:docVars>
  <w:rsids>
    <w:rsidRoot w:val="00172A27"/>
    <w:rsid w:val="000060B3"/>
    <w:rsid w:val="000363CE"/>
    <w:rsid w:val="00036B63"/>
    <w:rsid w:val="0003705A"/>
    <w:rsid w:val="0004364B"/>
    <w:rsid w:val="00050D83"/>
    <w:rsid w:val="00052A18"/>
    <w:rsid w:val="00061B1F"/>
    <w:rsid w:val="000733C4"/>
    <w:rsid w:val="00074783"/>
    <w:rsid w:val="0008070B"/>
    <w:rsid w:val="000810AC"/>
    <w:rsid w:val="00081A02"/>
    <w:rsid w:val="00082231"/>
    <w:rsid w:val="00092D38"/>
    <w:rsid w:val="0009377B"/>
    <w:rsid w:val="000969A9"/>
    <w:rsid w:val="000A20C9"/>
    <w:rsid w:val="000B058F"/>
    <w:rsid w:val="000B4467"/>
    <w:rsid w:val="000B4DB9"/>
    <w:rsid w:val="000C09AC"/>
    <w:rsid w:val="000C767F"/>
    <w:rsid w:val="000D5A44"/>
    <w:rsid w:val="000E3ED2"/>
    <w:rsid w:val="0010432F"/>
    <w:rsid w:val="00131F42"/>
    <w:rsid w:val="00135135"/>
    <w:rsid w:val="001357F1"/>
    <w:rsid w:val="00140FA8"/>
    <w:rsid w:val="00142FEB"/>
    <w:rsid w:val="00143A2D"/>
    <w:rsid w:val="00145A41"/>
    <w:rsid w:val="00151675"/>
    <w:rsid w:val="00157435"/>
    <w:rsid w:val="0017504D"/>
    <w:rsid w:val="0017598E"/>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E746F"/>
    <w:rsid w:val="001F0F17"/>
    <w:rsid w:val="001F3347"/>
    <w:rsid w:val="001F69E4"/>
    <w:rsid w:val="002125B4"/>
    <w:rsid w:val="002155B8"/>
    <w:rsid w:val="00224839"/>
    <w:rsid w:val="002249B2"/>
    <w:rsid w:val="00226574"/>
    <w:rsid w:val="002278EC"/>
    <w:rsid w:val="0023280E"/>
    <w:rsid w:val="00235534"/>
    <w:rsid w:val="002377D1"/>
    <w:rsid w:val="002506BC"/>
    <w:rsid w:val="00254345"/>
    <w:rsid w:val="0025564E"/>
    <w:rsid w:val="00264557"/>
    <w:rsid w:val="002805AB"/>
    <w:rsid w:val="00284204"/>
    <w:rsid w:val="00291773"/>
    <w:rsid w:val="002A168C"/>
    <w:rsid w:val="002A3DC7"/>
    <w:rsid w:val="002B49E2"/>
    <w:rsid w:val="002B628E"/>
    <w:rsid w:val="002B7B00"/>
    <w:rsid w:val="002B7C44"/>
    <w:rsid w:val="002C2B17"/>
    <w:rsid w:val="002D3DD0"/>
    <w:rsid w:val="002E1F3A"/>
    <w:rsid w:val="002E298A"/>
    <w:rsid w:val="002E53B4"/>
    <w:rsid w:val="002E6968"/>
    <w:rsid w:val="00301978"/>
    <w:rsid w:val="0030332C"/>
    <w:rsid w:val="003051C2"/>
    <w:rsid w:val="00305D66"/>
    <w:rsid w:val="00307CBC"/>
    <w:rsid w:val="00312296"/>
    <w:rsid w:val="00312F18"/>
    <w:rsid w:val="00314F0E"/>
    <w:rsid w:val="00321D8E"/>
    <w:rsid w:val="00325928"/>
    <w:rsid w:val="00332863"/>
    <w:rsid w:val="0033684D"/>
    <w:rsid w:val="00337B42"/>
    <w:rsid w:val="00341B42"/>
    <w:rsid w:val="003420C8"/>
    <w:rsid w:val="0034348F"/>
    <w:rsid w:val="00356653"/>
    <w:rsid w:val="0035743F"/>
    <w:rsid w:val="00357BE2"/>
    <w:rsid w:val="0036170C"/>
    <w:rsid w:val="00366E0F"/>
    <w:rsid w:val="00381A72"/>
    <w:rsid w:val="00383954"/>
    <w:rsid w:val="00383FAB"/>
    <w:rsid w:val="00384676"/>
    <w:rsid w:val="0038611A"/>
    <w:rsid w:val="00390857"/>
    <w:rsid w:val="003A3A06"/>
    <w:rsid w:val="003A4BF3"/>
    <w:rsid w:val="003B420D"/>
    <w:rsid w:val="003C6C16"/>
    <w:rsid w:val="003D6656"/>
    <w:rsid w:val="003D794D"/>
    <w:rsid w:val="003E3058"/>
    <w:rsid w:val="003E76A9"/>
    <w:rsid w:val="003F0809"/>
    <w:rsid w:val="003F6A8C"/>
    <w:rsid w:val="003F755C"/>
    <w:rsid w:val="004035AE"/>
    <w:rsid w:val="00406F01"/>
    <w:rsid w:val="00411B16"/>
    <w:rsid w:val="00416D50"/>
    <w:rsid w:val="00416FD5"/>
    <w:rsid w:val="00417772"/>
    <w:rsid w:val="00420E6A"/>
    <w:rsid w:val="00423613"/>
    <w:rsid w:val="00425A9E"/>
    <w:rsid w:val="00426D6B"/>
    <w:rsid w:val="00431E6C"/>
    <w:rsid w:val="00433CE7"/>
    <w:rsid w:val="004352C9"/>
    <w:rsid w:val="00440EF6"/>
    <w:rsid w:val="00452738"/>
    <w:rsid w:val="00454370"/>
    <w:rsid w:val="00456091"/>
    <w:rsid w:val="00466321"/>
    <w:rsid w:val="00471474"/>
    <w:rsid w:val="00484B9B"/>
    <w:rsid w:val="004855F6"/>
    <w:rsid w:val="0048661E"/>
    <w:rsid w:val="00494670"/>
    <w:rsid w:val="004A3823"/>
    <w:rsid w:val="004C1402"/>
    <w:rsid w:val="004C5C17"/>
    <w:rsid w:val="004E6946"/>
    <w:rsid w:val="004F1AD8"/>
    <w:rsid w:val="005011AF"/>
    <w:rsid w:val="005039CB"/>
    <w:rsid w:val="0050558F"/>
    <w:rsid w:val="00506286"/>
    <w:rsid w:val="00510813"/>
    <w:rsid w:val="00511990"/>
    <w:rsid w:val="00511DE0"/>
    <w:rsid w:val="00514870"/>
    <w:rsid w:val="00514B9B"/>
    <w:rsid w:val="00517F02"/>
    <w:rsid w:val="00524303"/>
    <w:rsid w:val="005258A2"/>
    <w:rsid w:val="00531013"/>
    <w:rsid w:val="0053258B"/>
    <w:rsid w:val="00534C77"/>
    <w:rsid w:val="005401AE"/>
    <w:rsid w:val="00542E07"/>
    <w:rsid w:val="0054430C"/>
    <w:rsid w:val="00545424"/>
    <w:rsid w:val="00554A7B"/>
    <w:rsid w:val="0055572C"/>
    <w:rsid w:val="0056106A"/>
    <w:rsid w:val="005720AE"/>
    <w:rsid w:val="00594D77"/>
    <w:rsid w:val="00596098"/>
    <w:rsid w:val="005969E4"/>
    <w:rsid w:val="005A06B7"/>
    <w:rsid w:val="005A1759"/>
    <w:rsid w:val="005A68A7"/>
    <w:rsid w:val="005B106C"/>
    <w:rsid w:val="005B71A1"/>
    <w:rsid w:val="005C0C1C"/>
    <w:rsid w:val="005D36AB"/>
    <w:rsid w:val="005E3B0A"/>
    <w:rsid w:val="006140F3"/>
    <w:rsid w:val="00617CC3"/>
    <w:rsid w:val="0062594E"/>
    <w:rsid w:val="006377A6"/>
    <w:rsid w:val="00637A3D"/>
    <w:rsid w:val="006411EF"/>
    <w:rsid w:val="00656A15"/>
    <w:rsid w:val="006748B8"/>
    <w:rsid w:val="006775C3"/>
    <w:rsid w:val="0069290A"/>
    <w:rsid w:val="0069775A"/>
    <w:rsid w:val="00697813"/>
    <w:rsid w:val="006A3EE8"/>
    <w:rsid w:val="006A72BF"/>
    <w:rsid w:val="006B03F2"/>
    <w:rsid w:val="006B37DC"/>
    <w:rsid w:val="006B46CE"/>
    <w:rsid w:val="006B4F68"/>
    <w:rsid w:val="006C0592"/>
    <w:rsid w:val="006C272E"/>
    <w:rsid w:val="006C3589"/>
    <w:rsid w:val="006C5479"/>
    <w:rsid w:val="006D13B5"/>
    <w:rsid w:val="006D7262"/>
    <w:rsid w:val="006E12FF"/>
    <w:rsid w:val="006E607E"/>
    <w:rsid w:val="006E6582"/>
    <w:rsid w:val="00706C5D"/>
    <w:rsid w:val="007155D9"/>
    <w:rsid w:val="00732922"/>
    <w:rsid w:val="0075162E"/>
    <w:rsid w:val="0075377D"/>
    <w:rsid w:val="00754034"/>
    <w:rsid w:val="00756556"/>
    <w:rsid w:val="007618C4"/>
    <w:rsid w:val="00767980"/>
    <w:rsid w:val="00770B19"/>
    <w:rsid w:val="0077463F"/>
    <w:rsid w:val="007815CC"/>
    <w:rsid w:val="007836EA"/>
    <w:rsid w:val="00784CDA"/>
    <w:rsid w:val="007906C4"/>
    <w:rsid w:val="007940EA"/>
    <w:rsid w:val="007952C4"/>
    <w:rsid w:val="007967E8"/>
    <w:rsid w:val="007A2170"/>
    <w:rsid w:val="007A22BF"/>
    <w:rsid w:val="007A3323"/>
    <w:rsid w:val="007B597E"/>
    <w:rsid w:val="007B72B8"/>
    <w:rsid w:val="007B7A58"/>
    <w:rsid w:val="007C21B5"/>
    <w:rsid w:val="007E4BD2"/>
    <w:rsid w:val="00801393"/>
    <w:rsid w:val="00802F88"/>
    <w:rsid w:val="0081293E"/>
    <w:rsid w:val="00815465"/>
    <w:rsid w:val="00817E9A"/>
    <w:rsid w:val="008306BD"/>
    <w:rsid w:val="00831A80"/>
    <w:rsid w:val="00833743"/>
    <w:rsid w:val="008340A4"/>
    <w:rsid w:val="00856D7A"/>
    <w:rsid w:val="0087135F"/>
    <w:rsid w:val="00872D94"/>
    <w:rsid w:val="00880364"/>
    <w:rsid w:val="00891592"/>
    <w:rsid w:val="00891E9E"/>
    <w:rsid w:val="008A0597"/>
    <w:rsid w:val="008A10D7"/>
    <w:rsid w:val="008A2F68"/>
    <w:rsid w:val="008B4FA6"/>
    <w:rsid w:val="008B5282"/>
    <w:rsid w:val="008B7C17"/>
    <w:rsid w:val="008C2D01"/>
    <w:rsid w:val="008C40E6"/>
    <w:rsid w:val="008C69F1"/>
    <w:rsid w:val="008D0F7A"/>
    <w:rsid w:val="008D50FC"/>
    <w:rsid w:val="008D68E4"/>
    <w:rsid w:val="008E0506"/>
    <w:rsid w:val="008E0CFF"/>
    <w:rsid w:val="008E5D6B"/>
    <w:rsid w:val="008E76F0"/>
    <w:rsid w:val="008F15FE"/>
    <w:rsid w:val="008F2D29"/>
    <w:rsid w:val="008F5187"/>
    <w:rsid w:val="008F60D8"/>
    <w:rsid w:val="00902727"/>
    <w:rsid w:val="0090312B"/>
    <w:rsid w:val="0091736D"/>
    <w:rsid w:val="0093037A"/>
    <w:rsid w:val="009324B0"/>
    <w:rsid w:val="0094154D"/>
    <w:rsid w:val="00944641"/>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6C98"/>
    <w:rsid w:val="009C7329"/>
    <w:rsid w:val="009C7DD5"/>
    <w:rsid w:val="009E227D"/>
    <w:rsid w:val="009E5019"/>
    <w:rsid w:val="00A04F1B"/>
    <w:rsid w:val="00A0501B"/>
    <w:rsid w:val="00A14947"/>
    <w:rsid w:val="00A32460"/>
    <w:rsid w:val="00A32A83"/>
    <w:rsid w:val="00A368DB"/>
    <w:rsid w:val="00A423AA"/>
    <w:rsid w:val="00A44CA0"/>
    <w:rsid w:val="00A53EC6"/>
    <w:rsid w:val="00A55C0F"/>
    <w:rsid w:val="00A57088"/>
    <w:rsid w:val="00A825B4"/>
    <w:rsid w:val="00A8713F"/>
    <w:rsid w:val="00A90BA1"/>
    <w:rsid w:val="00A934B6"/>
    <w:rsid w:val="00A97A9A"/>
    <w:rsid w:val="00AA0671"/>
    <w:rsid w:val="00AA2531"/>
    <w:rsid w:val="00AB1E09"/>
    <w:rsid w:val="00AB5330"/>
    <w:rsid w:val="00AB7747"/>
    <w:rsid w:val="00AC14CE"/>
    <w:rsid w:val="00AC2A56"/>
    <w:rsid w:val="00AC73D6"/>
    <w:rsid w:val="00AD055E"/>
    <w:rsid w:val="00AD47A7"/>
    <w:rsid w:val="00AF0CBF"/>
    <w:rsid w:val="00AF257F"/>
    <w:rsid w:val="00AF33CF"/>
    <w:rsid w:val="00AF4D50"/>
    <w:rsid w:val="00AF5504"/>
    <w:rsid w:val="00AF5F22"/>
    <w:rsid w:val="00AF6179"/>
    <w:rsid w:val="00B043EC"/>
    <w:rsid w:val="00B05200"/>
    <w:rsid w:val="00B1295A"/>
    <w:rsid w:val="00B20A45"/>
    <w:rsid w:val="00B22C5C"/>
    <w:rsid w:val="00B24F30"/>
    <w:rsid w:val="00B31ABF"/>
    <w:rsid w:val="00B33BE3"/>
    <w:rsid w:val="00B4582D"/>
    <w:rsid w:val="00B52CB1"/>
    <w:rsid w:val="00B53B5D"/>
    <w:rsid w:val="00B6055E"/>
    <w:rsid w:val="00B6317D"/>
    <w:rsid w:val="00B7236E"/>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0140C"/>
    <w:rsid w:val="00C10578"/>
    <w:rsid w:val="00C12CC9"/>
    <w:rsid w:val="00C135BC"/>
    <w:rsid w:val="00C14BC7"/>
    <w:rsid w:val="00C15C95"/>
    <w:rsid w:val="00C2515E"/>
    <w:rsid w:val="00C2596A"/>
    <w:rsid w:val="00C27537"/>
    <w:rsid w:val="00C328FE"/>
    <w:rsid w:val="00C33507"/>
    <w:rsid w:val="00C4409D"/>
    <w:rsid w:val="00C44E72"/>
    <w:rsid w:val="00C45A06"/>
    <w:rsid w:val="00C47E5B"/>
    <w:rsid w:val="00C61E4B"/>
    <w:rsid w:val="00C63DEC"/>
    <w:rsid w:val="00C64BFF"/>
    <w:rsid w:val="00C704E9"/>
    <w:rsid w:val="00C763C9"/>
    <w:rsid w:val="00C80057"/>
    <w:rsid w:val="00C82232"/>
    <w:rsid w:val="00C82913"/>
    <w:rsid w:val="00C972B1"/>
    <w:rsid w:val="00CA2CCE"/>
    <w:rsid w:val="00CA43FD"/>
    <w:rsid w:val="00CA7666"/>
    <w:rsid w:val="00CA7EF8"/>
    <w:rsid w:val="00CC4786"/>
    <w:rsid w:val="00CC489B"/>
    <w:rsid w:val="00CC5EBB"/>
    <w:rsid w:val="00CD2BCD"/>
    <w:rsid w:val="00CD3A4C"/>
    <w:rsid w:val="00CE10E9"/>
    <w:rsid w:val="00CE2910"/>
    <w:rsid w:val="00CE5393"/>
    <w:rsid w:val="00CF36BE"/>
    <w:rsid w:val="00CF6000"/>
    <w:rsid w:val="00D003F3"/>
    <w:rsid w:val="00D0364F"/>
    <w:rsid w:val="00D06834"/>
    <w:rsid w:val="00D308ED"/>
    <w:rsid w:val="00D36D86"/>
    <w:rsid w:val="00D428AA"/>
    <w:rsid w:val="00D44331"/>
    <w:rsid w:val="00D50A34"/>
    <w:rsid w:val="00D53EFA"/>
    <w:rsid w:val="00D75786"/>
    <w:rsid w:val="00D85964"/>
    <w:rsid w:val="00D94A7C"/>
    <w:rsid w:val="00D94BE1"/>
    <w:rsid w:val="00D95896"/>
    <w:rsid w:val="00DB2983"/>
    <w:rsid w:val="00DC1257"/>
    <w:rsid w:val="00DC3DC0"/>
    <w:rsid w:val="00DC5B2B"/>
    <w:rsid w:val="00DD318D"/>
    <w:rsid w:val="00DD6DCC"/>
    <w:rsid w:val="00DE5840"/>
    <w:rsid w:val="00DF2E12"/>
    <w:rsid w:val="00DF514A"/>
    <w:rsid w:val="00DF6529"/>
    <w:rsid w:val="00DF6690"/>
    <w:rsid w:val="00DF6804"/>
    <w:rsid w:val="00E0358D"/>
    <w:rsid w:val="00E04323"/>
    <w:rsid w:val="00E070A2"/>
    <w:rsid w:val="00E261C4"/>
    <w:rsid w:val="00E2656A"/>
    <w:rsid w:val="00E412D0"/>
    <w:rsid w:val="00E56322"/>
    <w:rsid w:val="00E60982"/>
    <w:rsid w:val="00E62C62"/>
    <w:rsid w:val="00E654C1"/>
    <w:rsid w:val="00E65D97"/>
    <w:rsid w:val="00E72A5A"/>
    <w:rsid w:val="00E73354"/>
    <w:rsid w:val="00E8117A"/>
    <w:rsid w:val="00E858E2"/>
    <w:rsid w:val="00E9242D"/>
    <w:rsid w:val="00EB5255"/>
    <w:rsid w:val="00EB5C47"/>
    <w:rsid w:val="00ED0639"/>
    <w:rsid w:val="00EF37C4"/>
    <w:rsid w:val="00EF4755"/>
    <w:rsid w:val="00EF7135"/>
    <w:rsid w:val="00EF7C16"/>
    <w:rsid w:val="00F00029"/>
    <w:rsid w:val="00F027DB"/>
    <w:rsid w:val="00F14A7A"/>
    <w:rsid w:val="00F15B06"/>
    <w:rsid w:val="00F22985"/>
    <w:rsid w:val="00F3383E"/>
    <w:rsid w:val="00F465A7"/>
    <w:rsid w:val="00F50B7C"/>
    <w:rsid w:val="00F5329C"/>
    <w:rsid w:val="00F550E6"/>
    <w:rsid w:val="00F74345"/>
    <w:rsid w:val="00F80A0A"/>
    <w:rsid w:val="00F82B19"/>
    <w:rsid w:val="00F873C5"/>
    <w:rsid w:val="00F9212D"/>
    <w:rsid w:val="00F965DA"/>
    <w:rsid w:val="00FA395B"/>
    <w:rsid w:val="00FA406A"/>
    <w:rsid w:val="00FB503A"/>
    <w:rsid w:val="00FB516C"/>
    <w:rsid w:val="00FC0A2C"/>
    <w:rsid w:val="00FD0236"/>
    <w:rsid w:val="00FD18F4"/>
    <w:rsid w:val="00FD54DB"/>
    <w:rsid w:val="00FD619F"/>
    <w:rsid w:val="011C626C"/>
    <w:rsid w:val="01290F7E"/>
    <w:rsid w:val="012D5FE3"/>
    <w:rsid w:val="01375374"/>
    <w:rsid w:val="015D1E09"/>
    <w:rsid w:val="016043AA"/>
    <w:rsid w:val="016A7E8F"/>
    <w:rsid w:val="01751E4D"/>
    <w:rsid w:val="01763284"/>
    <w:rsid w:val="017D63B0"/>
    <w:rsid w:val="018F5D30"/>
    <w:rsid w:val="018F6A3E"/>
    <w:rsid w:val="0194052A"/>
    <w:rsid w:val="01A6147B"/>
    <w:rsid w:val="01D57DE8"/>
    <w:rsid w:val="01DD59FB"/>
    <w:rsid w:val="01E17982"/>
    <w:rsid w:val="02104022"/>
    <w:rsid w:val="02186A33"/>
    <w:rsid w:val="02383FE1"/>
    <w:rsid w:val="02467A44"/>
    <w:rsid w:val="02697903"/>
    <w:rsid w:val="027856AC"/>
    <w:rsid w:val="02897931"/>
    <w:rsid w:val="0295277A"/>
    <w:rsid w:val="02B52EFC"/>
    <w:rsid w:val="02B540E6"/>
    <w:rsid w:val="02BA21E0"/>
    <w:rsid w:val="02BA6104"/>
    <w:rsid w:val="02F45392"/>
    <w:rsid w:val="02F96569"/>
    <w:rsid w:val="03001AC9"/>
    <w:rsid w:val="03035935"/>
    <w:rsid w:val="03037369"/>
    <w:rsid w:val="031A67DB"/>
    <w:rsid w:val="031F5331"/>
    <w:rsid w:val="03241153"/>
    <w:rsid w:val="03277997"/>
    <w:rsid w:val="03314624"/>
    <w:rsid w:val="033B5CE1"/>
    <w:rsid w:val="034C108A"/>
    <w:rsid w:val="035D19A0"/>
    <w:rsid w:val="036363D4"/>
    <w:rsid w:val="0370464D"/>
    <w:rsid w:val="037155E3"/>
    <w:rsid w:val="03AE53BF"/>
    <w:rsid w:val="03AF0414"/>
    <w:rsid w:val="03B03E09"/>
    <w:rsid w:val="03D21FBC"/>
    <w:rsid w:val="03D6776F"/>
    <w:rsid w:val="03E932C9"/>
    <w:rsid w:val="03EA43FF"/>
    <w:rsid w:val="03EA7B21"/>
    <w:rsid w:val="03F03701"/>
    <w:rsid w:val="03F9349A"/>
    <w:rsid w:val="03FB485E"/>
    <w:rsid w:val="04061183"/>
    <w:rsid w:val="040C6A6B"/>
    <w:rsid w:val="040F25E3"/>
    <w:rsid w:val="042931F1"/>
    <w:rsid w:val="042F4508"/>
    <w:rsid w:val="0442423B"/>
    <w:rsid w:val="044717AC"/>
    <w:rsid w:val="045F05C4"/>
    <w:rsid w:val="047A6EFE"/>
    <w:rsid w:val="047B665D"/>
    <w:rsid w:val="047C774D"/>
    <w:rsid w:val="04822321"/>
    <w:rsid w:val="04BE24D9"/>
    <w:rsid w:val="04C43C5C"/>
    <w:rsid w:val="04CB302A"/>
    <w:rsid w:val="04DF7CDC"/>
    <w:rsid w:val="04E5794D"/>
    <w:rsid w:val="04FC2BC6"/>
    <w:rsid w:val="05012A1B"/>
    <w:rsid w:val="05040B31"/>
    <w:rsid w:val="050B287F"/>
    <w:rsid w:val="050C3F79"/>
    <w:rsid w:val="05235E1B"/>
    <w:rsid w:val="052726EB"/>
    <w:rsid w:val="053578FC"/>
    <w:rsid w:val="053B7A34"/>
    <w:rsid w:val="05410997"/>
    <w:rsid w:val="0542386E"/>
    <w:rsid w:val="05453BD9"/>
    <w:rsid w:val="055925B9"/>
    <w:rsid w:val="055C132D"/>
    <w:rsid w:val="055F5656"/>
    <w:rsid w:val="057B43C8"/>
    <w:rsid w:val="058232BE"/>
    <w:rsid w:val="058D598A"/>
    <w:rsid w:val="05A70082"/>
    <w:rsid w:val="05E748C8"/>
    <w:rsid w:val="05EB0BFB"/>
    <w:rsid w:val="05F157E5"/>
    <w:rsid w:val="05F83EAE"/>
    <w:rsid w:val="061A5470"/>
    <w:rsid w:val="062E5CAB"/>
    <w:rsid w:val="063E7D85"/>
    <w:rsid w:val="066761DB"/>
    <w:rsid w:val="067135DD"/>
    <w:rsid w:val="067A5F0E"/>
    <w:rsid w:val="06915006"/>
    <w:rsid w:val="06B054C4"/>
    <w:rsid w:val="06B4338F"/>
    <w:rsid w:val="06BF1B73"/>
    <w:rsid w:val="06BF6017"/>
    <w:rsid w:val="06C74ECC"/>
    <w:rsid w:val="06C90C44"/>
    <w:rsid w:val="06DA0C57"/>
    <w:rsid w:val="06ED4932"/>
    <w:rsid w:val="06F35CC1"/>
    <w:rsid w:val="070B300A"/>
    <w:rsid w:val="07276979"/>
    <w:rsid w:val="07293586"/>
    <w:rsid w:val="07295285"/>
    <w:rsid w:val="074B78AB"/>
    <w:rsid w:val="07636392"/>
    <w:rsid w:val="076C34AC"/>
    <w:rsid w:val="07702E6D"/>
    <w:rsid w:val="07770C56"/>
    <w:rsid w:val="077A1F3E"/>
    <w:rsid w:val="07854B6B"/>
    <w:rsid w:val="07895813"/>
    <w:rsid w:val="078F0D1D"/>
    <w:rsid w:val="07BB058C"/>
    <w:rsid w:val="07C16EA6"/>
    <w:rsid w:val="07CD206E"/>
    <w:rsid w:val="07D66EC7"/>
    <w:rsid w:val="07D77390"/>
    <w:rsid w:val="07E31252"/>
    <w:rsid w:val="07E34BC0"/>
    <w:rsid w:val="07E8334B"/>
    <w:rsid w:val="07ED0962"/>
    <w:rsid w:val="08031F33"/>
    <w:rsid w:val="080F78F9"/>
    <w:rsid w:val="08135F21"/>
    <w:rsid w:val="08147C9D"/>
    <w:rsid w:val="082D2CAC"/>
    <w:rsid w:val="0849203C"/>
    <w:rsid w:val="084B25A5"/>
    <w:rsid w:val="084C7436"/>
    <w:rsid w:val="084F33CB"/>
    <w:rsid w:val="085409E1"/>
    <w:rsid w:val="086724C2"/>
    <w:rsid w:val="086C7AD9"/>
    <w:rsid w:val="0879110D"/>
    <w:rsid w:val="087B45B9"/>
    <w:rsid w:val="087D7F38"/>
    <w:rsid w:val="088463DA"/>
    <w:rsid w:val="08A714D3"/>
    <w:rsid w:val="08B33959"/>
    <w:rsid w:val="08C01BD2"/>
    <w:rsid w:val="08D30AA4"/>
    <w:rsid w:val="08DA7138"/>
    <w:rsid w:val="090A1D3B"/>
    <w:rsid w:val="090B10A0"/>
    <w:rsid w:val="09151F1E"/>
    <w:rsid w:val="091A11C9"/>
    <w:rsid w:val="092217DD"/>
    <w:rsid w:val="093700E7"/>
    <w:rsid w:val="093A7294"/>
    <w:rsid w:val="09400F2C"/>
    <w:rsid w:val="09502F56"/>
    <w:rsid w:val="095A0CCD"/>
    <w:rsid w:val="095B35A7"/>
    <w:rsid w:val="096E7880"/>
    <w:rsid w:val="097529BD"/>
    <w:rsid w:val="09763343"/>
    <w:rsid w:val="097924AD"/>
    <w:rsid w:val="0986022F"/>
    <w:rsid w:val="099866AB"/>
    <w:rsid w:val="099C1065"/>
    <w:rsid w:val="099E28D7"/>
    <w:rsid w:val="099E381B"/>
    <w:rsid w:val="09C230BE"/>
    <w:rsid w:val="09D661E3"/>
    <w:rsid w:val="09EB71DA"/>
    <w:rsid w:val="0A003FA1"/>
    <w:rsid w:val="0A20501F"/>
    <w:rsid w:val="0A263993"/>
    <w:rsid w:val="0A2D3AC2"/>
    <w:rsid w:val="0A323982"/>
    <w:rsid w:val="0A374116"/>
    <w:rsid w:val="0A4C5E14"/>
    <w:rsid w:val="0A551399"/>
    <w:rsid w:val="0A574719"/>
    <w:rsid w:val="0A5B05D9"/>
    <w:rsid w:val="0A636CB9"/>
    <w:rsid w:val="0A7113D6"/>
    <w:rsid w:val="0AA07F0D"/>
    <w:rsid w:val="0AA417AC"/>
    <w:rsid w:val="0AA755DF"/>
    <w:rsid w:val="0ABB4D47"/>
    <w:rsid w:val="0AD656DD"/>
    <w:rsid w:val="0AE835BD"/>
    <w:rsid w:val="0AF70CEE"/>
    <w:rsid w:val="0B0B7A0E"/>
    <w:rsid w:val="0B1052B5"/>
    <w:rsid w:val="0B120D44"/>
    <w:rsid w:val="0B161620"/>
    <w:rsid w:val="0B1F69B2"/>
    <w:rsid w:val="0B213CF0"/>
    <w:rsid w:val="0B2823DD"/>
    <w:rsid w:val="0B403726"/>
    <w:rsid w:val="0B482E48"/>
    <w:rsid w:val="0B494101"/>
    <w:rsid w:val="0B6067A5"/>
    <w:rsid w:val="0B6E1DBA"/>
    <w:rsid w:val="0B6E3A66"/>
    <w:rsid w:val="0B7819FF"/>
    <w:rsid w:val="0B8B64C8"/>
    <w:rsid w:val="0BAF665A"/>
    <w:rsid w:val="0BBA7FB7"/>
    <w:rsid w:val="0BC44DE5"/>
    <w:rsid w:val="0BC65752"/>
    <w:rsid w:val="0BC658C2"/>
    <w:rsid w:val="0BC67500"/>
    <w:rsid w:val="0BCD4D32"/>
    <w:rsid w:val="0BD27BF6"/>
    <w:rsid w:val="0BE61950"/>
    <w:rsid w:val="0C1F4E62"/>
    <w:rsid w:val="0C3B3C7D"/>
    <w:rsid w:val="0C474AE5"/>
    <w:rsid w:val="0C4F4145"/>
    <w:rsid w:val="0C601702"/>
    <w:rsid w:val="0C607954"/>
    <w:rsid w:val="0C6805B7"/>
    <w:rsid w:val="0C690C29"/>
    <w:rsid w:val="0C781F70"/>
    <w:rsid w:val="0CA521F3"/>
    <w:rsid w:val="0CAB2EAE"/>
    <w:rsid w:val="0CE51C08"/>
    <w:rsid w:val="0CEB1BAB"/>
    <w:rsid w:val="0CEC568C"/>
    <w:rsid w:val="0CF2737D"/>
    <w:rsid w:val="0D0227BA"/>
    <w:rsid w:val="0D137591"/>
    <w:rsid w:val="0D1424ED"/>
    <w:rsid w:val="0D26400A"/>
    <w:rsid w:val="0D2C46F1"/>
    <w:rsid w:val="0D40691B"/>
    <w:rsid w:val="0D417786"/>
    <w:rsid w:val="0D447276"/>
    <w:rsid w:val="0D5610AB"/>
    <w:rsid w:val="0D611BD6"/>
    <w:rsid w:val="0D621C7D"/>
    <w:rsid w:val="0D7C6A10"/>
    <w:rsid w:val="0DBC0A62"/>
    <w:rsid w:val="0DCA1E36"/>
    <w:rsid w:val="0DCD1019"/>
    <w:rsid w:val="0DE6032D"/>
    <w:rsid w:val="0DE6362B"/>
    <w:rsid w:val="0E0F33E0"/>
    <w:rsid w:val="0E2139D4"/>
    <w:rsid w:val="0E2B3F92"/>
    <w:rsid w:val="0E2C101A"/>
    <w:rsid w:val="0E355EFE"/>
    <w:rsid w:val="0E3746E5"/>
    <w:rsid w:val="0E3F589F"/>
    <w:rsid w:val="0E4B4C40"/>
    <w:rsid w:val="0E5C239D"/>
    <w:rsid w:val="0E656CD1"/>
    <w:rsid w:val="0E73034D"/>
    <w:rsid w:val="0E8C2C83"/>
    <w:rsid w:val="0E9E29B6"/>
    <w:rsid w:val="0EA855E3"/>
    <w:rsid w:val="0ECA331C"/>
    <w:rsid w:val="0ED2440E"/>
    <w:rsid w:val="0EE134AE"/>
    <w:rsid w:val="0EE25D19"/>
    <w:rsid w:val="0EEC3ADC"/>
    <w:rsid w:val="0EF52977"/>
    <w:rsid w:val="0F03472C"/>
    <w:rsid w:val="0F13775A"/>
    <w:rsid w:val="0F16254C"/>
    <w:rsid w:val="0F1669F0"/>
    <w:rsid w:val="0F205179"/>
    <w:rsid w:val="0F260468"/>
    <w:rsid w:val="0F5F45FE"/>
    <w:rsid w:val="0F772C61"/>
    <w:rsid w:val="0F7D1D99"/>
    <w:rsid w:val="0F8611CB"/>
    <w:rsid w:val="0F9022FF"/>
    <w:rsid w:val="0F9A112B"/>
    <w:rsid w:val="0FC15F44"/>
    <w:rsid w:val="0FCE0CF9"/>
    <w:rsid w:val="0FD91EF8"/>
    <w:rsid w:val="0FD95CA3"/>
    <w:rsid w:val="0FDB53AD"/>
    <w:rsid w:val="0FE32D76"/>
    <w:rsid w:val="0FEE468E"/>
    <w:rsid w:val="0FF22DF8"/>
    <w:rsid w:val="0FFFC18A"/>
    <w:rsid w:val="100F42B4"/>
    <w:rsid w:val="10124500"/>
    <w:rsid w:val="101C20FA"/>
    <w:rsid w:val="101F6C4C"/>
    <w:rsid w:val="102969A2"/>
    <w:rsid w:val="10354C54"/>
    <w:rsid w:val="103C2486"/>
    <w:rsid w:val="10403C97"/>
    <w:rsid w:val="10463305"/>
    <w:rsid w:val="106936FE"/>
    <w:rsid w:val="106D2F64"/>
    <w:rsid w:val="10771710"/>
    <w:rsid w:val="10961B97"/>
    <w:rsid w:val="10A4403E"/>
    <w:rsid w:val="10B03A69"/>
    <w:rsid w:val="10B63710"/>
    <w:rsid w:val="10B90610"/>
    <w:rsid w:val="10CA5280"/>
    <w:rsid w:val="10D429B2"/>
    <w:rsid w:val="10DD5A17"/>
    <w:rsid w:val="10F10820"/>
    <w:rsid w:val="10F22076"/>
    <w:rsid w:val="10F87EA1"/>
    <w:rsid w:val="11033AA6"/>
    <w:rsid w:val="110527DD"/>
    <w:rsid w:val="111C2F7A"/>
    <w:rsid w:val="112A22DF"/>
    <w:rsid w:val="112E388A"/>
    <w:rsid w:val="11420E75"/>
    <w:rsid w:val="11491570"/>
    <w:rsid w:val="11627CCB"/>
    <w:rsid w:val="11665CA1"/>
    <w:rsid w:val="118530F1"/>
    <w:rsid w:val="11895257"/>
    <w:rsid w:val="11906B41"/>
    <w:rsid w:val="119125C6"/>
    <w:rsid w:val="119D0D03"/>
    <w:rsid w:val="119E13BB"/>
    <w:rsid w:val="11A6128D"/>
    <w:rsid w:val="11BD3153"/>
    <w:rsid w:val="11C12362"/>
    <w:rsid w:val="11C57C4E"/>
    <w:rsid w:val="11CA0619"/>
    <w:rsid w:val="11DA576F"/>
    <w:rsid w:val="11E862E1"/>
    <w:rsid w:val="11E9219A"/>
    <w:rsid w:val="11EA28C0"/>
    <w:rsid w:val="11EC3BDE"/>
    <w:rsid w:val="11F41464"/>
    <w:rsid w:val="11F8610A"/>
    <w:rsid w:val="12252C65"/>
    <w:rsid w:val="123148AA"/>
    <w:rsid w:val="12411FD6"/>
    <w:rsid w:val="1244648C"/>
    <w:rsid w:val="1246139A"/>
    <w:rsid w:val="12503FC7"/>
    <w:rsid w:val="12865C3B"/>
    <w:rsid w:val="12922DA3"/>
    <w:rsid w:val="12942106"/>
    <w:rsid w:val="12B74046"/>
    <w:rsid w:val="12BC165D"/>
    <w:rsid w:val="12DA3E6F"/>
    <w:rsid w:val="12E110C3"/>
    <w:rsid w:val="12F2507E"/>
    <w:rsid w:val="13001549"/>
    <w:rsid w:val="1304143F"/>
    <w:rsid w:val="130A23C8"/>
    <w:rsid w:val="132536A6"/>
    <w:rsid w:val="13347445"/>
    <w:rsid w:val="13367970"/>
    <w:rsid w:val="13456871"/>
    <w:rsid w:val="134B62E7"/>
    <w:rsid w:val="135D2E40"/>
    <w:rsid w:val="13862A66"/>
    <w:rsid w:val="13951726"/>
    <w:rsid w:val="13954387"/>
    <w:rsid w:val="13973657"/>
    <w:rsid w:val="13981464"/>
    <w:rsid w:val="13AC16D1"/>
    <w:rsid w:val="13CE1647"/>
    <w:rsid w:val="13D12EE6"/>
    <w:rsid w:val="13DE5C41"/>
    <w:rsid w:val="13F92677"/>
    <w:rsid w:val="14186775"/>
    <w:rsid w:val="1424395D"/>
    <w:rsid w:val="14396509"/>
    <w:rsid w:val="143D31B1"/>
    <w:rsid w:val="144260E6"/>
    <w:rsid w:val="14530270"/>
    <w:rsid w:val="146D0E60"/>
    <w:rsid w:val="146E6986"/>
    <w:rsid w:val="148461AA"/>
    <w:rsid w:val="14942D28"/>
    <w:rsid w:val="149A777C"/>
    <w:rsid w:val="14A02966"/>
    <w:rsid w:val="14A51FA1"/>
    <w:rsid w:val="14AE18C2"/>
    <w:rsid w:val="14BE790E"/>
    <w:rsid w:val="14CA6188"/>
    <w:rsid w:val="14CD3DFB"/>
    <w:rsid w:val="14D94203"/>
    <w:rsid w:val="14DD2C3C"/>
    <w:rsid w:val="14E37374"/>
    <w:rsid w:val="14E52361"/>
    <w:rsid w:val="14E92B86"/>
    <w:rsid w:val="14FF7412"/>
    <w:rsid w:val="15113EE2"/>
    <w:rsid w:val="15127C5A"/>
    <w:rsid w:val="15140922"/>
    <w:rsid w:val="15145780"/>
    <w:rsid w:val="15160FA7"/>
    <w:rsid w:val="15215D22"/>
    <w:rsid w:val="15281094"/>
    <w:rsid w:val="153674A4"/>
    <w:rsid w:val="1538149A"/>
    <w:rsid w:val="153876C0"/>
    <w:rsid w:val="154D0C92"/>
    <w:rsid w:val="154F7FCF"/>
    <w:rsid w:val="15523888"/>
    <w:rsid w:val="15553211"/>
    <w:rsid w:val="15714980"/>
    <w:rsid w:val="1571672E"/>
    <w:rsid w:val="157955E3"/>
    <w:rsid w:val="1585667E"/>
    <w:rsid w:val="15912370"/>
    <w:rsid w:val="159222AB"/>
    <w:rsid w:val="1594066F"/>
    <w:rsid w:val="15962005"/>
    <w:rsid w:val="15C409DA"/>
    <w:rsid w:val="15CA1FA5"/>
    <w:rsid w:val="15CC605B"/>
    <w:rsid w:val="15CF2A26"/>
    <w:rsid w:val="15DF7B3C"/>
    <w:rsid w:val="16087E1D"/>
    <w:rsid w:val="160E0421"/>
    <w:rsid w:val="161C2B3E"/>
    <w:rsid w:val="16201F02"/>
    <w:rsid w:val="162125BA"/>
    <w:rsid w:val="162E2871"/>
    <w:rsid w:val="1633272E"/>
    <w:rsid w:val="16394A39"/>
    <w:rsid w:val="16544931"/>
    <w:rsid w:val="1659306C"/>
    <w:rsid w:val="16610551"/>
    <w:rsid w:val="166718DF"/>
    <w:rsid w:val="16783AEC"/>
    <w:rsid w:val="167E55A7"/>
    <w:rsid w:val="16952D89"/>
    <w:rsid w:val="16970B32"/>
    <w:rsid w:val="16971164"/>
    <w:rsid w:val="16B74615"/>
    <w:rsid w:val="16BC1C2B"/>
    <w:rsid w:val="16D22F0C"/>
    <w:rsid w:val="16D231FD"/>
    <w:rsid w:val="16DA0303"/>
    <w:rsid w:val="16E6254F"/>
    <w:rsid w:val="16E7480E"/>
    <w:rsid w:val="170E391F"/>
    <w:rsid w:val="170F4451"/>
    <w:rsid w:val="17306175"/>
    <w:rsid w:val="17342109"/>
    <w:rsid w:val="1740285C"/>
    <w:rsid w:val="174B2FAF"/>
    <w:rsid w:val="17626C76"/>
    <w:rsid w:val="176B7CE9"/>
    <w:rsid w:val="17701D14"/>
    <w:rsid w:val="17735226"/>
    <w:rsid w:val="17976157"/>
    <w:rsid w:val="179901BE"/>
    <w:rsid w:val="17AA5F28"/>
    <w:rsid w:val="17AC7EF2"/>
    <w:rsid w:val="17B80644"/>
    <w:rsid w:val="17C0399D"/>
    <w:rsid w:val="17C129F8"/>
    <w:rsid w:val="17D9459D"/>
    <w:rsid w:val="17E21726"/>
    <w:rsid w:val="18077884"/>
    <w:rsid w:val="180970F2"/>
    <w:rsid w:val="1820443C"/>
    <w:rsid w:val="183B4BA5"/>
    <w:rsid w:val="183C74C7"/>
    <w:rsid w:val="185F31B6"/>
    <w:rsid w:val="18684F6A"/>
    <w:rsid w:val="18714C97"/>
    <w:rsid w:val="187C5B16"/>
    <w:rsid w:val="18876269"/>
    <w:rsid w:val="18880D62"/>
    <w:rsid w:val="188D3F47"/>
    <w:rsid w:val="189F624C"/>
    <w:rsid w:val="18A54FDE"/>
    <w:rsid w:val="18AF5EEB"/>
    <w:rsid w:val="18B057C0"/>
    <w:rsid w:val="18B7315D"/>
    <w:rsid w:val="18BA2B51"/>
    <w:rsid w:val="18BB62CD"/>
    <w:rsid w:val="18D054D5"/>
    <w:rsid w:val="18D5151F"/>
    <w:rsid w:val="18EB2912"/>
    <w:rsid w:val="18FE652B"/>
    <w:rsid w:val="191915B7"/>
    <w:rsid w:val="19417175"/>
    <w:rsid w:val="19495087"/>
    <w:rsid w:val="195E521C"/>
    <w:rsid w:val="19855677"/>
    <w:rsid w:val="19940C3D"/>
    <w:rsid w:val="199450E1"/>
    <w:rsid w:val="199C36EC"/>
    <w:rsid w:val="19A215AC"/>
    <w:rsid w:val="19A65741"/>
    <w:rsid w:val="19AF3CC9"/>
    <w:rsid w:val="19B47531"/>
    <w:rsid w:val="19CF7A31"/>
    <w:rsid w:val="19D311C2"/>
    <w:rsid w:val="19D77DF3"/>
    <w:rsid w:val="19E3287D"/>
    <w:rsid w:val="19EC2B7A"/>
    <w:rsid w:val="19ED0DC4"/>
    <w:rsid w:val="1A100361"/>
    <w:rsid w:val="1A197394"/>
    <w:rsid w:val="1A1C66C0"/>
    <w:rsid w:val="1A1F0E4F"/>
    <w:rsid w:val="1A2226ED"/>
    <w:rsid w:val="1A25252B"/>
    <w:rsid w:val="1A332204"/>
    <w:rsid w:val="1A420699"/>
    <w:rsid w:val="1A42393B"/>
    <w:rsid w:val="1A5821E5"/>
    <w:rsid w:val="1A6839AD"/>
    <w:rsid w:val="1A6C1BBA"/>
    <w:rsid w:val="1A845156"/>
    <w:rsid w:val="1A8C012C"/>
    <w:rsid w:val="1A951B34"/>
    <w:rsid w:val="1A9F79D5"/>
    <w:rsid w:val="1AAB1417"/>
    <w:rsid w:val="1AAD45DE"/>
    <w:rsid w:val="1AB43F2D"/>
    <w:rsid w:val="1AB53561"/>
    <w:rsid w:val="1AB62E35"/>
    <w:rsid w:val="1ACF3B81"/>
    <w:rsid w:val="1AD018B9"/>
    <w:rsid w:val="1B046F80"/>
    <w:rsid w:val="1B0A7949"/>
    <w:rsid w:val="1B0E4A1F"/>
    <w:rsid w:val="1B210466"/>
    <w:rsid w:val="1B245FF1"/>
    <w:rsid w:val="1B3267B5"/>
    <w:rsid w:val="1B3E3557"/>
    <w:rsid w:val="1B40161D"/>
    <w:rsid w:val="1B441859"/>
    <w:rsid w:val="1B4646F8"/>
    <w:rsid w:val="1B48540F"/>
    <w:rsid w:val="1B4E306E"/>
    <w:rsid w:val="1B5C578B"/>
    <w:rsid w:val="1B6606B1"/>
    <w:rsid w:val="1B6D7088"/>
    <w:rsid w:val="1B6F54BE"/>
    <w:rsid w:val="1B7156DA"/>
    <w:rsid w:val="1B970EB9"/>
    <w:rsid w:val="1B992E6E"/>
    <w:rsid w:val="1B9B6496"/>
    <w:rsid w:val="1B9D5E5B"/>
    <w:rsid w:val="1B9E2245"/>
    <w:rsid w:val="1B9E3FF5"/>
    <w:rsid w:val="1B9F6C97"/>
    <w:rsid w:val="1BA55384"/>
    <w:rsid w:val="1BA64C58"/>
    <w:rsid w:val="1BAF7034"/>
    <w:rsid w:val="1BBC0E59"/>
    <w:rsid w:val="1BCE60EC"/>
    <w:rsid w:val="1BD33BB8"/>
    <w:rsid w:val="1BD8739D"/>
    <w:rsid w:val="1BDE0896"/>
    <w:rsid w:val="1BE37C5A"/>
    <w:rsid w:val="1BEF5580"/>
    <w:rsid w:val="1BF41E67"/>
    <w:rsid w:val="1C1C6FF2"/>
    <w:rsid w:val="1C24632A"/>
    <w:rsid w:val="1C357ECB"/>
    <w:rsid w:val="1C4612C4"/>
    <w:rsid w:val="1C4C1CA3"/>
    <w:rsid w:val="1C4D7054"/>
    <w:rsid w:val="1C58475A"/>
    <w:rsid w:val="1C5E7925"/>
    <w:rsid w:val="1C623250"/>
    <w:rsid w:val="1C870EE0"/>
    <w:rsid w:val="1C886863"/>
    <w:rsid w:val="1CAA7E81"/>
    <w:rsid w:val="1CAD0994"/>
    <w:rsid w:val="1CB87339"/>
    <w:rsid w:val="1CBA2F51"/>
    <w:rsid w:val="1CCA470B"/>
    <w:rsid w:val="1CCB7877"/>
    <w:rsid w:val="1CD13F56"/>
    <w:rsid w:val="1CDD6D9F"/>
    <w:rsid w:val="1CE2014F"/>
    <w:rsid w:val="1CEC31C7"/>
    <w:rsid w:val="1CF50FD1"/>
    <w:rsid w:val="1CF85D64"/>
    <w:rsid w:val="1CFD070F"/>
    <w:rsid w:val="1D0600A4"/>
    <w:rsid w:val="1D083E1C"/>
    <w:rsid w:val="1D1E46F7"/>
    <w:rsid w:val="1D1E5C42"/>
    <w:rsid w:val="1D1E75D2"/>
    <w:rsid w:val="1D216C8C"/>
    <w:rsid w:val="1D2950CE"/>
    <w:rsid w:val="1D344C11"/>
    <w:rsid w:val="1D4665DA"/>
    <w:rsid w:val="1D5F6196"/>
    <w:rsid w:val="1D6132A5"/>
    <w:rsid w:val="1D6E17A5"/>
    <w:rsid w:val="1D871990"/>
    <w:rsid w:val="1D8B5124"/>
    <w:rsid w:val="1D8E56D5"/>
    <w:rsid w:val="1D94745E"/>
    <w:rsid w:val="1D9B6A3E"/>
    <w:rsid w:val="1DBC4C07"/>
    <w:rsid w:val="1DC34F49"/>
    <w:rsid w:val="1DCD48A9"/>
    <w:rsid w:val="1DCF15EE"/>
    <w:rsid w:val="1DD6522A"/>
    <w:rsid w:val="1DED0C24"/>
    <w:rsid w:val="1DFF2586"/>
    <w:rsid w:val="1E087E4C"/>
    <w:rsid w:val="1E480248"/>
    <w:rsid w:val="1E7A43DA"/>
    <w:rsid w:val="1E8403AD"/>
    <w:rsid w:val="1E845724"/>
    <w:rsid w:val="1EA5569B"/>
    <w:rsid w:val="1EAF02C7"/>
    <w:rsid w:val="1EB31B66"/>
    <w:rsid w:val="1EC56E12"/>
    <w:rsid w:val="1ECA6EAF"/>
    <w:rsid w:val="1ECE074D"/>
    <w:rsid w:val="1ED0096A"/>
    <w:rsid w:val="1ED01295"/>
    <w:rsid w:val="1ED146E2"/>
    <w:rsid w:val="1EDB18F4"/>
    <w:rsid w:val="1EE92F8B"/>
    <w:rsid w:val="1EFF7F95"/>
    <w:rsid w:val="1F226CEB"/>
    <w:rsid w:val="1F2A6663"/>
    <w:rsid w:val="1F301408"/>
    <w:rsid w:val="1F3C2B75"/>
    <w:rsid w:val="1F4D1FBA"/>
    <w:rsid w:val="1F645556"/>
    <w:rsid w:val="1F69491A"/>
    <w:rsid w:val="1F892868"/>
    <w:rsid w:val="1FA8547C"/>
    <w:rsid w:val="1FAA5C0B"/>
    <w:rsid w:val="1FAE057F"/>
    <w:rsid w:val="1FAF4A23"/>
    <w:rsid w:val="1FB253D1"/>
    <w:rsid w:val="1FBB78C5"/>
    <w:rsid w:val="1FBF1494"/>
    <w:rsid w:val="1FC16504"/>
    <w:rsid w:val="1FC614E1"/>
    <w:rsid w:val="1FD429B8"/>
    <w:rsid w:val="1FD4354A"/>
    <w:rsid w:val="1FDC50EC"/>
    <w:rsid w:val="1FE02E2E"/>
    <w:rsid w:val="1FE51D99"/>
    <w:rsid w:val="1FE7539E"/>
    <w:rsid w:val="1FE901A3"/>
    <w:rsid w:val="1FEB50C4"/>
    <w:rsid w:val="20142AD8"/>
    <w:rsid w:val="20221999"/>
    <w:rsid w:val="202A5E57"/>
    <w:rsid w:val="2063580D"/>
    <w:rsid w:val="20671BE0"/>
    <w:rsid w:val="207440DB"/>
    <w:rsid w:val="207B4905"/>
    <w:rsid w:val="2091237A"/>
    <w:rsid w:val="20937EA1"/>
    <w:rsid w:val="20963CB8"/>
    <w:rsid w:val="20A81A1B"/>
    <w:rsid w:val="20B07FB6"/>
    <w:rsid w:val="20B646FB"/>
    <w:rsid w:val="20BA3284"/>
    <w:rsid w:val="20C22534"/>
    <w:rsid w:val="20CF61B1"/>
    <w:rsid w:val="20D10130"/>
    <w:rsid w:val="21087256"/>
    <w:rsid w:val="210C37AF"/>
    <w:rsid w:val="21302F94"/>
    <w:rsid w:val="21362BA2"/>
    <w:rsid w:val="2137249C"/>
    <w:rsid w:val="213B74B1"/>
    <w:rsid w:val="21425B2D"/>
    <w:rsid w:val="215A2310"/>
    <w:rsid w:val="21843C8D"/>
    <w:rsid w:val="218A11C6"/>
    <w:rsid w:val="218D7903"/>
    <w:rsid w:val="21935D34"/>
    <w:rsid w:val="2197576F"/>
    <w:rsid w:val="219E0035"/>
    <w:rsid w:val="21A8172A"/>
    <w:rsid w:val="21AE2AB8"/>
    <w:rsid w:val="21B225A8"/>
    <w:rsid w:val="21B300CF"/>
    <w:rsid w:val="21B85CE4"/>
    <w:rsid w:val="21BF6A73"/>
    <w:rsid w:val="21C0002D"/>
    <w:rsid w:val="21C61BB0"/>
    <w:rsid w:val="21D46BEC"/>
    <w:rsid w:val="21DE318A"/>
    <w:rsid w:val="21DF0EC4"/>
    <w:rsid w:val="21EF5B80"/>
    <w:rsid w:val="21FA61FB"/>
    <w:rsid w:val="21FD483D"/>
    <w:rsid w:val="21FF3314"/>
    <w:rsid w:val="22204977"/>
    <w:rsid w:val="22301E2B"/>
    <w:rsid w:val="223C1E72"/>
    <w:rsid w:val="22575437"/>
    <w:rsid w:val="22576990"/>
    <w:rsid w:val="2261600B"/>
    <w:rsid w:val="226E2C65"/>
    <w:rsid w:val="22723AE6"/>
    <w:rsid w:val="22737F8A"/>
    <w:rsid w:val="227D2BB6"/>
    <w:rsid w:val="229B4DEB"/>
    <w:rsid w:val="229C0B63"/>
    <w:rsid w:val="22A34CB7"/>
    <w:rsid w:val="22A46CA3"/>
    <w:rsid w:val="22B701F6"/>
    <w:rsid w:val="22B91715"/>
    <w:rsid w:val="22C00CF5"/>
    <w:rsid w:val="22D90DE5"/>
    <w:rsid w:val="22EC74C0"/>
    <w:rsid w:val="22ED2CEB"/>
    <w:rsid w:val="22F47480"/>
    <w:rsid w:val="22FC450F"/>
    <w:rsid w:val="2301743B"/>
    <w:rsid w:val="23166AD4"/>
    <w:rsid w:val="231B417D"/>
    <w:rsid w:val="23452FA8"/>
    <w:rsid w:val="23503E27"/>
    <w:rsid w:val="23561310"/>
    <w:rsid w:val="235E0C2B"/>
    <w:rsid w:val="23835A77"/>
    <w:rsid w:val="238406DD"/>
    <w:rsid w:val="238C5876"/>
    <w:rsid w:val="23CB5BA3"/>
    <w:rsid w:val="23CC4357"/>
    <w:rsid w:val="23CE6041"/>
    <w:rsid w:val="23DE1C48"/>
    <w:rsid w:val="240210CD"/>
    <w:rsid w:val="24087FC1"/>
    <w:rsid w:val="243674C1"/>
    <w:rsid w:val="24551E09"/>
    <w:rsid w:val="24743B45"/>
    <w:rsid w:val="24857B00"/>
    <w:rsid w:val="249E2214"/>
    <w:rsid w:val="24A87C93"/>
    <w:rsid w:val="24B93C4E"/>
    <w:rsid w:val="24BF09F7"/>
    <w:rsid w:val="24D43309"/>
    <w:rsid w:val="24E10C5C"/>
    <w:rsid w:val="24E707BB"/>
    <w:rsid w:val="24F84351"/>
    <w:rsid w:val="250C59A1"/>
    <w:rsid w:val="251516C7"/>
    <w:rsid w:val="252D53FE"/>
    <w:rsid w:val="25331C52"/>
    <w:rsid w:val="25381AD4"/>
    <w:rsid w:val="253908EB"/>
    <w:rsid w:val="25461985"/>
    <w:rsid w:val="2546410C"/>
    <w:rsid w:val="25513E86"/>
    <w:rsid w:val="258A6E06"/>
    <w:rsid w:val="25BF34E6"/>
    <w:rsid w:val="25CC380E"/>
    <w:rsid w:val="25D35918"/>
    <w:rsid w:val="25DC2554"/>
    <w:rsid w:val="25EC2D81"/>
    <w:rsid w:val="25F47819"/>
    <w:rsid w:val="260158AC"/>
    <w:rsid w:val="2609650F"/>
    <w:rsid w:val="26131038"/>
    <w:rsid w:val="2613738E"/>
    <w:rsid w:val="26215F4F"/>
    <w:rsid w:val="26243349"/>
    <w:rsid w:val="263D53B3"/>
    <w:rsid w:val="263F63D5"/>
    <w:rsid w:val="26590BAA"/>
    <w:rsid w:val="2666570F"/>
    <w:rsid w:val="26923E31"/>
    <w:rsid w:val="26976211"/>
    <w:rsid w:val="26B648E9"/>
    <w:rsid w:val="26C07F44"/>
    <w:rsid w:val="26C568DA"/>
    <w:rsid w:val="26C95263"/>
    <w:rsid w:val="26CD4DEF"/>
    <w:rsid w:val="26D474D5"/>
    <w:rsid w:val="26E50D2A"/>
    <w:rsid w:val="26F65026"/>
    <w:rsid w:val="27062BA9"/>
    <w:rsid w:val="271E248E"/>
    <w:rsid w:val="273870AC"/>
    <w:rsid w:val="27637EA1"/>
    <w:rsid w:val="2769195B"/>
    <w:rsid w:val="27702CEA"/>
    <w:rsid w:val="277057A2"/>
    <w:rsid w:val="27755CA2"/>
    <w:rsid w:val="27BF3DD3"/>
    <w:rsid w:val="27CE7A10"/>
    <w:rsid w:val="27DE0CDE"/>
    <w:rsid w:val="27DF39CB"/>
    <w:rsid w:val="28101DD7"/>
    <w:rsid w:val="2812221E"/>
    <w:rsid w:val="282633A8"/>
    <w:rsid w:val="282663B8"/>
    <w:rsid w:val="282D2989"/>
    <w:rsid w:val="28397580"/>
    <w:rsid w:val="283A6E54"/>
    <w:rsid w:val="283C7070"/>
    <w:rsid w:val="28485A15"/>
    <w:rsid w:val="284E28FF"/>
    <w:rsid w:val="284E6852"/>
    <w:rsid w:val="28506677"/>
    <w:rsid w:val="285F6C4F"/>
    <w:rsid w:val="286B55B3"/>
    <w:rsid w:val="28756C56"/>
    <w:rsid w:val="28951FEF"/>
    <w:rsid w:val="28991DCC"/>
    <w:rsid w:val="289B17C5"/>
    <w:rsid w:val="28A4311F"/>
    <w:rsid w:val="28B135BA"/>
    <w:rsid w:val="28B7559B"/>
    <w:rsid w:val="28E73602"/>
    <w:rsid w:val="28E82E36"/>
    <w:rsid w:val="29052990"/>
    <w:rsid w:val="290D4568"/>
    <w:rsid w:val="29206EB8"/>
    <w:rsid w:val="29347D47"/>
    <w:rsid w:val="29595666"/>
    <w:rsid w:val="29626662"/>
    <w:rsid w:val="29810DEA"/>
    <w:rsid w:val="29874881"/>
    <w:rsid w:val="298F1B91"/>
    <w:rsid w:val="298F31CF"/>
    <w:rsid w:val="29927252"/>
    <w:rsid w:val="29934A6D"/>
    <w:rsid w:val="299802D6"/>
    <w:rsid w:val="29B675C6"/>
    <w:rsid w:val="29DD0381"/>
    <w:rsid w:val="29DD4447"/>
    <w:rsid w:val="29E325E0"/>
    <w:rsid w:val="29E67293"/>
    <w:rsid w:val="29F01287"/>
    <w:rsid w:val="2A0E56AD"/>
    <w:rsid w:val="2A0E67EA"/>
    <w:rsid w:val="2A214C32"/>
    <w:rsid w:val="2A2B2EF8"/>
    <w:rsid w:val="2A312C0C"/>
    <w:rsid w:val="2A4144C9"/>
    <w:rsid w:val="2A424D2E"/>
    <w:rsid w:val="2A452503"/>
    <w:rsid w:val="2A482F48"/>
    <w:rsid w:val="2A5A1A2F"/>
    <w:rsid w:val="2A5D507B"/>
    <w:rsid w:val="2A5F2BA2"/>
    <w:rsid w:val="2A691C72"/>
    <w:rsid w:val="2A70614F"/>
    <w:rsid w:val="2A833361"/>
    <w:rsid w:val="2A955F83"/>
    <w:rsid w:val="2AA8279A"/>
    <w:rsid w:val="2ADD1AA7"/>
    <w:rsid w:val="2AE72874"/>
    <w:rsid w:val="2AF94998"/>
    <w:rsid w:val="2B110340"/>
    <w:rsid w:val="2B12449E"/>
    <w:rsid w:val="2B26093D"/>
    <w:rsid w:val="2B2D0EF2"/>
    <w:rsid w:val="2B317A55"/>
    <w:rsid w:val="2B3E7B0F"/>
    <w:rsid w:val="2B4F3040"/>
    <w:rsid w:val="2B5D3585"/>
    <w:rsid w:val="2B5E4AEA"/>
    <w:rsid w:val="2B6654EF"/>
    <w:rsid w:val="2B7B1C5D"/>
    <w:rsid w:val="2B824D9A"/>
    <w:rsid w:val="2B83669D"/>
    <w:rsid w:val="2B844FB6"/>
    <w:rsid w:val="2BA936A8"/>
    <w:rsid w:val="2BB627AD"/>
    <w:rsid w:val="2BBB474F"/>
    <w:rsid w:val="2BC104A6"/>
    <w:rsid w:val="2BD042FA"/>
    <w:rsid w:val="2BEC5834"/>
    <w:rsid w:val="2BF9555A"/>
    <w:rsid w:val="2C0E68A3"/>
    <w:rsid w:val="2C1646F7"/>
    <w:rsid w:val="2C2440A3"/>
    <w:rsid w:val="2C293467"/>
    <w:rsid w:val="2C2E67A4"/>
    <w:rsid w:val="2C315A5A"/>
    <w:rsid w:val="2C3167C0"/>
    <w:rsid w:val="2C437D29"/>
    <w:rsid w:val="2C46226B"/>
    <w:rsid w:val="2C4B1C25"/>
    <w:rsid w:val="2C567FD4"/>
    <w:rsid w:val="2C7F39CF"/>
    <w:rsid w:val="2C892158"/>
    <w:rsid w:val="2C920DBC"/>
    <w:rsid w:val="2C9A4365"/>
    <w:rsid w:val="2CA60F5C"/>
    <w:rsid w:val="2CA73E2D"/>
    <w:rsid w:val="2CB610C1"/>
    <w:rsid w:val="2CBD5567"/>
    <w:rsid w:val="2CBF3DCB"/>
    <w:rsid w:val="2CD51841"/>
    <w:rsid w:val="2CD6118E"/>
    <w:rsid w:val="2CD71115"/>
    <w:rsid w:val="2CFD1C1B"/>
    <w:rsid w:val="2D01633C"/>
    <w:rsid w:val="2D1A7DC4"/>
    <w:rsid w:val="2D231EAB"/>
    <w:rsid w:val="2D3B2A2E"/>
    <w:rsid w:val="2D480265"/>
    <w:rsid w:val="2D5B3AF4"/>
    <w:rsid w:val="2D650F95"/>
    <w:rsid w:val="2D7C1CBC"/>
    <w:rsid w:val="2D83304B"/>
    <w:rsid w:val="2D962D7E"/>
    <w:rsid w:val="2D9E56F5"/>
    <w:rsid w:val="2DA114E1"/>
    <w:rsid w:val="2DC13DBD"/>
    <w:rsid w:val="2DEB0293"/>
    <w:rsid w:val="2DFBF47E"/>
    <w:rsid w:val="2E051CB2"/>
    <w:rsid w:val="2E1819E5"/>
    <w:rsid w:val="2E183793"/>
    <w:rsid w:val="2E2416FC"/>
    <w:rsid w:val="2E24482E"/>
    <w:rsid w:val="2E2A1718"/>
    <w:rsid w:val="2E2D24E8"/>
    <w:rsid w:val="2E363C10"/>
    <w:rsid w:val="2E4B6673"/>
    <w:rsid w:val="2E5073D1"/>
    <w:rsid w:val="2E667F96"/>
    <w:rsid w:val="2E70084E"/>
    <w:rsid w:val="2E8226AB"/>
    <w:rsid w:val="2E870919"/>
    <w:rsid w:val="2E8C4181"/>
    <w:rsid w:val="2E953036"/>
    <w:rsid w:val="2E9A4AF0"/>
    <w:rsid w:val="2E9E47F4"/>
    <w:rsid w:val="2EBC045D"/>
    <w:rsid w:val="2EC456C9"/>
    <w:rsid w:val="2ECD34CB"/>
    <w:rsid w:val="2EEF15A5"/>
    <w:rsid w:val="2EF86EF4"/>
    <w:rsid w:val="2F053015"/>
    <w:rsid w:val="2F06793D"/>
    <w:rsid w:val="2F1021D4"/>
    <w:rsid w:val="2F266384"/>
    <w:rsid w:val="2F3B1E2F"/>
    <w:rsid w:val="2F663DA4"/>
    <w:rsid w:val="2F741768"/>
    <w:rsid w:val="2F754C15"/>
    <w:rsid w:val="2F9969B5"/>
    <w:rsid w:val="2FBD0A96"/>
    <w:rsid w:val="2FC82F97"/>
    <w:rsid w:val="2FD065E6"/>
    <w:rsid w:val="2FD96870"/>
    <w:rsid w:val="2FDE5F94"/>
    <w:rsid w:val="2FE06533"/>
    <w:rsid w:val="2FEA0F13"/>
    <w:rsid w:val="2FF16992"/>
    <w:rsid w:val="2FFC45FA"/>
    <w:rsid w:val="3002610E"/>
    <w:rsid w:val="30093AF8"/>
    <w:rsid w:val="301A5EE8"/>
    <w:rsid w:val="3032282A"/>
    <w:rsid w:val="30360E23"/>
    <w:rsid w:val="30450183"/>
    <w:rsid w:val="30474804"/>
    <w:rsid w:val="30580BC9"/>
    <w:rsid w:val="305B04DC"/>
    <w:rsid w:val="305C16D0"/>
    <w:rsid w:val="305D73C1"/>
    <w:rsid w:val="305F6960"/>
    <w:rsid w:val="308769F2"/>
    <w:rsid w:val="30895B3A"/>
    <w:rsid w:val="309A0DD7"/>
    <w:rsid w:val="30A05CC2"/>
    <w:rsid w:val="30A25EDE"/>
    <w:rsid w:val="30B73737"/>
    <w:rsid w:val="30C220DC"/>
    <w:rsid w:val="30D342A5"/>
    <w:rsid w:val="30DD71CA"/>
    <w:rsid w:val="311741D6"/>
    <w:rsid w:val="311E2ED7"/>
    <w:rsid w:val="311F308B"/>
    <w:rsid w:val="31296F0B"/>
    <w:rsid w:val="313C0878"/>
    <w:rsid w:val="31456F95"/>
    <w:rsid w:val="315619EE"/>
    <w:rsid w:val="31565BB6"/>
    <w:rsid w:val="315B469A"/>
    <w:rsid w:val="315C449C"/>
    <w:rsid w:val="31680D37"/>
    <w:rsid w:val="3187632B"/>
    <w:rsid w:val="319677F1"/>
    <w:rsid w:val="3196792B"/>
    <w:rsid w:val="319B4E07"/>
    <w:rsid w:val="31A549D9"/>
    <w:rsid w:val="31B00187"/>
    <w:rsid w:val="31B82709"/>
    <w:rsid w:val="31BF2384"/>
    <w:rsid w:val="31CD6997"/>
    <w:rsid w:val="31D05482"/>
    <w:rsid w:val="31D36E6E"/>
    <w:rsid w:val="31D420C7"/>
    <w:rsid w:val="31E00A6C"/>
    <w:rsid w:val="31F6028F"/>
    <w:rsid w:val="3216448E"/>
    <w:rsid w:val="32206411"/>
    <w:rsid w:val="32400B34"/>
    <w:rsid w:val="32472899"/>
    <w:rsid w:val="324D5E95"/>
    <w:rsid w:val="32566F80"/>
    <w:rsid w:val="326F0000"/>
    <w:rsid w:val="327B067A"/>
    <w:rsid w:val="327D275F"/>
    <w:rsid w:val="328E2276"/>
    <w:rsid w:val="32911D66"/>
    <w:rsid w:val="329E6876"/>
    <w:rsid w:val="32A95302"/>
    <w:rsid w:val="32AE46C6"/>
    <w:rsid w:val="32B97CC9"/>
    <w:rsid w:val="32BE7725"/>
    <w:rsid w:val="32CA2944"/>
    <w:rsid w:val="32CB54EA"/>
    <w:rsid w:val="32F02F31"/>
    <w:rsid w:val="33072028"/>
    <w:rsid w:val="330B4A2C"/>
    <w:rsid w:val="33185FE3"/>
    <w:rsid w:val="331A1D5C"/>
    <w:rsid w:val="331F2169"/>
    <w:rsid w:val="333015F2"/>
    <w:rsid w:val="3341489A"/>
    <w:rsid w:val="334B6320"/>
    <w:rsid w:val="33574D5E"/>
    <w:rsid w:val="335C2374"/>
    <w:rsid w:val="336012B4"/>
    <w:rsid w:val="336456CD"/>
    <w:rsid w:val="33711EEA"/>
    <w:rsid w:val="33947D60"/>
    <w:rsid w:val="339A2E9C"/>
    <w:rsid w:val="33B66F1B"/>
    <w:rsid w:val="33BB381F"/>
    <w:rsid w:val="33C5616B"/>
    <w:rsid w:val="33C607E9"/>
    <w:rsid w:val="33CD3272"/>
    <w:rsid w:val="33D934D4"/>
    <w:rsid w:val="33D939C5"/>
    <w:rsid w:val="33E22AAC"/>
    <w:rsid w:val="33FE2F6A"/>
    <w:rsid w:val="33FFB60E"/>
    <w:rsid w:val="340E07E5"/>
    <w:rsid w:val="34235BF7"/>
    <w:rsid w:val="34264730"/>
    <w:rsid w:val="344352E2"/>
    <w:rsid w:val="344C36D7"/>
    <w:rsid w:val="34537E99"/>
    <w:rsid w:val="345C5C37"/>
    <w:rsid w:val="346534AA"/>
    <w:rsid w:val="34747A18"/>
    <w:rsid w:val="347C41F8"/>
    <w:rsid w:val="34826831"/>
    <w:rsid w:val="34847DD4"/>
    <w:rsid w:val="34993154"/>
    <w:rsid w:val="349F56CD"/>
    <w:rsid w:val="34A445D1"/>
    <w:rsid w:val="34B02F67"/>
    <w:rsid w:val="34B32468"/>
    <w:rsid w:val="34D348B8"/>
    <w:rsid w:val="34D50721"/>
    <w:rsid w:val="35145DE4"/>
    <w:rsid w:val="351C016A"/>
    <w:rsid w:val="353D085A"/>
    <w:rsid w:val="35417A73"/>
    <w:rsid w:val="354E03E2"/>
    <w:rsid w:val="356F41A3"/>
    <w:rsid w:val="35740DEC"/>
    <w:rsid w:val="35765ACA"/>
    <w:rsid w:val="358C5FA8"/>
    <w:rsid w:val="35AF3C96"/>
    <w:rsid w:val="35C15DF1"/>
    <w:rsid w:val="35C44201"/>
    <w:rsid w:val="35D73F34"/>
    <w:rsid w:val="35E13C90"/>
    <w:rsid w:val="35EC4BBE"/>
    <w:rsid w:val="360326F7"/>
    <w:rsid w:val="36074A7F"/>
    <w:rsid w:val="36154A5C"/>
    <w:rsid w:val="36201D7F"/>
    <w:rsid w:val="36281862"/>
    <w:rsid w:val="36444C4D"/>
    <w:rsid w:val="3646451D"/>
    <w:rsid w:val="365B0659"/>
    <w:rsid w:val="365F05FD"/>
    <w:rsid w:val="366559E4"/>
    <w:rsid w:val="36771E17"/>
    <w:rsid w:val="367F4282"/>
    <w:rsid w:val="368340BC"/>
    <w:rsid w:val="36851BE2"/>
    <w:rsid w:val="368C2F70"/>
    <w:rsid w:val="36923549"/>
    <w:rsid w:val="369B21A9"/>
    <w:rsid w:val="369C05CD"/>
    <w:rsid w:val="36A03879"/>
    <w:rsid w:val="36A72A11"/>
    <w:rsid w:val="36B129D7"/>
    <w:rsid w:val="36B75FBF"/>
    <w:rsid w:val="36BB1D79"/>
    <w:rsid w:val="36BD0C45"/>
    <w:rsid w:val="36C80F8C"/>
    <w:rsid w:val="36CA5847"/>
    <w:rsid w:val="36D16BD5"/>
    <w:rsid w:val="36DF4B9B"/>
    <w:rsid w:val="36E15FAC"/>
    <w:rsid w:val="36EC0CA6"/>
    <w:rsid w:val="36F17277"/>
    <w:rsid w:val="36F23AAC"/>
    <w:rsid w:val="37013EB0"/>
    <w:rsid w:val="37076A9B"/>
    <w:rsid w:val="37081D85"/>
    <w:rsid w:val="3723633F"/>
    <w:rsid w:val="37266691"/>
    <w:rsid w:val="373553B6"/>
    <w:rsid w:val="37515F68"/>
    <w:rsid w:val="375A12C0"/>
    <w:rsid w:val="37797999"/>
    <w:rsid w:val="377E4FAF"/>
    <w:rsid w:val="378832A7"/>
    <w:rsid w:val="3796672C"/>
    <w:rsid w:val="37E00298"/>
    <w:rsid w:val="37E961A0"/>
    <w:rsid w:val="37EF7C5B"/>
    <w:rsid w:val="3801173C"/>
    <w:rsid w:val="380C4304"/>
    <w:rsid w:val="380D6333"/>
    <w:rsid w:val="381E2007"/>
    <w:rsid w:val="3836588A"/>
    <w:rsid w:val="3838519A"/>
    <w:rsid w:val="383E64EC"/>
    <w:rsid w:val="384F2778"/>
    <w:rsid w:val="38637DC6"/>
    <w:rsid w:val="386A72E1"/>
    <w:rsid w:val="386C3059"/>
    <w:rsid w:val="38767A34"/>
    <w:rsid w:val="38956743"/>
    <w:rsid w:val="38B302F9"/>
    <w:rsid w:val="38BC48FF"/>
    <w:rsid w:val="38BE070B"/>
    <w:rsid w:val="38D31567"/>
    <w:rsid w:val="38D8249D"/>
    <w:rsid w:val="38F12CD3"/>
    <w:rsid w:val="38F94775"/>
    <w:rsid w:val="39112E4E"/>
    <w:rsid w:val="3929150B"/>
    <w:rsid w:val="392971ED"/>
    <w:rsid w:val="39325651"/>
    <w:rsid w:val="39633DA3"/>
    <w:rsid w:val="39700927"/>
    <w:rsid w:val="39736669"/>
    <w:rsid w:val="398268AC"/>
    <w:rsid w:val="398A7F60"/>
    <w:rsid w:val="398C4F02"/>
    <w:rsid w:val="398F058F"/>
    <w:rsid w:val="39916AF0"/>
    <w:rsid w:val="39974106"/>
    <w:rsid w:val="39981C2C"/>
    <w:rsid w:val="39C72B36"/>
    <w:rsid w:val="39DD252D"/>
    <w:rsid w:val="39E17ABE"/>
    <w:rsid w:val="39E67945"/>
    <w:rsid w:val="39EC3D26"/>
    <w:rsid w:val="3A06303A"/>
    <w:rsid w:val="3A1E65D5"/>
    <w:rsid w:val="3A2D6818"/>
    <w:rsid w:val="3A363BDB"/>
    <w:rsid w:val="3A3C4CAD"/>
    <w:rsid w:val="3A445910"/>
    <w:rsid w:val="3A5D3438"/>
    <w:rsid w:val="3A6B10EF"/>
    <w:rsid w:val="3A78355F"/>
    <w:rsid w:val="3A872856"/>
    <w:rsid w:val="3A9C399E"/>
    <w:rsid w:val="3AA43930"/>
    <w:rsid w:val="3AA54601"/>
    <w:rsid w:val="3AAC3BE1"/>
    <w:rsid w:val="3AC14BC1"/>
    <w:rsid w:val="3ACA4067"/>
    <w:rsid w:val="3AD50C81"/>
    <w:rsid w:val="3AEB2560"/>
    <w:rsid w:val="3AEF7F72"/>
    <w:rsid w:val="3B0230F0"/>
    <w:rsid w:val="3B0E664A"/>
    <w:rsid w:val="3B19237A"/>
    <w:rsid w:val="3B1A3241"/>
    <w:rsid w:val="3B2220F5"/>
    <w:rsid w:val="3B2E2848"/>
    <w:rsid w:val="3B3763D1"/>
    <w:rsid w:val="3B464036"/>
    <w:rsid w:val="3B544DF2"/>
    <w:rsid w:val="3B707A52"/>
    <w:rsid w:val="3B7A5A8D"/>
    <w:rsid w:val="3B826B4F"/>
    <w:rsid w:val="3B862944"/>
    <w:rsid w:val="3B906653"/>
    <w:rsid w:val="3BA217E3"/>
    <w:rsid w:val="3BA743A8"/>
    <w:rsid w:val="3BB8063A"/>
    <w:rsid w:val="3BBFE4A9"/>
    <w:rsid w:val="3BDF32CC"/>
    <w:rsid w:val="3BE64ED1"/>
    <w:rsid w:val="3BE74A27"/>
    <w:rsid w:val="3BF27D19"/>
    <w:rsid w:val="3BF766E4"/>
    <w:rsid w:val="3BF770DE"/>
    <w:rsid w:val="3BFD221A"/>
    <w:rsid w:val="3BFE66BE"/>
    <w:rsid w:val="3C1E4FEF"/>
    <w:rsid w:val="3C2E5DFA"/>
    <w:rsid w:val="3C2F6E1E"/>
    <w:rsid w:val="3C3F1C5A"/>
    <w:rsid w:val="3C4C58EA"/>
    <w:rsid w:val="3C4F64BA"/>
    <w:rsid w:val="3C636521"/>
    <w:rsid w:val="3C8A6C2D"/>
    <w:rsid w:val="3C97266F"/>
    <w:rsid w:val="3C9777E7"/>
    <w:rsid w:val="3CA41AAE"/>
    <w:rsid w:val="3CC74EA8"/>
    <w:rsid w:val="3CD13DD3"/>
    <w:rsid w:val="3CDA245A"/>
    <w:rsid w:val="3CF4186F"/>
    <w:rsid w:val="3D033860"/>
    <w:rsid w:val="3D0615DC"/>
    <w:rsid w:val="3D0A1093"/>
    <w:rsid w:val="3D125944"/>
    <w:rsid w:val="3D1E06B7"/>
    <w:rsid w:val="3D22018A"/>
    <w:rsid w:val="3D2D6B2F"/>
    <w:rsid w:val="3D3C4184"/>
    <w:rsid w:val="3D451AA5"/>
    <w:rsid w:val="3D477F05"/>
    <w:rsid w:val="3D4E1EA2"/>
    <w:rsid w:val="3D540560"/>
    <w:rsid w:val="3D5F318D"/>
    <w:rsid w:val="3D5F4510"/>
    <w:rsid w:val="3D627193"/>
    <w:rsid w:val="3D956BAE"/>
    <w:rsid w:val="3D9F5C7F"/>
    <w:rsid w:val="3DA9262E"/>
    <w:rsid w:val="3DBA6A9A"/>
    <w:rsid w:val="3DDF42CD"/>
    <w:rsid w:val="3DFA69E1"/>
    <w:rsid w:val="3E0B49C0"/>
    <w:rsid w:val="3E241CE0"/>
    <w:rsid w:val="3E251C74"/>
    <w:rsid w:val="3E2646A0"/>
    <w:rsid w:val="3E37057C"/>
    <w:rsid w:val="3E3B5A17"/>
    <w:rsid w:val="3E467EA9"/>
    <w:rsid w:val="3E5D23DC"/>
    <w:rsid w:val="3E676E2A"/>
    <w:rsid w:val="3E6955A8"/>
    <w:rsid w:val="3EB53E21"/>
    <w:rsid w:val="3EB779ED"/>
    <w:rsid w:val="3EBB0897"/>
    <w:rsid w:val="3ED25BE0"/>
    <w:rsid w:val="3EDA0523"/>
    <w:rsid w:val="3EDD6FD2"/>
    <w:rsid w:val="3EE82EAB"/>
    <w:rsid w:val="3EEF0540"/>
    <w:rsid w:val="3EFE4C27"/>
    <w:rsid w:val="3F0929C5"/>
    <w:rsid w:val="3F202B4A"/>
    <w:rsid w:val="3F2F4DE1"/>
    <w:rsid w:val="3F424CE2"/>
    <w:rsid w:val="3F5C54AA"/>
    <w:rsid w:val="3F642BBB"/>
    <w:rsid w:val="3F6E73AB"/>
    <w:rsid w:val="3F7E3D09"/>
    <w:rsid w:val="3F844478"/>
    <w:rsid w:val="3F886A6F"/>
    <w:rsid w:val="3F8A2017"/>
    <w:rsid w:val="3F8A64BB"/>
    <w:rsid w:val="3F912148"/>
    <w:rsid w:val="3F991066"/>
    <w:rsid w:val="3FA01B56"/>
    <w:rsid w:val="3FA072B2"/>
    <w:rsid w:val="3FA72BC9"/>
    <w:rsid w:val="3FA81A3F"/>
    <w:rsid w:val="3FB47094"/>
    <w:rsid w:val="3FC27A03"/>
    <w:rsid w:val="3FD667FE"/>
    <w:rsid w:val="3FDF2363"/>
    <w:rsid w:val="3FE13E27"/>
    <w:rsid w:val="3FEA2229"/>
    <w:rsid w:val="3FF64FA2"/>
    <w:rsid w:val="3FFB3D4B"/>
    <w:rsid w:val="400022D9"/>
    <w:rsid w:val="40061FE5"/>
    <w:rsid w:val="400B3F7E"/>
    <w:rsid w:val="402426E9"/>
    <w:rsid w:val="40267F92"/>
    <w:rsid w:val="403A3A3D"/>
    <w:rsid w:val="403F72A5"/>
    <w:rsid w:val="40491ED2"/>
    <w:rsid w:val="405D434A"/>
    <w:rsid w:val="406665E0"/>
    <w:rsid w:val="40700517"/>
    <w:rsid w:val="40714F85"/>
    <w:rsid w:val="40750F19"/>
    <w:rsid w:val="40784405"/>
    <w:rsid w:val="40784565"/>
    <w:rsid w:val="407A208B"/>
    <w:rsid w:val="407A6407"/>
    <w:rsid w:val="409506E8"/>
    <w:rsid w:val="40B41A41"/>
    <w:rsid w:val="40CA04DD"/>
    <w:rsid w:val="40EF4827"/>
    <w:rsid w:val="40F6215E"/>
    <w:rsid w:val="41061B71"/>
    <w:rsid w:val="41171FD0"/>
    <w:rsid w:val="412A5860"/>
    <w:rsid w:val="412C782A"/>
    <w:rsid w:val="412E296B"/>
    <w:rsid w:val="41364AA2"/>
    <w:rsid w:val="4164364C"/>
    <w:rsid w:val="417B255F"/>
    <w:rsid w:val="41847D22"/>
    <w:rsid w:val="418A4550"/>
    <w:rsid w:val="418F3FAB"/>
    <w:rsid w:val="41986C6D"/>
    <w:rsid w:val="41994625"/>
    <w:rsid w:val="41A05B22"/>
    <w:rsid w:val="41A376C8"/>
    <w:rsid w:val="41E81277"/>
    <w:rsid w:val="41E84702"/>
    <w:rsid w:val="41EC497F"/>
    <w:rsid w:val="41FF7ADE"/>
    <w:rsid w:val="4200449D"/>
    <w:rsid w:val="420946E2"/>
    <w:rsid w:val="42204EB5"/>
    <w:rsid w:val="422E312E"/>
    <w:rsid w:val="423A3BCC"/>
    <w:rsid w:val="423B5829"/>
    <w:rsid w:val="423F17DF"/>
    <w:rsid w:val="424C6B3E"/>
    <w:rsid w:val="424E56B3"/>
    <w:rsid w:val="424E57D2"/>
    <w:rsid w:val="42524087"/>
    <w:rsid w:val="425C413F"/>
    <w:rsid w:val="426254CD"/>
    <w:rsid w:val="426F3CFC"/>
    <w:rsid w:val="427000D2"/>
    <w:rsid w:val="427049C4"/>
    <w:rsid w:val="42845443"/>
    <w:rsid w:val="428B08DD"/>
    <w:rsid w:val="42952091"/>
    <w:rsid w:val="42981292"/>
    <w:rsid w:val="42A94EAA"/>
    <w:rsid w:val="42B26C49"/>
    <w:rsid w:val="42B775C7"/>
    <w:rsid w:val="42BD2703"/>
    <w:rsid w:val="42C213E3"/>
    <w:rsid w:val="42C8727F"/>
    <w:rsid w:val="42CE328A"/>
    <w:rsid w:val="4309498F"/>
    <w:rsid w:val="430C5E6A"/>
    <w:rsid w:val="43242CB3"/>
    <w:rsid w:val="43244A50"/>
    <w:rsid w:val="4326474D"/>
    <w:rsid w:val="4338125C"/>
    <w:rsid w:val="433A6FE6"/>
    <w:rsid w:val="433E55F2"/>
    <w:rsid w:val="43480868"/>
    <w:rsid w:val="43482915"/>
    <w:rsid w:val="434D3A87"/>
    <w:rsid w:val="4350713C"/>
    <w:rsid w:val="43522BEA"/>
    <w:rsid w:val="436653E0"/>
    <w:rsid w:val="437D11F3"/>
    <w:rsid w:val="437E00E5"/>
    <w:rsid w:val="43863A2E"/>
    <w:rsid w:val="43874B97"/>
    <w:rsid w:val="439C056B"/>
    <w:rsid w:val="43AC4C52"/>
    <w:rsid w:val="43B61168"/>
    <w:rsid w:val="43C4431A"/>
    <w:rsid w:val="43C96FB2"/>
    <w:rsid w:val="43E228C3"/>
    <w:rsid w:val="43F90D68"/>
    <w:rsid w:val="44226CC2"/>
    <w:rsid w:val="4426240C"/>
    <w:rsid w:val="44361F70"/>
    <w:rsid w:val="444430DC"/>
    <w:rsid w:val="444825D1"/>
    <w:rsid w:val="445C1746"/>
    <w:rsid w:val="44654E01"/>
    <w:rsid w:val="44676DCB"/>
    <w:rsid w:val="447A6F42"/>
    <w:rsid w:val="44A43B7B"/>
    <w:rsid w:val="44B951CC"/>
    <w:rsid w:val="44CD14E0"/>
    <w:rsid w:val="44F20B0B"/>
    <w:rsid w:val="44F72809"/>
    <w:rsid w:val="44F82F1A"/>
    <w:rsid w:val="45186F16"/>
    <w:rsid w:val="45294080"/>
    <w:rsid w:val="452E5F4C"/>
    <w:rsid w:val="453E3FCF"/>
    <w:rsid w:val="45594965"/>
    <w:rsid w:val="455E18AF"/>
    <w:rsid w:val="455E7382"/>
    <w:rsid w:val="45603F46"/>
    <w:rsid w:val="45605CF4"/>
    <w:rsid w:val="45612018"/>
    <w:rsid w:val="456306A1"/>
    <w:rsid w:val="456450B8"/>
    <w:rsid w:val="456522AF"/>
    <w:rsid w:val="45782D2A"/>
    <w:rsid w:val="457B0D80"/>
    <w:rsid w:val="458946E9"/>
    <w:rsid w:val="45A47C0E"/>
    <w:rsid w:val="45A514D4"/>
    <w:rsid w:val="45B63C5D"/>
    <w:rsid w:val="45DB537A"/>
    <w:rsid w:val="45E75E74"/>
    <w:rsid w:val="45F27918"/>
    <w:rsid w:val="45F66658"/>
    <w:rsid w:val="46035616"/>
    <w:rsid w:val="460540CB"/>
    <w:rsid w:val="460C7C2A"/>
    <w:rsid w:val="4619761F"/>
    <w:rsid w:val="4642364B"/>
    <w:rsid w:val="464B2908"/>
    <w:rsid w:val="46577FD6"/>
    <w:rsid w:val="466B787B"/>
    <w:rsid w:val="46713F31"/>
    <w:rsid w:val="467F03FC"/>
    <w:rsid w:val="468578A8"/>
    <w:rsid w:val="46966B64"/>
    <w:rsid w:val="46AF4C0A"/>
    <w:rsid w:val="46B17A46"/>
    <w:rsid w:val="46B8390E"/>
    <w:rsid w:val="46C44060"/>
    <w:rsid w:val="46D955A7"/>
    <w:rsid w:val="46DA3884"/>
    <w:rsid w:val="46E52E63"/>
    <w:rsid w:val="47040901"/>
    <w:rsid w:val="470676CB"/>
    <w:rsid w:val="47121270"/>
    <w:rsid w:val="47133957"/>
    <w:rsid w:val="471B4BFF"/>
    <w:rsid w:val="471C3E9C"/>
    <w:rsid w:val="473311E6"/>
    <w:rsid w:val="474B4782"/>
    <w:rsid w:val="475573AE"/>
    <w:rsid w:val="47573126"/>
    <w:rsid w:val="475B6959"/>
    <w:rsid w:val="476E113A"/>
    <w:rsid w:val="47744D07"/>
    <w:rsid w:val="47877A27"/>
    <w:rsid w:val="478E7CCB"/>
    <w:rsid w:val="47902099"/>
    <w:rsid w:val="47A07E0C"/>
    <w:rsid w:val="47A7788D"/>
    <w:rsid w:val="47BD4F9E"/>
    <w:rsid w:val="47BD7818"/>
    <w:rsid w:val="47C1313A"/>
    <w:rsid w:val="47C50090"/>
    <w:rsid w:val="47C63E08"/>
    <w:rsid w:val="47C733C3"/>
    <w:rsid w:val="4803505C"/>
    <w:rsid w:val="481D2C21"/>
    <w:rsid w:val="481E59F2"/>
    <w:rsid w:val="483416BA"/>
    <w:rsid w:val="48480CC1"/>
    <w:rsid w:val="484D0086"/>
    <w:rsid w:val="485A592F"/>
    <w:rsid w:val="485B09F4"/>
    <w:rsid w:val="485B27A2"/>
    <w:rsid w:val="486A79D2"/>
    <w:rsid w:val="4870272E"/>
    <w:rsid w:val="48811B79"/>
    <w:rsid w:val="48853C4B"/>
    <w:rsid w:val="488D1D58"/>
    <w:rsid w:val="48CD3273"/>
    <w:rsid w:val="48E15A09"/>
    <w:rsid w:val="490E58EF"/>
    <w:rsid w:val="491B087D"/>
    <w:rsid w:val="49390A5B"/>
    <w:rsid w:val="49496A9F"/>
    <w:rsid w:val="495B6D7D"/>
    <w:rsid w:val="496658A3"/>
    <w:rsid w:val="496A35AB"/>
    <w:rsid w:val="498A77E3"/>
    <w:rsid w:val="49BB7C5B"/>
    <w:rsid w:val="49C8030C"/>
    <w:rsid w:val="49D62A28"/>
    <w:rsid w:val="49DC7715"/>
    <w:rsid w:val="49ED38CE"/>
    <w:rsid w:val="4A023139"/>
    <w:rsid w:val="4A236C90"/>
    <w:rsid w:val="4A2F399F"/>
    <w:rsid w:val="4A370FED"/>
    <w:rsid w:val="4A437992"/>
    <w:rsid w:val="4A5B2F2E"/>
    <w:rsid w:val="4A7644A1"/>
    <w:rsid w:val="4A7B576F"/>
    <w:rsid w:val="4A7C7D6E"/>
    <w:rsid w:val="4A8C1339"/>
    <w:rsid w:val="4A9621B8"/>
    <w:rsid w:val="4A9D52F4"/>
    <w:rsid w:val="4A9F0DCF"/>
    <w:rsid w:val="4AB4263E"/>
    <w:rsid w:val="4AB663B6"/>
    <w:rsid w:val="4AC9433B"/>
    <w:rsid w:val="4AC97E97"/>
    <w:rsid w:val="4AD67FA1"/>
    <w:rsid w:val="4AF561A9"/>
    <w:rsid w:val="4AFD5698"/>
    <w:rsid w:val="4B111E62"/>
    <w:rsid w:val="4B2E64F8"/>
    <w:rsid w:val="4B2E6ACA"/>
    <w:rsid w:val="4B415F14"/>
    <w:rsid w:val="4B455D95"/>
    <w:rsid w:val="4B634BE6"/>
    <w:rsid w:val="4B766399"/>
    <w:rsid w:val="4B7B2596"/>
    <w:rsid w:val="4B854BA7"/>
    <w:rsid w:val="4B8D35BB"/>
    <w:rsid w:val="4B9212C9"/>
    <w:rsid w:val="4B9F509C"/>
    <w:rsid w:val="4BC06A9C"/>
    <w:rsid w:val="4BC80F61"/>
    <w:rsid w:val="4BC93EC7"/>
    <w:rsid w:val="4BE72E9F"/>
    <w:rsid w:val="4BE96819"/>
    <w:rsid w:val="4C023100"/>
    <w:rsid w:val="4C1415E6"/>
    <w:rsid w:val="4C365A00"/>
    <w:rsid w:val="4C385087"/>
    <w:rsid w:val="4C3B3017"/>
    <w:rsid w:val="4C417F01"/>
    <w:rsid w:val="4C4A0649"/>
    <w:rsid w:val="4C5F0FA2"/>
    <w:rsid w:val="4C6722A4"/>
    <w:rsid w:val="4C7E5ECA"/>
    <w:rsid w:val="4C7F57A6"/>
    <w:rsid w:val="4C876AA5"/>
    <w:rsid w:val="4C96024D"/>
    <w:rsid w:val="4C9B5863"/>
    <w:rsid w:val="4CA311D2"/>
    <w:rsid w:val="4CB30DFF"/>
    <w:rsid w:val="4CB86415"/>
    <w:rsid w:val="4CCA6149"/>
    <w:rsid w:val="4CCE4ACA"/>
    <w:rsid w:val="4CCF375F"/>
    <w:rsid w:val="4CDD7C2A"/>
    <w:rsid w:val="4CFB6302"/>
    <w:rsid w:val="4D0E00FB"/>
    <w:rsid w:val="4D176606"/>
    <w:rsid w:val="4D1C1D62"/>
    <w:rsid w:val="4D241CFD"/>
    <w:rsid w:val="4D491763"/>
    <w:rsid w:val="4D4A1E07"/>
    <w:rsid w:val="4D580AEB"/>
    <w:rsid w:val="4D642958"/>
    <w:rsid w:val="4D6E11CA"/>
    <w:rsid w:val="4D7B7443"/>
    <w:rsid w:val="4D7F077E"/>
    <w:rsid w:val="4D851E38"/>
    <w:rsid w:val="4D8E361A"/>
    <w:rsid w:val="4D9F3131"/>
    <w:rsid w:val="4DC935C4"/>
    <w:rsid w:val="4DCC1AA8"/>
    <w:rsid w:val="4DCD72F9"/>
    <w:rsid w:val="4DD52FF7"/>
    <w:rsid w:val="4DDB2868"/>
    <w:rsid w:val="4DEC4FB0"/>
    <w:rsid w:val="4DF934B4"/>
    <w:rsid w:val="4E075D8A"/>
    <w:rsid w:val="4E0B6A19"/>
    <w:rsid w:val="4E191136"/>
    <w:rsid w:val="4E4E5124"/>
    <w:rsid w:val="4E5E4D9B"/>
    <w:rsid w:val="4E61488B"/>
    <w:rsid w:val="4E791BD4"/>
    <w:rsid w:val="4E852321"/>
    <w:rsid w:val="4EC00FAD"/>
    <w:rsid w:val="4ED137BE"/>
    <w:rsid w:val="4EEC05F8"/>
    <w:rsid w:val="4EF86F9D"/>
    <w:rsid w:val="4EFB6A8D"/>
    <w:rsid w:val="4F0769FB"/>
    <w:rsid w:val="4F0B3174"/>
    <w:rsid w:val="4F2A2B30"/>
    <w:rsid w:val="4F2A672D"/>
    <w:rsid w:val="4F2C6C47"/>
    <w:rsid w:val="4F313D39"/>
    <w:rsid w:val="4F3144D1"/>
    <w:rsid w:val="4F351E92"/>
    <w:rsid w:val="4F360ECE"/>
    <w:rsid w:val="4F3D70A6"/>
    <w:rsid w:val="4F455F5A"/>
    <w:rsid w:val="4F474483"/>
    <w:rsid w:val="4F485436"/>
    <w:rsid w:val="4F5148FF"/>
    <w:rsid w:val="4F5B752C"/>
    <w:rsid w:val="4F5D14F6"/>
    <w:rsid w:val="4F66C745"/>
    <w:rsid w:val="4F674123"/>
    <w:rsid w:val="4F74239C"/>
    <w:rsid w:val="4F7A11A5"/>
    <w:rsid w:val="4F850F4D"/>
    <w:rsid w:val="4F8C5937"/>
    <w:rsid w:val="4F980BC0"/>
    <w:rsid w:val="4F9843DC"/>
    <w:rsid w:val="4FAD5FDA"/>
    <w:rsid w:val="4FC51ADC"/>
    <w:rsid w:val="4FC62A8C"/>
    <w:rsid w:val="4FD30232"/>
    <w:rsid w:val="4FDA48F5"/>
    <w:rsid w:val="4FE20F0D"/>
    <w:rsid w:val="4FE51552"/>
    <w:rsid w:val="4FE92D8A"/>
    <w:rsid w:val="50055E16"/>
    <w:rsid w:val="50083210"/>
    <w:rsid w:val="50141A70"/>
    <w:rsid w:val="50265D8C"/>
    <w:rsid w:val="502F4C40"/>
    <w:rsid w:val="503F6626"/>
    <w:rsid w:val="50502E09"/>
    <w:rsid w:val="50504C4B"/>
    <w:rsid w:val="50511B59"/>
    <w:rsid w:val="505C17AE"/>
    <w:rsid w:val="506348EA"/>
    <w:rsid w:val="507B7E86"/>
    <w:rsid w:val="50840101"/>
    <w:rsid w:val="508B3E41"/>
    <w:rsid w:val="508E6C73"/>
    <w:rsid w:val="509C6E7C"/>
    <w:rsid w:val="50A422AF"/>
    <w:rsid w:val="50A62A29"/>
    <w:rsid w:val="50CC7457"/>
    <w:rsid w:val="50CE5C45"/>
    <w:rsid w:val="50FE2865"/>
    <w:rsid w:val="51060DBB"/>
    <w:rsid w:val="510D4856"/>
    <w:rsid w:val="511B3417"/>
    <w:rsid w:val="511D2BC0"/>
    <w:rsid w:val="511E15C2"/>
    <w:rsid w:val="51256043"/>
    <w:rsid w:val="512A173A"/>
    <w:rsid w:val="51497F84"/>
    <w:rsid w:val="514B545E"/>
    <w:rsid w:val="51564601"/>
    <w:rsid w:val="515B7CB7"/>
    <w:rsid w:val="5162104E"/>
    <w:rsid w:val="51725526"/>
    <w:rsid w:val="51735001"/>
    <w:rsid w:val="51791EEB"/>
    <w:rsid w:val="51883D8E"/>
    <w:rsid w:val="518D2F5B"/>
    <w:rsid w:val="51A90A23"/>
    <w:rsid w:val="51BA678C"/>
    <w:rsid w:val="51C103E7"/>
    <w:rsid w:val="51CE66DB"/>
    <w:rsid w:val="51D353E8"/>
    <w:rsid w:val="51ED4DB3"/>
    <w:rsid w:val="51F43136"/>
    <w:rsid w:val="51FD0DB7"/>
    <w:rsid w:val="52017BC3"/>
    <w:rsid w:val="52056CC3"/>
    <w:rsid w:val="520A3762"/>
    <w:rsid w:val="520E42C5"/>
    <w:rsid w:val="52102850"/>
    <w:rsid w:val="522D3A4D"/>
    <w:rsid w:val="52407855"/>
    <w:rsid w:val="524810E8"/>
    <w:rsid w:val="52634CE5"/>
    <w:rsid w:val="52742DDF"/>
    <w:rsid w:val="527637F4"/>
    <w:rsid w:val="528607CD"/>
    <w:rsid w:val="5294522F"/>
    <w:rsid w:val="52974D1F"/>
    <w:rsid w:val="529A65BD"/>
    <w:rsid w:val="52B6200C"/>
    <w:rsid w:val="52BC29D7"/>
    <w:rsid w:val="52C5188C"/>
    <w:rsid w:val="52C8137C"/>
    <w:rsid w:val="52F61A46"/>
    <w:rsid w:val="52FF0839"/>
    <w:rsid w:val="531713E3"/>
    <w:rsid w:val="53190535"/>
    <w:rsid w:val="5321405C"/>
    <w:rsid w:val="532274A0"/>
    <w:rsid w:val="5349426B"/>
    <w:rsid w:val="53531656"/>
    <w:rsid w:val="535844AE"/>
    <w:rsid w:val="535A53CF"/>
    <w:rsid w:val="53653FD4"/>
    <w:rsid w:val="53660765"/>
    <w:rsid w:val="536816EC"/>
    <w:rsid w:val="536C61AC"/>
    <w:rsid w:val="53797698"/>
    <w:rsid w:val="537B019D"/>
    <w:rsid w:val="537E1A3B"/>
    <w:rsid w:val="539548BE"/>
    <w:rsid w:val="53A039CC"/>
    <w:rsid w:val="53A1505A"/>
    <w:rsid w:val="53B35B89"/>
    <w:rsid w:val="53C438F2"/>
    <w:rsid w:val="54063E08"/>
    <w:rsid w:val="54086F1F"/>
    <w:rsid w:val="54183C3E"/>
    <w:rsid w:val="542E16B3"/>
    <w:rsid w:val="542E3461"/>
    <w:rsid w:val="543437E8"/>
    <w:rsid w:val="54372E82"/>
    <w:rsid w:val="543F69DF"/>
    <w:rsid w:val="544261FC"/>
    <w:rsid w:val="54565772"/>
    <w:rsid w:val="54685404"/>
    <w:rsid w:val="54820EC4"/>
    <w:rsid w:val="54B03E76"/>
    <w:rsid w:val="54EB3100"/>
    <w:rsid w:val="54ED50CA"/>
    <w:rsid w:val="54F73313"/>
    <w:rsid w:val="54F80955"/>
    <w:rsid w:val="55073956"/>
    <w:rsid w:val="55081F04"/>
    <w:rsid w:val="551E1246"/>
    <w:rsid w:val="55236D3E"/>
    <w:rsid w:val="5540344C"/>
    <w:rsid w:val="55480552"/>
    <w:rsid w:val="55510381"/>
    <w:rsid w:val="55515659"/>
    <w:rsid w:val="555170A7"/>
    <w:rsid w:val="5560589C"/>
    <w:rsid w:val="556A581B"/>
    <w:rsid w:val="55827043"/>
    <w:rsid w:val="5587107B"/>
    <w:rsid w:val="5587536D"/>
    <w:rsid w:val="55956D6F"/>
    <w:rsid w:val="559B174B"/>
    <w:rsid w:val="55B160F8"/>
    <w:rsid w:val="55B567A3"/>
    <w:rsid w:val="55B9064C"/>
    <w:rsid w:val="55CE0CF4"/>
    <w:rsid w:val="55D818D6"/>
    <w:rsid w:val="55DA564E"/>
    <w:rsid w:val="55F10BEA"/>
    <w:rsid w:val="560B3A5A"/>
    <w:rsid w:val="56111D34"/>
    <w:rsid w:val="561F0986"/>
    <w:rsid w:val="56440D1A"/>
    <w:rsid w:val="56535401"/>
    <w:rsid w:val="56554CD5"/>
    <w:rsid w:val="56582A17"/>
    <w:rsid w:val="565D489B"/>
    <w:rsid w:val="56665134"/>
    <w:rsid w:val="566E6966"/>
    <w:rsid w:val="567333AD"/>
    <w:rsid w:val="567A2567"/>
    <w:rsid w:val="568D446F"/>
    <w:rsid w:val="569752EE"/>
    <w:rsid w:val="56A17F1A"/>
    <w:rsid w:val="56A45C5C"/>
    <w:rsid w:val="56A93947"/>
    <w:rsid w:val="56AB27FD"/>
    <w:rsid w:val="56B22A9C"/>
    <w:rsid w:val="56D4209E"/>
    <w:rsid w:val="56DD0439"/>
    <w:rsid w:val="56E85AFD"/>
    <w:rsid w:val="56FA587C"/>
    <w:rsid w:val="56FB1D20"/>
    <w:rsid w:val="5718537C"/>
    <w:rsid w:val="572E5D91"/>
    <w:rsid w:val="574134AB"/>
    <w:rsid w:val="575E5E0B"/>
    <w:rsid w:val="57660B05"/>
    <w:rsid w:val="57697751"/>
    <w:rsid w:val="577E200A"/>
    <w:rsid w:val="578950F7"/>
    <w:rsid w:val="57A94FD4"/>
    <w:rsid w:val="57B72A76"/>
    <w:rsid w:val="57B955CB"/>
    <w:rsid w:val="57BC2B32"/>
    <w:rsid w:val="57C3426C"/>
    <w:rsid w:val="57C85D55"/>
    <w:rsid w:val="57CA6DF5"/>
    <w:rsid w:val="57CE1F93"/>
    <w:rsid w:val="57D01AB5"/>
    <w:rsid w:val="57D25685"/>
    <w:rsid w:val="57D305A7"/>
    <w:rsid w:val="57D45E5C"/>
    <w:rsid w:val="57E03E6A"/>
    <w:rsid w:val="57E36310"/>
    <w:rsid w:val="57EB4CEF"/>
    <w:rsid w:val="57EC5A21"/>
    <w:rsid w:val="57F04638"/>
    <w:rsid w:val="57F25AD8"/>
    <w:rsid w:val="57F53A68"/>
    <w:rsid w:val="58044C05"/>
    <w:rsid w:val="581A7F84"/>
    <w:rsid w:val="581D7A74"/>
    <w:rsid w:val="582252D3"/>
    <w:rsid w:val="58295AB2"/>
    <w:rsid w:val="58424F71"/>
    <w:rsid w:val="58436D6A"/>
    <w:rsid w:val="585D4315"/>
    <w:rsid w:val="58613E05"/>
    <w:rsid w:val="588743D1"/>
    <w:rsid w:val="5887701A"/>
    <w:rsid w:val="58890D29"/>
    <w:rsid w:val="58B02D85"/>
    <w:rsid w:val="58BB4E4E"/>
    <w:rsid w:val="58BF4AEA"/>
    <w:rsid w:val="58C01FE5"/>
    <w:rsid w:val="58D2085F"/>
    <w:rsid w:val="58E260BB"/>
    <w:rsid w:val="58FC3B2E"/>
    <w:rsid w:val="59331494"/>
    <w:rsid w:val="593B0070"/>
    <w:rsid w:val="5960230F"/>
    <w:rsid w:val="59653481"/>
    <w:rsid w:val="596E7D10"/>
    <w:rsid w:val="597933D0"/>
    <w:rsid w:val="59926240"/>
    <w:rsid w:val="599A022B"/>
    <w:rsid w:val="59AC10B0"/>
    <w:rsid w:val="59BB5797"/>
    <w:rsid w:val="59C0439F"/>
    <w:rsid w:val="59C56616"/>
    <w:rsid w:val="59D315AB"/>
    <w:rsid w:val="59DB784E"/>
    <w:rsid w:val="59DB7BE7"/>
    <w:rsid w:val="59F63600"/>
    <w:rsid w:val="5A09544E"/>
    <w:rsid w:val="5A146C55"/>
    <w:rsid w:val="5A236E98"/>
    <w:rsid w:val="5A281781"/>
    <w:rsid w:val="5A455061"/>
    <w:rsid w:val="5A557999"/>
    <w:rsid w:val="5A6508FE"/>
    <w:rsid w:val="5A6B1BF5"/>
    <w:rsid w:val="5A6D2AA5"/>
    <w:rsid w:val="5AAC3332"/>
    <w:rsid w:val="5ABE2233"/>
    <w:rsid w:val="5AD35811"/>
    <w:rsid w:val="5AD5781F"/>
    <w:rsid w:val="5AD741F5"/>
    <w:rsid w:val="5ADA08A3"/>
    <w:rsid w:val="5AE26CE0"/>
    <w:rsid w:val="5B01367D"/>
    <w:rsid w:val="5B044F1C"/>
    <w:rsid w:val="5B075410"/>
    <w:rsid w:val="5B0E1D75"/>
    <w:rsid w:val="5B152C85"/>
    <w:rsid w:val="5B182775"/>
    <w:rsid w:val="5B1E5974"/>
    <w:rsid w:val="5B2B4256"/>
    <w:rsid w:val="5B95673B"/>
    <w:rsid w:val="5B965090"/>
    <w:rsid w:val="5B9C2CD5"/>
    <w:rsid w:val="5BA12DCF"/>
    <w:rsid w:val="5BC14BBB"/>
    <w:rsid w:val="5BC8607C"/>
    <w:rsid w:val="5BDE39BF"/>
    <w:rsid w:val="5BDF5D95"/>
    <w:rsid w:val="5BF84A80"/>
    <w:rsid w:val="5BFE7528"/>
    <w:rsid w:val="5C027021"/>
    <w:rsid w:val="5C1A29BD"/>
    <w:rsid w:val="5C1D4404"/>
    <w:rsid w:val="5C435E06"/>
    <w:rsid w:val="5C4557EC"/>
    <w:rsid w:val="5C460A09"/>
    <w:rsid w:val="5C5A6EBF"/>
    <w:rsid w:val="5C700ABB"/>
    <w:rsid w:val="5C797243"/>
    <w:rsid w:val="5C8A2EAF"/>
    <w:rsid w:val="5C8C0294"/>
    <w:rsid w:val="5CA43AB9"/>
    <w:rsid w:val="5CC04E72"/>
    <w:rsid w:val="5CC22998"/>
    <w:rsid w:val="5CC61EAE"/>
    <w:rsid w:val="5CCB5044"/>
    <w:rsid w:val="5CDB3A5A"/>
    <w:rsid w:val="5CF3599B"/>
    <w:rsid w:val="5CF36FF6"/>
    <w:rsid w:val="5D1458EA"/>
    <w:rsid w:val="5D18150C"/>
    <w:rsid w:val="5D371C45"/>
    <w:rsid w:val="5D62624F"/>
    <w:rsid w:val="5D68606A"/>
    <w:rsid w:val="5D704AEA"/>
    <w:rsid w:val="5D7E7207"/>
    <w:rsid w:val="5D842A4B"/>
    <w:rsid w:val="5D8D6D89"/>
    <w:rsid w:val="5D8F6D1E"/>
    <w:rsid w:val="5D992364"/>
    <w:rsid w:val="5DAE2AA9"/>
    <w:rsid w:val="5DBE7288"/>
    <w:rsid w:val="5DBF4EDC"/>
    <w:rsid w:val="5DC47456"/>
    <w:rsid w:val="5DD97D13"/>
    <w:rsid w:val="5DF63241"/>
    <w:rsid w:val="5DFA039D"/>
    <w:rsid w:val="5E053485"/>
    <w:rsid w:val="5E0771FD"/>
    <w:rsid w:val="5E087615"/>
    <w:rsid w:val="5E1E4546"/>
    <w:rsid w:val="5E203E1A"/>
    <w:rsid w:val="5E227B93"/>
    <w:rsid w:val="5E2467F1"/>
    <w:rsid w:val="5E3567D0"/>
    <w:rsid w:val="5E38145E"/>
    <w:rsid w:val="5E4775F9"/>
    <w:rsid w:val="5E4E3C91"/>
    <w:rsid w:val="5E901C38"/>
    <w:rsid w:val="5EA26F25"/>
    <w:rsid w:val="5EC71530"/>
    <w:rsid w:val="5EDF7679"/>
    <w:rsid w:val="5EEA0929"/>
    <w:rsid w:val="5EF76C74"/>
    <w:rsid w:val="5F013C4C"/>
    <w:rsid w:val="5F0454EA"/>
    <w:rsid w:val="5F1A2B43"/>
    <w:rsid w:val="5F1F40D2"/>
    <w:rsid w:val="5F216507"/>
    <w:rsid w:val="5F261904"/>
    <w:rsid w:val="5F2D4A41"/>
    <w:rsid w:val="5F337B7D"/>
    <w:rsid w:val="5F4305ED"/>
    <w:rsid w:val="5F4E6765"/>
    <w:rsid w:val="5F5F6BC4"/>
    <w:rsid w:val="5F755DF1"/>
    <w:rsid w:val="5F7700C4"/>
    <w:rsid w:val="5F7E34EF"/>
    <w:rsid w:val="5FB66343"/>
    <w:rsid w:val="5FB82A9C"/>
    <w:rsid w:val="5FB837BB"/>
    <w:rsid w:val="5FB93902"/>
    <w:rsid w:val="5FCC6E8F"/>
    <w:rsid w:val="5FE315A4"/>
    <w:rsid w:val="5FE377F5"/>
    <w:rsid w:val="5FF79A9D"/>
    <w:rsid w:val="5FF92B75"/>
    <w:rsid w:val="6037440C"/>
    <w:rsid w:val="60432042"/>
    <w:rsid w:val="604576E3"/>
    <w:rsid w:val="604A33D1"/>
    <w:rsid w:val="605D3508"/>
    <w:rsid w:val="607641C6"/>
    <w:rsid w:val="60830691"/>
    <w:rsid w:val="609B1E7E"/>
    <w:rsid w:val="60A056E7"/>
    <w:rsid w:val="60C96CF1"/>
    <w:rsid w:val="60CC405A"/>
    <w:rsid w:val="60FD48E7"/>
    <w:rsid w:val="6109503A"/>
    <w:rsid w:val="61101709"/>
    <w:rsid w:val="612A7E49"/>
    <w:rsid w:val="61392D3B"/>
    <w:rsid w:val="6142679E"/>
    <w:rsid w:val="614F1171"/>
    <w:rsid w:val="61572249"/>
    <w:rsid w:val="615C51E5"/>
    <w:rsid w:val="615D0EE2"/>
    <w:rsid w:val="616105A7"/>
    <w:rsid w:val="61736957"/>
    <w:rsid w:val="617C580C"/>
    <w:rsid w:val="618D5C6B"/>
    <w:rsid w:val="619B721F"/>
    <w:rsid w:val="619E7DF8"/>
    <w:rsid w:val="61CD65BA"/>
    <w:rsid w:val="61D14B43"/>
    <w:rsid w:val="61E215D8"/>
    <w:rsid w:val="61E6537B"/>
    <w:rsid w:val="61F061FA"/>
    <w:rsid w:val="62015D11"/>
    <w:rsid w:val="621A5025"/>
    <w:rsid w:val="621B3277"/>
    <w:rsid w:val="621B3775"/>
    <w:rsid w:val="62364782"/>
    <w:rsid w:val="62402CDD"/>
    <w:rsid w:val="6243457B"/>
    <w:rsid w:val="624A590A"/>
    <w:rsid w:val="6256605D"/>
    <w:rsid w:val="6258150B"/>
    <w:rsid w:val="625E3163"/>
    <w:rsid w:val="626108EA"/>
    <w:rsid w:val="62832BCA"/>
    <w:rsid w:val="6283706E"/>
    <w:rsid w:val="628C5F22"/>
    <w:rsid w:val="629372B1"/>
    <w:rsid w:val="62B72874"/>
    <w:rsid w:val="62BF00A6"/>
    <w:rsid w:val="62D568B0"/>
    <w:rsid w:val="62E13C90"/>
    <w:rsid w:val="63027F93"/>
    <w:rsid w:val="63035AB9"/>
    <w:rsid w:val="63116428"/>
    <w:rsid w:val="634E4F86"/>
    <w:rsid w:val="63604A82"/>
    <w:rsid w:val="63776EAD"/>
    <w:rsid w:val="637C5F97"/>
    <w:rsid w:val="638210D3"/>
    <w:rsid w:val="63911317"/>
    <w:rsid w:val="63914CA3"/>
    <w:rsid w:val="6394356A"/>
    <w:rsid w:val="63A510E3"/>
    <w:rsid w:val="63AE32BA"/>
    <w:rsid w:val="63BD3EBA"/>
    <w:rsid w:val="63C61B2C"/>
    <w:rsid w:val="63CB2A7A"/>
    <w:rsid w:val="63D3145A"/>
    <w:rsid w:val="63D40BE9"/>
    <w:rsid w:val="63E91153"/>
    <w:rsid w:val="63F26259"/>
    <w:rsid w:val="64000A5A"/>
    <w:rsid w:val="641011CC"/>
    <w:rsid w:val="64102431"/>
    <w:rsid w:val="6420757D"/>
    <w:rsid w:val="642A4CA6"/>
    <w:rsid w:val="645435B9"/>
    <w:rsid w:val="64583EE5"/>
    <w:rsid w:val="646F5052"/>
    <w:rsid w:val="64992B79"/>
    <w:rsid w:val="64994927"/>
    <w:rsid w:val="64A5243A"/>
    <w:rsid w:val="64B21544"/>
    <w:rsid w:val="64BE613B"/>
    <w:rsid w:val="64BF5C1E"/>
    <w:rsid w:val="64F531DE"/>
    <w:rsid w:val="64FE7793"/>
    <w:rsid w:val="650752D5"/>
    <w:rsid w:val="650E2C39"/>
    <w:rsid w:val="65251262"/>
    <w:rsid w:val="6535215C"/>
    <w:rsid w:val="653603C7"/>
    <w:rsid w:val="65373578"/>
    <w:rsid w:val="65374B9D"/>
    <w:rsid w:val="654B3E73"/>
    <w:rsid w:val="655E5B90"/>
    <w:rsid w:val="656024D9"/>
    <w:rsid w:val="657E6CEF"/>
    <w:rsid w:val="65913850"/>
    <w:rsid w:val="65A00851"/>
    <w:rsid w:val="65A74E21"/>
    <w:rsid w:val="65E6056D"/>
    <w:rsid w:val="65E86DCC"/>
    <w:rsid w:val="65EA29DE"/>
    <w:rsid w:val="65FB32A2"/>
    <w:rsid w:val="66042274"/>
    <w:rsid w:val="660758C0"/>
    <w:rsid w:val="660B1854"/>
    <w:rsid w:val="660B3602"/>
    <w:rsid w:val="66157FDD"/>
    <w:rsid w:val="661A1A97"/>
    <w:rsid w:val="661C2405"/>
    <w:rsid w:val="661E7419"/>
    <w:rsid w:val="6623094C"/>
    <w:rsid w:val="66240220"/>
    <w:rsid w:val="66291CDA"/>
    <w:rsid w:val="662D5327"/>
    <w:rsid w:val="66324BFF"/>
    <w:rsid w:val="663E7CE4"/>
    <w:rsid w:val="66405512"/>
    <w:rsid w:val="664D59C9"/>
    <w:rsid w:val="66791B55"/>
    <w:rsid w:val="668F5FE1"/>
    <w:rsid w:val="66952ECC"/>
    <w:rsid w:val="66A97F4E"/>
    <w:rsid w:val="66B141AA"/>
    <w:rsid w:val="66C33EDD"/>
    <w:rsid w:val="66D01ED1"/>
    <w:rsid w:val="66D439F4"/>
    <w:rsid w:val="66D74F0A"/>
    <w:rsid w:val="66E75E1D"/>
    <w:rsid w:val="66F26570"/>
    <w:rsid w:val="66F40E9A"/>
    <w:rsid w:val="671169F6"/>
    <w:rsid w:val="671F124A"/>
    <w:rsid w:val="67224A87"/>
    <w:rsid w:val="67277FC8"/>
    <w:rsid w:val="672E75A8"/>
    <w:rsid w:val="6732643D"/>
    <w:rsid w:val="67327553"/>
    <w:rsid w:val="674D0433"/>
    <w:rsid w:val="674E4FAA"/>
    <w:rsid w:val="67507D34"/>
    <w:rsid w:val="675DE4D3"/>
    <w:rsid w:val="676C00D0"/>
    <w:rsid w:val="676E209B"/>
    <w:rsid w:val="677A33C6"/>
    <w:rsid w:val="677B5B17"/>
    <w:rsid w:val="677B6888"/>
    <w:rsid w:val="679A239A"/>
    <w:rsid w:val="67AD3AB0"/>
    <w:rsid w:val="67D51B52"/>
    <w:rsid w:val="67ED1E87"/>
    <w:rsid w:val="68012F0F"/>
    <w:rsid w:val="68077DF9"/>
    <w:rsid w:val="680A0AC5"/>
    <w:rsid w:val="680F46CF"/>
    <w:rsid w:val="681F6961"/>
    <w:rsid w:val="68246BFD"/>
    <w:rsid w:val="682C593D"/>
    <w:rsid w:val="684174B3"/>
    <w:rsid w:val="68610A2F"/>
    <w:rsid w:val="68616C08"/>
    <w:rsid w:val="68686AEA"/>
    <w:rsid w:val="687234C5"/>
    <w:rsid w:val="687436E1"/>
    <w:rsid w:val="6874548F"/>
    <w:rsid w:val="68805514"/>
    <w:rsid w:val="688F22C8"/>
    <w:rsid w:val="68AB69D7"/>
    <w:rsid w:val="68AF4C1E"/>
    <w:rsid w:val="68C87E8D"/>
    <w:rsid w:val="68DD5E6F"/>
    <w:rsid w:val="68DF5EA4"/>
    <w:rsid w:val="690C753D"/>
    <w:rsid w:val="691E53FA"/>
    <w:rsid w:val="69316E2F"/>
    <w:rsid w:val="694E2071"/>
    <w:rsid w:val="69517AA9"/>
    <w:rsid w:val="695E7FEE"/>
    <w:rsid w:val="6965127B"/>
    <w:rsid w:val="69766163"/>
    <w:rsid w:val="697A3B33"/>
    <w:rsid w:val="698352D5"/>
    <w:rsid w:val="69906602"/>
    <w:rsid w:val="69961B9A"/>
    <w:rsid w:val="699D27C3"/>
    <w:rsid w:val="69AD0D0E"/>
    <w:rsid w:val="69B02A3D"/>
    <w:rsid w:val="69BE2739"/>
    <w:rsid w:val="69C45FA2"/>
    <w:rsid w:val="69D02B99"/>
    <w:rsid w:val="69D106BF"/>
    <w:rsid w:val="69D44760"/>
    <w:rsid w:val="69D56D08"/>
    <w:rsid w:val="69EE1271"/>
    <w:rsid w:val="69F47E60"/>
    <w:rsid w:val="69F71BB5"/>
    <w:rsid w:val="6A0D4A8E"/>
    <w:rsid w:val="6A333127"/>
    <w:rsid w:val="6A350C4E"/>
    <w:rsid w:val="6A445335"/>
    <w:rsid w:val="6A4D243B"/>
    <w:rsid w:val="6A520EC7"/>
    <w:rsid w:val="6A5512C4"/>
    <w:rsid w:val="6A59010F"/>
    <w:rsid w:val="6A611A43"/>
    <w:rsid w:val="6A652034"/>
    <w:rsid w:val="6A892D47"/>
    <w:rsid w:val="6A946A14"/>
    <w:rsid w:val="6AA3205B"/>
    <w:rsid w:val="6AAE27AE"/>
    <w:rsid w:val="6AAE517C"/>
    <w:rsid w:val="6AB83CB3"/>
    <w:rsid w:val="6ACE5F0F"/>
    <w:rsid w:val="6ACF45CC"/>
    <w:rsid w:val="6AD399F6"/>
    <w:rsid w:val="6AD55035"/>
    <w:rsid w:val="6AD77F57"/>
    <w:rsid w:val="6AE203B7"/>
    <w:rsid w:val="6AF87E20"/>
    <w:rsid w:val="6B043B1D"/>
    <w:rsid w:val="6B0D1BCA"/>
    <w:rsid w:val="6B142AF3"/>
    <w:rsid w:val="6B2667E8"/>
    <w:rsid w:val="6B2A322F"/>
    <w:rsid w:val="6B322639"/>
    <w:rsid w:val="6B340F05"/>
    <w:rsid w:val="6B341499"/>
    <w:rsid w:val="6B396C85"/>
    <w:rsid w:val="6B482C03"/>
    <w:rsid w:val="6B642A5C"/>
    <w:rsid w:val="6B87197D"/>
    <w:rsid w:val="6B892650"/>
    <w:rsid w:val="6B8A1F80"/>
    <w:rsid w:val="6B947BF6"/>
    <w:rsid w:val="6BA33BF8"/>
    <w:rsid w:val="6BAE3812"/>
    <w:rsid w:val="6BB64010"/>
    <w:rsid w:val="6BCF3937"/>
    <w:rsid w:val="6BE566A3"/>
    <w:rsid w:val="6BF13C08"/>
    <w:rsid w:val="6BF351D1"/>
    <w:rsid w:val="6BFA2715"/>
    <w:rsid w:val="6C1C4F19"/>
    <w:rsid w:val="6C1D7BEB"/>
    <w:rsid w:val="6C40431A"/>
    <w:rsid w:val="6C5344E2"/>
    <w:rsid w:val="6C636C38"/>
    <w:rsid w:val="6C6770B8"/>
    <w:rsid w:val="6C690DB6"/>
    <w:rsid w:val="6C823EF2"/>
    <w:rsid w:val="6C880B0D"/>
    <w:rsid w:val="6C882372"/>
    <w:rsid w:val="6C8B724B"/>
    <w:rsid w:val="6C8D2FC3"/>
    <w:rsid w:val="6C8E0AE9"/>
    <w:rsid w:val="6C924135"/>
    <w:rsid w:val="6C9360FF"/>
    <w:rsid w:val="6CA420BB"/>
    <w:rsid w:val="6CB26A09"/>
    <w:rsid w:val="6CB542C8"/>
    <w:rsid w:val="6CBD42A1"/>
    <w:rsid w:val="6CC938CF"/>
    <w:rsid w:val="6CEA21C3"/>
    <w:rsid w:val="6CEC6095"/>
    <w:rsid w:val="6CEF77DA"/>
    <w:rsid w:val="6CF46B9E"/>
    <w:rsid w:val="6D0A4613"/>
    <w:rsid w:val="6D176D30"/>
    <w:rsid w:val="6D18013D"/>
    <w:rsid w:val="6D47466E"/>
    <w:rsid w:val="6D831291"/>
    <w:rsid w:val="6DA5127A"/>
    <w:rsid w:val="6DAC24BF"/>
    <w:rsid w:val="6DB34098"/>
    <w:rsid w:val="6DB545B6"/>
    <w:rsid w:val="6DCD4B41"/>
    <w:rsid w:val="6DE02FB4"/>
    <w:rsid w:val="6DE07122"/>
    <w:rsid w:val="6E032E11"/>
    <w:rsid w:val="6E0C43BB"/>
    <w:rsid w:val="6E292877"/>
    <w:rsid w:val="6E3A0F28"/>
    <w:rsid w:val="6E4733A5"/>
    <w:rsid w:val="6E514CED"/>
    <w:rsid w:val="6E684CB4"/>
    <w:rsid w:val="6E843F52"/>
    <w:rsid w:val="6E8B1784"/>
    <w:rsid w:val="6E8E4EA9"/>
    <w:rsid w:val="6E997DC4"/>
    <w:rsid w:val="6EB563D5"/>
    <w:rsid w:val="6EBE2776"/>
    <w:rsid w:val="6ED1621B"/>
    <w:rsid w:val="6ED92677"/>
    <w:rsid w:val="6EE36ECA"/>
    <w:rsid w:val="6EF03395"/>
    <w:rsid w:val="6EF410D7"/>
    <w:rsid w:val="6EF56078"/>
    <w:rsid w:val="6F02122A"/>
    <w:rsid w:val="6F0C42EB"/>
    <w:rsid w:val="6F225983"/>
    <w:rsid w:val="6F3040D9"/>
    <w:rsid w:val="6F370FC4"/>
    <w:rsid w:val="6F3B3ECE"/>
    <w:rsid w:val="6F40256E"/>
    <w:rsid w:val="6F5B1156"/>
    <w:rsid w:val="6F5F3F8A"/>
    <w:rsid w:val="6F643C89"/>
    <w:rsid w:val="6F810726"/>
    <w:rsid w:val="6F825120"/>
    <w:rsid w:val="6F8F2BAE"/>
    <w:rsid w:val="6F9322D1"/>
    <w:rsid w:val="6F984159"/>
    <w:rsid w:val="6FA80114"/>
    <w:rsid w:val="6FAC6C44"/>
    <w:rsid w:val="6FB10D76"/>
    <w:rsid w:val="6FB278EA"/>
    <w:rsid w:val="6FB82403"/>
    <w:rsid w:val="6FCD84BD"/>
    <w:rsid w:val="6FCF2464"/>
    <w:rsid w:val="6FD9207B"/>
    <w:rsid w:val="6FDDA039"/>
    <w:rsid w:val="6FF670D1"/>
    <w:rsid w:val="6FFC5590"/>
    <w:rsid w:val="70007661"/>
    <w:rsid w:val="700A66D9"/>
    <w:rsid w:val="702077A2"/>
    <w:rsid w:val="702A6D7B"/>
    <w:rsid w:val="703B449C"/>
    <w:rsid w:val="703C5364"/>
    <w:rsid w:val="703F2826"/>
    <w:rsid w:val="706D1DD0"/>
    <w:rsid w:val="70820039"/>
    <w:rsid w:val="70855376"/>
    <w:rsid w:val="70856B87"/>
    <w:rsid w:val="70891CF3"/>
    <w:rsid w:val="708B7819"/>
    <w:rsid w:val="70AD3C34"/>
    <w:rsid w:val="70C1323B"/>
    <w:rsid w:val="70CA5DD8"/>
    <w:rsid w:val="70CA69D8"/>
    <w:rsid w:val="70CC4F73"/>
    <w:rsid w:val="70CE7706"/>
    <w:rsid w:val="70D527EE"/>
    <w:rsid w:val="70E10D09"/>
    <w:rsid w:val="70EA06BC"/>
    <w:rsid w:val="70F96E79"/>
    <w:rsid w:val="70FA674D"/>
    <w:rsid w:val="70FC0717"/>
    <w:rsid w:val="712E63F7"/>
    <w:rsid w:val="715045BF"/>
    <w:rsid w:val="715B5300"/>
    <w:rsid w:val="718B3A27"/>
    <w:rsid w:val="718F3339"/>
    <w:rsid w:val="71922E29"/>
    <w:rsid w:val="719941B8"/>
    <w:rsid w:val="71A14E1B"/>
    <w:rsid w:val="71AC3EEB"/>
    <w:rsid w:val="71B21E50"/>
    <w:rsid w:val="71BD31F6"/>
    <w:rsid w:val="71BF2145"/>
    <w:rsid w:val="71D27F8A"/>
    <w:rsid w:val="71E11567"/>
    <w:rsid w:val="71EA23A2"/>
    <w:rsid w:val="720C31A4"/>
    <w:rsid w:val="72146975"/>
    <w:rsid w:val="722515A8"/>
    <w:rsid w:val="72276ABC"/>
    <w:rsid w:val="722F517C"/>
    <w:rsid w:val="72330169"/>
    <w:rsid w:val="7238752D"/>
    <w:rsid w:val="725119C8"/>
    <w:rsid w:val="72553024"/>
    <w:rsid w:val="72602642"/>
    <w:rsid w:val="726B4CDD"/>
    <w:rsid w:val="72822E9E"/>
    <w:rsid w:val="72870C3A"/>
    <w:rsid w:val="728E35F1"/>
    <w:rsid w:val="72990789"/>
    <w:rsid w:val="729D799D"/>
    <w:rsid w:val="72A2709C"/>
    <w:rsid w:val="72A6349A"/>
    <w:rsid w:val="72AB213A"/>
    <w:rsid w:val="72AE3DA1"/>
    <w:rsid w:val="72B8285C"/>
    <w:rsid w:val="72B868C0"/>
    <w:rsid w:val="72C76B03"/>
    <w:rsid w:val="72D721A1"/>
    <w:rsid w:val="72E41463"/>
    <w:rsid w:val="72ED28FF"/>
    <w:rsid w:val="72F54374"/>
    <w:rsid w:val="72FA6930"/>
    <w:rsid w:val="72FE099F"/>
    <w:rsid w:val="73122968"/>
    <w:rsid w:val="731F5D5E"/>
    <w:rsid w:val="7329331A"/>
    <w:rsid w:val="73365C9A"/>
    <w:rsid w:val="73451688"/>
    <w:rsid w:val="734F0FD2"/>
    <w:rsid w:val="73657D70"/>
    <w:rsid w:val="738A013D"/>
    <w:rsid w:val="738A200A"/>
    <w:rsid w:val="738A2C44"/>
    <w:rsid w:val="738E13CF"/>
    <w:rsid w:val="73B70925"/>
    <w:rsid w:val="73BD0A0C"/>
    <w:rsid w:val="73BF77DA"/>
    <w:rsid w:val="73C36B19"/>
    <w:rsid w:val="73C51AD5"/>
    <w:rsid w:val="73CD61A4"/>
    <w:rsid w:val="73DA28B0"/>
    <w:rsid w:val="73E334C8"/>
    <w:rsid w:val="73E57241"/>
    <w:rsid w:val="73E63AC2"/>
    <w:rsid w:val="73FF5FE9"/>
    <w:rsid w:val="741E793C"/>
    <w:rsid w:val="7446551A"/>
    <w:rsid w:val="74474D4B"/>
    <w:rsid w:val="744D4DE6"/>
    <w:rsid w:val="745126A4"/>
    <w:rsid w:val="745C7ABC"/>
    <w:rsid w:val="745D771F"/>
    <w:rsid w:val="745E3944"/>
    <w:rsid w:val="746E765E"/>
    <w:rsid w:val="74844CAB"/>
    <w:rsid w:val="74936C9D"/>
    <w:rsid w:val="749F1AE5"/>
    <w:rsid w:val="74C826C0"/>
    <w:rsid w:val="74C900D4"/>
    <w:rsid w:val="74D774D1"/>
    <w:rsid w:val="74EC2B44"/>
    <w:rsid w:val="74F11C15"/>
    <w:rsid w:val="75117B26"/>
    <w:rsid w:val="7513176F"/>
    <w:rsid w:val="75232716"/>
    <w:rsid w:val="7529185B"/>
    <w:rsid w:val="75334469"/>
    <w:rsid w:val="753E65CE"/>
    <w:rsid w:val="754C4059"/>
    <w:rsid w:val="754E0E15"/>
    <w:rsid w:val="757840E4"/>
    <w:rsid w:val="757B175D"/>
    <w:rsid w:val="75823E37"/>
    <w:rsid w:val="7586195B"/>
    <w:rsid w:val="75B3511C"/>
    <w:rsid w:val="75C31803"/>
    <w:rsid w:val="75F06371"/>
    <w:rsid w:val="75F469FC"/>
    <w:rsid w:val="75F5275A"/>
    <w:rsid w:val="760D11B3"/>
    <w:rsid w:val="76243350"/>
    <w:rsid w:val="76255531"/>
    <w:rsid w:val="7635099D"/>
    <w:rsid w:val="76515061"/>
    <w:rsid w:val="76530DD9"/>
    <w:rsid w:val="765B7C8E"/>
    <w:rsid w:val="765C6722"/>
    <w:rsid w:val="7662139D"/>
    <w:rsid w:val="7668429F"/>
    <w:rsid w:val="766D79C1"/>
    <w:rsid w:val="769310C3"/>
    <w:rsid w:val="76946CFC"/>
    <w:rsid w:val="76CD2616"/>
    <w:rsid w:val="76EB20FA"/>
    <w:rsid w:val="76F61765"/>
    <w:rsid w:val="771A31D0"/>
    <w:rsid w:val="772119F1"/>
    <w:rsid w:val="77220EB8"/>
    <w:rsid w:val="77381D7D"/>
    <w:rsid w:val="77591854"/>
    <w:rsid w:val="77692F57"/>
    <w:rsid w:val="77762421"/>
    <w:rsid w:val="777A4144"/>
    <w:rsid w:val="77823B66"/>
    <w:rsid w:val="778D714A"/>
    <w:rsid w:val="779A47E6"/>
    <w:rsid w:val="77B56B1F"/>
    <w:rsid w:val="77C020D0"/>
    <w:rsid w:val="77CB78EA"/>
    <w:rsid w:val="77CD007B"/>
    <w:rsid w:val="77DE0B76"/>
    <w:rsid w:val="77E04260"/>
    <w:rsid w:val="780F09F4"/>
    <w:rsid w:val="781225CE"/>
    <w:rsid w:val="78127E3D"/>
    <w:rsid w:val="78144F0A"/>
    <w:rsid w:val="783F0FA2"/>
    <w:rsid w:val="78412EB3"/>
    <w:rsid w:val="78457D42"/>
    <w:rsid w:val="784660AD"/>
    <w:rsid w:val="786813C3"/>
    <w:rsid w:val="78715547"/>
    <w:rsid w:val="78734271"/>
    <w:rsid w:val="78806C82"/>
    <w:rsid w:val="78896D1D"/>
    <w:rsid w:val="788C1396"/>
    <w:rsid w:val="789B4F9A"/>
    <w:rsid w:val="789D458E"/>
    <w:rsid w:val="78A418EE"/>
    <w:rsid w:val="78A70542"/>
    <w:rsid w:val="78A90480"/>
    <w:rsid w:val="78B96837"/>
    <w:rsid w:val="78D20CE4"/>
    <w:rsid w:val="78D930F5"/>
    <w:rsid w:val="78EE303B"/>
    <w:rsid w:val="78F817C4"/>
    <w:rsid w:val="791E23F6"/>
    <w:rsid w:val="792810B8"/>
    <w:rsid w:val="792C76C0"/>
    <w:rsid w:val="792E51E6"/>
    <w:rsid w:val="79366790"/>
    <w:rsid w:val="793B3DA7"/>
    <w:rsid w:val="7947232A"/>
    <w:rsid w:val="794B2313"/>
    <w:rsid w:val="79615935"/>
    <w:rsid w:val="796A7392"/>
    <w:rsid w:val="797177C8"/>
    <w:rsid w:val="79797ACA"/>
    <w:rsid w:val="797B2150"/>
    <w:rsid w:val="79932E26"/>
    <w:rsid w:val="79A403CC"/>
    <w:rsid w:val="79AC0800"/>
    <w:rsid w:val="79B17BC5"/>
    <w:rsid w:val="79B47482"/>
    <w:rsid w:val="79D20267"/>
    <w:rsid w:val="79DF51E8"/>
    <w:rsid w:val="79EC6DF7"/>
    <w:rsid w:val="79F53F55"/>
    <w:rsid w:val="79F857F4"/>
    <w:rsid w:val="7A1A258C"/>
    <w:rsid w:val="7A364017"/>
    <w:rsid w:val="7A393DB1"/>
    <w:rsid w:val="7A4B3F63"/>
    <w:rsid w:val="7A513882"/>
    <w:rsid w:val="7A543372"/>
    <w:rsid w:val="7A6335B5"/>
    <w:rsid w:val="7A684727"/>
    <w:rsid w:val="7A8265E1"/>
    <w:rsid w:val="7A87489A"/>
    <w:rsid w:val="7A9D6AC7"/>
    <w:rsid w:val="7AAF5E57"/>
    <w:rsid w:val="7AB212B5"/>
    <w:rsid w:val="7AD87AFF"/>
    <w:rsid w:val="7ADD8621"/>
    <w:rsid w:val="7B0E5927"/>
    <w:rsid w:val="7B2A13C5"/>
    <w:rsid w:val="7B2F6166"/>
    <w:rsid w:val="7B3D754A"/>
    <w:rsid w:val="7B3F192C"/>
    <w:rsid w:val="7B4D7F17"/>
    <w:rsid w:val="7B686D42"/>
    <w:rsid w:val="7B743B26"/>
    <w:rsid w:val="7B783090"/>
    <w:rsid w:val="7B7834CE"/>
    <w:rsid w:val="7B7C3774"/>
    <w:rsid w:val="7B7FDCAF"/>
    <w:rsid w:val="7B841746"/>
    <w:rsid w:val="7B8C7F10"/>
    <w:rsid w:val="7B9F23CB"/>
    <w:rsid w:val="7BA1661A"/>
    <w:rsid w:val="7BA2010D"/>
    <w:rsid w:val="7BA21EBB"/>
    <w:rsid w:val="7BAC4AE8"/>
    <w:rsid w:val="7BD36518"/>
    <w:rsid w:val="7BD76435"/>
    <w:rsid w:val="7BF14A26"/>
    <w:rsid w:val="7BF736F9"/>
    <w:rsid w:val="7BFE77A5"/>
    <w:rsid w:val="7BFF91B5"/>
    <w:rsid w:val="7C0016D7"/>
    <w:rsid w:val="7C035DE8"/>
    <w:rsid w:val="7C0B3F04"/>
    <w:rsid w:val="7C197AF8"/>
    <w:rsid w:val="7C2154D6"/>
    <w:rsid w:val="7C324FED"/>
    <w:rsid w:val="7C345209"/>
    <w:rsid w:val="7C427E65"/>
    <w:rsid w:val="7C436E59"/>
    <w:rsid w:val="7C4B2553"/>
    <w:rsid w:val="7C5E2286"/>
    <w:rsid w:val="7C5F64D0"/>
    <w:rsid w:val="7C646506"/>
    <w:rsid w:val="7C647170"/>
    <w:rsid w:val="7C6C5AC7"/>
    <w:rsid w:val="7C8859C7"/>
    <w:rsid w:val="7C920181"/>
    <w:rsid w:val="7C943EFA"/>
    <w:rsid w:val="7C991510"/>
    <w:rsid w:val="7CA12173"/>
    <w:rsid w:val="7CB81797"/>
    <w:rsid w:val="7CC540B3"/>
    <w:rsid w:val="7CC6544B"/>
    <w:rsid w:val="7CFF1B48"/>
    <w:rsid w:val="7D0239FF"/>
    <w:rsid w:val="7D0E5851"/>
    <w:rsid w:val="7D133070"/>
    <w:rsid w:val="7D2C5EE0"/>
    <w:rsid w:val="7D4432EC"/>
    <w:rsid w:val="7D5B335C"/>
    <w:rsid w:val="7D5E40CD"/>
    <w:rsid w:val="7D7861F0"/>
    <w:rsid w:val="7D7BCBC6"/>
    <w:rsid w:val="7DA02418"/>
    <w:rsid w:val="7DA51632"/>
    <w:rsid w:val="7DAB73B5"/>
    <w:rsid w:val="7DAF266D"/>
    <w:rsid w:val="7DC1656F"/>
    <w:rsid w:val="7DCD56F2"/>
    <w:rsid w:val="7DDD367E"/>
    <w:rsid w:val="7DDF2F52"/>
    <w:rsid w:val="7DE247F1"/>
    <w:rsid w:val="7DE6489B"/>
    <w:rsid w:val="7DEC470F"/>
    <w:rsid w:val="7DEE18CE"/>
    <w:rsid w:val="7DFFDB99"/>
    <w:rsid w:val="7E0912B4"/>
    <w:rsid w:val="7E0D3F64"/>
    <w:rsid w:val="7E26215D"/>
    <w:rsid w:val="7E5665F7"/>
    <w:rsid w:val="7E5C27F5"/>
    <w:rsid w:val="7E6416AA"/>
    <w:rsid w:val="7E7570F6"/>
    <w:rsid w:val="7E7F0292"/>
    <w:rsid w:val="7E7F3D90"/>
    <w:rsid w:val="7E802CE1"/>
    <w:rsid w:val="7E8104AE"/>
    <w:rsid w:val="7E81400A"/>
    <w:rsid w:val="7E8205CC"/>
    <w:rsid w:val="7E997BF4"/>
    <w:rsid w:val="7E9B53A2"/>
    <w:rsid w:val="7E9F26E2"/>
    <w:rsid w:val="7EAB552B"/>
    <w:rsid w:val="7EBA751C"/>
    <w:rsid w:val="7EC17505"/>
    <w:rsid w:val="7EC73F52"/>
    <w:rsid w:val="7EC76E42"/>
    <w:rsid w:val="7ECE0B34"/>
    <w:rsid w:val="7ED45422"/>
    <w:rsid w:val="7ED55382"/>
    <w:rsid w:val="7ED7A8A4"/>
    <w:rsid w:val="7EDB1194"/>
    <w:rsid w:val="7EF3387C"/>
    <w:rsid w:val="7EF7C05A"/>
    <w:rsid w:val="7EF90044"/>
    <w:rsid w:val="7EFCEAE2"/>
    <w:rsid w:val="7F001CE7"/>
    <w:rsid w:val="7F1813F5"/>
    <w:rsid w:val="7F1E4190"/>
    <w:rsid w:val="7F236EBF"/>
    <w:rsid w:val="7F393E85"/>
    <w:rsid w:val="7F4C73BC"/>
    <w:rsid w:val="7F5636E8"/>
    <w:rsid w:val="7F5D7CD4"/>
    <w:rsid w:val="7F5E19FC"/>
    <w:rsid w:val="7F967F89"/>
    <w:rsid w:val="7F9A05F7"/>
    <w:rsid w:val="7F9D13D3"/>
    <w:rsid w:val="7F9E0BEB"/>
    <w:rsid w:val="7FBA3B21"/>
    <w:rsid w:val="7FC06DB4"/>
    <w:rsid w:val="7FE47E50"/>
    <w:rsid w:val="7FED2BBA"/>
    <w:rsid w:val="7FEE1B73"/>
    <w:rsid w:val="7FF5D58A"/>
    <w:rsid w:val="7FFF78FB"/>
    <w:rsid w:val="7FFFADFF"/>
    <w:rsid w:val="7FFFCB72"/>
    <w:rsid w:val="97E283C5"/>
    <w:rsid w:val="AF7FF295"/>
    <w:rsid w:val="AFFC4F76"/>
    <w:rsid w:val="B3EF76BD"/>
    <w:rsid w:val="B6BD858B"/>
    <w:rsid w:val="BC7FD58C"/>
    <w:rsid w:val="BD1F36BE"/>
    <w:rsid w:val="BDDFBB2C"/>
    <w:rsid w:val="BE7931C1"/>
    <w:rsid w:val="BFBC7E4D"/>
    <w:rsid w:val="BFEFCF0E"/>
    <w:rsid w:val="CBFBB0AC"/>
    <w:rsid w:val="D6F9B8A7"/>
    <w:rsid w:val="D7F519D5"/>
    <w:rsid w:val="DBA73F49"/>
    <w:rsid w:val="DDD39224"/>
    <w:rsid w:val="DDF74522"/>
    <w:rsid w:val="DE797132"/>
    <w:rsid w:val="DFEF7357"/>
    <w:rsid w:val="E7DD1AD1"/>
    <w:rsid w:val="EB9BCD51"/>
    <w:rsid w:val="EE7E3B24"/>
    <w:rsid w:val="EEFFCBFD"/>
    <w:rsid w:val="F159EB71"/>
    <w:rsid w:val="F3CF3FC1"/>
    <w:rsid w:val="F3F95548"/>
    <w:rsid w:val="F65B8F1F"/>
    <w:rsid w:val="F77B058A"/>
    <w:rsid w:val="F7DA65B8"/>
    <w:rsid w:val="FA2FC2BA"/>
    <w:rsid w:val="FABF14E5"/>
    <w:rsid w:val="FBD1F96E"/>
    <w:rsid w:val="FD2E9BBA"/>
    <w:rsid w:val="FDBB6444"/>
    <w:rsid w:val="FEFF3883"/>
    <w:rsid w:val="FF7B26EA"/>
    <w:rsid w:val="FF94ABF1"/>
    <w:rsid w:val="FFF3F539"/>
    <w:rsid w:val="FFFAF48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name="toc 1" w:locked="1"/>
    <w:lsdException w:unhideWhenUsed="0" w:uiPriority="0" w:semiHidden="0" w:name="toc 2" w:locked="1"/>
    <w:lsdException w:uiPriority="0" w:semiHidden="0" w:name="toc 3" w:locked="1"/>
    <w:lsdException w:unhideWhenUsed="0" w:uiPriority="0" w:semiHidden="0" w:name="toc 4" w:locked="1"/>
    <w:lsdException w:qFormat="1" w:unhideWhenUsed="0" w:uiPriority="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ocked="1"/>
    <w:lsdException w:unhideWhenUsed="0" w:uiPriority="0" w:semiHidden="0" w:name="footnote text" w:locked="1"/>
    <w:lsdException w:qFormat="1" w:unhideWhenUsed="0" w:uiPriority="0" w:name="annotation text"/>
    <w:lsdException w:unhideWhenUsed="0" w:uiPriority="0" w:semiHidden="0" w:name="header"/>
    <w:lsdException w:qFormat="1" w:unhideWhenUsed="0" w:uiPriority="99" w:semiHidden="0" w:name="footer"/>
    <w:lsdException w:qFormat="1" w:uiPriority="99" w:semiHidden="0" w:name="index heading" w:locked="1"/>
    <w:lsdException w:qFormat="1" w:uiPriority="0" w:name="caption" w:locked="1"/>
    <w:lsdException w:qFormat="1"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qFormat="1"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ocked="1"/>
    <w:lsdException w:unhideWhenUsed="0" w:uiPriority="0" w:semiHidden="0" w:name="Date"/>
    <w:lsdException w:qFormat="1" w:unhideWhenUsed="0" w:uiPriority="0" w:semiHidden="0" w:name="Body Text First Indent" w:locked="1"/>
    <w:lsdException w:qFormat="1" w:unhideWhenUsed="0" w:uiPriority="99"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after="260" w:line="415" w:lineRule="auto"/>
      <w:outlineLvl w:val="1"/>
    </w:pPr>
    <w:rPr>
      <w:rFonts w:ascii="Calibri Light" w:hAnsi="Calibri Light" w:eastAsia="宋体" w:cs="Times New Roman"/>
      <w:b/>
      <w:bCs/>
      <w:sz w:val="32"/>
      <w:szCs w:val="32"/>
    </w:rPr>
  </w:style>
  <w:style w:type="paragraph" w:styleId="4">
    <w:name w:val="heading 3"/>
    <w:basedOn w:val="1"/>
    <w:next w:val="1"/>
    <w:qFormat/>
    <w:locked/>
    <w:uiPriority w:val="0"/>
    <w:pPr>
      <w:keepNext/>
      <w:spacing w:line="200" w:lineRule="exact"/>
      <w:jc w:val="distribute"/>
      <w:outlineLvl w:val="2"/>
    </w:pPr>
    <w:rPr>
      <w:rFonts w:eastAsia="仿宋_GB2312"/>
      <w:bCs/>
      <w:sz w:val="15"/>
      <w:szCs w:val="18"/>
    </w:rPr>
  </w:style>
  <w:style w:type="character" w:default="1" w:styleId="33">
    <w:name w:val="Default Paragraph Font"/>
    <w:semiHidden/>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locked/>
    <w:uiPriority w:val="99"/>
    <w:pPr>
      <w:spacing w:line="440" w:lineRule="exact"/>
      <w:ind w:firstLine="420"/>
    </w:pPr>
    <w:rPr>
      <w:rFonts w:eastAsia="宋体"/>
      <w:sz w:val="24"/>
    </w:rPr>
  </w:style>
  <w:style w:type="paragraph" w:styleId="6">
    <w:name w:val="toa heading"/>
    <w:basedOn w:val="1"/>
    <w:next w:val="1"/>
    <w:unhideWhenUsed/>
    <w:qFormat/>
    <w:locked/>
    <w:uiPriority w:val="0"/>
    <w:pPr>
      <w:spacing w:before="120"/>
    </w:pPr>
    <w:rPr>
      <w:rFonts w:ascii="Arial" w:hAnsi="Arial" w:cs="Arial"/>
      <w:szCs w:val="20"/>
    </w:rPr>
  </w:style>
  <w:style w:type="paragraph" w:styleId="7">
    <w:name w:val="annotation text"/>
    <w:basedOn w:val="1"/>
    <w:next w:val="8"/>
    <w:link w:val="37"/>
    <w:semiHidden/>
    <w:qFormat/>
    <w:uiPriority w:val="0"/>
    <w:pPr>
      <w:jc w:val="left"/>
    </w:pPr>
    <w:rPr>
      <w:kern w:val="0"/>
      <w:sz w:val="24"/>
      <w:szCs w:val="20"/>
    </w:rPr>
  </w:style>
  <w:style w:type="paragraph" w:styleId="8">
    <w:name w:val="toc 5"/>
    <w:basedOn w:val="1"/>
    <w:next w:val="1"/>
    <w:semiHidden/>
    <w:qFormat/>
    <w:locked/>
    <w:uiPriority w:val="0"/>
    <w:pPr>
      <w:ind w:left="1680" w:leftChars="800"/>
    </w:pPr>
    <w:rPr>
      <w:rFonts w:ascii="Dutch801 Rm BT" w:hAnsi="Dutch801 Rm BT" w:cs="Dutch801 Rm BT"/>
      <w:sz w:val="21"/>
    </w:rPr>
  </w:style>
  <w:style w:type="paragraph" w:styleId="9">
    <w:name w:val="Salutation"/>
    <w:basedOn w:val="1"/>
    <w:next w:val="1"/>
    <w:qFormat/>
    <w:locked/>
    <w:uiPriority w:val="0"/>
    <w:pPr>
      <w:widowControl/>
      <w:adjustRightInd w:val="0"/>
      <w:snapToGrid w:val="0"/>
      <w:spacing w:after="200"/>
      <w:jc w:val="left"/>
    </w:pPr>
    <w:rPr>
      <w:rFonts w:ascii="Tahoma" w:hAnsi="Tahoma" w:eastAsia="宋体" w:cs="Times New Roman"/>
      <w:kern w:val="0"/>
      <w:sz w:val="22"/>
      <w:szCs w:val="22"/>
    </w:rPr>
  </w:style>
  <w:style w:type="paragraph" w:styleId="10">
    <w:name w:val="Body Text"/>
    <w:basedOn w:val="1"/>
    <w:next w:val="1"/>
    <w:link w:val="38"/>
    <w:qFormat/>
    <w:uiPriority w:val="0"/>
    <w:pPr>
      <w:widowControl/>
      <w:snapToGrid w:val="0"/>
      <w:spacing w:before="60" w:after="160" w:line="259" w:lineRule="auto"/>
      <w:ind w:right="113"/>
    </w:pPr>
    <w:rPr>
      <w:kern w:val="0"/>
      <w:sz w:val="18"/>
      <w:szCs w:val="20"/>
    </w:rPr>
  </w:style>
  <w:style w:type="paragraph" w:styleId="11">
    <w:name w:val="Body Text Indent"/>
    <w:basedOn w:val="1"/>
    <w:link w:val="39"/>
    <w:uiPriority w:val="0"/>
    <w:pPr>
      <w:spacing w:after="120"/>
      <w:ind w:left="420" w:leftChars="200"/>
    </w:pPr>
    <w:rPr>
      <w:kern w:val="0"/>
      <w:sz w:val="24"/>
      <w:szCs w:val="20"/>
    </w:rPr>
  </w:style>
  <w:style w:type="paragraph" w:styleId="12">
    <w:name w:val="Block Text"/>
    <w:basedOn w:val="1"/>
    <w:qFormat/>
    <w:locked/>
    <w:uiPriority w:val="0"/>
    <w:pPr>
      <w:ind w:left="-359" w:leftChars="-171" w:right="-334" w:rightChars="-159" w:firstLine="538" w:firstLineChars="192"/>
    </w:pPr>
    <w:rPr>
      <w:rFonts w:ascii="Times New Roman"/>
      <w:kern w:val="2"/>
      <w:sz w:val="28"/>
      <w:szCs w:val="24"/>
    </w:rPr>
  </w:style>
  <w:style w:type="paragraph" w:styleId="13">
    <w:name w:val="toc 3"/>
    <w:basedOn w:val="1"/>
    <w:next w:val="1"/>
    <w:unhideWhenUsed/>
    <w:locked/>
    <w:uiPriority w:val="0"/>
    <w:pPr>
      <w:widowControl/>
      <w:spacing w:after="100" w:line="259" w:lineRule="auto"/>
      <w:ind w:left="440"/>
      <w:jc w:val="left"/>
    </w:pPr>
    <w:rPr>
      <w:rFonts w:ascii="等线" w:hAnsi="等线" w:eastAsia="等线"/>
      <w:kern w:val="0"/>
      <w:sz w:val="22"/>
      <w:szCs w:val="22"/>
    </w:rPr>
  </w:style>
  <w:style w:type="paragraph" w:styleId="14">
    <w:name w:val="Plain Text"/>
    <w:basedOn w:val="1"/>
    <w:qFormat/>
    <w:locked/>
    <w:uiPriority w:val="0"/>
    <w:rPr>
      <w:rFonts w:ascii="宋体" w:hAnsi="Courier New" w:eastAsia="宋体"/>
      <w:szCs w:val="21"/>
    </w:rPr>
  </w:style>
  <w:style w:type="paragraph" w:styleId="15">
    <w:name w:val="List Bullet 5"/>
    <w:basedOn w:val="1"/>
    <w:qFormat/>
    <w:locked/>
    <w:uiPriority w:val="0"/>
    <w:pPr>
      <w:numPr>
        <w:ilvl w:val="0"/>
        <w:numId w:val="1"/>
      </w:numPr>
    </w:pPr>
  </w:style>
  <w:style w:type="paragraph" w:styleId="16">
    <w:name w:val="Date"/>
    <w:basedOn w:val="1"/>
    <w:next w:val="1"/>
    <w:link w:val="40"/>
    <w:uiPriority w:val="0"/>
    <w:pPr>
      <w:ind w:left="100" w:leftChars="2500"/>
    </w:pPr>
    <w:rPr>
      <w:kern w:val="0"/>
      <w:sz w:val="24"/>
      <w:szCs w:val="20"/>
    </w:rPr>
  </w:style>
  <w:style w:type="paragraph" w:styleId="17">
    <w:name w:val="Body Text Indent 2"/>
    <w:basedOn w:val="1"/>
    <w:next w:val="1"/>
    <w:qFormat/>
    <w:locked/>
    <w:uiPriority w:val="0"/>
    <w:pPr>
      <w:spacing w:line="300" w:lineRule="auto"/>
      <w:ind w:firstLine="480"/>
    </w:pPr>
    <w:rPr>
      <w:rFonts w:ascii="兰米仿宋体" w:eastAsia="兰米仿宋体"/>
      <w:b/>
      <w:sz w:val="24"/>
    </w:rPr>
  </w:style>
  <w:style w:type="paragraph" w:styleId="18">
    <w:name w:val="Balloon Text"/>
    <w:basedOn w:val="1"/>
    <w:link w:val="41"/>
    <w:semiHidden/>
    <w:qFormat/>
    <w:uiPriority w:val="0"/>
    <w:rPr>
      <w:kern w:val="0"/>
      <w:sz w:val="18"/>
      <w:szCs w:val="20"/>
    </w:rPr>
  </w:style>
  <w:style w:type="paragraph" w:styleId="19">
    <w:name w:val="footer"/>
    <w:basedOn w:val="1"/>
    <w:link w:val="42"/>
    <w:qFormat/>
    <w:uiPriority w:val="99"/>
    <w:pPr>
      <w:tabs>
        <w:tab w:val="center" w:pos="4153"/>
        <w:tab w:val="right" w:pos="8306"/>
      </w:tabs>
      <w:snapToGrid w:val="0"/>
      <w:jc w:val="left"/>
    </w:pPr>
    <w:rPr>
      <w:kern w:val="0"/>
      <w:sz w:val="18"/>
      <w:szCs w:val="20"/>
    </w:rPr>
  </w:style>
  <w:style w:type="paragraph" w:styleId="20">
    <w:name w:val="header"/>
    <w:basedOn w:val="1"/>
    <w:link w:val="43"/>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semiHidden/>
    <w:qFormat/>
    <w:locked/>
    <w:uiPriority w:val="0"/>
    <w:pPr>
      <w:jc w:val="center"/>
    </w:pPr>
    <w:rPr>
      <w:rFonts w:eastAsia="楷体_GB2312"/>
      <w:sz w:val="24"/>
    </w:rPr>
  </w:style>
  <w:style w:type="paragraph" w:styleId="22">
    <w:name w:val="index heading"/>
    <w:basedOn w:val="1"/>
    <w:next w:val="23"/>
    <w:unhideWhenUsed/>
    <w:qFormat/>
    <w:locked/>
    <w:uiPriority w:val="99"/>
    <w:rPr>
      <w:rFonts w:ascii="Arial" w:hAnsi="Arial" w:cs="Arial"/>
      <w:b/>
      <w:bCs/>
    </w:rPr>
  </w:style>
  <w:style w:type="paragraph" w:styleId="23">
    <w:name w:val="index 1"/>
    <w:basedOn w:val="1"/>
    <w:next w:val="1"/>
    <w:semiHidden/>
    <w:qFormat/>
    <w:locked/>
    <w:uiPriority w:val="0"/>
  </w:style>
  <w:style w:type="paragraph" w:styleId="24">
    <w:name w:val="Subtitle"/>
    <w:basedOn w:val="1"/>
    <w:next w:val="1"/>
    <w:qFormat/>
    <w:locked/>
    <w:uiPriority w:val="0"/>
    <w:pPr>
      <w:widowControl/>
      <w:spacing w:before="240" w:after="60" w:line="312" w:lineRule="auto"/>
      <w:jc w:val="center"/>
      <w:outlineLvl w:val="1"/>
    </w:pPr>
    <w:rPr>
      <w:rFonts w:ascii="Arial" w:hAnsi="Arial"/>
      <w:b/>
      <w:bCs/>
      <w:kern w:val="28"/>
      <w:sz w:val="32"/>
      <w:szCs w:val="32"/>
    </w:rPr>
  </w:style>
  <w:style w:type="paragraph" w:styleId="25">
    <w:name w:val="List"/>
    <w:basedOn w:val="1"/>
    <w:qFormat/>
    <w:locked/>
    <w:uiPriority w:val="0"/>
    <w:pPr>
      <w:ind w:left="200" w:hanging="200" w:hangingChars="200"/>
    </w:pPr>
  </w:style>
  <w:style w:type="paragraph" w:styleId="26">
    <w:name w:val="table of figures"/>
    <w:basedOn w:val="1"/>
    <w:next w:val="1"/>
    <w:qFormat/>
    <w:locked/>
    <w:uiPriority w:val="0"/>
    <w:pPr>
      <w:ind w:left="840" w:leftChars="200" w:hanging="420" w:hangingChars="200"/>
    </w:pPr>
    <w:rPr>
      <w:sz w:val="28"/>
      <w:szCs w:val="20"/>
    </w:rPr>
  </w:style>
  <w:style w:type="paragraph" w:styleId="27">
    <w:name w:val="Normal (Web)"/>
    <w:basedOn w:val="1"/>
    <w:link w:val="44"/>
    <w:qFormat/>
    <w:uiPriority w:val="0"/>
    <w:pPr>
      <w:widowControl/>
      <w:spacing w:before="100" w:beforeAutospacing="1" w:after="100" w:afterAutospacing="1"/>
      <w:jc w:val="left"/>
    </w:pPr>
    <w:rPr>
      <w:rFonts w:ascii="宋体" w:hAnsi="宋体"/>
      <w:kern w:val="0"/>
      <w:sz w:val="24"/>
      <w:szCs w:val="20"/>
    </w:rPr>
  </w:style>
  <w:style w:type="paragraph" w:styleId="28">
    <w:name w:val="annotation subject"/>
    <w:basedOn w:val="7"/>
    <w:next w:val="7"/>
    <w:link w:val="45"/>
    <w:semiHidden/>
    <w:uiPriority w:val="0"/>
    <w:rPr>
      <w:b/>
      <w:sz w:val="24"/>
      <w:szCs w:val="20"/>
    </w:rPr>
  </w:style>
  <w:style w:type="paragraph" w:styleId="29">
    <w:name w:val="Body Text First Indent"/>
    <w:basedOn w:val="10"/>
    <w:next w:val="1"/>
    <w:qFormat/>
    <w:locked/>
    <w:uiPriority w:val="0"/>
    <w:pPr>
      <w:spacing w:after="120" w:line="240" w:lineRule="auto"/>
      <w:ind w:firstLine="420" w:firstLineChars="100"/>
    </w:pPr>
    <w:rPr>
      <w:rFonts w:eastAsia="宋体"/>
      <w:sz w:val="21"/>
    </w:rPr>
  </w:style>
  <w:style w:type="paragraph" w:styleId="30">
    <w:name w:val="Body Text First Indent 2"/>
    <w:basedOn w:val="11"/>
    <w:qFormat/>
    <w:locked/>
    <w:uiPriority w:val="99"/>
    <w:pPr>
      <w:spacing w:line="440" w:lineRule="exact"/>
      <w:ind w:left="200" w:leftChars="200" w:firstLine="200"/>
    </w:pPr>
    <w:rPr>
      <w:rFonts w:ascii="Calibri" w:hAnsi="Calibri" w:eastAsia="宋体" w:cs="Times New Roman"/>
      <w:sz w:val="24"/>
      <w:szCs w:val="21"/>
    </w:rPr>
  </w:style>
  <w:style w:type="table" w:styleId="32">
    <w:name w:val="Table Grid"/>
    <w:basedOn w:val="31"/>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locked/>
    <w:uiPriority w:val="0"/>
    <w:rPr>
      <w:b/>
      <w:bCs/>
    </w:rPr>
  </w:style>
  <w:style w:type="character" w:styleId="35">
    <w:name w:val="page number"/>
    <w:locked/>
    <w:uiPriority w:val="0"/>
  </w:style>
  <w:style w:type="character" w:styleId="36">
    <w:name w:val="annotation reference"/>
    <w:semiHidden/>
    <w:qFormat/>
    <w:uiPriority w:val="0"/>
    <w:rPr>
      <w:sz w:val="21"/>
    </w:rPr>
  </w:style>
  <w:style w:type="character" w:customStyle="1" w:styleId="37">
    <w:name w:val="批注文字 字符"/>
    <w:link w:val="7"/>
    <w:qFormat/>
    <w:locked/>
    <w:uiPriority w:val="0"/>
    <w:rPr>
      <w:rFonts w:ascii="Times New Roman" w:hAnsi="Times New Roman" w:eastAsia="宋体"/>
      <w:sz w:val="24"/>
    </w:rPr>
  </w:style>
  <w:style w:type="character" w:customStyle="1" w:styleId="38">
    <w:name w:val="正文文本 字符"/>
    <w:link w:val="10"/>
    <w:locked/>
    <w:uiPriority w:val="0"/>
    <w:rPr>
      <w:sz w:val="18"/>
    </w:rPr>
  </w:style>
  <w:style w:type="character" w:customStyle="1" w:styleId="39">
    <w:name w:val="正文文本缩进 字符"/>
    <w:link w:val="11"/>
    <w:semiHidden/>
    <w:qFormat/>
    <w:locked/>
    <w:uiPriority w:val="0"/>
    <w:rPr>
      <w:rFonts w:ascii="Times New Roman" w:hAnsi="Times New Roman" w:eastAsia="宋体"/>
      <w:sz w:val="24"/>
    </w:rPr>
  </w:style>
  <w:style w:type="character" w:customStyle="1" w:styleId="40">
    <w:name w:val="日期 字符1"/>
    <w:link w:val="16"/>
    <w:locked/>
    <w:uiPriority w:val="0"/>
    <w:rPr>
      <w:rFonts w:ascii="Times New Roman" w:hAnsi="Times New Roman" w:eastAsia="宋体"/>
      <w:sz w:val="24"/>
    </w:rPr>
  </w:style>
  <w:style w:type="character" w:customStyle="1" w:styleId="41">
    <w:name w:val="批注框文本 字符"/>
    <w:link w:val="18"/>
    <w:semiHidden/>
    <w:qFormat/>
    <w:locked/>
    <w:uiPriority w:val="0"/>
    <w:rPr>
      <w:rFonts w:ascii="Times New Roman" w:hAnsi="Times New Roman" w:eastAsia="宋体"/>
      <w:sz w:val="18"/>
    </w:rPr>
  </w:style>
  <w:style w:type="character" w:customStyle="1" w:styleId="42">
    <w:name w:val="页脚 字符1"/>
    <w:link w:val="19"/>
    <w:qFormat/>
    <w:locked/>
    <w:uiPriority w:val="99"/>
    <w:rPr>
      <w:sz w:val="18"/>
    </w:rPr>
  </w:style>
  <w:style w:type="character" w:customStyle="1" w:styleId="43">
    <w:name w:val="页眉 字符"/>
    <w:link w:val="20"/>
    <w:locked/>
    <w:uiPriority w:val="0"/>
    <w:rPr>
      <w:sz w:val="18"/>
    </w:rPr>
  </w:style>
  <w:style w:type="character" w:customStyle="1" w:styleId="44">
    <w:name w:val="普通(网站) 字符"/>
    <w:link w:val="27"/>
    <w:qFormat/>
    <w:locked/>
    <w:uiPriority w:val="0"/>
    <w:rPr>
      <w:rFonts w:ascii="宋体" w:hAnsi="宋体" w:eastAsia="宋体"/>
      <w:sz w:val="24"/>
    </w:rPr>
  </w:style>
  <w:style w:type="character" w:customStyle="1" w:styleId="45">
    <w:name w:val="批注主题 字符"/>
    <w:link w:val="28"/>
    <w:semiHidden/>
    <w:locked/>
    <w:uiPriority w:val="0"/>
    <w:rPr>
      <w:rFonts w:ascii="Times New Roman" w:hAnsi="Times New Roman" w:eastAsia="宋体"/>
      <w:b/>
      <w:kern w:val="2"/>
      <w:sz w:val="24"/>
    </w:rPr>
  </w:style>
  <w:style w:type="paragraph" w:customStyle="1" w:styleId="46">
    <w:name w:val="文本"/>
    <w:basedOn w:val="47"/>
    <w:qFormat/>
    <w:uiPriority w:val="0"/>
    <w:pPr>
      <w:spacing w:line="360" w:lineRule="auto"/>
      <w:ind w:firstLine="495"/>
    </w:pPr>
    <w:rPr>
      <w:rFonts w:ascii="Calibri" w:hAnsi="Calibri"/>
      <w:kern w:val="0"/>
      <w:sz w:val="24"/>
      <w:szCs w:val="20"/>
    </w:rPr>
  </w:style>
  <w:style w:type="paragraph" w:customStyle="1" w:styleId="47">
    <w:name w:val="样式4"/>
    <w:basedOn w:val="5"/>
    <w:qFormat/>
    <w:uiPriority w:val="0"/>
    <w:pPr>
      <w:widowControl/>
      <w:spacing w:line="360" w:lineRule="auto"/>
      <w:ind w:firstLine="480" w:firstLineChars="200"/>
    </w:pPr>
    <w:rPr>
      <w:rFonts w:ascii="Arial" w:hAnsi="Arial"/>
      <w:kern w:val="0"/>
      <w:sz w:val="24"/>
      <w:szCs w:val="24"/>
    </w:rPr>
  </w:style>
  <w:style w:type="character" w:customStyle="1" w:styleId="48">
    <w:name w:val="表格 Char"/>
    <w:link w:val="49"/>
    <w:locked/>
    <w:uiPriority w:val="0"/>
    <w:rPr>
      <w:rFonts w:ascii="宋体"/>
      <w:sz w:val="21"/>
    </w:rPr>
  </w:style>
  <w:style w:type="paragraph" w:customStyle="1" w:styleId="49">
    <w:name w:val="表格"/>
    <w:basedOn w:val="50"/>
    <w:link w:val="48"/>
    <w:qFormat/>
    <w:uiPriority w:val="0"/>
    <w:pPr>
      <w:adjustRightInd w:val="0"/>
      <w:snapToGrid w:val="0"/>
      <w:spacing w:beforeLines="10" w:afterLines="10" w:line="259" w:lineRule="auto"/>
      <w:jc w:val="center"/>
    </w:pPr>
    <w:rPr>
      <w:rFonts w:ascii="宋体"/>
      <w:kern w:val="0"/>
      <w:szCs w:val="20"/>
    </w:rPr>
  </w:style>
  <w:style w:type="paragraph" w:customStyle="1" w:styleId="50">
    <w:name w:val="1正文"/>
    <w:basedOn w:val="1"/>
    <w:qFormat/>
    <w:uiPriority w:val="0"/>
    <w:pPr>
      <w:adjustRightInd w:val="0"/>
      <w:snapToGrid w:val="0"/>
      <w:spacing w:line="440" w:lineRule="exact"/>
      <w:ind w:firstLine="200" w:firstLineChars="200"/>
      <w:jc w:val="both"/>
    </w:pPr>
    <w:rPr>
      <w:rFonts w:ascii="Times New Roman" w:hAnsi="Times New Roman" w:eastAsia="宋体" w:cs="Times New Roman"/>
      <w:sz w:val="24"/>
      <w:szCs w:val="24"/>
      <w:lang w:eastAsia="zh-CN"/>
    </w:rPr>
  </w:style>
  <w:style w:type="character" w:customStyle="1" w:styleId="51">
    <w:name w:val="font11"/>
    <w:basedOn w:val="33"/>
    <w:qFormat/>
    <w:uiPriority w:val="0"/>
    <w:rPr>
      <w:rFonts w:hint="default" w:ascii="Times New Roman" w:hAnsi="Times New Roman" w:cs="Times New Roman"/>
      <w:color w:val="000000"/>
      <w:sz w:val="22"/>
      <w:szCs w:val="22"/>
      <w:u w:val="none"/>
      <w:vertAlign w:val="superscript"/>
    </w:rPr>
  </w:style>
  <w:style w:type="character" w:customStyle="1" w:styleId="52">
    <w:name w:val="font01"/>
    <w:basedOn w:val="33"/>
    <w:qFormat/>
    <w:uiPriority w:val="0"/>
    <w:rPr>
      <w:rFonts w:hint="eastAsia" w:ascii="宋体" w:hAnsi="宋体" w:eastAsia="宋体" w:cs="宋体"/>
      <w:color w:val="000000"/>
      <w:sz w:val="22"/>
      <w:szCs w:val="22"/>
      <w:u w:val="none"/>
    </w:rPr>
  </w:style>
  <w:style w:type="character" w:customStyle="1" w:styleId="53">
    <w:name w:val="页脚 字符"/>
    <w:uiPriority w:val="99"/>
  </w:style>
  <w:style w:type="character" w:customStyle="1" w:styleId="54">
    <w:name w:val="font41"/>
    <w:qFormat/>
    <w:uiPriority w:val="0"/>
    <w:rPr>
      <w:rFonts w:hint="eastAsia" w:ascii="黑体" w:hAnsi="宋体" w:eastAsia="黑体" w:cs="黑体"/>
      <w:color w:val="000000"/>
      <w:sz w:val="22"/>
      <w:szCs w:val="22"/>
      <w:u w:val="none"/>
    </w:rPr>
  </w:style>
  <w:style w:type="character" w:customStyle="1" w:styleId="55">
    <w:name w:val="批注文字 字符1"/>
    <w:semiHidden/>
    <w:qFormat/>
    <w:uiPriority w:val="0"/>
    <w:rPr>
      <w:rFonts w:ascii="Times New Roman" w:hAnsi="Times New Roman" w:eastAsia="宋体"/>
      <w:sz w:val="24"/>
    </w:rPr>
  </w:style>
  <w:style w:type="character" w:customStyle="1" w:styleId="56">
    <w:name w:val="正文文本 字符1"/>
    <w:semiHidden/>
    <w:uiPriority w:val="0"/>
    <w:rPr>
      <w:rFonts w:ascii="Times New Roman" w:hAnsi="Times New Roman" w:eastAsia="宋体"/>
      <w:sz w:val="24"/>
    </w:rPr>
  </w:style>
  <w:style w:type="character" w:customStyle="1" w:styleId="57">
    <w:name w:val="font31"/>
    <w:basedOn w:val="33"/>
    <w:qFormat/>
    <w:uiPriority w:val="0"/>
    <w:rPr>
      <w:rFonts w:hint="eastAsia" w:ascii="黑体" w:hAnsi="宋体" w:eastAsia="黑体" w:cs="黑体"/>
      <w:color w:val="000000"/>
      <w:sz w:val="22"/>
      <w:szCs w:val="22"/>
      <w:u w:val="none"/>
    </w:rPr>
  </w:style>
  <w:style w:type="character" w:customStyle="1" w:styleId="58">
    <w:name w:val="日期 字符"/>
    <w:semiHidden/>
    <w:uiPriority w:val="0"/>
    <w:rPr>
      <w:rFonts w:ascii="Times New Roman" w:hAnsi="Times New Roman" w:eastAsia="宋体"/>
      <w:sz w:val="24"/>
    </w:rPr>
  </w:style>
  <w:style w:type="paragraph" w:customStyle="1" w:styleId="59">
    <w:name w:val="图表标题"/>
    <w:basedOn w:val="49"/>
    <w:qFormat/>
    <w:uiPriority w:val="0"/>
    <w:pPr>
      <w:adjustRightInd/>
      <w:spacing w:beforeLines="0" w:afterLines="0" w:line="240" w:lineRule="auto"/>
      <w:ind w:firstLine="0" w:firstLineChars="0"/>
    </w:pPr>
    <w:rPr>
      <w:rFonts w:ascii="Times New Roman" w:hAnsi="Times New Roman" w:eastAsia="宋体"/>
      <w:b/>
      <w:sz w:val="21"/>
    </w:rPr>
  </w:style>
  <w:style w:type="paragraph" w:customStyle="1" w:styleId="60">
    <w:name w:val="报告"/>
    <w:basedOn w:val="1"/>
    <w:qFormat/>
    <w:uiPriority w:val="0"/>
    <w:pPr>
      <w:adjustRightInd w:val="0"/>
      <w:spacing w:line="360" w:lineRule="auto"/>
      <w:ind w:firstLine="505"/>
      <w:textAlignment w:val="baseline"/>
    </w:pPr>
    <w:rPr>
      <w:rFonts w:eastAsia="宋体"/>
      <w:kern w:val="0"/>
      <w:sz w:val="24"/>
    </w:rPr>
  </w:style>
  <w:style w:type="paragraph" w:customStyle="1" w:styleId="61">
    <w:name w:val="正文样式"/>
    <w:basedOn w:val="1"/>
    <w:qFormat/>
    <w:uiPriority w:val="0"/>
    <w:pPr>
      <w:spacing w:line="360" w:lineRule="auto"/>
      <w:ind w:right="170" w:firstLine="480" w:firstLineChars="200"/>
    </w:pPr>
    <w:rPr>
      <w:rFonts w:hAnsi="宋体"/>
      <w:sz w:val="24"/>
    </w:rPr>
  </w:style>
  <w:style w:type="paragraph" w:customStyle="1" w:styleId="62">
    <w:name w:val="书正文"/>
    <w:qFormat/>
    <w:uiPriority w:val="0"/>
    <w:pPr>
      <w:spacing w:line="520" w:lineRule="exact"/>
      <w:ind w:firstLine="480" w:firstLineChars="200"/>
      <w:jc w:val="both"/>
    </w:pPr>
    <w:rPr>
      <w:rFonts w:ascii="Times New Roman" w:hAnsi="Times New Roman" w:eastAsia="宋体" w:cs="Times New Roman"/>
      <w:snapToGrid w:val="0"/>
      <w:color w:val="000000"/>
      <w:kern w:val="2"/>
      <w:sz w:val="24"/>
      <w:szCs w:val="22"/>
      <w:lang w:val="zh-TW" w:eastAsia="zh-TW" w:bidi="ar-SA"/>
    </w:rPr>
  </w:style>
  <w:style w:type="paragraph" w:customStyle="1" w:styleId="63">
    <w:name w:val="Default"/>
    <w:basedOn w:val="64"/>
    <w:qFormat/>
    <w:uiPriority w:val="0"/>
    <w:pPr>
      <w:widowControl w:val="0"/>
      <w:autoSpaceDE w:val="0"/>
      <w:autoSpaceDN w:val="0"/>
      <w:adjustRightInd w:val="0"/>
    </w:pPr>
    <w:rPr>
      <w:rFonts w:ascii="Arial" w:hAnsi="Arial" w:cs="Arial"/>
      <w:color w:val="000000"/>
      <w:sz w:val="24"/>
      <w:szCs w:val="24"/>
      <w:lang w:val="en-US" w:eastAsia="zh-CN" w:bidi="ar-SA"/>
    </w:rPr>
  </w:style>
  <w:style w:type="paragraph" w:customStyle="1" w:styleId="64">
    <w:name w:val="纯文本1"/>
    <w:basedOn w:val="1"/>
    <w:qFormat/>
    <w:uiPriority w:val="0"/>
    <w:pPr>
      <w:adjustRightInd w:val="0"/>
      <w:textAlignment w:val="baseline"/>
    </w:pPr>
    <w:rPr>
      <w:rFonts w:ascii="宋体" w:hAnsi="Courier New"/>
      <w:kern w:val="0"/>
      <w:sz w:val="28"/>
      <w:szCs w:val="20"/>
    </w:rPr>
  </w:style>
  <w:style w:type="paragraph" w:customStyle="1" w:styleId="65">
    <w:name w:val="【表内字】"/>
    <w:qFormat/>
    <w:uiPriority w:val="0"/>
    <w:pPr>
      <w:adjustRightInd w:val="0"/>
      <w:snapToGrid w:val="0"/>
    </w:pPr>
    <w:rPr>
      <w:rFonts w:ascii="Calibri" w:hAnsi="Calibri" w:eastAsia="宋体" w:cs="Times New Roman"/>
      <w:sz w:val="21"/>
      <w:lang w:val="en-US" w:eastAsia="zh-CN" w:bidi="ar-SA"/>
    </w:rPr>
  </w:style>
  <w:style w:type="paragraph" w:customStyle="1" w:styleId="66">
    <w:name w:val="标准正文"/>
    <w:basedOn w:val="1"/>
    <w:qFormat/>
    <w:uiPriority w:val="0"/>
    <w:pPr>
      <w:adjustRightInd w:val="0"/>
      <w:spacing w:line="460" w:lineRule="atLeast"/>
      <w:ind w:firstLine="567"/>
      <w:jc w:val="left"/>
    </w:pPr>
    <w:rPr>
      <w:kern w:val="28"/>
      <w:sz w:val="28"/>
      <w:szCs w:val="20"/>
    </w:rPr>
  </w:style>
  <w:style w:type="paragraph" w:customStyle="1" w:styleId="67">
    <w:name w:val="表格首行"/>
    <w:basedOn w:val="1"/>
    <w:next w:val="1"/>
    <w:qFormat/>
    <w:uiPriority w:val="0"/>
    <w:pPr>
      <w:adjustRightInd w:val="0"/>
      <w:jc w:val="center"/>
    </w:pPr>
    <w:rPr>
      <w:rFonts w:cs="宋体"/>
      <w:b/>
    </w:rPr>
  </w:style>
  <w:style w:type="paragraph" w:customStyle="1" w:styleId="68">
    <w:name w:val="真·表头"/>
    <w:basedOn w:val="1"/>
    <w:qFormat/>
    <w:uiPriority w:val="0"/>
    <w:pPr>
      <w:spacing w:beforeLines="50"/>
      <w:jc w:val="center"/>
    </w:pPr>
    <w:rPr>
      <w:rFonts w:ascii="Calibri" w:hAnsi="Calibri" w:eastAsia="黑体"/>
      <w:sz w:val="21"/>
      <w:szCs w:val="30"/>
    </w:rPr>
  </w:style>
  <w:style w:type="paragraph" w:customStyle="1" w:styleId="69">
    <w:name w:val="报告表正文"/>
    <w:basedOn w:val="1"/>
    <w:qFormat/>
    <w:uiPriority w:val="0"/>
    <w:pPr>
      <w:adjustRightInd w:val="0"/>
      <w:spacing w:line="312" w:lineRule="auto"/>
      <w:ind w:left="113" w:right="113" w:firstLine="482"/>
      <w:jc w:val="left"/>
      <w:textAlignment w:val="baseline"/>
    </w:pPr>
    <w:rPr>
      <w:kern w:val="0"/>
      <w:sz w:val="24"/>
    </w:rPr>
  </w:style>
  <w:style w:type="paragraph" w:customStyle="1" w:styleId="70">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1">
    <w:name w:val="列出段落11"/>
    <w:basedOn w:val="1"/>
    <w:qFormat/>
    <w:uiPriority w:val="0"/>
    <w:pPr>
      <w:ind w:firstLine="420" w:firstLineChars="200"/>
    </w:pPr>
    <w:rPr>
      <w:szCs w:val="21"/>
    </w:rPr>
  </w:style>
  <w:style w:type="paragraph" w:customStyle="1" w:styleId="72">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73">
    <w:name w:val="列出段落1"/>
    <w:basedOn w:val="1"/>
    <w:qFormat/>
    <w:uiPriority w:val="34"/>
    <w:pPr>
      <w:ind w:firstLine="420" w:firstLineChars="200"/>
    </w:pPr>
    <w:rPr>
      <w:szCs w:val="21"/>
    </w:rPr>
  </w:style>
  <w:style w:type="paragraph" w:customStyle="1" w:styleId="74">
    <w:name w:val="报告表格"/>
    <w:basedOn w:val="1"/>
    <w:qFormat/>
    <w:uiPriority w:val="0"/>
    <w:pPr>
      <w:autoSpaceDE w:val="0"/>
      <w:autoSpaceDN w:val="0"/>
      <w:adjustRightInd w:val="0"/>
      <w:spacing w:before="40" w:beforeLines="0" w:beforeAutospacing="0" w:after="40" w:afterLines="0" w:afterAutospacing="0"/>
      <w:jc w:val="center"/>
      <w:textAlignment w:val="baseline"/>
    </w:pPr>
    <w:rPr>
      <w:kern w:val="0"/>
    </w:rPr>
  </w:style>
  <w:style w:type="paragraph" w:customStyle="1" w:styleId="75">
    <w:name w:val="已有表格"/>
    <w:basedOn w:val="1"/>
    <w:qFormat/>
    <w:uiPriority w:val="99"/>
    <w:pPr>
      <w:adjustRightInd w:val="0"/>
      <w:spacing w:before="40" w:after="40"/>
      <w:jc w:val="center"/>
    </w:pPr>
    <w:rPr>
      <w:b/>
      <w:kern w:val="0"/>
      <w:sz w:val="24"/>
      <w:szCs w:val="20"/>
    </w:rPr>
  </w:style>
  <w:style w:type="paragraph" w:customStyle="1" w:styleId="76">
    <w:name w:val="正文-蓝色"/>
    <w:basedOn w:val="1"/>
    <w:qFormat/>
    <w:uiPriority w:val="0"/>
    <w:pPr>
      <w:spacing w:line="360" w:lineRule="auto"/>
      <w:ind w:firstLine="200" w:firstLineChars="200"/>
    </w:pPr>
    <w:rPr>
      <w:color w:val="FF0000"/>
      <w:kern w:val="0"/>
      <w:sz w:val="24"/>
      <w:szCs w:val="28"/>
    </w:rPr>
  </w:style>
  <w:style w:type="paragraph" w:customStyle="1" w:styleId="77">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rPr>
  </w:style>
  <w:style w:type="paragraph" w:customStyle="1" w:styleId="78">
    <w:name w:val="正文-欣欣"/>
    <w:basedOn w:val="1"/>
    <w:next w:val="1"/>
    <w:qFormat/>
    <w:uiPriority w:val="0"/>
    <w:pPr>
      <w:adjustRightInd w:val="0"/>
      <w:spacing w:line="360" w:lineRule="auto"/>
      <w:ind w:firstLine="200" w:firstLineChars="200"/>
    </w:pPr>
    <w:rPr>
      <w:rFonts w:cs="Courier New"/>
      <w:sz w:val="24"/>
      <w:szCs w:val="21"/>
    </w:rPr>
  </w:style>
  <w:style w:type="paragraph" w:customStyle="1" w:styleId="79">
    <w:name w:val="表格标题-5"/>
    <w:basedOn w:val="1"/>
    <w:next w:val="1"/>
    <w:qFormat/>
    <w:uiPriority w:val="0"/>
    <w:pPr>
      <w:adjustRightInd w:val="0"/>
      <w:snapToGrid w:val="0"/>
      <w:spacing w:line="360" w:lineRule="auto"/>
      <w:jc w:val="center"/>
    </w:pPr>
    <w:rPr>
      <w:b/>
      <w:sz w:val="24"/>
      <w:szCs w:val="24"/>
    </w:rPr>
  </w:style>
  <w:style w:type="paragraph" w:customStyle="1" w:styleId="80">
    <w:name w:val="aa正文"/>
    <w:basedOn w:val="1"/>
    <w:qFormat/>
    <w:uiPriority w:val="0"/>
    <w:pPr>
      <w:widowControl/>
      <w:spacing w:line="360" w:lineRule="auto"/>
      <w:jc w:val="left"/>
    </w:pPr>
    <w:rPr>
      <w:rFonts w:cs="宋体"/>
      <w:sz w:val="24"/>
    </w:rPr>
  </w:style>
  <w:style w:type="paragraph" w:customStyle="1" w:styleId="81">
    <w:name w:val="Table Paragraph"/>
    <w:basedOn w:val="1"/>
    <w:qFormat/>
    <w:uiPriority w:val="1"/>
    <w:rPr>
      <w:rFonts w:ascii="宋体" w:hAnsi="宋体" w:eastAsia="宋体" w:cs="宋体"/>
      <w:lang w:val="zh-CN" w:eastAsia="zh-CN" w:bidi="zh-CN"/>
    </w:rPr>
  </w:style>
  <w:style w:type="paragraph" w:customStyle="1" w:styleId="82">
    <w:name w:val="（lxp）正文"/>
    <w:basedOn w:val="1"/>
    <w:qFormat/>
    <w:uiPriority w:val="0"/>
    <w:pPr>
      <w:adjustRightInd w:val="0"/>
      <w:snapToGrid w:val="0"/>
      <w:spacing w:line="360" w:lineRule="auto"/>
      <w:ind w:firstLine="480" w:firstLineChars="200"/>
    </w:pPr>
    <w:rPr>
      <w:rFonts w:hAnsi="宋体" w:eastAsia="Times New Roman"/>
      <w:sz w:val="24"/>
      <w:szCs w:val="24"/>
    </w:rPr>
  </w:style>
  <w:style w:type="paragraph" w:customStyle="1" w:styleId="83">
    <w:name w:val="样式 样式 首行缩进:  2 字符 + 首行缩进:  2 字符"/>
    <w:basedOn w:val="1"/>
    <w:qFormat/>
    <w:uiPriority w:val="0"/>
    <w:pPr>
      <w:spacing w:line="360" w:lineRule="auto"/>
      <w:ind w:firstLine="200" w:firstLineChars="200"/>
    </w:pPr>
    <w:rPr>
      <w:rFonts w:ascii="宋体" w:hAnsi="宋体" w:cs="宋体"/>
      <w:color w:val="0000FF"/>
      <w:sz w:val="24"/>
    </w:rPr>
  </w:style>
  <w:style w:type="paragraph" w:customStyle="1" w:styleId="84">
    <w:name w:val="表标题名"/>
    <w:basedOn w:val="1"/>
    <w:qFormat/>
    <w:uiPriority w:val="0"/>
    <w:pPr>
      <w:numPr>
        <w:ilvl w:val="5"/>
        <w:numId w:val="2"/>
      </w:numPr>
      <w:spacing w:before="50" w:beforeLines="50" w:line="240" w:lineRule="auto"/>
      <w:ind w:firstLineChars="0"/>
      <w:jc w:val="center"/>
    </w:pPr>
    <w:rPr>
      <w:rFonts w:ascii="Times New Roman" w:hAnsi="Times New Roman" w:eastAsia="宋体"/>
      <w:b/>
      <w:sz w:val="21"/>
      <w:szCs w:val="21"/>
    </w:rPr>
  </w:style>
  <w:style w:type="paragraph" w:customStyle="1" w:styleId="85">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rPr>
  </w:style>
  <w:style w:type="paragraph" w:customStyle="1" w:styleId="86">
    <w:name w:val="样式1"/>
    <w:basedOn w:val="22"/>
    <w:next w:val="1"/>
    <w:qFormat/>
    <w:uiPriority w:val="0"/>
    <w:rPr>
      <w:rFonts w:ascii="Times New Roman" w:hAnsi="Times New Roman"/>
    </w:rPr>
  </w:style>
  <w:style w:type="paragraph" w:customStyle="1" w:styleId="87">
    <w:name w:val="表格文字"/>
    <w:basedOn w:val="29"/>
    <w:next w:val="1"/>
    <w:qFormat/>
    <w:uiPriority w:val="0"/>
    <w:pPr>
      <w:spacing w:before="60" w:after="60"/>
      <w:jc w:val="left"/>
      <w:textAlignment w:val="bottom"/>
    </w:pPr>
    <w:rPr>
      <w:kern w:val="0"/>
    </w:rPr>
  </w:style>
  <w:style w:type="paragraph" w:customStyle="1" w:styleId="88">
    <w:name w:val="W正文"/>
    <w:basedOn w:val="1"/>
    <w:link w:val="89"/>
    <w:qFormat/>
    <w:uiPriority w:val="0"/>
    <w:pPr>
      <w:adjustRightInd w:val="0"/>
      <w:snapToGrid w:val="0"/>
      <w:spacing w:line="480" w:lineRule="exact"/>
      <w:ind w:firstLine="200" w:firstLineChars="200"/>
    </w:pPr>
    <w:rPr>
      <w:kern w:val="0"/>
      <w:sz w:val="24"/>
      <w:szCs w:val="20"/>
    </w:rPr>
  </w:style>
  <w:style w:type="character" w:customStyle="1" w:styleId="89">
    <w:name w:val="W正文 Char"/>
    <w:link w:val="88"/>
    <w:qFormat/>
    <w:uiPriority w:val="0"/>
    <w:rPr>
      <w:kern w:val="0"/>
      <w:sz w:val="24"/>
      <w:szCs w:val="20"/>
    </w:rPr>
  </w:style>
  <w:style w:type="paragraph" w:customStyle="1" w:styleId="9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1">
    <w:name w:val="正文01"/>
    <w:basedOn w:val="1"/>
    <w:qFormat/>
    <w:uiPriority w:val="0"/>
    <w:pPr>
      <w:spacing w:before="60" w:line="460" w:lineRule="exact"/>
      <w:ind w:firstLine="200" w:firstLineChars="200"/>
    </w:pPr>
    <w:rPr>
      <w:sz w:val="24"/>
    </w:rPr>
  </w:style>
  <w:style w:type="paragraph" w:customStyle="1" w:styleId="92">
    <w:name w:val="表格内容"/>
    <w:basedOn w:val="5"/>
    <w:next w:val="1"/>
    <w:qFormat/>
    <w:uiPriority w:val="0"/>
    <w:pPr>
      <w:adjustRightInd w:val="0"/>
      <w:jc w:val="center"/>
    </w:pPr>
    <w:rPr>
      <w:kern w:val="0"/>
      <w:sz w:val="20"/>
      <w:szCs w:val="21"/>
    </w:rPr>
  </w:style>
  <w:style w:type="paragraph" w:customStyle="1" w:styleId="93">
    <w:name w:val="表格文本"/>
    <w:qFormat/>
    <w:uiPriority w:val="0"/>
    <w:pPr>
      <w:adjustRightInd w:val="0"/>
      <w:snapToGrid w:val="0"/>
      <w:spacing w:line="320" w:lineRule="exact"/>
      <w:jc w:val="center"/>
    </w:pPr>
    <w:rPr>
      <w:rFonts w:ascii="Times New Roman" w:hAnsi="Times New Roman" w:eastAsia="宋体" w:cs="宋体"/>
      <w:bCs/>
      <w:spacing w:val="-6"/>
      <w:sz w:val="21"/>
      <w:szCs w:val="21"/>
    </w:rPr>
  </w:style>
  <w:style w:type="paragraph" w:customStyle="1" w:styleId="94">
    <w:name w:val="表格内表头"/>
    <w:basedOn w:val="88"/>
    <w:qFormat/>
    <w:uiPriority w:val="0"/>
    <w:pPr>
      <w:spacing w:line="240" w:lineRule="auto"/>
      <w:ind w:firstLine="0" w:firstLineChars="0"/>
      <w:jc w:val="center"/>
    </w:pPr>
    <w:rPr>
      <w:sz w:val="21"/>
    </w:rPr>
  </w:style>
  <w:style w:type="paragraph" w:customStyle="1" w:styleId="95">
    <w:name w:val="表格内"/>
    <w:basedOn w:val="96"/>
    <w:qFormat/>
    <w:uiPriority w:val="0"/>
    <w:pPr>
      <w:spacing w:beforeLines="0" w:afterLines="0" w:line="320" w:lineRule="exact"/>
      <w:ind w:firstLine="200" w:firstLineChars="200"/>
      <w:jc w:val="both"/>
    </w:pPr>
    <w:rPr>
      <w:sz w:val="21"/>
    </w:rPr>
  </w:style>
  <w:style w:type="paragraph" w:customStyle="1" w:styleId="96">
    <w:name w:val="图段"/>
    <w:basedOn w:val="1"/>
    <w:qFormat/>
    <w:uiPriority w:val="0"/>
    <w:pPr>
      <w:adjustRightInd w:val="0"/>
      <w:snapToGrid w:val="0"/>
      <w:spacing w:beforeLines="50" w:afterLines="50"/>
      <w:jc w:val="center"/>
    </w:pPr>
    <w:rPr>
      <w:color w:val="000000"/>
      <w:sz w:val="24"/>
    </w:rPr>
  </w:style>
  <w:style w:type="paragraph" w:customStyle="1" w:styleId="97">
    <w:name w:val="表-正文"/>
    <w:basedOn w:val="1"/>
    <w:qFormat/>
    <w:uiPriority w:val="0"/>
    <w:pPr>
      <w:widowControl/>
      <w:adjustRightInd w:val="0"/>
      <w:spacing w:line="360" w:lineRule="auto"/>
      <w:ind w:firstLine="200" w:firstLineChars="200"/>
      <w:jc w:val="left"/>
    </w:pPr>
    <w:rPr>
      <w:rFonts w:ascii="Times New Roman" w:hAnsi="Times New Roman" w:eastAsia="宋体"/>
      <w:kern w:val="0"/>
      <w:sz w:val="24"/>
      <w:szCs w:val="20"/>
    </w:rPr>
  </w:style>
  <w:style w:type="paragraph" w:customStyle="1" w:styleId="98">
    <w:name w:val="【表内容】"/>
    <w:basedOn w:val="1"/>
    <w:qFormat/>
    <w:uiPriority w:val="0"/>
    <w:pPr>
      <w:spacing w:line="240" w:lineRule="auto"/>
      <w:ind w:firstLine="0" w:firstLineChars="0"/>
      <w:jc w:val="center"/>
    </w:pPr>
    <w:rPr>
      <w:rFonts w:eastAsia="宋体" w:cs="Times New Roman"/>
      <w:sz w:val="21"/>
    </w:rPr>
  </w:style>
  <w:style w:type="table" w:customStyle="1" w:styleId="99">
    <w:name w:val="Table Grid_0"/>
    <w:basedOn w:val="31"/>
    <w:qFormat/>
    <w:uiPriority w:val="0"/>
    <w:rPr>
      <w:rFonts w:ascii="Times New Roman" w:hAnsi="Times New Roman" w:eastAsia="仿宋"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
    <w:name w:val="Table Normal"/>
    <w:unhideWhenUsed/>
    <w:qFormat/>
    <w:uiPriority w:val="0"/>
    <w:tblPr>
      <w:tblCellMar>
        <w:top w:w="0" w:type="dxa"/>
        <w:left w:w="0" w:type="dxa"/>
        <w:bottom w:w="0" w:type="dxa"/>
        <w:right w:w="0" w:type="dxa"/>
      </w:tblCellMar>
    </w:tblPr>
  </w:style>
  <w:style w:type="paragraph" w:customStyle="1" w:styleId="101">
    <w:name w:val="表头"/>
    <w:basedOn w:val="1"/>
    <w:qFormat/>
    <w:uiPriority w:val="0"/>
    <w:pPr>
      <w:spacing w:before="50" w:beforeLines="50" w:after="50" w:afterLines="50" w:line="240" w:lineRule="auto"/>
      <w:ind w:firstLine="0" w:firstLineChars="0"/>
      <w:jc w:val="center"/>
    </w:pPr>
    <w:rPr>
      <w:rFonts w:ascii="Times New Roman" w:hAnsi="Times New Roman" w:eastAsia="宋体"/>
      <w:b/>
      <w:sz w:val="21"/>
    </w:rPr>
  </w:style>
  <w:style w:type="paragraph" w:customStyle="1" w:styleId="102">
    <w:name w:val="图名"/>
    <w:basedOn w:val="1"/>
    <w:qFormat/>
    <w:uiPriority w:val="0"/>
    <w:pPr>
      <w:numPr>
        <w:ilvl w:val="6"/>
        <w:numId w:val="3"/>
      </w:numPr>
      <w:adjustRightInd w:val="0"/>
      <w:snapToGrid w:val="0"/>
      <w:spacing w:afterLines="50"/>
      <w:jc w:val="center"/>
    </w:pPr>
    <w:rPr>
      <w:b/>
      <w:szCs w:val="20"/>
    </w:rPr>
  </w:style>
  <w:style w:type="paragraph" w:customStyle="1" w:styleId="103">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4">
    <w:name w:val="样式 样式4 + 首行缩进:  2 字符"/>
    <w:basedOn w:val="47"/>
    <w:qFormat/>
    <w:uiPriority w:val="0"/>
    <w:pPr>
      <w:spacing w:line="440" w:lineRule="exact"/>
      <w:ind w:firstLine="480" w:firstLineChars="200"/>
    </w:pPr>
    <w:rPr>
      <w:rFonts w:cs="宋体"/>
      <w:sz w:val="24"/>
      <w:szCs w:val="24"/>
    </w:rPr>
  </w:style>
  <w:style w:type="paragraph" w:customStyle="1" w:styleId="105">
    <w:name w:val="环评段落"/>
    <w:basedOn w:val="1"/>
    <w:qFormat/>
    <w:uiPriority w:val="0"/>
    <w:pPr>
      <w:adjustRightInd w:val="0"/>
      <w:snapToGrid w:val="0"/>
      <w:spacing w:line="360" w:lineRule="auto"/>
      <w:ind w:firstLine="200" w:firstLineChars="200"/>
      <w:jc w:val="left"/>
    </w:pPr>
    <w:rPr>
      <w:rFonts w:hint="eastAsia" w:ascii="宋体" w:hAnsi="宋体"/>
      <w:bCs/>
      <w:sz w:val="24"/>
      <w:szCs w:val="21"/>
    </w:rPr>
  </w:style>
  <w:style w:type="paragraph" w:customStyle="1" w:styleId="106">
    <w:name w:val="Table Text"/>
    <w:basedOn w:val="1"/>
    <w:semiHidden/>
    <w:qFormat/>
    <w:uiPriority w:val="0"/>
    <w:rPr>
      <w:rFonts w:ascii="宋体" w:hAnsi="宋体" w:eastAsia="宋体" w:cs="宋体"/>
      <w:sz w:val="24"/>
      <w:szCs w:val="24"/>
      <w:lang w:val="en-US" w:eastAsia="en-US" w:bidi="ar-SA"/>
    </w:rPr>
  </w:style>
  <w:style w:type="paragraph" w:customStyle="1" w:styleId="107">
    <w:name w:val="+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3.xml"/><Relationship Id="rId49" Type="http://schemas.openxmlformats.org/officeDocument/2006/relationships/customXml" Target="../customXml/item1.xml"/><Relationship Id="rId48" Type="http://schemas.openxmlformats.org/officeDocument/2006/relationships/image" Target="media/image35.wmf"/><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jpeg"/><Relationship Id="rId4" Type="http://schemas.openxmlformats.org/officeDocument/2006/relationships/footer" Target="footer2.xml"/><Relationship Id="rId39" Type="http://schemas.openxmlformats.org/officeDocument/2006/relationships/image" Target="media/image26.pn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png"/><Relationship Id="rId31" Type="http://schemas.openxmlformats.org/officeDocument/2006/relationships/image" Target="media/image18.emf"/><Relationship Id="rId30" Type="http://schemas.openxmlformats.org/officeDocument/2006/relationships/oleObject" Target="embeddings/oleObject6.bin"/><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emf"/><Relationship Id="rId25" Type="http://schemas.openxmlformats.org/officeDocument/2006/relationships/oleObject" Target="embeddings/oleObject5.bin"/><Relationship Id="rId24" Type="http://schemas.openxmlformats.org/officeDocument/2006/relationships/image" Target="media/image13.emf"/><Relationship Id="rId23" Type="http://schemas.openxmlformats.org/officeDocument/2006/relationships/oleObject" Target="embeddings/oleObject4.bin"/><Relationship Id="rId22" Type="http://schemas.openxmlformats.org/officeDocument/2006/relationships/image" Target="media/image12.emf"/><Relationship Id="rId21" Type="http://schemas.openxmlformats.org/officeDocument/2006/relationships/oleObject" Target="embeddings/oleObject3.bin"/><Relationship Id="rId20" Type="http://schemas.openxmlformats.org/officeDocument/2006/relationships/image" Target="media/image11.e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10.emf"/><Relationship Id="rId17" Type="http://schemas.openxmlformats.org/officeDocument/2006/relationships/oleObject" Target="embeddings/oleObject1.bin"/><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122</Pages>
  <Words>22692</Words>
  <Characters>23708</Characters>
  <Lines>444</Lines>
  <Paragraphs>125</Paragraphs>
  <TotalTime>0</TotalTime>
  <ScaleCrop>false</ScaleCrop>
  <LinksUpToDate>false</LinksUpToDate>
  <CharactersWithSpaces>23856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2020-12-25T17:29:00Z</dcterms:created>
  <dc:creator>lhj</dc:creator>
  <cp:lastModifiedBy>等风</cp:lastModifiedBy>
  <cp:lastPrinted>2020-12-30T18:43:00Z</cp:lastPrinted>
  <dcterms:modified xsi:type="dcterms:W3CDTF">2026-06-16T00:29:07Z</dcterms:modified>
  <dc:title>附件2</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25537902F4DA48558A051DF8AF8289FC_13</vt:lpwstr>
  </property>
  <property fmtid="{D5CDD505-2E9C-101B-9397-08002B2CF9AE}" pid="4" name="KSOTemplateDocerSaveRecord">
    <vt:lpwstr>eyJoZGlkIjoiNDE1YjM3OTVhNDdiNDkzZDkyYTdiMjQzNmVhMGI4OWIiLCJ1c2VySWQiOiI1MTQ5MTEwMzUifQ==</vt:lpwstr>
  </property>
</Properties>
</file>