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482FF2">
      <w:pPr>
        <w:autoSpaceDE w:val="0"/>
        <w:autoSpaceDN w:val="0"/>
        <w:adjustRightInd w:val="0"/>
        <w:spacing w:line="360" w:lineRule="auto"/>
        <w:jc w:val="both"/>
        <w:rPr>
          <w:rFonts w:hint="eastAsia" w:ascii="方正仿宋_GBK" w:hAnsi="方正仿宋_GBK" w:eastAsia="方正仿宋_GBK" w:cs="方正仿宋_GBK"/>
          <w:color w:val="000000"/>
          <w:sz w:val="32"/>
          <w:szCs w:val="32"/>
          <w:lang w:eastAsia="zh-CN"/>
        </w:rPr>
      </w:pPr>
      <w:r>
        <w:rPr>
          <w:rFonts w:hint="eastAsia" w:ascii="方正仿宋_GBK" w:hAnsi="方正仿宋_GBK" w:eastAsia="方正仿宋_GBK" w:cs="方正仿宋_GBK"/>
          <w:color w:val="000000"/>
          <w:sz w:val="32"/>
          <w:szCs w:val="32"/>
          <w:lang w:eastAsia="zh-CN"/>
        </w:rPr>
        <w:t>附件</w:t>
      </w:r>
    </w:p>
    <w:p w14:paraId="7F28294F">
      <w:pPr>
        <w:autoSpaceDE w:val="0"/>
        <w:autoSpaceDN w:val="0"/>
        <w:adjustRightInd w:val="0"/>
        <w:spacing w:line="360" w:lineRule="auto"/>
        <w:jc w:val="center"/>
        <w:rPr>
          <w:rFonts w:hint="eastAsia" w:ascii="方正小标宋_GBK" w:hAnsi="方正小标宋_GBK" w:eastAsia="方正小标宋_GBK" w:cs="方正小标宋_GBK"/>
          <w:color w:val="000000"/>
          <w:sz w:val="44"/>
          <w:szCs w:val="44"/>
          <w:lang w:val="en-US" w:eastAsia="zh-CN"/>
        </w:rPr>
      </w:pPr>
      <w:r>
        <w:rPr>
          <w:rFonts w:hint="eastAsia" w:ascii="方正小标宋_GBK" w:hAnsi="方正小标宋_GBK" w:eastAsia="方正小标宋_GBK" w:cs="方正小标宋_GBK"/>
          <w:color w:val="000000"/>
          <w:sz w:val="44"/>
          <w:szCs w:val="44"/>
          <w:lang w:eastAsia="zh-CN"/>
        </w:rPr>
        <w:t>巴中市</w:t>
      </w:r>
      <w:r>
        <w:rPr>
          <w:rFonts w:hint="eastAsia" w:ascii="方正小标宋_GBK" w:hAnsi="方正小标宋_GBK" w:eastAsia="方正小标宋_GBK" w:cs="方正小标宋_GBK"/>
          <w:color w:val="000000"/>
          <w:sz w:val="44"/>
          <w:szCs w:val="44"/>
        </w:rPr>
        <w:t>恩阳区</w:t>
      </w:r>
      <w:bookmarkStart w:id="0" w:name="_GoBack"/>
      <w:bookmarkEnd w:id="0"/>
      <w:r>
        <w:rPr>
          <w:rFonts w:hint="eastAsia" w:ascii="方正小标宋_GBK" w:hAnsi="方正小标宋_GBK" w:eastAsia="方正小标宋_GBK" w:cs="方正小标宋_GBK"/>
          <w:color w:val="000000"/>
          <w:sz w:val="44"/>
          <w:szCs w:val="44"/>
        </w:rPr>
        <w:t>恩阳河天星寨集中式饮用水水源保护区划</w:t>
      </w:r>
      <w:r>
        <w:rPr>
          <w:rFonts w:hint="eastAsia" w:ascii="方正小标宋_GBK" w:hAnsi="方正小标宋_GBK" w:eastAsia="方正小标宋_GBK" w:cs="方正小标宋_GBK"/>
          <w:color w:val="000000"/>
          <w:sz w:val="44"/>
          <w:szCs w:val="44"/>
          <w:lang w:val="en-US" w:eastAsia="zh-CN"/>
        </w:rPr>
        <w:t>定方案</w:t>
      </w:r>
    </w:p>
    <w:p w14:paraId="06327CD0">
      <w:pPr>
        <w:autoSpaceDE w:val="0"/>
        <w:autoSpaceDN w:val="0"/>
        <w:adjustRightInd w:val="0"/>
        <w:spacing w:line="360" w:lineRule="auto"/>
        <w:jc w:val="center"/>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color w:val="000000"/>
          <w:sz w:val="32"/>
          <w:szCs w:val="32"/>
          <w:lang w:val="en-US" w:eastAsia="zh-CN"/>
        </w:rPr>
        <w:t>（征求意见稿）</w:t>
      </w:r>
    </w:p>
    <w:p w14:paraId="10169182">
      <w:pPr>
        <w:pStyle w:val="2"/>
        <w:bidi w:val="0"/>
        <w:rPr>
          <w:rFonts w:hint="eastAsia" w:ascii="国标黑体" w:hAnsi="国标黑体" w:eastAsia="国标黑体" w:cs="国标黑体"/>
          <w:b w:val="0"/>
          <w:bCs/>
          <w:sz w:val="32"/>
          <w:szCs w:val="32"/>
          <w:lang w:val="en-US" w:eastAsia="zh-CN"/>
        </w:rPr>
      </w:pPr>
      <w:r>
        <w:rPr>
          <w:rFonts w:hint="eastAsia" w:ascii="国标黑体" w:hAnsi="国标黑体" w:eastAsia="国标黑体" w:cs="国标黑体"/>
          <w:b w:val="0"/>
          <w:bCs/>
          <w:sz w:val="32"/>
          <w:szCs w:val="32"/>
          <w:lang w:val="en-US" w:eastAsia="zh-CN"/>
        </w:rPr>
        <w:t>一、</w:t>
      </w:r>
      <w:r>
        <w:rPr>
          <w:rFonts w:hint="eastAsia" w:ascii="国标黑体" w:hAnsi="国标黑体" w:eastAsia="国标黑体" w:cs="国标黑体"/>
          <w:b w:val="0"/>
          <w:bCs/>
          <w:color w:val="000000"/>
          <w:sz w:val="32"/>
          <w:szCs w:val="32"/>
        </w:rPr>
        <w:t>集中式饮用水水源保护区</w:t>
      </w:r>
      <w:r>
        <w:rPr>
          <w:rFonts w:hint="eastAsia" w:ascii="国标黑体" w:hAnsi="国标黑体" w:eastAsia="国标黑体" w:cs="国标黑体"/>
          <w:b w:val="0"/>
          <w:bCs/>
          <w:sz w:val="32"/>
          <w:szCs w:val="32"/>
          <w:lang w:val="en-US" w:eastAsia="zh-CN"/>
        </w:rPr>
        <w:t>划分的必要性</w:t>
      </w:r>
    </w:p>
    <w:p w14:paraId="07F974B4">
      <w:pPr>
        <w:autoSpaceDE w:val="0"/>
        <w:autoSpaceDN w:val="0"/>
        <w:adjustRightInd w:val="0"/>
        <w:spacing w:line="520" w:lineRule="exact"/>
        <w:ind w:firstLine="560" w:firstLineChars="200"/>
        <w:rPr>
          <w:rFonts w:hint="eastAsia"/>
          <w:sz w:val="28"/>
          <w:szCs w:val="28"/>
          <w:lang w:val="en-US" w:eastAsia="zh-CN"/>
        </w:rPr>
      </w:pPr>
      <w:r>
        <w:rPr>
          <w:rFonts w:hint="eastAsia"/>
          <w:sz w:val="28"/>
          <w:szCs w:val="28"/>
          <w:lang w:val="en-US" w:eastAsia="zh-CN"/>
        </w:rPr>
        <w:t>恩阳城区目前与巴中市城区联网供水，随着巴中市主城区和恩阳区国民经济和社会发展，居民生产生活用水大量增加，再加上近年来受极端天气影响，巴中市市级饮用水水源地巴河大佛寺和化成水库供水量出现难以保障情况，恩阳城区及周边乡镇已出现季节性、水源性缺水问题。为解决恩阳区城区及周边乡镇居民用水紧缺问题，推进城乡供水一体化，恩阳区拟将恩阳河作为城市饮用水水源。</w:t>
      </w:r>
    </w:p>
    <w:p w14:paraId="17BB4E75">
      <w:pPr>
        <w:autoSpaceDE w:val="0"/>
        <w:autoSpaceDN w:val="0"/>
        <w:adjustRightInd w:val="0"/>
        <w:spacing w:line="360" w:lineRule="auto"/>
        <w:jc w:val="left"/>
        <w:rPr>
          <w:rFonts w:hint="eastAsia"/>
          <w:sz w:val="28"/>
          <w:szCs w:val="28"/>
          <w:lang w:val="en-US" w:eastAsia="zh-CN"/>
        </w:rPr>
      </w:pPr>
      <w:r>
        <w:rPr>
          <w:rFonts w:hint="eastAsia"/>
          <w:sz w:val="28"/>
          <w:szCs w:val="28"/>
          <w:lang w:val="en-US" w:eastAsia="zh-CN"/>
        </w:rPr>
        <w:t>按照《中华人民共和国水污染防治法》《四川省饮用水水源保护管理条例》《四川省饮用水水源保护区管理规定》《巴中市城市饮用水水源保护条例》相关要求，需开展恩阳区恩阳河天星寨集中式饮用水水源保护区划定工作。</w:t>
      </w:r>
    </w:p>
    <w:p w14:paraId="3CCCA593">
      <w:pPr>
        <w:numPr>
          <w:ilvl w:val="0"/>
          <w:numId w:val="1"/>
        </w:numPr>
        <w:autoSpaceDE w:val="0"/>
        <w:autoSpaceDN w:val="0"/>
        <w:adjustRightInd w:val="0"/>
        <w:spacing w:line="360" w:lineRule="auto"/>
        <w:jc w:val="both"/>
        <w:rPr>
          <w:rFonts w:hint="eastAsia" w:ascii="国标黑体" w:hAnsi="国标黑体" w:eastAsia="国标黑体" w:cs="国标黑体"/>
          <w:b w:val="0"/>
          <w:bCs/>
          <w:sz w:val="32"/>
          <w:szCs w:val="32"/>
          <w:lang w:val="en-US" w:eastAsia="zh-CN"/>
        </w:rPr>
      </w:pPr>
      <w:r>
        <w:rPr>
          <w:rFonts w:hint="eastAsia" w:ascii="国标黑体" w:hAnsi="国标黑体" w:eastAsia="国标黑体" w:cs="国标黑体"/>
          <w:b w:val="0"/>
          <w:bCs/>
          <w:color w:val="000000"/>
          <w:sz w:val="32"/>
          <w:szCs w:val="32"/>
        </w:rPr>
        <w:t>集中式饮用水水源保护区</w:t>
      </w:r>
      <w:r>
        <w:rPr>
          <w:rFonts w:hint="eastAsia" w:ascii="国标黑体" w:hAnsi="国标黑体" w:eastAsia="国标黑体" w:cs="国标黑体"/>
          <w:b w:val="0"/>
          <w:bCs/>
          <w:sz w:val="32"/>
          <w:szCs w:val="32"/>
          <w:lang w:val="en-US" w:eastAsia="zh-CN"/>
        </w:rPr>
        <w:t>划分结果</w:t>
      </w:r>
    </w:p>
    <w:p w14:paraId="77BA9C36">
      <w:pPr>
        <w:numPr>
          <w:ilvl w:val="0"/>
          <w:numId w:val="0"/>
        </w:numPr>
        <w:autoSpaceDE w:val="0"/>
        <w:autoSpaceDN w:val="0"/>
        <w:adjustRightInd w:val="0"/>
        <w:spacing w:line="360" w:lineRule="auto"/>
        <w:ind w:firstLine="560" w:firstLineChars="200"/>
        <w:jc w:val="both"/>
        <w:rPr>
          <w:rFonts w:hint="default"/>
          <w:sz w:val="28"/>
          <w:szCs w:val="28"/>
          <w:lang w:val="en-US" w:eastAsia="zh-CN"/>
        </w:rPr>
      </w:pPr>
      <w:r>
        <w:rPr>
          <w:rFonts w:hint="eastAsia"/>
          <w:sz w:val="28"/>
          <w:szCs w:val="28"/>
          <w:lang w:val="en-US" w:eastAsia="zh-CN"/>
        </w:rPr>
        <w:t>根据《饮用水水源保护区划分技术规范》（HJ 338-2018），结合该流域水文特性及环境状况，巴中市恩阳区恩阳河天星寨集中式饮用水水源保护区划分结果如下：</w:t>
      </w:r>
    </w:p>
    <w:p w14:paraId="6240D131">
      <w:pPr>
        <w:autoSpaceDE w:val="0"/>
        <w:autoSpaceDN w:val="0"/>
        <w:adjustRightInd w:val="0"/>
        <w:spacing w:line="520" w:lineRule="exact"/>
        <w:ind w:firstLine="560" w:firstLineChars="200"/>
        <w:rPr>
          <w:rFonts w:hint="eastAsia" w:ascii="Times New Roman" w:hAnsi="Times New Roman" w:eastAsia="宋体" w:cs="Times New Roman"/>
          <w:kern w:val="0"/>
          <w:sz w:val="28"/>
          <w:szCs w:val="28"/>
          <w:lang w:val="en-US" w:eastAsia="zh-CN" w:bidi="ar-SA"/>
        </w:rPr>
      </w:pPr>
      <w:r>
        <w:rPr>
          <w:rFonts w:hint="eastAsia" w:ascii="Times New Roman" w:hAnsi="Times New Roman" w:eastAsia="宋体" w:cs="Times New Roman"/>
          <w:kern w:val="0"/>
          <w:sz w:val="28"/>
          <w:szCs w:val="28"/>
          <w:lang w:val="en-US" w:eastAsia="zh-CN" w:bidi="ar-SA"/>
        </w:rPr>
        <w:t>取水口：恩阳区登科街道天星寨社区14社黄石盘水库大坝上游6000米恩阳河左岸（东经</w:t>
      </w:r>
      <w:r>
        <w:rPr>
          <w:rFonts w:hint="default" w:ascii="Times New Roman" w:hAnsi="Times New Roman" w:eastAsia="宋体" w:cs="Times New Roman"/>
          <w:kern w:val="0"/>
          <w:sz w:val="28"/>
          <w:szCs w:val="28"/>
          <w:lang w:val="en-US" w:eastAsia="zh-CN" w:bidi="ar-SA"/>
        </w:rPr>
        <w:t>106°38'12.44"，北纬31°51'23.84"</w:t>
      </w:r>
      <w:r>
        <w:rPr>
          <w:rFonts w:hint="eastAsia" w:ascii="Times New Roman" w:hAnsi="Times New Roman" w:eastAsia="宋体" w:cs="Times New Roman"/>
          <w:kern w:val="0"/>
          <w:sz w:val="28"/>
          <w:szCs w:val="28"/>
          <w:lang w:val="en-US" w:eastAsia="zh-CN" w:bidi="ar-SA"/>
        </w:rPr>
        <w:t>）。</w:t>
      </w:r>
    </w:p>
    <w:p w14:paraId="4877C9C3">
      <w:pPr>
        <w:autoSpaceDE w:val="0"/>
        <w:autoSpaceDN w:val="0"/>
        <w:adjustRightInd w:val="0"/>
        <w:spacing w:line="520" w:lineRule="exact"/>
        <w:ind w:firstLine="560" w:firstLineChars="200"/>
        <w:rPr>
          <w:rFonts w:hint="eastAsia" w:ascii="Times New Roman" w:hAnsi="Times New Roman" w:eastAsia="宋体" w:cs="Times New Roman"/>
          <w:kern w:val="0"/>
          <w:sz w:val="28"/>
          <w:szCs w:val="28"/>
          <w:lang w:val="en-US" w:eastAsia="zh-CN" w:bidi="ar-SA"/>
        </w:rPr>
      </w:pPr>
      <w:r>
        <w:rPr>
          <w:rFonts w:hint="eastAsia" w:ascii="Times New Roman" w:hAnsi="Times New Roman" w:eastAsia="宋体" w:cs="Times New Roman"/>
          <w:kern w:val="0"/>
          <w:sz w:val="28"/>
          <w:szCs w:val="28"/>
          <w:lang w:val="en-US" w:eastAsia="zh-CN" w:bidi="ar-SA"/>
        </w:rPr>
        <w:t>一级保护区：取水口下游100米至取水口上游1000米，多年平均水位对应的高程线</w:t>
      </w:r>
      <w:r>
        <w:rPr>
          <w:rFonts w:hint="eastAsia" w:cs="Times New Roman"/>
          <w:color w:val="auto"/>
          <w:kern w:val="0"/>
          <w:sz w:val="28"/>
          <w:szCs w:val="28"/>
          <w:u w:val="none"/>
          <w:lang w:val="en-US" w:eastAsia="zh-CN" w:bidi="ar-SA"/>
        </w:rPr>
        <w:t>（372米）</w:t>
      </w:r>
      <w:r>
        <w:rPr>
          <w:rFonts w:hint="eastAsia" w:ascii="Times New Roman" w:hAnsi="Times New Roman" w:eastAsia="宋体" w:cs="Times New Roman"/>
          <w:kern w:val="0"/>
          <w:sz w:val="28"/>
          <w:szCs w:val="28"/>
          <w:lang w:val="en-US" w:eastAsia="zh-CN" w:bidi="ar-SA"/>
        </w:rPr>
        <w:t>下的水域范围。一级保护区水域边界沿两岸纵深50米但不超过村道临库侧的陆域范围。</w:t>
      </w:r>
    </w:p>
    <w:p w14:paraId="3CF53249">
      <w:pPr>
        <w:autoSpaceDE w:val="0"/>
        <w:autoSpaceDN w:val="0"/>
        <w:adjustRightInd w:val="0"/>
        <w:spacing w:line="520" w:lineRule="exact"/>
        <w:ind w:firstLine="560" w:firstLineChars="200"/>
        <w:rPr>
          <w:rFonts w:hint="eastAsia" w:ascii="Times New Roman" w:hAnsi="Times New Roman" w:eastAsia="宋体" w:cs="Times New Roman"/>
          <w:kern w:val="0"/>
          <w:sz w:val="28"/>
          <w:szCs w:val="28"/>
          <w:lang w:val="en-US" w:eastAsia="zh-CN" w:bidi="ar-SA"/>
        </w:rPr>
      </w:pPr>
      <w:r>
        <w:rPr>
          <w:rFonts w:hint="eastAsia" w:ascii="Times New Roman" w:hAnsi="Times New Roman" w:eastAsia="宋体" w:cs="Times New Roman"/>
          <w:kern w:val="0"/>
          <w:sz w:val="28"/>
          <w:szCs w:val="28"/>
          <w:lang w:val="en-US" w:eastAsia="zh-CN" w:bidi="ar-SA"/>
        </w:rPr>
        <w:t>二级保护区：取水口下游300米至取水口上游至广巴高速桥下游侧，多年平均水位对应的高程线</w:t>
      </w:r>
      <w:r>
        <w:rPr>
          <w:rFonts w:hint="eastAsia" w:cs="Times New Roman"/>
          <w:color w:val="auto"/>
          <w:kern w:val="0"/>
          <w:sz w:val="28"/>
          <w:szCs w:val="28"/>
          <w:u w:val="none"/>
          <w:lang w:val="en-US" w:eastAsia="zh-CN" w:bidi="ar-SA"/>
        </w:rPr>
        <w:t>（372米）</w:t>
      </w:r>
      <w:r>
        <w:rPr>
          <w:rFonts w:hint="eastAsia" w:ascii="Times New Roman" w:hAnsi="Times New Roman" w:eastAsia="宋体" w:cs="Times New Roman"/>
          <w:kern w:val="0"/>
          <w:sz w:val="28"/>
          <w:szCs w:val="28"/>
          <w:lang w:val="en-US" w:eastAsia="zh-CN" w:bidi="ar-SA"/>
        </w:rPr>
        <w:t>下的除一级保护区外的水域范围。一级、二级保护区水域边界沿两岸纵深1000米但不超过分水岭的除一级保</w:t>
      </w:r>
      <w:r>
        <w:rPr>
          <w:rFonts w:hint="eastAsia" w:ascii="Times New Roman" w:hAnsi="Times New Roman" w:eastAsia="宋体" w:cs="Times New Roman"/>
          <w:color w:val="auto"/>
          <w:kern w:val="0"/>
          <w:sz w:val="28"/>
          <w:szCs w:val="28"/>
          <w:lang w:val="en-US" w:eastAsia="zh-CN" w:bidi="ar-SA"/>
        </w:rPr>
        <w:t>护区外的恩阳区行政区域内的陆域范围。</w:t>
      </w:r>
    </w:p>
    <w:p w14:paraId="063E0E65">
      <w:pPr>
        <w:autoSpaceDE w:val="0"/>
        <w:autoSpaceDN w:val="0"/>
        <w:adjustRightInd w:val="0"/>
        <w:spacing w:line="520" w:lineRule="exact"/>
        <w:ind w:firstLine="560" w:firstLineChars="200"/>
        <w:rPr>
          <w:rFonts w:hint="eastAsia" w:cs="Times New Roman"/>
          <w:kern w:val="0"/>
          <w:sz w:val="28"/>
          <w:szCs w:val="28"/>
          <w:lang w:val="en-US" w:eastAsia="zh-CN" w:bidi="ar-SA"/>
        </w:rPr>
      </w:pPr>
      <w:r>
        <w:rPr>
          <w:rFonts w:hint="eastAsia" w:ascii="Times New Roman" w:hAnsi="Times New Roman" w:eastAsia="宋体" w:cs="Times New Roman"/>
          <w:kern w:val="0"/>
          <w:sz w:val="28"/>
          <w:szCs w:val="28"/>
          <w:lang w:val="en-US" w:eastAsia="zh-CN" w:bidi="ar-SA"/>
        </w:rPr>
        <w:t>准保护区：取水口下游500米至取水口上游恩阳区行政区划边界，多年平均水位对应的高程线</w:t>
      </w:r>
      <w:r>
        <w:rPr>
          <w:rFonts w:hint="eastAsia" w:cs="Times New Roman"/>
          <w:color w:val="auto"/>
          <w:kern w:val="0"/>
          <w:sz w:val="28"/>
          <w:szCs w:val="28"/>
          <w:u w:val="none"/>
          <w:lang w:val="en-US" w:eastAsia="zh-CN" w:bidi="ar-SA"/>
        </w:rPr>
        <w:t>（372米）</w:t>
      </w:r>
      <w:r>
        <w:rPr>
          <w:rFonts w:hint="eastAsia" w:ascii="Times New Roman" w:hAnsi="Times New Roman" w:eastAsia="宋体" w:cs="Times New Roman"/>
          <w:kern w:val="0"/>
          <w:sz w:val="28"/>
          <w:szCs w:val="28"/>
          <w:lang w:val="en-US" w:eastAsia="zh-CN" w:bidi="ar-SA"/>
        </w:rPr>
        <w:t>下的除一级、二级保护区外的水域范围。准保护区水域边界沿两岸纵深1000米但不超过分水岭的恩阳区行政区域内的陆域范围</w:t>
      </w:r>
      <w:r>
        <w:rPr>
          <w:rFonts w:hint="eastAsia" w:cs="Times New Roman"/>
          <w:kern w:val="0"/>
          <w:sz w:val="28"/>
          <w:szCs w:val="28"/>
          <w:lang w:val="en-US" w:eastAsia="zh-CN" w:bidi="ar-SA"/>
        </w:rPr>
        <w:t>。</w:t>
      </w:r>
    </w:p>
    <w:p w14:paraId="22A2BB4C">
      <w:pPr>
        <w:pStyle w:val="2"/>
        <w:bidi w:val="0"/>
        <w:rPr>
          <w:rFonts w:hint="eastAsia"/>
          <w:lang w:val="en-US" w:eastAsia="zh-CN"/>
        </w:rPr>
      </w:pPr>
      <w:r>
        <w:rPr>
          <w:rFonts w:hint="eastAsia"/>
          <w:lang w:val="en-US" w:eastAsia="zh-CN"/>
        </w:rPr>
        <w:t>三、</w:t>
      </w:r>
      <w:r>
        <w:rPr>
          <w:rFonts w:hint="default"/>
          <w:lang w:val="en-US" w:eastAsia="zh-CN"/>
        </w:rPr>
        <w:t>勘界定标后保护区划分图及界桩点分布图</w:t>
      </w:r>
    </w:p>
    <w:p w14:paraId="564B953A">
      <w:pPr>
        <w:keepNext w:val="0"/>
        <w:keepLines w:val="0"/>
        <w:pageBreakBefore w:val="0"/>
        <w:widowControl w:val="0"/>
        <w:kinsoku/>
        <w:wordWrap/>
        <w:overflowPunct/>
        <w:topLinePunct w:val="0"/>
        <w:autoSpaceDE w:val="0"/>
        <w:autoSpaceDN w:val="0"/>
        <w:bidi w:val="0"/>
        <w:adjustRightInd w:val="0"/>
        <w:snapToGrid/>
        <w:spacing w:line="240" w:lineRule="auto"/>
        <w:textAlignment w:val="auto"/>
        <w:rPr>
          <w:rFonts w:hint="eastAsia" w:eastAsia="宋体"/>
          <w:b/>
          <w:bCs/>
          <w:lang w:eastAsia="zh-CN"/>
        </w:rPr>
      </w:pPr>
      <w:r>
        <w:drawing>
          <wp:inline distT="0" distB="0" distL="114300" distR="114300">
            <wp:extent cx="5580380" cy="7902575"/>
            <wp:effectExtent l="0" t="0" r="1270" b="317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rcRect t="1694"/>
                    <a:stretch>
                      <a:fillRect/>
                    </a:stretch>
                  </pic:blipFill>
                  <pic:spPr>
                    <a:xfrm>
                      <a:off x="0" y="0"/>
                      <a:ext cx="5580380" cy="7902575"/>
                    </a:xfrm>
                    <a:prstGeom prst="rect">
                      <a:avLst/>
                    </a:prstGeom>
                    <a:noFill/>
                    <a:ln>
                      <a:noFill/>
                    </a:ln>
                  </pic:spPr>
                </pic:pic>
              </a:graphicData>
            </a:graphic>
          </wp:inline>
        </w:drawing>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国标黑体">
    <w:altName w:val="黑体"/>
    <w:panose1 w:val="02000500000000000000"/>
    <w:charset w:val="86"/>
    <w:family w:val="auto"/>
    <w:pitch w:val="default"/>
    <w:sig w:usb0="00000001" w:usb1="08000000" w:usb2="00000000" w:usb3="00000000" w:csb0="00060007"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AFE6503"/>
    <w:multiLevelType w:val="singleLevel"/>
    <w:tmpl w:val="DAFE6503"/>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87051D4"/>
    <w:rsid w:val="0F2F4F3A"/>
    <w:rsid w:val="0FBA5B83"/>
    <w:rsid w:val="0FBEEC44"/>
    <w:rsid w:val="172F3128"/>
    <w:rsid w:val="1DDDE496"/>
    <w:rsid w:val="25FF68B4"/>
    <w:rsid w:val="27BB34B5"/>
    <w:rsid w:val="2FFFC7DE"/>
    <w:rsid w:val="35F56E2B"/>
    <w:rsid w:val="361B192A"/>
    <w:rsid w:val="37651119"/>
    <w:rsid w:val="3F2BF754"/>
    <w:rsid w:val="3F3FEBA6"/>
    <w:rsid w:val="3F7FE36E"/>
    <w:rsid w:val="45BC8581"/>
    <w:rsid w:val="45EE1C5E"/>
    <w:rsid w:val="4F0C3B13"/>
    <w:rsid w:val="4FD0CCB5"/>
    <w:rsid w:val="4FF7F50E"/>
    <w:rsid w:val="53F92301"/>
    <w:rsid w:val="587051D4"/>
    <w:rsid w:val="5ABF77E3"/>
    <w:rsid w:val="5B7B25DB"/>
    <w:rsid w:val="5BF6A1E6"/>
    <w:rsid w:val="5BFFE622"/>
    <w:rsid w:val="5E774AA7"/>
    <w:rsid w:val="5F1F1B48"/>
    <w:rsid w:val="5FBFA4AE"/>
    <w:rsid w:val="5FF5F320"/>
    <w:rsid w:val="63DF8242"/>
    <w:rsid w:val="65FDAB09"/>
    <w:rsid w:val="6AA581C8"/>
    <w:rsid w:val="6ADDE1F0"/>
    <w:rsid w:val="6ADFFC4E"/>
    <w:rsid w:val="6AFD97A2"/>
    <w:rsid w:val="6BE731DB"/>
    <w:rsid w:val="6C0F7854"/>
    <w:rsid w:val="6C2B67AC"/>
    <w:rsid w:val="6EFFA3F8"/>
    <w:rsid w:val="729250D0"/>
    <w:rsid w:val="7572AACB"/>
    <w:rsid w:val="76BF19B2"/>
    <w:rsid w:val="776F0359"/>
    <w:rsid w:val="77FB40E3"/>
    <w:rsid w:val="793F42AE"/>
    <w:rsid w:val="7B5FD45F"/>
    <w:rsid w:val="7B9F1A53"/>
    <w:rsid w:val="7BAF1AE7"/>
    <w:rsid w:val="7CBAFB1C"/>
    <w:rsid w:val="7DB8494E"/>
    <w:rsid w:val="7DEB9018"/>
    <w:rsid w:val="7DFF2721"/>
    <w:rsid w:val="7DFF90AE"/>
    <w:rsid w:val="7E761AD5"/>
    <w:rsid w:val="7E777E2B"/>
    <w:rsid w:val="7EBF378F"/>
    <w:rsid w:val="7F4B1770"/>
    <w:rsid w:val="7F5B5DCB"/>
    <w:rsid w:val="7F9BC3D9"/>
    <w:rsid w:val="7FBB1F04"/>
    <w:rsid w:val="7FCDAD7A"/>
    <w:rsid w:val="7FDBD650"/>
    <w:rsid w:val="7FDDC8E4"/>
    <w:rsid w:val="7FEF5931"/>
    <w:rsid w:val="7FFCD35B"/>
    <w:rsid w:val="7FFEEFE0"/>
    <w:rsid w:val="8E7A3EB2"/>
    <w:rsid w:val="8F3D094F"/>
    <w:rsid w:val="958FE168"/>
    <w:rsid w:val="967BB988"/>
    <w:rsid w:val="9BFFD564"/>
    <w:rsid w:val="9EFA3D3C"/>
    <w:rsid w:val="9F3EDD69"/>
    <w:rsid w:val="9FBCE55B"/>
    <w:rsid w:val="9FEF46A0"/>
    <w:rsid w:val="A6FBA56C"/>
    <w:rsid w:val="A8437D20"/>
    <w:rsid w:val="AE7FD364"/>
    <w:rsid w:val="B36F3249"/>
    <w:rsid w:val="B46F5ACE"/>
    <w:rsid w:val="BF1B784C"/>
    <w:rsid w:val="BF2CA90A"/>
    <w:rsid w:val="BF5EA9C0"/>
    <w:rsid w:val="BF67AFBC"/>
    <w:rsid w:val="CEFB6165"/>
    <w:rsid w:val="CFF3EDE2"/>
    <w:rsid w:val="D63780AA"/>
    <w:rsid w:val="D677D676"/>
    <w:rsid w:val="D6D63BA4"/>
    <w:rsid w:val="DB3A6E20"/>
    <w:rsid w:val="DB7FF997"/>
    <w:rsid w:val="DDBDAD5C"/>
    <w:rsid w:val="DEFC145B"/>
    <w:rsid w:val="DF3D08FC"/>
    <w:rsid w:val="DFDE56A5"/>
    <w:rsid w:val="E78FCB83"/>
    <w:rsid w:val="EABD74E3"/>
    <w:rsid w:val="EB7AC6F6"/>
    <w:rsid w:val="ED9B645C"/>
    <w:rsid w:val="EDBDD483"/>
    <w:rsid w:val="EEFB68A0"/>
    <w:rsid w:val="EF39D937"/>
    <w:rsid w:val="EFAD6F6F"/>
    <w:rsid w:val="EFEFB4C4"/>
    <w:rsid w:val="EFFA2B43"/>
    <w:rsid w:val="EFFDEF76"/>
    <w:rsid w:val="EFFED46C"/>
    <w:rsid w:val="F2F8DE5B"/>
    <w:rsid w:val="F3DFE8B1"/>
    <w:rsid w:val="F3F58D66"/>
    <w:rsid w:val="F76D7B3E"/>
    <w:rsid w:val="F7FAC5BB"/>
    <w:rsid w:val="F7FE54C1"/>
    <w:rsid w:val="F9FE11CE"/>
    <w:rsid w:val="FADE5ABC"/>
    <w:rsid w:val="FAF734E8"/>
    <w:rsid w:val="FAFB0AEC"/>
    <w:rsid w:val="FBFA474D"/>
    <w:rsid w:val="FBFF00FA"/>
    <w:rsid w:val="FBFF12B7"/>
    <w:rsid w:val="FCEE5C22"/>
    <w:rsid w:val="FD7B42F7"/>
    <w:rsid w:val="FDAB0506"/>
    <w:rsid w:val="FDBFDC9C"/>
    <w:rsid w:val="FDDF353A"/>
    <w:rsid w:val="FEFDFB23"/>
    <w:rsid w:val="FF34B1BA"/>
    <w:rsid w:val="FF69A091"/>
    <w:rsid w:val="FF9EFA0A"/>
    <w:rsid w:val="FFBC0793"/>
    <w:rsid w:val="FFBF5A02"/>
    <w:rsid w:val="FFFB2B03"/>
    <w:rsid w:val="FFFF1BB6"/>
    <w:rsid w:val="FFFFFC8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6">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3">
    <w:name w:val="Body Text"/>
    <w:basedOn w:val="1"/>
    <w:unhideWhenUsed/>
    <w:qFormat/>
    <w:uiPriority w:val="0"/>
    <w:pPr>
      <w:spacing w:after="120" w:line="360" w:lineRule="auto"/>
      <w:ind w:firstLine="200" w:firstLineChars="200"/>
    </w:pPr>
    <w:rPr>
      <w:kern w:val="0"/>
      <w:sz w:val="24"/>
    </w:r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758</Words>
  <Characters>815</Characters>
  <Lines>0</Lines>
  <Paragraphs>0</Paragraphs>
  <TotalTime>54.3333333333333</TotalTime>
  <ScaleCrop>false</ScaleCrop>
  <LinksUpToDate>false</LinksUpToDate>
  <CharactersWithSpaces>816</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2025-04-12T19:05:00Z</dcterms:created>
  <dc:creator>WPS_1662094242</dc:creator>
  <cp:lastModifiedBy>等风</cp:lastModifiedBy>
  <cp:lastPrinted>2026-05-09T15:49:14Z</cp:lastPrinted>
  <dcterms:modified xsi:type="dcterms:W3CDTF">2026-05-11T01:06:50Z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AD3582117EB04D59BFC288EB633DFAB0_13</vt:lpwstr>
  </property>
  <property fmtid="{D5CDD505-2E9C-101B-9397-08002B2CF9AE}" pid="4" name="KSOTemplateDocerSaveRecord">
    <vt:lpwstr>eyJoZGlkIjoiNDE1YjM3OTVhNDdiNDkzZDkyYTdiMjQzNmVhMGI4OWIiLCJ1c2VySWQiOiI1MTQ5MTEwMzUifQ==</vt:lpwstr>
  </property>
</Properties>
</file>