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CE821">
      <w:pPr>
        <w:pStyle w:val="30"/>
        <w:rPr>
          <w:rFonts w:hint="default" w:ascii="Times New Roman" w:hAnsi="Times New Roman" w:eastAsia="宋体"/>
          <w:color w:val="auto"/>
          <w:lang w:val="en-US" w:eastAsia="zh-CN"/>
        </w:rPr>
      </w:pPr>
      <w:r>
        <w:rPr>
          <w:rFonts w:hint="eastAsia" w:ascii="Times New Roman" w:hAnsi="Times New Roman"/>
          <w:color w:val="auto"/>
          <w:lang w:val="en-US" w:eastAsia="zh-CN"/>
        </w:rPr>
        <w:t xml:space="preserve"> </w:t>
      </w:r>
    </w:p>
    <w:p w14:paraId="2A821DB6">
      <w:pPr>
        <w:pStyle w:val="31"/>
      </w:pPr>
    </w:p>
    <w:p w14:paraId="5E07166B">
      <w:pPr>
        <w:spacing w:line="720" w:lineRule="auto"/>
        <w:jc w:val="center"/>
        <w:rPr>
          <w:rFonts w:ascii="Times New Roman" w:hAnsi="Times New Roman"/>
          <w:b/>
          <w:bCs/>
          <w:sz w:val="44"/>
          <w:szCs w:val="44"/>
        </w:rPr>
      </w:pPr>
      <w:r>
        <w:rPr>
          <w:rFonts w:ascii="Times New Roman" w:hAnsi="Times New Roman"/>
          <w:b/>
          <w:bCs/>
          <w:sz w:val="44"/>
          <w:szCs w:val="44"/>
        </w:rPr>
        <w:t>核技术利用建设项目</w:t>
      </w:r>
    </w:p>
    <w:p w14:paraId="6229A1AF">
      <w:pPr>
        <w:pStyle w:val="30"/>
        <w:rPr>
          <w:color w:val="auto"/>
        </w:rPr>
      </w:pPr>
    </w:p>
    <w:p w14:paraId="2FB2081A">
      <w:pPr>
        <w:spacing w:line="360" w:lineRule="auto"/>
        <w:jc w:val="center"/>
        <w:rPr>
          <w:rFonts w:ascii="Times New Roman" w:hAnsi="Times New Roman"/>
          <w:b/>
          <w:sz w:val="44"/>
          <w:szCs w:val="44"/>
        </w:rPr>
      </w:pPr>
      <w:bookmarkStart w:id="52" w:name="_GoBack"/>
      <w:bookmarkEnd w:id="52"/>
      <w:r>
        <w:rPr>
          <w:rFonts w:hint="eastAsia" w:ascii="Times New Roman" w:hAnsi="Times New Roman"/>
          <w:b/>
          <w:sz w:val="44"/>
          <w:szCs w:val="44"/>
          <w:lang w:val="en-US" w:eastAsia="zh-CN"/>
        </w:rPr>
        <w:t>平昌县中医医院</w:t>
      </w:r>
      <w:r>
        <w:rPr>
          <w:rFonts w:hint="eastAsia" w:ascii="Times New Roman" w:hAnsi="Times New Roman"/>
          <w:b/>
          <w:sz w:val="44"/>
          <w:szCs w:val="44"/>
        </w:rPr>
        <w:t>DSA新建项目</w:t>
      </w:r>
    </w:p>
    <w:p w14:paraId="2755ADE8">
      <w:pPr>
        <w:spacing w:line="360" w:lineRule="auto"/>
        <w:jc w:val="center"/>
        <w:rPr>
          <w:rFonts w:ascii="Times New Roman" w:hAnsi="Times New Roman"/>
          <w:b/>
          <w:sz w:val="44"/>
          <w:szCs w:val="44"/>
        </w:rPr>
      </w:pPr>
      <w:r>
        <w:rPr>
          <w:rFonts w:hint="eastAsia" w:ascii="Times New Roman" w:hAnsi="Times New Roman"/>
          <w:b/>
          <w:sz w:val="44"/>
          <w:szCs w:val="44"/>
        </w:rPr>
        <w:t>环境影响报告表</w:t>
      </w:r>
    </w:p>
    <w:p w14:paraId="098EDA2E">
      <w:pPr>
        <w:spacing w:line="720" w:lineRule="auto"/>
        <w:jc w:val="center"/>
        <w:rPr>
          <w:rFonts w:ascii="Times New Roman" w:hAnsi="Times New Roman"/>
          <w:b/>
          <w:sz w:val="36"/>
          <w:szCs w:val="36"/>
        </w:rPr>
      </w:pPr>
      <w:r>
        <w:rPr>
          <w:rFonts w:hint="eastAsia" w:ascii="Times New Roman" w:hAnsi="Times New Roman"/>
          <w:b/>
          <w:sz w:val="36"/>
          <w:szCs w:val="36"/>
        </w:rPr>
        <w:t>（</w:t>
      </w:r>
      <w:r>
        <w:rPr>
          <w:rFonts w:hint="eastAsia" w:ascii="Times New Roman" w:hAnsi="Times New Roman"/>
          <w:b/>
          <w:sz w:val="36"/>
          <w:szCs w:val="36"/>
          <w:lang w:val="en-US" w:eastAsia="zh-CN"/>
        </w:rPr>
        <w:t>公示本</w:t>
      </w:r>
      <w:r>
        <w:rPr>
          <w:rFonts w:hint="eastAsia" w:ascii="Times New Roman" w:hAnsi="Times New Roman"/>
          <w:b/>
          <w:sz w:val="36"/>
          <w:szCs w:val="36"/>
        </w:rPr>
        <w:t>）</w:t>
      </w:r>
    </w:p>
    <w:p w14:paraId="35586E2D">
      <w:pPr>
        <w:rPr>
          <w:rFonts w:ascii="Times New Roman" w:hAnsi="Times New Roman"/>
          <w:sz w:val="52"/>
          <w:szCs w:val="52"/>
        </w:rPr>
      </w:pPr>
    </w:p>
    <w:p w14:paraId="0AA0DD5A">
      <w:pPr>
        <w:rPr>
          <w:rFonts w:ascii="Times New Roman" w:hAnsi="Times New Roman"/>
          <w:sz w:val="52"/>
          <w:szCs w:val="52"/>
        </w:rPr>
      </w:pPr>
    </w:p>
    <w:p w14:paraId="6F8BE11E">
      <w:pPr>
        <w:pStyle w:val="30"/>
        <w:rPr>
          <w:color w:val="auto"/>
        </w:rPr>
      </w:pPr>
    </w:p>
    <w:p w14:paraId="3DDCD0FE">
      <w:pPr>
        <w:rPr>
          <w:rFonts w:ascii="Times New Roman" w:hAnsi="Times New Roman"/>
          <w:sz w:val="52"/>
          <w:szCs w:val="52"/>
        </w:rPr>
      </w:pPr>
    </w:p>
    <w:p w14:paraId="28BE403A">
      <w:pPr>
        <w:rPr>
          <w:rFonts w:ascii="Times New Roman" w:hAnsi="Times New Roman"/>
          <w:sz w:val="52"/>
          <w:szCs w:val="52"/>
        </w:rPr>
      </w:pPr>
    </w:p>
    <w:p w14:paraId="66BEB2FD">
      <w:pPr>
        <w:rPr>
          <w:rFonts w:ascii="Times New Roman" w:hAnsi="Times New Roman"/>
          <w:sz w:val="52"/>
          <w:szCs w:val="52"/>
        </w:rPr>
      </w:pPr>
    </w:p>
    <w:p w14:paraId="06C03354">
      <w:pPr>
        <w:rPr>
          <w:rFonts w:ascii="Times New Roman" w:hAnsi="Times New Roman"/>
          <w:sz w:val="52"/>
          <w:szCs w:val="52"/>
        </w:rPr>
      </w:pPr>
    </w:p>
    <w:p w14:paraId="678F5C33">
      <w:pPr>
        <w:rPr>
          <w:rFonts w:ascii="Times New Roman" w:hAnsi="Times New Roman"/>
          <w:sz w:val="52"/>
          <w:szCs w:val="52"/>
        </w:rPr>
      </w:pPr>
    </w:p>
    <w:p w14:paraId="0346ACCF">
      <w:pPr>
        <w:jc w:val="center"/>
        <w:rPr>
          <w:rFonts w:ascii="Times New Roman" w:hAnsi="Times New Roman"/>
          <w:b/>
          <w:bCs/>
          <w:sz w:val="36"/>
          <w:szCs w:val="36"/>
        </w:rPr>
      </w:pPr>
      <w:r>
        <w:rPr>
          <w:rFonts w:hint="eastAsia" w:ascii="Times New Roman" w:hAnsi="Times New Roman"/>
          <w:b/>
          <w:bCs/>
          <w:sz w:val="36"/>
          <w:szCs w:val="36"/>
          <w:lang w:val="en-US" w:eastAsia="zh-CN"/>
        </w:rPr>
        <w:t>平昌县中医医院</w:t>
      </w:r>
    </w:p>
    <w:p w14:paraId="1E620ACD">
      <w:pPr>
        <w:jc w:val="center"/>
        <w:rPr>
          <w:rFonts w:ascii="Times New Roman" w:hAnsi="Times New Roman"/>
          <w:b/>
          <w:bCs/>
          <w:sz w:val="36"/>
          <w:szCs w:val="36"/>
        </w:rPr>
      </w:pPr>
      <w:r>
        <w:rPr>
          <w:rFonts w:ascii="Times New Roman" w:hAnsi="Times New Roman"/>
          <w:b/>
          <w:bCs/>
          <w:sz w:val="36"/>
          <w:szCs w:val="36"/>
        </w:rPr>
        <w:t>二〇二</w:t>
      </w:r>
      <w:r>
        <w:rPr>
          <w:rFonts w:hint="eastAsia" w:ascii="Times New Roman" w:hAnsi="Times New Roman"/>
          <w:b/>
          <w:bCs/>
          <w:sz w:val="36"/>
          <w:szCs w:val="36"/>
          <w:lang w:val="en-US" w:eastAsia="zh-CN"/>
        </w:rPr>
        <w:t>六</w:t>
      </w:r>
      <w:r>
        <w:rPr>
          <w:rFonts w:ascii="Times New Roman" w:hAnsi="Times New Roman"/>
          <w:b/>
          <w:bCs/>
          <w:sz w:val="36"/>
          <w:szCs w:val="36"/>
        </w:rPr>
        <w:t>年</w:t>
      </w:r>
      <w:r>
        <w:rPr>
          <w:rFonts w:hint="eastAsia" w:ascii="Times New Roman" w:hAnsi="Times New Roman"/>
          <w:b/>
          <w:bCs/>
          <w:sz w:val="36"/>
          <w:szCs w:val="36"/>
          <w:lang w:val="en-US" w:eastAsia="zh-CN"/>
        </w:rPr>
        <w:t>四</w:t>
      </w:r>
      <w:r>
        <w:rPr>
          <w:rFonts w:ascii="Times New Roman" w:hAnsi="Times New Roman"/>
          <w:b/>
          <w:bCs/>
          <w:sz w:val="36"/>
          <w:szCs w:val="36"/>
        </w:rPr>
        <w:t>月</w:t>
      </w:r>
    </w:p>
    <w:p w14:paraId="52FB237E">
      <w:pPr>
        <w:jc w:val="center"/>
        <w:rPr>
          <w:rFonts w:ascii="Times New Roman" w:hAnsi="Times New Roman"/>
          <w:b/>
          <w:bCs/>
          <w:sz w:val="36"/>
          <w:szCs w:val="36"/>
        </w:rPr>
      </w:pPr>
    </w:p>
    <w:p w14:paraId="70476351">
      <w:pPr>
        <w:jc w:val="center"/>
        <w:rPr>
          <w:rFonts w:ascii="Times New Roman" w:hAnsi="Times New Roman"/>
          <w:b/>
          <w:bCs/>
          <w:sz w:val="36"/>
          <w:szCs w:val="36"/>
        </w:rPr>
      </w:pPr>
    </w:p>
    <w:p w14:paraId="44DEC08C">
      <w:pPr>
        <w:jc w:val="center"/>
        <w:rPr>
          <w:rFonts w:ascii="Times New Roman" w:hAnsi="Times New Roman"/>
          <w:b/>
          <w:sz w:val="36"/>
          <w:szCs w:val="36"/>
        </w:rPr>
      </w:pPr>
      <w:r>
        <w:rPr>
          <w:rFonts w:ascii="Times New Roman" w:hAnsi="Times New Roman"/>
          <w:b/>
          <w:sz w:val="36"/>
          <w:szCs w:val="36"/>
        </w:rPr>
        <w:t>生态环境部监制</w:t>
      </w:r>
    </w:p>
    <w:p w14:paraId="707F406C">
      <w:pPr>
        <w:spacing w:line="720" w:lineRule="auto"/>
        <w:jc w:val="center"/>
        <w:rPr>
          <w:rFonts w:ascii="Times New Roman" w:hAnsi="Times New Roman"/>
          <w:sz w:val="44"/>
          <w:szCs w:val="44"/>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21C1AF8F">
      <w:pPr>
        <w:spacing w:line="720" w:lineRule="auto"/>
        <w:jc w:val="center"/>
        <w:rPr>
          <w:rFonts w:ascii="Times New Roman" w:hAnsi="Times New Roman"/>
          <w:sz w:val="44"/>
          <w:szCs w:val="44"/>
        </w:rPr>
      </w:pPr>
    </w:p>
    <w:p w14:paraId="51FA8F5B">
      <w:pPr>
        <w:spacing w:line="720" w:lineRule="auto"/>
        <w:jc w:val="center"/>
        <w:rPr>
          <w:rFonts w:ascii="Times New Roman" w:hAnsi="Times New Roman"/>
          <w:b/>
          <w:bCs/>
          <w:sz w:val="44"/>
          <w:szCs w:val="44"/>
        </w:rPr>
      </w:pPr>
      <w:r>
        <w:rPr>
          <w:rFonts w:ascii="Times New Roman" w:hAnsi="Times New Roman"/>
          <w:b/>
          <w:bCs/>
          <w:sz w:val="44"/>
          <w:szCs w:val="44"/>
        </w:rPr>
        <w:t>核技术利用建设项目</w:t>
      </w:r>
    </w:p>
    <w:p w14:paraId="72A936B7">
      <w:pPr>
        <w:pStyle w:val="30"/>
        <w:rPr>
          <w:rFonts w:ascii="Times New Roman" w:hAnsi="Times New Roman"/>
          <w:color w:val="auto"/>
        </w:rPr>
      </w:pPr>
    </w:p>
    <w:p w14:paraId="3224712C">
      <w:pPr>
        <w:spacing w:line="223" w:lineRule="auto"/>
        <w:jc w:val="center"/>
        <w:rPr>
          <w:rFonts w:ascii="Times New Roman" w:hAnsi="Times New Roman"/>
          <w:b/>
          <w:bCs/>
          <w:sz w:val="44"/>
          <w:szCs w:val="44"/>
        </w:rPr>
      </w:pPr>
      <w:r>
        <w:rPr>
          <w:rFonts w:hint="eastAsia" w:ascii="Times New Roman" w:hAnsi="Times New Roman"/>
          <w:b/>
          <w:bCs/>
          <w:sz w:val="44"/>
          <w:szCs w:val="44"/>
          <w:lang w:eastAsia="zh-CN"/>
        </w:rPr>
        <w:t>平昌县中医医院</w:t>
      </w:r>
      <w:r>
        <w:rPr>
          <w:rFonts w:hint="eastAsia" w:ascii="Times New Roman" w:hAnsi="Times New Roman"/>
          <w:b/>
          <w:bCs/>
          <w:sz w:val="44"/>
          <w:szCs w:val="44"/>
        </w:rPr>
        <w:t>DSA新建项目</w:t>
      </w:r>
    </w:p>
    <w:p w14:paraId="46E8B44A">
      <w:pPr>
        <w:spacing w:line="720" w:lineRule="auto"/>
        <w:jc w:val="center"/>
        <w:rPr>
          <w:rFonts w:ascii="Times New Roman" w:hAnsi="Times New Roman"/>
          <w:b/>
          <w:bCs/>
          <w:sz w:val="44"/>
          <w:szCs w:val="44"/>
        </w:rPr>
      </w:pPr>
      <w:r>
        <w:rPr>
          <w:rFonts w:ascii="Times New Roman" w:hAnsi="Times New Roman"/>
          <w:b/>
          <w:bCs/>
          <w:sz w:val="44"/>
          <w:szCs w:val="44"/>
        </w:rPr>
        <w:t>环境影响报告表</w:t>
      </w:r>
    </w:p>
    <w:p w14:paraId="3B4A3049">
      <w:pPr>
        <w:spacing w:line="720" w:lineRule="auto"/>
        <w:jc w:val="center"/>
        <w:rPr>
          <w:rFonts w:ascii="Times New Roman" w:hAnsi="Times New Roman"/>
          <w:sz w:val="72"/>
          <w:szCs w:val="72"/>
        </w:rPr>
      </w:pPr>
    </w:p>
    <w:p w14:paraId="2D4EFD29">
      <w:pPr>
        <w:spacing w:line="720" w:lineRule="auto"/>
        <w:jc w:val="center"/>
        <w:rPr>
          <w:rFonts w:ascii="Times New Roman" w:hAnsi="Times New Roman"/>
          <w:sz w:val="44"/>
          <w:szCs w:val="52"/>
        </w:rPr>
      </w:pPr>
    </w:p>
    <w:p w14:paraId="756DF1F1">
      <w:pPr>
        <w:rPr>
          <w:rFonts w:ascii="Times New Roman" w:hAnsi="Times New Roman"/>
          <w:sz w:val="52"/>
          <w:szCs w:val="52"/>
        </w:rPr>
      </w:pPr>
    </w:p>
    <w:p w14:paraId="7A2EE0FC">
      <w:pPr>
        <w:rPr>
          <w:rFonts w:ascii="Times New Roman" w:hAnsi="Times New Roman"/>
          <w:sz w:val="52"/>
          <w:szCs w:val="52"/>
        </w:rPr>
      </w:pPr>
    </w:p>
    <w:p w14:paraId="1AA6CBCB">
      <w:pPr>
        <w:rPr>
          <w:rFonts w:ascii="Times New Roman" w:hAnsi="Times New Roman"/>
          <w:sz w:val="52"/>
          <w:szCs w:val="52"/>
        </w:rPr>
      </w:pPr>
    </w:p>
    <w:p w14:paraId="6DC1B145">
      <w:pPr>
        <w:pStyle w:val="30"/>
        <w:rPr>
          <w:rFonts w:ascii="Times New Roman" w:hAnsi="Times New Roman"/>
          <w:color w:val="auto"/>
        </w:rPr>
      </w:pPr>
    </w:p>
    <w:p w14:paraId="12682026">
      <w:pPr>
        <w:rPr>
          <w:rFonts w:ascii="Times New Roman" w:hAnsi="Times New Roman"/>
          <w:sz w:val="52"/>
          <w:szCs w:val="52"/>
        </w:rPr>
      </w:pPr>
    </w:p>
    <w:p w14:paraId="4280E2C2">
      <w:pPr>
        <w:rPr>
          <w:rFonts w:ascii="Times New Roman" w:hAnsi="Times New Roman"/>
          <w:sz w:val="52"/>
          <w:szCs w:val="52"/>
        </w:rPr>
      </w:pPr>
    </w:p>
    <w:p w14:paraId="763C037A">
      <w:pPr>
        <w:rPr>
          <w:rFonts w:hint="eastAsia" w:ascii="Times New Roman" w:hAnsi="Times New Roman" w:eastAsia="宋体"/>
          <w:b/>
          <w:bCs/>
          <w:sz w:val="32"/>
          <w:szCs w:val="32"/>
          <w:lang w:eastAsia="zh-CN"/>
        </w:rPr>
      </w:pPr>
      <w:r>
        <w:rPr>
          <w:rFonts w:ascii="Times New Roman" w:hAnsi="Times New Roman"/>
          <w:b/>
          <w:sz w:val="32"/>
          <w:szCs w:val="32"/>
        </w:rPr>
        <w:t>建设单位</w:t>
      </w:r>
      <w:r>
        <w:rPr>
          <w:rFonts w:hint="eastAsia" w:ascii="Times New Roman" w:hAnsi="Times New Roman"/>
          <w:b/>
          <w:sz w:val="32"/>
          <w:szCs w:val="32"/>
          <w:lang w:eastAsia="zh-CN"/>
        </w:rPr>
        <w:t>：平昌县中医医院</w:t>
      </w:r>
    </w:p>
    <w:p w14:paraId="46F5AC07">
      <w:pPr>
        <w:tabs>
          <w:tab w:val="left" w:pos="3300"/>
        </w:tabs>
        <w:spacing w:line="360" w:lineRule="auto"/>
        <w:rPr>
          <w:rFonts w:ascii="Times New Roman" w:hAnsi="Times New Roman"/>
          <w:b/>
          <w:sz w:val="32"/>
          <w:szCs w:val="32"/>
          <w:u w:val="single"/>
        </w:rPr>
      </w:pPr>
      <w:r>
        <w:rPr>
          <w:rFonts w:ascii="Times New Roman" w:hAnsi="Times New Roman"/>
          <w:b/>
          <w:sz w:val="32"/>
          <w:szCs w:val="32"/>
        </w:rPr>
        <w:t>建设单位法人代表（签名或签章）</w:t>
      </w:r>
      <w:r>
        <w:rPr>
          <w:rFonts w:hint="eastAsia" w:ascii="Times New Roman" w:hAnsi="Times New Roman"/>
          <w:b/>
          <w:sz w:val="32"/>
          <w:szCs w:val="32"/>
          <w:lang w:eastAsia="zh-CN"/>
        </w:rPr>
        <w:t>：</w:t>
      </w:r>
      <w:r>
        <w:rPr>
          <w:rFonts w:ascii="Times New Roman" w:hAnsi="Times New Roman"/>
          <w:b/>
          <w:sz w:val="32"/>
          <w:szCs w:val="32"/>
        </w:rPr>
        <w:t xml:space="preserve">  </w:t>
      </w:r>
    </w:p>
    <w:p w14:paraId="33A33818">
      <w:pPr>
        <w:rPr>
          <w:rFonts w:hint="eastAsia" w:ascii="Times New Roman" w:hAnsi="Times New Roman" w:eastAsia="宋体"/>
          <w:b/>
          <w:sz w:val="32"/>
          <w:szCs w:val="32"/>
          <w:lang w:eastAsia="zh-CN"/>
        </w:rPr>
      </w:pPr>
      <w:r>
        <w:rPr>
          <w:rFonts w:ascii="Times New Roman" w:hAnsi="Times New Roman"/>
          <w:b/>
          <w:sz w:val="32"/>
          <w:szCs w:val="32"/>
        </w:rPr>
        <w:t>通讯地址：</w:t>
      </w:r>
      <w:r>
        <w:rPr>
          <w:rFonts w:hint="eastAsia" w:ascii="Times New Roman" w:hAnsi="Times New Roman"/>
          <w:b/>
          <w:sz w:val="32"/>
          <w:szCs w:val="32"/>
          <w:lang w:eastAsia="zh-CN"/>
        </w:rPr>
        <w:t>平昌县同州街道新平街西段122号</w:t>
      </w:r>
    </w:p>
    <w:p w14:paraId="3C7C635C">
      <w:pPr>
        <w:rPr>
          <w:rFonts w:hint="default" w:ascii="Times New Roman" w:hAnsi="Times New Roman" w:eastAsia="宋体"/>
          <w:b/>
          <w:sz w:val="32"/>
          <w:szCs w:val="32"/>
          <w:lang w:val="en-US" w:eastAsia="zh-CN"/>
        </w:rPr>
      </w:pPr>
      <w:r>
        <w:rPr>
          <w:rFonts w:ascii="Times New Roman" w:hAnsi="Times New Roman"/>
          <w:b/>
          <w:sz w:val="32"/>
          <w:szCs w:val="32"/>
        </w:rPr>
        <w:t>邮政编码：</w:t>
      </w:r>
      <w:r>
        <w:rPr>
          <w:rFonts w:ascii="Times New Roman" w:hAnsi="Times New Roman" w:eastAsia="宋体" w:cs="Times New Roman"/>
          <w:b/>
          <w:kern w:val="2"/>
          <w:sz w:val="32"/>
          <w:szCs w:val="32"/>
          <w:lang w:val="en-US" w:eastAsia="zh-CN" w:bidi="ar-SA"/>
        </w:rPr>
        <w:t>636400</w:t>
      </w:r>
      <w:r>
        <w:rPr>
          <w:rFonts w:hint="eastAsia" w:ascii="Times New Roman" w:hAnsi="Times New Roman"/>
          <w:b/>
          <w:sz w:val="32"/>
          <w:szCs w:val="32"/>
        </w:rPr>
        <w:t xml:space="preserve">         </w:t>
      </w:r>
      <w:r>
        <w:rPr>
          <w:rFonts w:ascii="Times New Roman" w:hAnsi="Times New Roman"/>
          <w:b/>
          <w:sz w:val="32"/>
          <w:szCs w:val="32"/>
        </w:rPr>
        <w:t>联系人：</w:t>
      </w:r>
      <w:r>
        <w:rPr>
          <w:rFonts w:hint="eastAsia" w:ascii="Times New Roman" w:hAnsi="Times New Roman"/>
          <w:b/>
          <w:sz w:val="32"/>
          <w:szCs w:val="32"/>
          <w:lang w:val="en-US" w:eastAsia="zh-CN"/>
        </w:rPr>
        <w:t>张鑫</w:t>
      </w:r>
    </w:p>
    <w:p w14:paraId="0EDFA3B0">
      <w:pPr>
        <w:rPr>
          <w:rFonts w:hint="default" w:ascii="Times New Roman" w:hAnsi="Times New Roman" w:eastAsia="宋体"/>
          <w:b/>
          <w:sz w:val="32"/>
          <w:szCs w:val="32"/>
          <w:lang w:val="en-US" w:eastAsia="zh-CN"/>
        </w:rPr>
      </w:pPr>
      <w:r>
        <w:rPr>
          <w:rFonts w:ascii="Times New Roman" w:hAnsi="Times New Roman"/>
          <w:b/>
          <w:sz w:val="32"/>
          <w:szCs w:val="32"/>
        </w:rPr>
        <w:t>电子邮件：</w:t>
      </w:r>
      <w:r>
        <w:rPr>
          <w:rFonts w:hint="eastAsia" w:ascii="Times New Roman" w:hAnsi="Times New Roman"/>
          <w:b/>
          <w:sz w:val="32"/>
          <w:szCs w:val="32"/>
        </w:rPr>
        <w:t xml:space="preserve">/ </w:t>
      </w:r>
      <w:r>
        <w:rPr>
          <w:rFonts w:ascii="Times New Roman" w:hAnsi="Times New Roman"/>
          <w:b/>
          <w:sz w:val="32"/>
          <w:szCs w:val="32"/>
        </w:rPr>
        <w:t xml:space="preserve">   </w:t>
      </w:r>
      <w:r>
        <w:rPr>
          <w:rFonts w:hint="eastAsia" w:ascii="Times New Roman" w:hAnsi="Times New Roman"/>
          <w:b/>
          <w:sz w:val="32"/>
          <w:szCs w:val="32"/>
        </w:rPr>
        <w:t xml:space="preserve">         </w:t>
      </w:r>
      <w:r>
        <w:rPr>
          <w:rFonts w:ascii="Times New Roman" w:hAnsi="Times New Roman"/>
          <w:b/>
          <w:sz w:val="32"/>
          <w:szCs w:val="32"/>
        </w:rPr>
        <w:t>联系电话：</w:t>
      </w:r>
      <w:r>
        <w:rPr>
          <w:rFonts w:hint="eastAsia" w:ascii="Times New Roman" w:hAnsi="Times New Roman"/>
          <w:b/>
          <w:sz w:val="32"/>
          <w:szCs w:val="32"/>
          <w:lang w:val="en-US" w:eastAsia="zh-CN"/>
        </w:rPr>
        <w:t>15******33</w:t>
      </w:r>
    </w:p>
    <w:p w14:paraId="26F0BEE9">
      <w:pPr>
        <w:spacing w:line="360" w:lineRule="auto"/>
        <w:jc w:val="center"/>
        <w:rPr>
          <w:rFonts w:ascii="Times New Roman" w:hAnsi="Times New Roman"/>
          <w:bCs/>
          <w:spacing w:val="20"/>
          <w:sz w:val="36"/>
          <w:szCs w:val="36"/>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74B76BBA">
      <w:pPr>
        <w:spacing w:line="360" w:lineRule="auto"/>
        <w:jc w:val="center"/>
      </w:pPr>
      <w:r>
        <w:rPr>
          <w:rFonts w:ascii="Times New Roman" w:hAnsi="Times New Roman"/>
          <w:bCs/>
          <w:spacing w:val="20"/>
          <w:sz w:val="36"/>
          <w:szCs w:val="36"/>
        </w:rPr>
        <w:t>目  录</w:t>
      </w:r>
    </w:p>
    <w:p w14:paraId="7F780A9C">
      <w:pPr>
        <w:pStyle w:val="12"/>
        <w:tabs>
          <w:tab w:val="right" w:leader="dot" w:pos="8306"/>
        </w:tabs>
        <w:spacing w:line="360" w:lineRule="auto"/>
        <w:ind w:left="0" w:leftChars="0"/>
        <w:rPr>
          <w:rFonts w:ascii="Times New Roman" w:hAnsi="Times New Roman"/>
          <w:sz w:val="28"/>
          <w:szCs w:val="36"/>
        </w:rPr>
      </w:pPr>
      <w:r>
        <w:rPr>
          <w:rFonts w:ascii="Times New Roman" w:hAnsi="Times New Roman"/>
          <w:sz w:val="52"/>
          <w:szCs w:val="52"/>
        </w:rPr>
        <w:fldChar w:fldCharType="begin"/>
      </w:r>
      <w:r>
        <w:rPr>
          <w:rFonts w:ascii="Times New Roman" w:hAnsi="Times New Roman"/>
          <w:sz w:val="52"/>
          <w:szCs w:val="52"/>
        </w:rPr>
        <w:instrText xml:space="preserve"> TOC \o "1-3" \h \z \u </w:instrText>
      </w:r>
      <w:r>
        <w:rPr>
          <w:rFonts w:ascii="Times New Roman" w:hAnsi="Times New Roman"/>
          <w:sz w:val="52"/>
          <w:szCs w:val="52"/>
        </w:rPr>
        <w:fldChar w:fldCharType="separate"/>
      </w:r>
      <w:r>
        <w:fldChar w:fldCharType="begin"/>
      </w:r>
      <w:r>
        <w:instrText xml:space="preserve"> HYPERLINK \l "_Toc547" </w:instrText>
      </w:r>
      <w:r>
        <w:fldChar w:fldCharType="separate"/>
      </w:r>
      <w:r>
        <w:rPr>
          <w:rFonts w:ascii="Times New Roman" w:hAnsi="Times New Roman"/>
          <w:sz w:val="28"/>
          <w:szCs w:val="36"/>
        </w:rPr>
        <w:t>表1  项目基本情况</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_Toc547 \h </w:instrText>
      </w:r>
      <w:r>
        <w:rPr>
          <w:rFonts w:ascii="Times New Roman" w:hAnsi="Times New Roman"/>
          <w:sz w:val="28"/>
          <w:szCs w:val="36"/>
        </w:rPr>
        <w:fldChar w:fldCharType="separate"/>
      </w:r>
      <w:r>
        <w:rPr>
          <w:rFonts w:ascii="Times New Roman" w:hAnsi="Times New Roman"/>
          <w:sz w:val="28"/>
          <w:szCs w:val="36"/>
        </w:rPr>
        <w:t>- 1 -</w:t>
      </w:r>
      <w:r>
        <w:rPr>
          <w:rFonts w:ascii="Times New Roman" w:hAnsi="Times New Roman"/>
          <w:sz w:val="28"/>
          <w:szCs w:val="36"/>
        </w:rPr>
        <w:fldChar w:fldCharType="end"/>
      </w:r>
      <w:r>
        <w:rPr>
          <w:rFonts w:ascii="Times New Roman" w:hAnsi="Times New Roman"/>
          <w:sz w:val="28"/>
          <w:szCs w:val="36"/>
        </w:rPr>
        <w:fldChar w:fldCharType="end"/>
      </w:r>
    </w:p>
    <w:p w14:paraId="326F6489">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"_Toc4989" </w:instrText>
      </w:r>
      <w:r>
        <w:fldChar w:fldCharType="separate"/>
      </w:r>
      <w:r>
        <w:rPr>
          <w:rFonts w:ascii="Times New Roman" w:hAnsi="Times New Roman"/>
          <w:sz w:val="28"/>
          <w:szCs w:val="36"/>
        </w:rPr>
        <w:t>表2  放射源</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_Toc4989 \h </w:instrText>
      </w:r>
      <w:r>
        <w:rPr>
          <w:rFonts w:ascii="Times New Roman" w:hAnsi="Times New Roman"/>
          <w:sz w:val="28"/>
          <w:szCs w:val="36"/>
        </w:rPr>
        <w:fldChar w:fldCharType="separate"/>
      </w:r>
      <w:r>
        <w:rPr>
          <w:rFonts w:ascii="Times New Roman" w:hAnsi="Times New Roman"/>
          <w:sz w:val="28"/>
          <w:szCs w:val="36"/>
        </w:rPr>
        <w:t>- 13 -</w:t>
      </w:r>
      <w:r>
        <w:rPr>
          <w:rFonts w:ascii="Times New Roman" w:hAnsi="Times New Roman"/>
          <w:sz w:val="28"/>
          <w:szCs w:val="36"/>
        </w:rPr>
        <w:fldChar w:fldCharType="end"/>
      </w:r>
      <w:r>
        <w:rPr>
          <w:rFonts w:ascii="Times New Roman" w:hAnsi="Times New Roman"/>
          <w:sz w:val="28"/>
          <w:szCs w:val="36"/>
        </w:rPr>
        <w:fldChar w:fldCharType="end"/>
      </w:r>
    </w:p>
    <w:p w14:paraId="3F144AFC">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"_Toc10560" </w:instrText>
      </w:r>
      <w:r>
        <w:fldChar w:fldCharType="separate"/>
      </w:r>
      <w:r>
        <w:rPr>
          <w:rFonts w:ascii="Times New Roman" w:hAnsi="Times New Roman"/>
          <w:sz w:val="28"/>
          <w:szCs w:val="36"/>
        </w:rPr>
        <w:t>表3  非密封放射性物质</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_Toc10560 \h </w:instrText>
      </w:r>
      <w:r>
        <w:rPr>
          <w:rFonts w:ascii="Times New Roman" w:hAnsi="Times New Roman"/>
          <w:sz w:val="28"/>
          <w:szCs w:val="36"/>
        </w:rPr>
        <w:fldChar w:fldCharType="separate"/>
      </w:r>
      <w:r>
        <w:rPr>
          <w:rFonts w:ascii="Times New Roman" w:hAnsi="Times New Roman"/>
          <w:sz w:val="28"/>
          <w:szCs w:val="36"/>
        </w:rPr>
        <w:t>- 13 -</w:t>
      </w:r>
      <w:r>
        <w:rPr>
          <w:rFonts w:ascii="Times New Roman" w:hAnsi="Times New Roman"/>
          <w:sz w:val="28"/>
          <w:szCs w:val="36"/>
        </w:rPr>
        <w:fldChar w:fldCharType="end"/>
      </w:r>
      <w:r>
        <w:rPr>
          <w:rFonts w:ascii="Times New Roman" w:hAnsi="Times New Roman"/>
          <w:sz w:val="28"/>
          <w:szCs w:val="36"/>
        </w:rPr>
        <w:fldChar w:fldCharType="end"/>
      </w:r>
    </w:p>
    <w:p w14:paraId="08605910">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"_Toc11059" </w:instrText>
      </w:r>
      <w:r>
        <w:fldChar w:fldCharType="separate"/>
      </w:r>
      <w:r>
        <w:rPr>
          <w:rFonts w:ascii="Times New Roman" w:hAnsi="Times New Roman"/>
          <w:sz w:val="28"/>
          <w:szCs w:val="36"/>
        </w:rPr>
        <w:t>表4  射线装置</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_Toc11059 \h </w:instrText>
      </w:r>
      <w:r>
        <w:rPr>
          <w:rFonts w:ascii="Times New Roman" w:hAnsi="Times New Roman"/>
          <w:sz w:val="28"/>
          <w:szCs w:val="36"/>
        </w:rPr>
        <w:fldChar w:fldCharType="separate"/>
      </w:r>
      <w:r>
        <w:rPr>
          <w:rFonts w:ascii="Times New Roman" w:hAnsi="Times New Roman"/>
          <w:sz w:val="28"/>
          <w:szCs w:val="36"/>
        </w:rPr>
        <w:t>- 13 -</w:t>
      </w:r>
      <w:r>
        <w:rPr>
          <w:rFonts w:ascii="Times New Roman" w:hAnsi="Times New Roman"/>
          <w:sz w:val="28"/>
          <w:szCs w:val="36"/>
        </w:rPr>
        <w:fldChar w:fldCharType="end"/>
      </w:r>
      <w:r>
        <w:rPr>
          <w:rFonts w:ascii="Times New Roman" w:hAnsi="Times New Roman"/>
          <w:sz w:val="28"/>
          <w:szCs w:val="36"/>
        </w:rPr>
        <w:fldChar w:fldCharType="end"/>
      </w:r>
    </w:p>
    <w:p w14:paraId="44AE1A56">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"_Toc14734" </w:instrText>
      </w:r>
      <w:r>
        <w:fldChar w:fldCharType="separate"/>
      </w:r>
      <w:r>
        <w:rPr>
          <w:rFonts w:ascii="Times New Roman" w:hAnsi="Times New Roman"/>
          <w:sz w:val="28"/>
          <w:szCs w:val="36"/>
        </w:rPr>
        <w:t>表5  废弃物（重点是放射性废弃物）</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_Toc14734 \h </w:instrText>
      </w:r>
      <w:r>
        <w:rPr>
          <w:rFonts w:ascii="Times New Roman" w:hAnsi="Times New Roman"/>
          <w:sz w:val="28"/>
          <w:szCs w:val="36"/>
        </w:rPr>
        <w:fldChar w:fldCharType="separate"/>
      </w:r>
      <w:r>
        <w:rPr>
          <w:rFonts w:ascii="Times New Roman" w:hAnsi="Times New Roman"/>
          <w:sz w:val="28"/>
          <w:szCs w:val="36"/>
        </w:rPr>
        <w:t>- 15 -</w:t>
      </w:r>
      <w:r>
        <w:rPr>
          <w:rFonts w:ascii="Times New Roman" w:hAnsi="Times New Roman"/>
          <w:sz w:val="28"/>
          <w:szCs w:val="36"/>
        </w:rPr>
        <w:fldChar w:fldCharType="end"/>
      </w:r>
      <w:r>
        <w:rPr>
          <w:rFonts w:ascii="Times New Roman" w:hAnsi="Times New Roman"/>
          <w:sz w:val="28"/>
          <w:szCs w:val="36"/>
        </w:rPr>
        <w:fldChar w:fldCharType="end"/>
      </w:r>
    </w:p>
    <w:p w14:paraId="2353155C">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"_Toc30739" </w:instrText>
      </w:r>
      <w:r>
        <w:fldChar w:fldCharType="separate"/>
      </w:r>
      <w:r>
        <w:rPr>
          <w:rFonts w:ascii="Times New Roman" w:hAnsi="Times New Roman"/>
          <w:sz w:val="28"/>
          <w:szCs w:val="36"/>
        </w:rPr>
        <w:t>表6  评价依据</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_Toc30739 \h </w:instrText>
      </w:r>
      <w:r>
        <w:rPr>
          <w:rFonts w:ascii="Times New Roman" w:hAnsi="Times New Roman"/>
          <w:sz w:val="28"/>
          <w:szCs w:val="36"/>
        </w:rPr>
        <w:fldChar w:fldCharType="separate"/>
      </w:r>
      <w:r>
        <w:rPr>
          <w:rFonts w:ascii="Times New Roman" w:hAnsi="Times New Roman"/>
          <w:sz w:val="28"/>
          <w:szCs w:val="36"/>
        </w:rPr>
        <w:t>- 16 -</w:t>
      </w:r>
      <w:r>
        <w:rPr>
          <w:rFonts w:ascii="Times New Roman" w:hAnsi="Times New Roman"/>
          <w:sz w:val="28"/>
          <w:szCs w:val="36"/>
        </w:rPr>
        <w:fldChar w:fldCharType="end"/>
      </w:r>
      <w:r>
        <w:rPr>
          <w:rFonts w:ascii="Times New Roman" w:hAnsi="Times New Roman"/>
          <w:sz w:val="28"/>
          <w:szCs w:val="36"/>
        </w:rPr>
        <w:fldChar w:fldCharType="end"/>
      </w:r>
    </w:p>
    <w:p w14:paraId="615A614C">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"_Toc19768" </w:instrText>
      </w:r>
      <w:r>
        <w:fldChar w:fldCharType="separate"/>
      </w:r>
      <w:r>
        <w:rPr>
          <w:rFonts w:ascii="Times New Roman" w:hAnsi="Times New Roman"/>
          <w:sz w:val="28"/>
          <w:szCs w:val="36"/>
        </w:rPr>
        <w:t>表7  保护目标与评价标准</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_Toc19768 \h </w:instrText>
      </w:r>
      <w:r>
        <w:rPr>
          <w:rFonts w:ascii="Times New Roman" w:hAnsi="Times New Roman"/>
          <w:sz w:val="28"/>
          <w:szCs w:val="36"/>
        </w:rPr>
        <w:fldChar w:fldCharType="separate"/>
      </w:r>
      <w:r>
        <w:rPr>
          <w:rFonts w:ascii="Times New Roman" w:hAnsi="Times New Roman"/>
          <w:sz w:val="28"/>
          <w:szCs w:val="36"/>
        </w:rPr>
        <w:t>- 18 -</w:t>
      </w:r>
      <w:r>
        <w:rPr>
          <w:rFonts w:ascii="Times New Roman" w:hAnsi="Times New Roman"/>
          <w:sz w:val="28"/>
          <w:szCs w:val="36"/>
        </w:rPr>
        <w:fldChar w:fldCharType="end"/>
      </w:r>
      <w:r>
        <w:rPr>
          <w:rFonts w:ascii="Times New Roman" w:hAnsi="Times New Roman"/>
          <w:sz w:val="28"/>
          <w:szCs w:val="36"/>
        </w:rPr>
        <w:fldChar w:fldCharType="end"/>
      </w:r>
    </w:p>
    <w:p w14:paraId="65B605A9">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"_Toc29538" </w:instrText>
      </w:r>
      <w:r>
        <w:fldChar w:fldCharType="separate"/>
      </w:r>
      <w:r>
        <w:rPr>
          <w:rFonts w:ascii="Times New Roman" w:hAnsi="Times New Roman"/>
          <w:sz w:val="28"/>
          <w:szCs w:val="36"/>
        </w:rPr>
        <w:t>表8  环境质量和辐射现状</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_Toc29538 \h </w:instrText>
      </w:r>
      <w:r>
        <w:rPr>
          <w:rFonts w:ascii="Times New Roman" w:hAnsi="Times New Roman"/>
          <w:sz w:val="28"/>
          <w:szCs w:val="36"/>
        </w:rPr>
        <w:fldChar w:fldCharType="separate"/>
      </w:r>
      <w:r>
        <w:rPr>
          <w:rFonts w:ascii="Times New Roman" w:hAnsi="Times New Roman"/>
          <w:sz w:val="28"/>
          <w:szCs w:val="36"/>
        </w:rPr>
        <w:t>- 22 -</w:t>
      </w:r>
      <w:r>
        <w:rPr>
          <w:rFonts w:ascii="Times New Roman" w:hAnsi="Times New Roman"/>
          <w:sz w:val="28"/>
          <w:szCs w:val="36"/>
        </w:rPr>
        <w:fldChar w:fldCharType="end"/>
      </w:r>
      <w:r>
        <w:rPr>
          <w:rFonts w:ascii="Times New Roman" w:hAnsi="Times New Roman"/>
          <w:sz w:val="28"/>
          <w:szCs w:val="36"/>
        </w:rPr>
        <w:fldChar w:fldCharType="end"/>
      </w:r>
    </w:p>
    <w:p w14:paraId="3D84B688">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"_Toc30106" </w:instrText>
      </w:r>
      <w:r>
        <w:fldChar w:fldCharType="separate"/>
      </w:r>
      <w:r>
        <w:rPr>
          <w:rFonts w:ascii="Times New Roman" w:hAnsi="Times New Roman"/>
          <w:sz w:val="28"/>
          <w:szCs w:val="36"/>
        </w:rPr>
        <w:t>表9  项目工程分析与源项</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_Toc30106 \h </w:instrText>
      </w:r>
      <w:r>
        <w:rPr>
          <w:rFonts w:ascii="Times New Roman" w:hAnsi="Times New Roman"/>
          <w:sz w:val="28"/>
          <w:szCs w:val="36"/>
        </w:rPr>
        <w:fldChar w:fldCharType="separate"/>
      </w:r>
      <w:r>
        <w:rPr>
          <w:rFonts w:ascii="Times New Roman" w:hAnsi="Times New Roman"/>
          <w:sz w:val="28"/>
          <w:szCs w:val="36"/>
        </w:rPr>
        <w:t>- 28 -</w:t>
      </w:r>
      <w:r>
        <w:rPr>
          <w:rFonts w:ascii="Times New Roman" w:hAnsi="Times New Roman"/>
          <w:sz w:val="28"/>
          <w:szCs w:val="36"/>
        </w:rPr>
        <w:fldChar w:fldCharType="end"/>
      </w:r>
      <w:r>
        <w:rPr>
          <w:rFonts w:ascii="Times New Roman" w:hAnsi="Times New Roman"/>
          <w:sz w:val="28"/>
          <w:szCs w:val="36"/>
        </w:rPr>
        <w:fldChar w:fldCharType="end"/>
      </w:r>
    </w:p>
    <w:p w14:paraId="19D5239F">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"_Toc16258" </w:instrText>
      </w:r>
      <w:r>
        <w:fldChar w:fldCharType="separate"/>
      </w:r>
      <w:r>
        <w:rPr>
          <w:rFonts w:ascii="Times New Roman" w:hAnsi="Times New Roman"/>
          <w:sz w:val="28"/>
          <w:szCs w:val="36"/>
        </w:rPr>
        <w:t>表10  辐射安全与防护</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_Toc16258 \h </w:instrText>
      </w:r>
      <w:r>
        <w:rPr>
          <w:rFonts w:ascii="Times New Roman" w:hAnsi="Times New Roman"/>
          <w:sz w:val="28"/>
          <w:szCs w:val="36"/>
        </w:rPr>
        <w:fldChar w:fldCharType="separate"/>
      </w:r>
      <w:r>
        <w:rPr>
          <w:rFonts w:ascii="Times New Roman" w:hAnsi="Times New Roman"/>
          <w:sz w:val="28"/>
          <w:szCs w:val="36"/>
        </w:rPr>
        <w:t>- 34 -</w:t>
      </w:r>
      <w:r>
        <w:rPr>
          <w:rFonts w:ascii="Times New Roman" w:hAnsi="Times New Roman"/>
          <w:sz w:val="28"/>
          <w:szCs w:val="36"/>
        </w:rPr>
        <w:fldChar w:fldCharType="end"/>
      </w:r>
      <w:r>
        <w:rPr>
          <w:rFonts w:ascii="Times New Roman" w:hAnsi="Times New Roman"/>
          <w:sz w:val="28"/>
          <w:szCs w:val="36"/>
        </w:rPr>
        <w:fldChar w:fldCharType="end"/>
      </w:r>
    </w:p>
    <w:p w14:paraId="21667569">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"_Toc12189" </w:instrText>
      </w:r>
      <w:r>
        <w:fldChar w:fldCharType="separate"/>
      </w:r>
      <w:r>
        <w:rPr>
          <w:rFonts w:ascii="Times New Roman" w:hAnsi="Times New Roman"/>
          <w:sz w:val="28"/>
          <w:szCs w:val="36"/>
        </w:rPr>
        <w:t>表11  环境影响分析</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_Toc12189 \h </w:instrText>
      </w:r>
      <w:r>
        <w:rPr>
          <w:rFonts w:ascii="Times New Roman" w:hAnsi="Times New Roman"/>
          <w:sz w:val="28"/>
          <w:szCs w:val="36"/>
        </w:rPr>
        <w:fldChar w:fldCharType="separate"/>
      </w:r>
      <w:r>
        <w:rPr>
          <w:rFonts w:ascii="Times New Roman" w:hAnsi="Times New Roman"/>
          <w:sz w:val="28"/>
          <w:szCs w:val="36"/>
        </w:rPr>
        <w:t>- 48 -</w:t>
      </w:r>
      <w:r>
        <w:rPr>
          <w:rFonts w:ascii="Times New Roman" w:hAnsi="Times New Roman"/>
          <w:sz w:val="28"/>
          <w:szCs w:val="36"/>
        </w:rPr>
        <w:fldChar w:fldCharType="end"/>
      </w:r>
      <w:r>
        <w:rPr>
          <w:rFonts w:ascii="Times New Roman" w:hAnsi="Times New Roman"/>
          <w:sz w:val="28"/>
          <w:szCs w:val="36"/>
        </w:rPr>
        <w:fldChar w:fldCharType="end"/>
      </w:r>
    </w:p>
    <w:p w14:paraId="06B64F07">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"_Toc24518" </w:instrText>
      </w:r>
      <w:r>
        <w:fldChar w:fldCharType="separate"/>
      </w:r>
      <w:r>
        <w:rPr>
          <w:rFonts w:ascii="Times New Roman" w:hAnsi="Times New Roman"/>
          <w:sz w:val="28"/>
          <w:szCs w:val="36"/>
        </w:rPr>
        <w:t>表12  辐射安全管理</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_Toc24518 \h </w:instrText>
      </w:r>
      <w:r>
        <w:rPr>
          <w:rFonts w:ascii="Times New Roman" w:hAnsi="Times New Roman"/>
          <w:sz w:val="28"/>
          <w:szCs w:val="36"/>
        </w:rPr>
        <w:fldChar w:fldCharType="separate"/>
      </w:r>
      <w:r>
        <w:rPr>
          <w:rFonts w:ascii="Times New Roman" w:hAnsi="Times New Roman"/>
          <w:sz w:val="28"/>
          <w:szCs w:val="36"/>
        </w:rPr>
        <w:t>- 67 -</w:t>
      </w:r>
      <w:r>
        <w:rPr>
          <w:rFonts w:ascii="Times New Roman" w:hAnsi="Times New Roman"/>
          <w:sz w:val="28"/>
          <w:szCs w:val="36"/>
        </w:rPr>
        <w:fldChar w:fldCharType="end"/>
      </w:r>
      <w:r>
        <w:rPr>
          <w:rFonts w:ascii="Times New Roman" w:hAnsi="Times New Roman"/>
          <w:sz w:val="28"/>
          <w:szCs w:val="36"/>
        </w:rPr>
        <w:fldChar w:fldCharType="end"/>
      </w:r>
    </w:p>
    <w:p w14:paraId="45BAF029">
      <w:pPr>
        <w:pStyle w:val="12"/>
        <w:tabs>
          <w:tab w:val="right" w:leader="dot" w:pos="8306"/>
        </w:tabs>
        <w:spacing w:line="360" w:lineRule="auto"/>
        <w:ind w:left="0" w:leftChars="0"/>
        <w:rPr>
          <w:rFonts w:ascii="Times New Roman" w:hAnsi="Times New Roman"/>
          <w:sz w:val="28"/>
          <w:szCs w:val="36"/>
        </w:rPr>
      </w:pPr>
      <w:r>
        <w:fldChar w:fldCharType="begin"/>
      </w:r>
      <w:r>
        <w:instrText xml:space="preserve"> HYPERLINK \l "_Toc29033" </w:instrText>
      </w:r>
      <w:r>
        <w:fldChar w:fldCharType="separate"/>
      </w:r>
      <w:r>
        <w:rPr>
          <w:rFonts w:ascii="Times New Roman" w:hAnsi="Times New Roman"/>
          <w:sz w:val="28"/>
          <w:szCs w:val="36"/>
        </w:rPr>
        <w:t>表13  结论与建议</w:t>
      </w:r>
      <w:r>
        <w:rPr>
          <w:rFonts w:ascii="Times New Roman" w:hAnsi="Times New Roman"/>
          <w:sz w:val="28"/>
          <w:szCs w:val="36"/>
        </w:rPr>
        <w:tab/>
      </w:r>
      <w:r>
        <w:rPr>
          <w:rFonts w:ascii="Times New Roman" w:hAnsi="Times New Roman"/>
          <w:sz w:val="28"/>
          <w:szCs w:val="36"/>
        </w:rPr>
        <w:fldChar w:fldCharType="begin"/>
      </w:r>
      <w:r>
        <w:rPr>
          <w:rFonts w:ascii="Times New Roman" w:hAnsi="Times New Roman"/>
          <w:sz w:val="28"/>
          <w:szCs w:val="36"/>
        </w:rPr>
        <w:instrText xml:space="preserve"> PAGEREF _Toc29033 \h </w:instrText>
      </w:r>
      <w:r>
        <w:rPr>
          <w:rFonts w:ascii="Times New Roman" w:hAnsi="Times New Roman"/>
          <w:sz w:val="28"/>
          <w:szCs w:val="36"/>
        </w:rPr>
        <w:fldChar w:fldCharType="separate"/>
      </w:r>
      <w:r>
        <w:rPr>
          <w:rFonts w:ascii="Times New Roman" w:hAnsi="Times New Roman"/>
          <w:sz w:val="28"/>
          <w:szCs w:val="36"/>
        </w:rPr>
        <w:t>- 74 -</w:t>
      </w:r>
      <w:r>
        <w:rPr>
          <w:rFonts w:ascii="Times New Roman" w:hAnsi="Times New Roman"/>
          <w:sz w:val="28"/>
          <w:szCs w:val="36"/>
        </w:rPr>
        <w:fldChar w:fldCharType="end"/>
      </w:r>
      <w:r>
        <w:rPr>
          <w:rFonts w:ascii="Times New Roman" w:hAnsi="Times New Roman"/>
          <w:sz w:val="28"/>
          <w:szCs w:val="36"/>
        </w:rPr>
        <w:fldChar w:fldCharType="end"/>
      </w:r>
    </w:p>
    <w:p w14:paraId="2C1301FA">
      <w:pPr>
        <w:spacing w:line="360" w:lineRule="auto"/>
        <w:jc w:val="left"/>
        <w:rPr>
          <w:rFonts w:ascii="Times New Roman" w:hAnsi="Times New Roman"/>
          <w:bCs/>
          <w:spacing w:val="20"/>
          <w:sz w:val="36"/>
          <w:szCs w:val="36"/>
        </w:rPr>
      </w:pPr>
      <w:r>
        <w:rPr>
          <w:rFonts w:ascii="Times New Roman" w:hAnsi="Times New Roman"/>
          <w:sz w:val="28"/>
          <w:szCs w:val="52"/>
        </w:rPr>
        <w:fldChar w:fldCharType="end"/>
      </w:r>
    </w:p>
    <w:p w14:paraId="18D7230C">
      <w:pPr>
        <w:snapToGrid w:val="0"/>
        <w:spacing w:line="360" w:lineRule="auto"/>
        <w:rPr>
          <w:rFonts w:ascii="Times New Roman" w:hAnsi="Times New Roman"/>
          <w:b/>
          <w:bCs/>
          <w:sz w:val="24"/>
        </w:rPr>
      </w:pPr>
    </w:p>
    <w:p w14:paraId="73D56C91">
      <w:pPr>
        <w:snapToGrid w:val="0"/>
        <w:spacing w:line="360" w:lineRule="auto"/>
        <w:rPr>
          <w:rFonts w:ascii="Times New Roman" w:hAnsi="Times New Roman"/>
          <w:b/>
          <w:bCs/>
          <w:sz w:val="24"/>
        </w:rPr>
      </w:pPr>
    </w:p>
    <w:p w14:paraId="7B133BC7">
      <w:pPr>
        <w:snapToGrid w:val="0"/>
        <w:spacing w:line="360" w:lineRule="auto"/>
        <w:rPr>
          <w:rFonts w:ascii="Times New Roman" w:hAnsi="Times New Roman"/>
          <w:b/>
          <w:bCs/>
          <w:sz w:val="24"/>
        </w:rPr>
      </w:pPr>
    </w:p>
    <w:p w14:paraId="124FB425">
      <w:pPr>
        <w:snapToGrid w:val="0"/>
        <w:spacing w:line="360" w:lineRule="auto"/>
        <w:rPr>
          <w:rFonts w:ascii="Times New Roman" w:hAnsi="Times New Roman"/>
          <w:b/>
          <w:bCs/>
          <w:sz w:val="24"/>
        </w:rPr>
      </w:pPr>
    </w:p>
    <w:p w14:paraId="3BC51F56">
      <w:pPr>
        <w:snapToGrid w:val="0"/>
        <w:spacing w:line="360" w:lineRule="auto"/>
        <w:rPr>
          <w:rFonts w:ascii="Times New Roman" w:hAnsi="Times New Roman"/>
          <w:b/>
          <w:bCs/>
          <w:sz w:val="24"/>
        </w:rPr>
      </w:pPr>
    </w:p>
    <w:p w14:paraId="4160A828">
      <w:pPr>
        <w:snapToGrid w:val="0"/>
        <w:spacing w:line="360" w:lineRule="auto"/>
        <w:rPr>
          <w:rFonts w:ascii="Times New Roman" w:hAnsi="Times New Roman"/>
          <w:b/>
          <w:bCs/>
          <w:sz w:val="24"/>
        </w:rPr>
      </w:pPr>
    </w:p>
    <w:p w14:paraId="1277DD5C">
      <w:pPr>
        <w:snapToGrid w:val="0"/>
        <w:spacing w:line="360" w:lineRule="auto"/>
        <w:rPr>
          <w:rFonts w:ascii="Times New Roman" w:hAnsi="Times New Roman"/>
          <w:b/>
          <w:bCs/>
          <w:sz w:val="24"/>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67CD4615">
      <w:pPr>
        <w:snapToGrid w:val="0"/>
        <w:spacing w:line="360" w:lineRule="auto"/>
        <w:rPr>
          <w:rFonts w:ascii="Times New Roman" w:hAnsi="Times New Roman"/>
          <w:b/>
          <w:bCs/>
          <w:sz w:val="24"/>
          <w:highlight w:val="yellow"/>
        </w:rPr>
      </w:pPr>
      <w:r>
        <w:rPr>
          <w:rFonts w:ascii="Times New Roman" w:hAnsi="Times New Roman"/>
          <w:b/>
          <w:bCs/>
          <w:sz w:val="24"/>
        </w:rPr>
        <w:t>附图：</w:t>
      </w:r>
    </w:p>
    <w:p w14:paraId="29D0B105">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附图1本项目地理位置图</w:t>
      </w:r>
    </w:p>
    <w:p w14:paraId="654E8ABB">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附图2本项目外环境关系图</w:t>
      </w:r>
    </w:p>
    <w:p w14:paraId="164FCCCA">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附图3本项目楼上平面布局图</w:t>
      </w:r>
    </w:p>
    <w:p w14:paraId="2C8A243D">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附图4本项目一楼平面布局图</w:t>
      </w:r>
    </w:p>
    <w:p w14:paraId="25D4FA05">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附图5本项目楼下平面布局图</w:t>
      </w:r>
    </w:p>
    <w:p w14:paraId="065493F5">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附图6本项目DSA机房两区分化图</w:t>
      </w:r>
    </w:p>
    <w:p w14:paraId="0573E107">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附图7本项目预测点位图</w:t>
      </w:r>
    </w:p>
    <w:p w14:paraId="55886338">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附图8人流、物流路线图</w:t>
      </w:r>
    </w:p>
    <w:p w14:paraId="65645AC9">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附图9本项目房间防护剖面管线穿墙示意图</w:t>
      </w:r>
    </w:p>
    <w:p w14:paraId="430EFF37">
      <w:pPr>
        <w:snapToGrid w:val="0"/>
        <w:spacing w:line="360" w:lineRule="auto"/>
        <w:ind w:firstLine="480" w:firstLineChars="200"/>
        <w:rPr>
          <w:rFonts w:hint="eastAsia" w:ascii="Times New Roman" w:hAnsi="Times New Roman"/>
          <w:sz w:val="24"/>
        </w:rPr>
      </w:pPr>
      <w:r>
        <w:rPr>
          <w:rFonts w:hint="eastAsia" w:ascii="Times New Roman" w:hAnsi="Times New Roman"/>
          <w:sz w:val="24"/>
        </w:rPr>
        <w:t>附图10本项目机房通排风走向图</w:t>
      </w:r>
    </w:p>
    <w:p w14:paraId="038A8D92"/>
    <w:p w14:paraId="11513E92">
      <w:pPr>
        <w:pStyle w:val="31"/>
      </w:pPr>
    </w:p>
    <w:p w14:paraId="223E18B0">
      <w:pPr>
        <w:snapToGrid w:val="0"/>
        <w:spacing w:line="360" w:lineRule="auto"/>
        <w:rPr>
          <w:rFonts w:ascii="Times New Roman" w:hAnsi="Times New Roman"/>
          <w:b/>
          <w:bCs/>
          <w:sz w:val="24"/>
        </w:rPr>
      </w:pPr>
      <w:r>
        <w:rPr>
          <w:rFonts w:ascii="Times New Roman" w:hAnsi="Times New Roman"/>
          <w:b/>
          <w:bCs/>
          <w:sz w:val="24"/>
        </w:rPr>
        <w:t>附件：</w:t>
      </w:r>
    </w:p>
    <w:p w14:paraId="442D4946">
      <w:pPr>
        <w:snapToGrid w:val="0"/>
        <w:spacing w:line="360" w:lineRule="auto"/>
        <w:ind w:firstLine="480" w:firstLineChars="200"/>
        <w:rPr>
          <w:rFonts w:ascii="Times New Roman" w:hAnsi="Times New Roman"/>
          <w:sz w:val="24"/>
        </w:rPr>
      </w:pPr>
      <w:bookmarkStart w:id="0" w:name="_Toc547"/>
      <w:r>
        <w:rPr>
          <w:rFonts w:ascii="Times New Roman" w:hAnsi="Times New Roman"/>
          <w:color w:val="000000" w:themeColor="text1"/>
          <w:sz w:val="24"/>
          <w14:textFill>
            <w14:solidFill>
              <w14:schemeClr w14:val="tx1"/>
            </w14:solidFill>
          </w14:textFill>
        </w:rPr>
        <w:t>附件1 环评委托书</w:t>
      </w:r>
      <w:r>
        <w:rPr>
          <w:rFonts w:ascii="Times New Roman" w:hAnsi="Times New Roman"/>
          <w:sz w:val="24"/>
        </w:rPr>
        <w:t>；</w:t>
      </w:r>
    </w:p>
    <w:p w14:paraId="79C8F8E9">
      <w:pPr>
        <w:snapToGrid w:val="0"/>
        <w:spacing w:line="360" w:lineRule="auto"/>
        <w:ind w:firstLine="480" w:firstLineChars="200"/>
        <w:rPr>
          <w:rFonts w:ascii="Times New Roman" w:hAnsi="Times New Roman"/>
          <w:sz w:val="24"/>
        </w:rPr>
      </w:pPr>
      <w:r>
        <w:rPr>
          <w:rFonts w:hint="eastAsia" w:ascii="Times New Roman" w:hAnsi="Times New Roman"/>
          <w:sz w:val="24"/>
        </w:rPr>
        <w:t>附件2 医疗机构执业许可证；</w:t>
      </w:r>
    </w:p>
    <w:p w14:paraId="799FC2C8">
      <w:pPr>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sz w:val="24"/>
        </w:rPr>
        <w:t xml:space="preserve">附件3 </w:t>
      </w:r>
      <w:r>
        <w:rPr>
          <w:rFonts w:ascii="Times New Roman" w:hAnsi="Times New Roman"/>
          <w:color w:val="000000" w:themeColor="text1"/>
          <w:sz w:val="24"/>
          <w14:textFill>
            <w14:solidFill>
              <w14:schemeClr w14:val="tx1"/>
            </w14:solidFill>
          </w14:textFill>
        </w:rPr>
        <w:t>辐射安全许可证副本</w:t>
      </w:r>
      <w:r>
        <w:rPr>
          <w:rFonts w:hint="eastAsia" w:ascii="Times New Roman" w:hAnsi="Times New Roman"/>
          <w:color w:val="000000" w:themeColor="text1"/>
          <w:sz w:val="24"/>
          <w14:textFill>
            <w14:solidFill>
              <w14:schemeClr w14:val="tx1"/>
            </w14:solidFill>
          </w14:textFill>
        </w:rPr>
        <w:t>；</w:t>
      </w:r>
    </w:p>
    <w:p w14:paraId="2316AB6E">
      <w:pPr>
        <w:snapToGrid w:val="0"/>
        <w:spacing w:line="360" w:lineRule="auto"/>
        <w:ind w:firstLine="480" w:firstLineChars="200"/>
        <w:rPr>
          <w:rFonts w:ascii="Times New Roman" w:hAnsi="Times New Roman"/>
          <w:sz w:val="24"/>
        </w:rPr>
      </w:pPr>
      <w:r>
        <w:rPr>
          <w:rFonts w:ascii="Times New Roman" w:hAnsi="Times New Roman"/>
          <w:sz w:val="24"/>
        </w:rPr>
        <w:t>附件</w:t>
      </w:r>
      <w:r>
        <w:rPr>
          <w:rFonts w:hint="eastAsia" w:ascii="Times New Roman" w:hAnsi="Times New Roman"/>
          <w:sz w:val="24"/>
        </w:rPr>
        <w:t>4</w:t>
      </w:r>
      <w:r>
        <w:rPr>
          <w:rFonts w:hint="eastAsia" w:ascii="Times New Roman" w:hAnsi="Times New Roman"/>
          <w:sz w:val="24"/>
          <w:lang w:eastAsia="zh-CN"/>
        </w:rPr>
        <w:t>平昌县中医医院</w:t>
      </w:r>
      <w:r>
        <w:rPr>
          <w:rFonts w:hint="eastAsia" w:ascii="Times New Roman" w:hAnsi="Times New Roman"/>
          <w:spacing w:val="3"/>
          <w:kern w:val="0"/>
          <w:sz w:val="24"/>
        </w:rPr>
        <w:t>新区建设项目环评批复（成环审（评）</w:t>
      </w:r>
      <w:r>
        <w:rPr>
          <w:rFonts w:hint="eastAsia" w:ascii="Times New Roman" w:hAnsi="Times New Roman"/>
          <w:spacing w:val="3"/>
          <w:kern w:val="0"/>
          <w:sz w:val="24"/>
          <w:lang w:eastAsia="zh-CN"/>
        </w:rPr>
        <w:t>〔</w:t>
      </w:r>
      <w:r>
        <w:rPr>
          <w:rFonts w:hint="eastAsia" w:ascii="Times New Roman" w:hAnsi="Times New Roman"/>
          <w:spacing w:val="3"/>
          <w:kern w:val="0"/>
          <w:sz w:val="24"/>
        </w:rPr>
        <w:t>2021</w:t>
      </w:r>
      <w:r>
        <w:rPr>
          <w:rFonts w:hint="eastAsia" w:ascii="Times New Roman" w:hAnsi="Times New Roman"/>
          <w:spacing w:val="3"/>
          <w:kern w:val="0"/>
          <w:sz w:val="24"/>
          <w:lang w:eastAsia="zh-CN"/>
        </w:rPr>
        <w:t>〕</w:t>
      </w:r>
      <w:r>
        <w:rPr>
          <w:rFonts w:hint="eastAsia" w:ascii="Times New Roman" w:hAnsi="Times New Roman"/>
          <w:spacing w:val="3"/>
          <w:kern w:val="0"/>
          <w:sz w:val="24"/>
        </w:rPr>
        <w:t>83号）</w:t>
      </w:r>
      <w:r>
        <w:rPr>
          <w:rFonts w:ascii="Times New Roman" w:hAnsi="Times New Roman"/>
          <w:spacing w:val="3"/>
          <w:kern w:val="0"/>
          <w:sz w:val="24"/>
        </w:rPr>
        <w:t>；</w:t>
      </w:r>
    </w:p>
    <w:p w14:paraId="3F113AE1">
      <w:pPr>
        <w:snapToGrid w:val="0"/>
        <w:spacing w:line="360" w:lineRule="auto"/>
        <w:ind w:firstLine="480" w:firstLineChars="200"/>
        <w:rPr>
          <w:rFonts w:ascii="Times New Roman" w:hAnsi="Times New Roman"/>
          <w:sz w:val="24"/>
        </w:rPr>
      </w:pPr>
      <w:r>
        <w:rPr>
          <w:rFonts w:ascii="Times New Roman" w:hAnsi="Times New Roman"/>
          <w:sz w:val="24"/>
        </w:rPr>
        <w:t>附件</w:t>
      </w:r>
      <w:r>
        <w:rPr>
          <w:rFonts w:hint="eastAsia" w:ascii="Times New Roman" w:hAnsi="Times New Roman"/>
          <w:sz w:val="24"/>
        </w:rPr>
        <w:t>5</w:t>
      </w:r>
      <w:r>
        <w:rPr>
          <w:rFonts w:ascii="Times New Roman" w:hAnsi="Times New Roman"/>
          <w:sz w:val="24"/>
        </w:rPr>
        <w:t xml:space="preserve"> </w:t>
      </w:r>
      <w:r>
        <w:rPr>
          <w:rFonts w:hint="eastAsia" w:ascii="Times New Roman" w:hAnsi="Times New Roman"/>
          <w:sz w:val="24"/>
          <w:lang w:val="en-US" w:eastAsia="zh-CN"/>
        </w:rPr>
        <w:t>个人剂量检测报告</w:t>
      </w:r>
      <w:r>
        <w:rPr>
          <w:rFonts w:ascii="Times New Roman" w:hAnsi="Times New Roman"/>
          <w:sz w:val="24"/>
        </w:rPr>
        <w:t>；</w:t>
      </w:r>
    </w:p>
    <w:p w14:paraId="151C4385">
      <w:pPr>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附件</w:t>
      </w:r>
      <w:r>
        <w:rPr>
          <w:rFonts w:hint="eastAsia" w:ascii="Times New Roman" w:hAnsi="Times New Roman"/>
          <w:color w:val="000000" w:themeColor="text1"/>
          <w:sz w:val="24"/>
          <w14:textFill>
            <w14:solidFill>
              <w14:schemeClr w14:val="tx1"/>
            </w14:solidFill>
          </w14:textFill>
        </w:rPr>
        <w:t xml:space="preserve">6 </w:t>
      </w:r>
      <w:r>
        <w:rPr>
          <w:rFonts w:ascii="Times New Roman" w:hAnsi="Times New Roman"/>
          <w:color w:val="000000" w:themeColor="text1"/>
          <w:sz w:val="24"/>
          <w14:textFill>
            <w14:solidFill>
              <w14:schemeClr w14:val="tx1"/>
            </w14:solidFill>
          </w14:textFill>
        </w:rPr>
        <w:t>现有项目辐射场所环境监测</w:t>
      </w:r>
      <w:r>
        <w:rPr>
          <w:rFonts w:hint="eastAsia" w:ascii="Times New Roman" w:hAnsi="Times New Roman"/>
          <w:color w:val="000000" w:themeColor="text1"/>
          <w:sz w:val="24"/>
          <w14:textFill>
            <w14:solidFill>
              <w14:schemeClr w14:val="tx1"/>
            </w14:solidFill>
          </w14:textFill>
        </w:rPr>
        <w:t>报告</w:t>
      </w:r>
      <w:r>
        <w:rPr>
          <w:rFonts w:ascii="Times New Roman" w:hAnsi="Times New Roman"/>
          <w:color w:val="000000" w:themeColor="text1"/>
          <w:sz w:val="24"/>
          <w14:textFill>
            <w14:solidFill>
              <w14:schemeClr w14:val="tx1"/>
            </w14:solidFill>
          </w14:textFill>
        </w:rPr>
        <w:t>；</w:t>
      </w:r>
    </w:p>
    <w:p w14:paraId="7E710FC4">
      <w:pPr>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附件</w:t>
      </w:r>
      <w:r>
        <w:rPr>
          <w:rFonts w:hint="eastAsia" w:ascii="Times New Roman" w:hAnsi="Times New Roman"/>
          <w:color w:val="000000" w:themeColor="text1"/>
          <w:sz w:val="24"/>
          <w14:textFill>
            <w14:solidFill>
              <w14:schemeClr w14:val="tx1"/>
            </w14:solidFill>
          </w14:textFill>
        </w:rPr>
        <w:t>7</w:t>
      </w:r>
      <w:r>
        <w:rPr>
          <w:rFonts w:ascii="Times New Roman" w:hAnsi="Times New Roman"/>
          <w:color w:val="000000" w:themeColor="text1"/>
          <w:sz w:val="24"/>
          <w14:textFill>
            <w14:solidFill>
              <w14:schemeClr w14:val="tx1"/>
            </w14:solidFill>
          </w14:textFill>
        </w:rPr>
        <w:t xml:space="preserve"> 医院现有辐射工作人员辐射安全与防护考核</w:t>
      </w:r>
      <w:r>
        <w:rPr>
          <w:rFonts w:hint="eastAsia" w:ascii="Times New Roman" w:hAnsi="Times New Roman"/>
          <w:color w:val="000000" w:themeColor="text1"/>
          <w:sz w:val="24"/>
          <w14:textFill>
            <w14:solidFill>
              <w14:schemeClr w14:val="tx1"/>
            </w14:solidFill>
          </w14:textFill>
        </w:rPr>
        <w:t>说明</w:t>
      </w:r>
      <w:r>
        <w:rPr>
          <w:rFonts w:ascii="Times New Roman" w:hAnsi="Times New Roman"/>
          <w:color w:val="000000" w:themeColor="text1"/>
          <w:sz w:val="24"/>
          <w14:textFill>
            <w14:solidFill>
              <w14:schemeClr w14:val="tx1"/>
            </w14:solidFill>
          </w14:textFill>
        </w:rPr>
        <w:t>；</w:t>
      </w:r>
    </w:p>
    <w:p w14:paraId="348A509B">
      <w:pPr>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 xml:space="preserve">附件8 </w:t>
      </w:r>
      <w:r>
        <w:rPr>
          <w:rFonts w:ascii="Times New Roman" w:hAnsi="Times New Roman"/>
          <w:color w:val="000000" w:themeColor="text1"/>
          <w:sz w:val="24"/>
          <w14:textFill>
            <w14:solidFill>
              <w14:schemeClr w14:val="tx1"/>
            </w14:solidFill>
          </w14:textFill>
        </w:rPr>
        <w:t>无辐射安全事故发生的情况说明；</w:t>
      </w:r>
    </w:p>
    <w:p w14:paraId="4A132101">
      <w:pPr>
        <w:snapToGrid w:val="0"/>
        <w:spacing w:line="360" w:lineRule="auto"/>
        <w:ind w:firstLine="480" w:firstLineChars="200"/>
        <w:rPr>
          <w:color w:val="000000" w:themeColor="text1"/>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附件9 关于调整放射性物质安全管理领导小组成员的通知；</w:t>
      </w:r>
    </w:p>
    <w:p w14:paraId="4EA0857A">
      <w:pPr>
        <w:snapToGrid w:val="0"/>
        <w:spacing w:line="360" w:lineRule="auto"/>
        <w:ind w:firstLine="480" w:firstLineChars="200"/>
        <w:rPr>
          <w:rFonts w:ascii="Times New Roman" w:hAnsi="Times New Roman"/>
          <w:sz w:val="24"/>
        </w:rPr>
      </w:pPr>
      <w:r>
        <w:rPr>
          <w:rFonts w:hint="eastAsia" w:ascii="Times New Roman" w:hAnsi="Times New Roman"/>
          <w:sz w:val="24"/>
        </w:rPr>
        <w:t>附件10 本项目现状监测报告；</w:t>
      </w:r>
    </w:p>
    <w:p w14:paraId="3AE4C6D6">
      <w:pPr>
        <w:snapToGrid w:val="0"/>
        <w:spacing w:line="360" w:lineRule="auto"/>
        <w:ind w:firstLine="480" w:firstLineChars="200"/>
      </w:pPr>
      <w:r>
        <w:rPr>
          <w:rFonts w:hint="eastAsia" w:ascii="Times New Roman" w:hAnsi="Times New Roman"/>
          <w:color w:val="000000" w:themeColor="text1"/>
          <w:sz w:val="24"/>
          <w14:textFill>
            <w14:solidFill>
              <w14:schemeClr w14:val="tx1"/>
            </w14:solidFill>
          </w14:textFill>
        </w:rPr>
        <w:t>附件1</w:t>
      </w:r>
      <w:r>
        <w:rPr>
          <w:rFonts w:hint="eastAsia" w:ascii="Times New Roman" w:hAnsi="Times New Roman"/>
          <w:color w:val="000000" w:themeColor="text1"/>
          <w:sz w:val="24"/>
          <w:lang w:val="en-US" w:eastAsia="zh-CN"/>
          <w14:textFill>
            <w14:solidFill>
              <w14:schemeClr w14:val="tx1"/>
            </w14:solidFill>
          </w14:textFill>
        </w:rPr>
        <w:t>1</w:t>
      </w:r>
      <w:r>
        <w:rPr>
          <w:rFonts w:hint="eastAsia" w:ascii="Times New Roman" w:hAnsi="Times New Roman"/>
          <w:color w:val="000000" w:themeColor="text1"/>
          <w:sz w:val="24"/>
          <w14:textFill>
            <w14:solidFill>
              <w14:schemeClr w14:val="tx1"/>
            </w14:solidFill>
          </w14:textFill>
        </w:rPr>
        <w:t xml:space="preserve"> 确认文件；</w:t>
      </w:r>
    </w:p>
    <w:p w14:paraId="15301284">
      <w:pPr>
        <w:snapToGrid w:val="0"/>
        <w:spacing w:line="360" w:lineRule="auto"/>
        <w:ind w:firstLine="480" w:firstLineChars="200"/>
        <w:rPr>
          <w:rFonts w:hint="eastAsia" w:ascii="Times New Roman" w:hAnsi="Times New Roman"/>
          <w:color w:val="000000" w:themeColor="text1"/>
          <w:sz w:val="24"/>
          <w:lang w:eastAsia="zh-CN"/>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附件12 本项目DSA使用说明书</w:t>
      </w:r>
      <w:r>
        <w:rPr>
          <w:rFonts w:hint="eastAsia" w:ascii="Times New Roman" w:hAnsi="Times New Roman"/>
          <w:color w:val="000000" w:themeColor="text1"/>
          <w:sz w:val="24"/>
          <w:lang w:eastAsia="zh-CN"/>
          <w14:textFill>
            <w14:solidFill>
              <w14:schemeClr w14:val="tx1"/>
            </w14:solidFill>
          </w14:textFill>
        </w:rPr>
        <w:t>；</w:t>
      </w:r>
    </w:p>
    <w:p w14:paraId="3C2A0DE9">
      <w:pPr>
        <w:snapToGrid w:val="0"/>
        <w:spacing w:line="360" w:lineRule="auto"/>
        <w:ind w:firstLine="480" w:firstLineChars="200"/>
        <w:rPr>
          <w:rFonts w:ascii="Times New Roman" w:hAnsi="Times New Roman"/>
          <w:color w:val="000000" w:themeColor="text1"/>
          <w:sz w:val="24"/>
          <w14:textFill>
            <w14:solidFill>
              <w14:schemeClr w14:val="tx1"/>
            </w14:solidFill>
          </w14:textFill>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0E8B0C04">
      <w:pPr>
        <w:pStyle w:val="4"/>
        <w:numPr>
          <w:ilvl w:val="0"/>
          <w:numId w:val="0"/>
        </w:numPr>
        <w:rPr>
          <w:rFonts w:ascii="Times New Roman" w:hAnsi="Times New Roman"/>
        </w:rPr>
      </w:pPr>
      <w:r>
        <w:rPr>
          <w:rFonts w:ascii="Times New Roman" w:hAnsi="Times New Roman"/>
        </w:rPr>
        <w:t>表1 项目基本情况</w:t>
      </w:r>
      <w:bookmarkEnd w:id="0"/>
    </w:p>
    <w:tbl>
      <w:tblPr>
        <w:tblStyle w:val="23"/>
        <w:tblW w:w="9154" w:type="dxa"/>
        <w:tblInd w:w="-2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102"/>
        <w:gridCol w:w="1234"/>
        <w:gridCol w:w="1517"/>
        <w:gridCol w:w="1039"/>
        <w:gridCol w:w="157"/>
        <w:gridCol w:w="1092"/>
        <w:gridCol w:w="429"/>
        <w:gridCol w:w="1833"/>
      </w:tblGrid>
      <w:tr w14:paraId="18475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3" w:type="dxa"/>
            <w:gridSpan w:val="2"/>
            <w:vAlign w:val="center"/>
          </w:tcPr>
          <w:p w14:paraId="7921A947">
            <w:pPr>
              <w:spacing w:line="360" w:lineRule="auto"/>
              <w:jc w:val="center"/>
              <w:rPr>
                <w:rFonts w:ascii="Times New Roman" w:hAnsi="Times New Roman"/>
                <w:sz w:val="24"/>
              </w:rPr>
            </w:pPr>
            <w:r>
              <w:rPr>
                <w:rFonts w:ascii="Times New Roman" w:hAnsi="Times New Roman"/>
                <w:sz w:val="24"/>
              </w:rPr>
              <w:t>建设项目名称</w:t>
            </w:r>
          </w:p>
        </w:tc>
        <w:tc>
          <w:tcPr>
            <w:tcW w:w="7301" w:type="dxa"/>
            <w:gridSpan w:val="7"/>
            <w:vAlign w:val="center"/>
          </w:tcPr>
          <w:p w14:paraId="699728E5">
            <w:pPr>
              <w:jc w:val="center"/>
              <w:rPr>
                <w:rFonts w:ascii="Times New Roman" w:hAnsi="Times New Roman"/>
                <w:sz w:val="24"/>
              </w:rPr>
            </w:pPr>
            <w:r>
              <w:rPr>
                <w:rFonts w:hint="eastAsia" w:ascii="Times New Roman" w:hAnsi="Times New Roman"/>
                <w:sz w:val="24"/>
                <w:lang w:eastAsia="zh-CN"/>
              </w:rPr>
              <w:t>平昌县中医医院</w:t>
            </w:r>
            <w:r>
              <w:rPr>
                <w:rFonts w:ascii="Times New Roman" w:hAnsi="Times New Roman"/>
                <w:sz w:val="24"/>
              </w:rPr>
              <w:t>DSA新建项目</w:t>
            </w:r>
          </w:p>
        </w:tc>
      </w:tr>
      <w:tr w14:paraId="554B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3" w:type="dxa"/>
            <w:gridSpan w:val="2"/>
            <w:vAlign w:val="center"/>
          </w:tcPr>
          <w:p w14:paraId="4E7FE8A9">
            <w:pPr>
              <w:spacing w:line="360" w:lineRule="auto"/>
              <w:jc w:val="center"/>
              <w:rPr>
                <w:rFonts w:ascii="Times New Roman" w:hAnsi="Times New Roman"/>
                <w:sz w:val="24"/>
              </w:rPr>
            </w:pPr>
            <w:r>
              <w:rPr>
                <w:rFonts w:ascii="Times New Roman" w:hAnsi="Times New Roman"/>
                <w:sz w:val="24"/>
              </w:rPr>
              <w:t>建设单位</w:t>
            </w:r>
          </w:p>
        </w:tc>
        <w:tc>
          <w:tcPr>
            <w:tcW w:w="7301" w:type="dxa"/>
            <w:gridSpan w:val="7"/>
            <w:vAlign w:val="center"/>
          </w:tcPr>
          <w:p w14:paraId="20AD42F6">
            <w:pPr>
              <w:jc w:val="center"/>
              <w:rPr>
                <w:rFonts w:ascii="Times New Roman" w:hAnsi="Times New Roman"/>
                <w:sz w:val="24"/>
              </w:rPr>
            </w:pPr>
            <w:r>
              <w:rPr>
                <w:rFonts w:hint="eastAsia" w:ascii="Times New Roman" w:hAnsi="Times New Roman"/>
                <w:sz w:val="24"/>
                <w:lang w:eastAsia="zh-CN"/>
              </w:rPr>
              <w:t>平昌县中医医院</w:t>
            </w:r>
          </w:p>
        </w:tc>
      </w:tr>
      <w:tr w14:paraId="71EC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3" w:type="dxa"/>
            <w:gridSpan w:val="2"/>
            <w:vAlign w:val="center"/>
          </w:tcPr>
          <w:p w14:paraId="32266CE0">
            <w:pPr>
              <w:spacing w:line="360" w:lineRule="auto"/>
              <w:jc w:val="center"/>
              <w:rPr>
                <w:rFonts w:ascii="Times New Roman" w:hAnsi="Times New Roman"/>
                <w:sz w:val="24"/>
              </w:rPr>
            </w:pPr>
            <w:r>
              <w:rPr>
                <w:rFonts w:ascii="Times New Roman" w:hAnsi="Times New Roman"/>
                <w:sz w:val="24"/>
              </w:rPr>
              <w:t>法人代表</w:t>
            </w:r>
          </w:p>
        </w:tc>
        <w:tc>
          <w:tcPr>
            <w:tcW w:w="1234" w:type="dxa"/>
            <w:vAlign w:val="center"/>
          </w:tcPr>
          <w:p w14:paraId="649085C8">
            <w:pPr>
              <w:spacing w:line="360" w:lineRule="auto"/>
              <w:jc w:val="center"/>
              <w:rPr>
                <w:rFonts w:hint="eastAsia" w:ascii="Times New Roman" w:hAnsi="Times New Roman" w:eastAsia="宋体"/>
                <w:sz w:val="24"/>
                <w:lang w:eastAsia="zh-CN"/>
              </w:rPr>
            </w:pPr>
            <w:r>
              <w:rPr>
                <w:rFonts w:hint="eastAsia" w:ascii="Times New Roman" w:hAnsi="Times New Roman"/>
                <w:sz w:val="24"/>
                <w:lang w:eastAsia="zh-CN"/>
              </w:rPr>
              <w:t>曾祥熙</w:t>
            </w:r>
          </w:p>
        </w:tc>
        <w:tc>
          <w:tcPr>
            <w:tcW w:w="1517" w:type="dxa"/>
            <w:vAlign w:val="center"/>
          </w:tcPr>
          <w:p w14:paraId="508DA336">
            <w:pPr>
              <w:spacing w:line="360" w:lineRule="auto"/>
              <w:jc w:val="center"/>
              <w:rPr>
                <w:rFonts w:ascii="Times New Roman" w:hAnsi="Times New Roman"/>
                <w:sz w:val="24"/>
              </w:rPr>
            </w:pPr>
            <w:r>
              <w:rPr>
                <w:rFonts w:ascii="Times New Roman" w:hAnsi="Times New Roman"/>
                <w:sz w:val="24"/>
              </w:rPr>
              <w:t>联系人</w:t>
            </w:r>
          </w:p>
        </w:tc>
        <w:tc>
          <w:tcPr>
            <w:tcW w:w="1039" w:type="dxa"/>
            <w:vAlign w:val="center"/>
          </w:tcPr>
          <w:p w14:paraId="68D0D5B5">
            <w:pPr>
              <w:widowControl/>
              <w:jc w:val="center"/>
              <w:rPr>
                <w:rFonts w:hint="default" w:ascii="Times New Roman" w:hAnsi="Times New Roman" w:eastAsia="宋体"/>
                <w:sz w:val="24"/>
                <w:lang w:val="en-US" w:eastAsia="zh-CN"/>
              </w:rPr>
            </w:pPr>
            <w:r>
              <w:rPr>
                <w:rFonts w:hint="eastAsia" w:ascii="Times New Roman" w:hAnsi="Times New Roman"/>
                <w:sz w:val="24"/>
                <w:lang w:val="en-US" w:eastAsia="zh-CN"/>
              </w:rPr>
              <w:t>张鑫</w:t>
            </w:r>
          </w:p>
        </w:tc>
        <w:tc>
          <w:tcPr>
            <w:tcW w:w="1249" w:type="dxa"/>
            <w:gridSpan w:val="2"/>
            <w:vAlign w:val="center"/>
          </w:tcPr>
          <w:p w14:paraId="492590CF">
            <w:pPr>
              <w:widowControl/>
              <w:jc w:val="left"/>
              <w:rPr>
                <w:rFonts w:ascii="Times New Roman" w:hAnsi="Times New Roman"/>
                <w:sz w:val="24"/>
              </w:rPr>
            </w:pPr>
            <w:r>
              <w:rPr>
                <w:rFonts w:ascii="Times New Roman" w:hAnsi="Times New Roman"/>
                <w:sz w:val="24"/>
              </w:rPr>
              <w:t>联系电话</w:t>
            </w:r>
          </w:p>
        </w:tc>
        <w:tc>
          <w:tcPr>
            <w:tcW w:w="2262" w:type="dxa"/>
            <w:gridSpan w:val="2"/>
            <w:vAlign w:val="center"/>
          </w:tcPr>
          <w:p w14:paraId="25740717">
            <w:pPr>
              <w:spacing w:line="360" w:lineRule="auto"/>
              <w:jc w:val="center"/>
              <w:rPr>
                <w:rFonts w:hint="eastAsia" w:ascii="Times New Roman" w:hAnsi="Times New Roman" w:eastAsia="宋体"/>
                <w:sz w:val="24"/>
                <w:lang w:eastAsia="zh-CN"/>
              </w:rPr>
            </w:pPr>
            <w:r>
              <w:rPr>
                <w:rFonts w:hint="eastAsia" w:ascii="Times New Roman" w:hAnsi="Times New Roman" w:eastAsia="宋体"/>
                <w:sz w:val="24"/>
                <w:lang w:val="en-US" w:eastAsia="zh-CN"/>
              </w:rPr>
              <w:t>15</w:t>
            </w:r>
            <w:r>
              <w:rPr>
                <w:rFonts w:hint="eastAsia" w:ascii="Times New Roman" w:hAnsi="Times New Roman"/>
                <w:sz w:val="24"/>
                <w:lang w:val="en-US" w:eastAsia="zh-CN"/>
              </w:rPr>
              <w:t>*****</w:t>
            </w:r>
            <w:r>
              <w:rPr>
                <w:rFonts w:hint="eastAsia" w:ascii="Times New Roman" w:hAnsi="Times New Roman" w:eastAsia="宋体"/>
                <w:sz w:val="24"/>
                <w:lang w:val="en-US" w:eastAsia="zh-CN"/>
              </w:rPr>
              <w:t>33</w:t>
            </w:r>
          </w:p>
        </w:tc>
      </w:tr>
      <w:tr w14:paraId="3C8F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853" w:type="dxa"/>
            <w:gridSpan w:val="2"/>
            <w:vAlign w:val="center"/>
          </w:tcPr>
          <w:p w14:paraId="1C12C8B7">
            <w:pPr>
              <w:spacing w:line="360" w:lineRule="auto"/>
              <w:jc w:val="center"/>
              <w:rPr>
                <w:rFonts w:ascii="Times New Roman" w:hAnsi="Times New Roman"/>
                <w:sz w:val="24"/>
              </w:rPr>
            </w:pPr>
            <w:r>
              <w:rPr>
                <w:rFonts w:ascii="Times New Roman" w:hAnsi="Times New Roman"/>
                <w:sz w:val="24"/>
              </w:rPr>
              <w:t>注册地址</w:t>
            </w:r>
          </w:p>
        </w:tc>
        <w:tc>
          <w:tcPr>
            <w:tcW w:w="7301" w:type="dxa"/>
            <w:gridSpan w:val="7"/>
            <w:vAlign w:val="center"/>
          </w:tcPr>
          <w:p w14:paraId="04817D09">
            <w:pPr>
              <w:spacing w:line="360" w:lineRule="auto"/>
              <w:jc w:val="center"/>
              <w:rPr>
                <w:rFonts w:hint="eastAsia" w:ascii="Times New Roman" w:hAnsi="Times New Roman" w:eastAsia="宋体"/>
                <w:sz w:val="24"/>
                <w:lang w:eastAsia="zh-CN"/>
              </w:rPr>
            </w:pPr>
            <w:r>
              <w:rPr>
                <w:rFonts w:hint="eastAsia" w:ascii="Times New Roman" w:hAnsi="Times New Roman"/>
                <w:kern w:val="0"/>
                <w:sz w:val="24"/>
                <w:lang w:eastAsia="zh-CN" w:bidi="ar"/>
              </w:rPr>
              <w:t>平昌县同州街道新平街西段122号</w:t>
            </w:r>
          </w:p>
        </w:tc>
      </w:tr>
      <w:tr w14:paraId="34A6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3" w:type="dxa"/>
            <w:gridSpan w:val="2"/>
            <w:vAlign w:val="center"/>
          </w:tcPr>
          <w:p w14:paraId="4B4C3FC7">
            <w:pPr>
              <w:spacing w:line="360" w:lineRule="auto"/>
              <w:jc w:val="center"/>
              <w:rPr>
                <w:rFonts w:ascii="Times New Roman" w:hAnsi="Times New Roman"/>
                <w:sz w:val="24"/>
              </w:rPr>
            </w:pPr>
            <w:r>
              <w:rPr>
                <w:rFonts w:ascii="Times New Roman" w:hAnsi="Times New Roman"/>
                <w:sz w:val="24"/>
              </w:rPr>
              <w:t>项目建设地点</w:t>
            </w:r>
          </w:p>
        </w:tc>
        <w:tc>
          <w:tcPr>
            <w:tcW w:w="7301" w:type="dxa"/>
            <w:gridSpan w:val="7"/>
            <w:vAlign w:val="center"/>
          </w:tcPr>
          <w:p w14:paraId="2330EF87">
            <w:pPr>
              <w:widowControl/>
              <w:jc w:val="center"/>
              <w:rPr>
                <w:rFonts w:hint="default" w:ascii="Times New Roman" w:hAnsi="Times New Roman" w:eastAsia="宋体" w:cs="Times New Roman"/>
                <w:lang w:val="en-US" w:eastAsia="zh-CN"/>
              </w:rPr>
            </w:pPr>
            <w:r>
              <w:rPr>
                <w:rFonts w:hint="default" w:ascii="Times New Roman" w:hAnsi="Times New Roman" w:cs="Times New Roman"/>
                <w:sz w:val="24"/>
                <w:lang w:val="en-US" w:eastAsia="zh-CN"/>
              </w:rPr>
              <w:t>平昌县中医医院</w:t>
            </w:r>
            <w:r>
              <w:rPr>
                <w:rFonts w:hint="eastAsia" w:ascii="Times New Roman" w:hAnsi="Times New Roman" w:cs="Times New Roman"/>
                <w:sz w:val="24"/>
                <w:lang w:val="en-US" w:eastAsia="zh-CN"/>
              </w:rPr>
              <w:t>2号住院综合楼</w:t>
            </w:r>
            <w:r>
              <w:rPr>
                <w:rFonts w:hint="default" w:ascii="Times New Roman" w:hAnsi="Times New Roman" w:eastAsia="宋体" w:cs="Times New Roman"/>
                <w:sz w:val="24"/>
                <w:lang w:val="en-US" w:eastAsia="zh-CN"/>
              </w:rPr>
              <w:t>一楼放射科DSA机房</w:t>
            </w:r>
          </w:p>
        </w:tc>
      </w:tr>
      <w:tr w14:paraId="7C6F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1853" w:type="dxa"/>
            <w:gridSpan w:val="2"/>
            <w:vAlign w:val="center"/>
          </w:tcPr>
          <w:p w14:paraId="1F03837C">
            <w:pPr>
              <w:spacing w:line="360" w:lineRule="auto"/>
              <w:jc w:val="center"/>
              <w:rPr>
                <w:rFonts w:ascii="Times New Roman" w:hAnsi="Times New Roman"/>
                <w:sz w:val="24"/>
              </w:rPr>
            </w:pPr>
            <w:r>
              <w:rPr>
                <w:rFonts w:ascii="Times New Roman" w:hAnsi="Times New Roman"/>
                <w:sz w:val="24"/>
              </w:rPr>
              <w:t>立项审批部门</w:t>
            </w:r>
          </w:p>
        </w:tc>
        <w:tc>
          <w:tcPr>
            <w:tcW w:w="2751" w:type="dxa"/>
            <w:gridSpan w:val="2"/>
            <w:vAlign w:val="center"/>
          </w:tcPr>
          <w:p w14:paraId="29BF748A">
            <w:pPr>
              <w:spacing w:line="360" w:lineRule="auto"/>
              <w:jc w:val="center"/>
              <w:rPr>
                <w:rFonts w:ascii="Times New Roman" w:hAnsi="Times New Roman"/>
                <w:sz w:val="24"/>
              </w:rPr>
            </w:pPr>
            <w:r>
              <w:rPr>
                <w:rFonts w:ascii="Times New Roman" w:hAnsi="Times New Roman"/>
                <w:sz w:val="24"/>
              </w:rPr>
              <w:t>—</w:t>
            </w:r>
          </w:p>
        </w:tc>
        <w:tc>
          <w:tcPr>
            <w:tcW w:w="1196" w:type="dxa"/>
            <w:gridSpan w:val="2"/>
            <w:vAlign w:val="center"/>
          </w:tcPr>
          <w:p w14:paraId="401768AE">
            <w:pPr>
              <w:spacing w:line="360" w:lineRule="auto"/>
              <w:jc w:val="center"/>
              <w:rPr>
                <w:rFonts w:ascii="Times New Roman" w:hAnsi="Times New Roman"/>
                <w:sz w:val="24"/>
              </w:rPr>
            </w:pPr>
            <w:r>
              <w:rPr>
                <w:rFonts w:ascii="Times New Roman" w:hAnsi="Times New Roman"/>
                <w:sz w:val="24"/>
              </w:rPr>
              <w:t>批准文号</w:t>
            </w:r>
          </w:p>
        </w:tc>
        <w:tc>
          <w:tcPr>
            <w:tcW w:w="3354" w:type="dxa"/>
            <w:gridSpan w:val="3"/>
            <w:vAlign w:val="center"/>
          </w:tcPr>
          <w:p w14:paraId="5341B89D">
            <w:pPr>
              <w:spacing w:line="360" w:lineRule="auto"/>
              <w:jc w:val="center"/>
              <w:rPr>
                <w:rFonts w:ascii="Times New Roman" w:hAnsi="Times New Roman"/>
                <w:sz w:val="24"/>
              </w:rPr>
            </w:pPr>
            <w:r>
              <w:rPr>
                <w:rFonts w:ascii="Times New Roman" w:hAnsi="Times New Roman"/>
                <w:sz w:val="24"/>
              </w:rPr>
              <w:t>—</w:t>
            </w:r>
          </w:p>
        </w:tc>
      </w:tr>
      <w:tr w14:paraId="1FC3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853" w:type="dxa"/>
            <w:gridSpan w:val="2"/>
            <w:vAlign w:val="center"/>
          </w:tcPr>
          <w:p w14:paraId="34249B62">
            <w:pPr>
              <w:spacing w:line="360" w:lineRule="auto"/>
              <w:jc w:val="center"/>
              <w:rPr>
                <w:rFonts w:ascii="Times New Roman" w:hAnsi="Times New Roman"/>
                <w:sz w:val="24"/>
              </w:rPr>
            </w:pPr>
            <w:r>
              <w:rPr>
                <w:rFonts w:ascii="Times New Roman" w:hAnsi="Times New Roman"/>
                <w:sz w:val="24"/>
              </w:rPr>
              <w:t>建设项目总投资（万元）</w:t>
            </w:r>
          </w:p>
        </w:tc>
        <w:tc>
          <w:tcPr>
            <w:tcW w:w="1234" w:type="dxa"/>
            <w:vAlign w:val="center"/>
          </w:tcPr>
          <w:p w14:paraId="5CE893BD">
            <w:pPr>
              <w:spacing w:line="360" w:lineRule="auto"/>
              <w:jc w:val="center"/>
              <w:rPr>
                <w:rFonts w:ascii="Times New Roman" w:hAnsi="Times New Roman"/>
                <w:sz w:val="24"/>
              </w:rPr>
            </w:pPr>
            <w:r>
              <w:rPr>
                <w:rFonts w:hint="eastAsia" w:ascii="Times New Roman" w:hAnsi="Times New Roman"/>
                <w:sz w:val="24"/>
              </w:rPr>
              <w:t>850</w:t>
            </w:r>
          </w:p>
        </w:tc>
        <w:tc>
          <w:tcPr>
            <w:tcW w:w="1517" w:type="dxa"/>
            <w:vAlign w:val="center"/>
          </w:tcPr>
          <w:p w14:paraId="4A0517FC">
            <w:pPr>
              <w:spacing w:line="360" w:lineRule="auto"/>
              <w:jc w:val="center"/>
              <w:rPr>
                <w:rFonts w:ascii="Times New Roman" w:hAnsi="Times New Roman"/>
                <w:sz w:val="24"/>
              </w:rPr>
            </w:pPr>
            <w:r>
              <w:rPr>
                <w:rFonts w:ascii="Times New Roman" w:hAnsi="Times New Roman"/>
                <w:sz w:val="24"/>
              </w:rPr>
              <w:t>项目环保投资（万元）</w:t>
            </w:r>
          </w:p>
        </w:tc>
        <w:tc>
          <w:tcPr>
            <w:tcW w:w="1196" w:type="dxa"/>
            <w:gridSpan w:val="2"/>
            <w:vAlign w:val="center"/>
          </w:tcPr>
          <w:p w14:paraId="673C6BDD">
            <w:pPr>
              <w:spacing w:line="360" w:lineRule="auto"/>
              <w:jc w:val="center"/>
              <w:rPr>
                <w:rFonts w:ascii="Times New Roman" w:hAnsi="Times New Roman"/>
                <w:sz w:val="24"/>
              </w:rPr>
            </w:pPr>
            <w:r>
              <w:rPr>
                <w:rFonts w:hint="eastAsia" w:ascii="Times New Roman" w:hAnsi="Times New Roman"/>
                <w:sz w:val="24"/>
                <w:lang w:val="en-US" w:eastAsia="zh-CN"/>
              </w:rPr>
              <w:t>26</w:t>
            </w:r>
            <w:r>
              <w:rPr>
                <w:rFonts w:hint="eastAsia" w:ascii="Times New Roman" w:hAnsi="Times New Roman"/>
                <w:sz w:val="24"/>
              </w:rPr>
              <w:t>.7</w:t>
            </w:r>
          </w:p>
        </w:tc>
        <w:tc>
          <w:tcPr>
            <w:tcW w:w="1521" w:type="dxa"/>
            <w:gridSpan w:val="2"/>
            <w:vAlign w:val="center"/>
          </w:tcPr>
          <w:p w14:paraId="59B35546">
            <w:pPr>
              <w:spacing w:line="360" w:lineRule="auto"/>
              <w:jc w:val="center"/>
              <w:rPr>
                <w:rFonts w:ascii="Times New Roman" w:hAnsi="Times New Roman"/>
                <w:sz w:val="24"/>
              </w:rPr>
            </w:pPr>
            <w:r>
              <w:rPr>
                <w:rFonts w:ascii="Times New Roman" w:hAnsi="Times New Roman"/>
                <w:sz w:val="24"/>
              </w:rPr>
              <w:t>投资比例</w:t>
            </w:r>
          </w:p>
        </w:tc>
        <w:tc>
          <w:tcPr>
            <w:tcW w:w="1833" w:type="dxa"/>
            <w:vAlign w:val="center"/>
          </w:tcPr>
          <w:p w14:paraId="41F8B025">
            <w:pPr>
              <w:spacing w:line="360" w:lineRule="auto"/>
              <w:jc w:val="center"/>
              <w:rPr>
                <w:rFonts w:ascii="Times New Roman" w:hAnsi="Times New Roman"/>
                <w:sz w:val="24"/>
              </w:rPr>
            </w:pPr>
            <w:r>
              <w:rPr>
                <w:rFonts w:hint="eastAsia" w:ascii="Times New Roman" w:hAnsi="Times New Roman"/>
                <w:sz w:val="24"/>
                <w:lang w:val="en-US" w:eastAsia="zh-CN"/>
              </w:rPr>
              <w:t>3.14</w:t>
            </w:r>
            <w:r>
              <w:rPr>
                <w:rFonts w:ascii="Times New Roman" w:hAnsi="Times New Roman"/>
                <w:sz w:val="24"/>
              </w:rPr>
              <w:t>%</w:t>
            </w:r>
          </w:p>
        </w:tc>
      </w:tr>
      <w:tr w14:paraId="5E3A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853" w:type="dxa"/>
            <w:gridSpan w:val="2"/>
            <w:vAlign w:val="center"/>
          </w:tcPr>
          <w:p w14:paraId="504ABA6C">
            <w:pPr>
              <w:spacing w:line="360" w:lineRule="auto"/>
              <w:jc w:val="center"/>
              <w:rPr>
                <w:rFonts w:ascii="Times New Roman" w:hAnsi="Times New Roman"/>
                <w:sz w:val="24"/>
              </w:rPr>
            </w:pPr>
            <w:r>
              <w:rPr>
                <w:rFonts w:ascii="Times New Roman" w:hAnsi="Times New Roman"/>
                <w:sz w:val="24"/>
              </w:rPr>
              <w:t>项目性质</w:t>
            </w:r>
          </w:p>
        </w:tc>
        <w:tc>
          <w:tcPr>
            <w:tcW w:w="3947" w:type="dxa"/>
            <w:gridSpan w:val="4"/>
            <w:vAlign w:val="center"/>
          </w:tcPr>
          <w:p w14:paraId="4C488CDA">
            <w:pPr>
              <w:spacing w:line="360" w:lineRule="auto"/>
              <w:jc w:val="center"/>
              <w:rPr>
                <w:rFonts w:ascii="Times New Roman" w:hAnsi="Times New Roman"/>
                <w:sz w:val="24"/>
              </w:rPr>
            </w:pPr>
            <w:r>
              <w:rPr>
                <w:rFonts w:hint="eastAsia" w:ascii="Times New Roman" w:hAnsi="Times New Roman"/>
                <w:sz w:val="24"/>
                <w:lang w:eastAsia="zh-CN"/>
              </w:rPr>
              <w:t>☑</w:t>
            </w:r>
            <w:r>
              <w:rPr>
                <w:rFonts w:ascii="Times New Roman" w:hAnsi="Times New Roman"/>
                <w:sz w:val="24"/>
              </w:rPr>
              <w:t>新建   □改建  □扩建  □其它</w:t>
            </w:r>
          </w:p>
        </w:tc>
        <w:tc>
          <w:tcPr>
            <w:tcW w:w="1521" w:type="dxa"/>
            <w:gridSpan w:val="2"/>
            <w:vAlign w:val="center"/>
          </w:tcPr>
          <w:p w14:paraId="25BF9952">
            <w:pPr>
              <w:spacing w:line="360" w:lineRule="auto"/>
              <w:jc w:val="center"/>
              <w:rPr>
                <w:rFonts w:ascii="Times New Roman" w:hAnsi="Times New Roman"/>
                <w:sz w:val="24"/>
              </w:rPr>
            </w:pPr>
            <w:r>
              <w:rPr>
                <w:rFonts w:ascii="Times New Roman" w:hAnsi="Times New Roman"/>
                <w:sz w:val="24"/>
              </w:rPr>
              <w:t>占地面积m</w:t>
            </w:r>
            <w:r>
              <w:rPr>
                <w:rFonts w:ascii="Times New Roman" w:hAnsi="Times New Roman"/>
                <w:sz w:val="24"/>
                <w:vertAlign w:val="superscript"/>
              </w:rPr>
              <w:t>2</w:t>
            </w:r>
          </w:p>
        </w:tc>
        <w:tc>
          <w:tcPr>
            <w:tcW w:w="1833" w:type="dxa"/>
            <w:vAlign w:val="center"/>
          </w:tcPr>
          <w:p w14:paraId="6331A835">
            <w:pPr>
              <w:spacing w:line="360" w:lineRule="auto"/>
              <w:jc w:val="center"/>
              <w:rPr>
                <w:rFonts w:hint="default" w:ascii="Times New Roman" w:hAnsi="Times New Roman" w:eastAsia="宋体"/>
                <w:sz w:val="24"/>
                <w:lang w:val="en-US" w:eastAsia="zh-CN"/>
              </w:rPr>
            </w:pPr>
            <w:r>
              <w:rPr>
                <w:rFonts w:hint="eastAsia" w:ascii="Times New Roman" w:hAnsi="Times New Roman"/>
                <w:sz w:val="24"/>
                <w:lang w:val="en-US" w:eastAsia="zh-CN"/>
              </w:rPr>
              <w:t>72</w:t>
            </w:r>
          </w:p>
        </w:tc>
      </w:tr>
      <w:tr w14:paraId="194B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751" w:type="dxa"/>
            <w:vMerge w:val="restart"/>
            <w:vAlign w:val="center"/>
          </w:tcPr>
          <w:p w14:paraId="336CC364">
            <w:pPr>
              <w:spacing w:line="360" w:lineRule="auto"/>
              <w:jc w:val="center"/>
              <w:rPr>
                <w:rFonts w:ascii="Times New Roman" w:hAnsi="Times New Roman"/>
                <w:sz w:val="24"/>
              </w:rPr>
            </w:pPr>
            <w:r>
              <w:rPr>
                <w:rFonts w:ascii="Times New Roman" w:hAnsi="Times New Roman"/>
                <w:sz w:val="24"/>
              </w:rPr>
              <w:t>应用类型</w:t>
            </w:r>
          </w:p>
        </w:tc>
        <w:tc>
          <w:tcPr>
            <w:tcW w:w="1102" w:type="dxa"/>
            <w:vMerge w:val="restart"/>
            <w:vAlign w:val="center"/>
          </w:tcPr>
          <w:p w14:paraId="09629218">
            <w:pPr>
              <w:spacing w:line="360" w:lineRule="auto"/>
              <w:jc w:val="center"/>
              <w:rPr>
                <w:rFonts w:ascii="Times New Roman" w:hAnsi="Times New Roman"/>
                <w:sz w:val="24"/>
              </w:rPr>
            </w:pPr>
            <w:r>
              <w:rPr>
                <w:rFonts w:ascii="Times New Roman" w:hAnsi="Times New Roman"/>
                <w:sz w:val="24"/>
              </w:rPr>
              <w:t>放射源</w:t>
            </w:r>
          </w:p>
        </w:tc>
        <w:tc>
          <w:tcPr>
            <w:tcW w:w="1234" w:type="dxa"/>
          </w:tcPr>
          <w:p w14:paraId="13E05D95">
            <w:pPr>
              <w:spacing w:line="360" w:lineRule="auto"/>
              <w:jc w:val="center"/>
              <w:rPr>
                <w:rFonts w:ascii="Times New Roman" w:hAnsi="Times New Roman"/>
                <w:sz w:val="24"/>
              </w:rPr>
            </w:pPr>
            <w:r>
              <w:rPr>
                <w:rFonts w:ascii="Times New Roman" w:hAnsi="Times New Roman"/>
                <w:sz w:val="24"/>
              </w:rPr>
              <w:t>□销售</w:t>
            </w:r>
          </w:p>
        </w:tc>
        <w:tc>
          <w:tcPr>
            <w:tcW w:w="6067" w:type="dxa"/>
            <w:gridSpan w:val="6"/>
          </w:tcPr>
          <w:p w14:paraId="4F399B7E">
            <w:pPr>
              <w:spacing w:line="360" w:lineRule="auto"/>
              <w:ind w:firstLine="240" w:firstLineChars="100"/>
              <w:jc w:val="center"/>
              <w:rPr>
                <w:rFonts w:ascii="Times New Roman" w:hAnsi="Times New Roman"/>
                <w:sz w:val="24"/>
              </w:rPr>
            </w:pPr>
            <w:r>
              <w:rPr>
                <w:rFonts w:ascii="Times New Roman" w:hAnsi="Times New Roman"/>
                <w:sz w:val="24"/>
              </w:rPr>
              <w:t>□</w:t>
            </w:r>
            <w:r>
              <w:rPr>
                <w:rFonts w:ascii="Times New Roman" w:hAnsi="Times New Roman"/>
                <w:sz w:val="24"/>
              </w:rPr>
              <w:fldChar w:fldCharType="begin"/>
            </w:r>
            <w:r>
              <w:rPr>
                <w:rFonts w:ascii="Times New Roman" w:hAnsi="Times New Roman"/>
                <w:sz w:val="24"/>
              </w:rPr>
              <w:instrText xml:space="preserve"> = 1 \* ROMAN \* MERGEFORMAT </w:instrText>
            </w:r>
            <w:r>
              <w:rPr>
                <w:rFonts w:ascii="Times New Roman" w:hAnsi="Times New Roman"/>
                <w:sz w:val="24"/>
              </w:rPr>
              <w:fldChar w:fldCharType="separate"/>
            </w:r>
            <w:r>
              <w:rPr>
                <w:rFonts w:ascii="Times New Roman" w:hAnsi="Times New Roman"/>
                <w:sz w:val="24"/>
              </w:rPr>
              <w:t>Ⅰ</w:t>
            </w:r>
            <w:r>
              <w:rPr>
                <w:rFonts w:ascii="Times New Roman" w:hAnsi="Times New Roman"/>
                <w:sz w:val="24"/>
              </w:rPr>
              <w:fldChar w:fldCharType="end"/>
            </w:r>
            <w:r>
              <w:rPr>
                <w:rFonts w:ascii="Times New Roman" w:hAnsi="Times New Roman"/>
                <w:sz w:val="24"/>
              </w:rPr>
              <w:t>类  □</w:t>
            </w:r>
            <w:r>
              <w:rPr>
                <w:rFonts w:ascii="Times New Roman" w:hAnsi="Times New Roman"/>
                <w:sz w:val="24"/>
              </w:rPr>
              <w:fldChar w:fldCharType="begin"/>
            </w:r>
            <w:r>
              <w:rPr>
                <w:rFonts w:ascii="Times New Roman" w:hAnsi="Times New Roman"/>
                <w:sz w:val="24"/>
              </w:rPr>
              <w:instrText xml:space="preserve"> = 2 \* ROMAN \* MERGEFORMAT </w:instrText>
            </w:r>
            <w:r>
              <w:rPr>
                <w:rFonts w:ascii="Times New Roman" w:hAnsi="Times New Roman"/>
                <w:sz w:val="24"/>
              </w:rPr>
              <w:fldChar w:fldCharType="separate"/>
            </w:r>
            <w:r>
              <w:rPr>
                <w:rFonts w:ascii="Times New Roman" w:hAnsi="Times New Roman"/>
                <w:sz w:val="24"/>
              </w:rPr>
              <w:t>Ⅱ</w:t>
            </w:r>
            <w:r>
              <w:rPr>
                <w:rFonts w:ascii="Times New Roman" w:hAnsi="Times New Roman"/>
                <w:sz w:val="24"/>
              </w:rPr>
              <w:fldChar w:fldCharType="end"/>
            </w:r>
            <w:r>
              <w:rPr>
                <w:rFonts w:ascii="Times New Roman" w:hAnsi="Times New Roman"/>
                <w:sz w:val="24"/>
              </w:rPr>
              <w:t>类  □</w:t>
            </w:r>
            <w:r>
              <w:rPr>
                <w:rFonts w:ascii="Times New Roman" w:hAnsi="Times New Roman"/>
                <w:sz w:val="24"/>
              </w:rPr>
              <w:fldChar w:fldCharType="begin"/>
            </w:r>
            <w:r>
              <w:rPr>
                <w:rFonts w:ascii="Times New Roman" w:hAnsi="Times New Roman"/>
                <w:sz w:val="24"/>
              </w:rPr>
              <w:instrText xml:space="preserve"> = 3 \* ROMAN \* MERGEFORMAT </w:instrText>
            </w:r>
            <w:r>
              <w:rPr>
                <w:rFonts w:ascii="Times New Roman" w:hAnsi="Times New Roman"/>
                <w:sz w:val="24"/>
              </w:rPr>
              <w:fldChar w:fldCharType="separate"/>
            </w:r>
            <w:r>
              <w:rPr>
                <w:rFonts w:ascii="Times New Roman" w:hAnsi="Times New Roman"/>
                <w:sz w:val="24"/>
              </w:rPr>
              <w:t>Ⅲ</w:t>
            </w:r>
            <w:r>
              <w:rPr>
                <w:rFonts w:ascii="Times New Roman" w:hAnsi="Times New Roman"/>
                <w:sz w:val="24"/>
              </w:rPr>
              <w:fldChar w:fldCharType="end"/>
            </w:r>
            <w:r>
              <w:rPr>
                <w:rFonts w:ascii="Times New Roman" w:hAnsi="Times New Roman"/>
                <w:sz w:val="24"/>
              </w:rPr>
              <w:t>类  □Ⅳ类  □Ⅴ类</w:t>
            </w:r>
          </w:p>
        </w:tc>
      </w:tr>
      <w:tr w14:paraId="7AD5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751" w:type="dxa"/>
            <w:vMerge w:val="continue"/>
            <w:vAlign w:val="center"/>
          </w:tcPr>
          <w:p w14:paraId="6816DD9C">
            <w:pPr>
              <w:spacing w:line="360" w:lineRule="auto"/>
              <w:jc w:val="center"/>
              <w:rPr>
                <w:rFonts w:ascii="Times New Roman" w:hAnsi="Times New Roman"/>
                <w:sz w:val="24"/>
              </w:rPr>
            </w:pPr>
          </w:p>
        </w:tc>
        <w:tc>
          <w:tcPr>
            <w:tcW w:w="1102" w:type="dxa"/>
            <w:vMerge w:val="continue"/>
            <w:vAlign w:val="center"/>
          </w:tcPr>
          <w:p w14:paraId="7B8FBFB1">
            <w:pPr>
              <w:spacing w:line="360" w:lineRule="auto"/>
              <w:jc w:val="center"/>
              <w:rPr>
                <w:rFonts w:ascii="Times New Roman" w:hAnsi="Times New Roman"/>
                <w:sz w:val="24"/>
              </w:rPr>
            </w:pPr>
          </w:p>
        </w:tc>
        <w:tc>
          <w:tcPr>
            <w:tcW w:w="1234" w:type="dxa"/>
          </w:tcPr>
          <w:p w14:paraId="561D19E8">
            <w:pPr>
              <w:spacing w:line="360" w:lineRule="auto"/>
              <w:jc w:val="center"/>
              <w:rPr>
                <w:rFonts w:ascii="Times New Roman" w:hAnsi="Times New Roman"/>
                <w:sz w:val="24"/>
              </w:rPr>
            </w:pPr>
            <w:r>
              <w:rPr>
                <w:rFonts w:ascii="Times New Roman" w:hAnsi="Times New Roman"/>
                <w:sz w:val="24"/>
              </w:rPr>
              <w:t>□使用</w:t>
            </w:r>
          </w:p>
        </w:tc>
        <w:tc>
          <w:tcPr>
            <w:tcW w:w="6067" w:type="dxa"/>
            <w:gridSpan w:val="6"/>
          </w:tcPr>
          <w:p w14:paraId="41AABBBE">
            <w:pPr>
              <w:spacing w:line="360" w:lineRule="auto"/>
              <w:jc w:val="center"/>
              <w:rPr>
                <w:rFonts w:ascii="Times New Roman" w:hAnsi="Times New Roman"/>
                <w:sz w:val="24"/>
              </w:rPr>
            </w:pPr>
            <w:r>
              <w:rPr>
                <w:rFonts w:ascii="Times New Roman" w:hAnsi="Times New Roman"/>
                <w:sz w:val="24"/>
              </w:rPr>
              <w:t>□</w:t>
            </w:r>
            <w:r>
              <w:rPr>
                <w:rFonts w:ascii="Times New Roman" w:hAnsi="Times New Roman"/>
                <w:sz w:val="24"/>
              </w:rPr>
              <w:fldChar w:fldCharType="begin"/>
            </w:r>
            <w:r>
              <w:rPr>
                <w:rFonts w:ascii="Times New Roman" w:hAnsi="Times New Roman"/>
                <w:sz w:val="24"/>
              </w:rPr>
              <w:instrText xml:space="preserve"> = 1 \* ROMAN \* MERGEFORMAT </w:instrText>
            </w:r>
            <w:r>
              <w:rPr>
                <w:rFonts w:ascii="Times New Roman" w:hAnsi="Times New Roman"/>
                <w:sz w:val="24"/>
              </w:rPr>
              <w:fldChar w:fldCharType="separate"/>
            </w:r>
            <w:r>
              <w:rPr>
                <w:rFonts w:ascii="Times New Roman" w:hAnsi="Times New Roman"/>
                <w:sz w:val="24"/>
              </w:rPr>
              <w:t>Ⅰ</w:t>
            </w:r>
            <w:r>
              <w:rPr>
                <w:rFonts w:ascii="Times New Roman" w:hAnsi="Times New Roman"/>
                <w:sz w:val="24"/>
              </w:rPr>
              <w:fldChar w:fldCharType="end"/>
            </w:r>
            <w:r>
              <w:rPr>
                <w:rFonts w:ascii="Times New Roman" w:hAnsi="Times New Roman"/>
                <w:sz w:val="24"/>
              </w:rPr>
              <w:t>类（医疗使用）□</w:t>
            </w:r>
            <w:r>
              <w:rPr>
                <w:rFonts w:ascii="Times New Roman" w:hAnsi="Times New Roman"/>
                <w:sz w:val="24"/>
              </w:rPr>
              <w:fldChar w:fldCharType="begin"/>
            </w:r>
            <w:r>
              <w:rPr>
                <w:rFonts w:ascii="Times New Roman" w:hAnsi="Times New Roman"/>
                <w:sz w:val="24"/>
              </w:rPr>
              <w:instrText xml:space="preserve"> = 2 \* ROMAN \* MERGEFORMAT </w:instrText>
            </w:r>
            <w:r>
              <w:rPr>
                <w:rFonts w:ascii="Times New Roman" w:hAnsi="Times New Roman"/>
                <w:sz w:val="24"/>
              </w:rPr>
              <w:fldChar w:fldCharType="separate"/>
            </w:r>
            <w:r>
              <w:rPr>
                <w:rFonts w:ascii="Times New Roman" w:hAnsi="Times New Roman"/>
                <w:sz w:val="24"/>
              </w:rPr>
              <w:t>Ⅱ</w:t>
            </w:r>
            <w:r>
              <w:rPr>
                <w:rFonts w:ascii="Times New Roman" w:hAnsi="Times New Roman"/>
                <w:sz w:val="24"/>
              </w:rPr>
              <w:fldChar w:fldCharType="end"/>
            </w:r>
            <w:r>
              <w:rPr>
                <w:rFonts w:ascii="Times New Roman" w:hAnsi="Times New Roman"/>
                <w:sz w:val="24"/>
              </w:rPr>
              <w:t>类□</w:t>
            </w:r>
            <w:r>
              <w:rPr>
                <w:rFonts w:ascii="Times New Roman" w:hAnsi="Times New Roman"/>
                <w:sz w:val="24"/>
              </w:rPr>
              <w:fldChar w:fldCharType="begin"/>
            </w:r>
            <w:r>
              <w:rPr>
                <w:rFonts w:ascii="Times New Roman" w:hAnsi="Times New Roman"/>
                <w:sz w:val="24"/>
              </w:rPr>
              <w:instrText xml:space="preserve"> = 3 \* ROMAN \* MERGEFORMAT </w:instrText>
            </w:r>
            <w:r>
              <w:rPr>
                <w:rFonts w:ascii="Times New Roman" w:hAnsi="Times New Roman"/>
                <w:sz w:val="24"/>
              </w:rPr>
              <w:fldChar w:fldCharType="separate"/>
            </w:r>
            <w:r>
              <w:rPr>
                <w:rFonts w:ascii="Times New Roman" w:hAnsi="Times New Roman"/>
                <w:sz w:val="24"/>
              </w:rPr>
              <w:t>Ⅲ</w:t>
            </w:r>
            <w:r>
              <w:rPr>
                <w:rFonts w:ascii="Times New Roman" w:hAnsi="Times New Roman"/>
                <w:sz w:val="24"/>
              </w:rPr>
              <w:fldChar w:fldCharType="end"/>
            </w:r>
            <w:r>
              <w:rPr>
                <w:rFonts w:ascii="Times New Roman" w:hAnsi="Times New Roman"/>
                <w:sz w:val="24"/>
              </w:rPr>
              <w:t>类□Ⅳ类□Ⅴ类</w:t>
            </w:r>
          </w:p>
        </w:tc>
      </w:tr>
      <w:tr w14:paraId="3C6E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751" w:type="dxa"/>
            <w:vMerge w:val="continue"/>
            <w:vAlign w:val="center"/>
          </w:tcPr>
          <w:p w14:paraId="2CB30BDA">
            <w:pPr>
              <w:spacing w:line="360" w:lineRule="auto"/>
              <w:jc w:val="center"/>
              <w:rPr>
                <w:rFonts w:ascii="Times New Roman" w:hAnsi="Times New Roman"/>
                <w:sz w:val="24"/>
              </w:rPr>
            </w:pPr>
          </w:p>
        </w:tc>
        <w:tc>
          <w:tcPr>
            <w:tcW w:w="1102" w:type="dxa"/>
            <w:vMerge w:val="restart"/>
            <w:vAlign w:val="center"/>
          </w:tcPr>
          <w:p w14:paraId="335FEC76">
            <w:pPr>
              <w:spacing w:line="360" w:lineRule="auto"/>
              <w:jc w:val="center"/>
              <w:rPr>
                <w:rFonts w:ascii="Times New Roman" w:hAnsi="Times New Roman"/>
                <w:sz w:val="24"/>
              </w:rPr>
            </w:pPr>
            <w:r>
              <w:rPr>
                <w:rFonts w:ascii="Times New Roman" w:hAnsi="Times New Roman"/>
                <w:sz w:val="24"/>
              </w:rPr>
              <w:t>非密封放射性物质</w:t>
            </w:r>
          </w:p>
        </w:tc>
        <w:tc>
          <w:tcPr>
            <w:tcW w:w="1234" w:type="dxa"/>
          </w:tcPr>
          <w:p w14:paraId="05DB1333">
            <w:pPr>
              <w:spacing w:line="360" w:lineRule="auto"/>
              <w:jc w:val="center"/>
              <w:rPr>
                <w:rFonts w:ascii="Times New Roman" w:hAnsi="Times New Roman"/>
                <w:sz w:val="24"/>
              </w:rPr>
            </w:pPr>
            <w:r>
              <w:rPr>
                <w:rFonts w:ascii="Times New Roman" w:hAnsi="Times New Roman"/>
                <w:sz w:val="24"/>
              </w:rPr>
              <w:t>□生产</w:t>
            </w:r>
          </w:p>
        </w:tc>
        <w:tc>
          <w:tcPr>
            <w:tcW w:w="6067" w:type="dxa"/>
            <w:gridSpan w:val="6"/>
          </w:tcPr>
          <w:p w14:paraId="314BE6FA">
            <w:pPr>
              <w:spacing w:line="360" w:lineRule="auto"/>
              <w:jc w:val="center"/>
              <w:rPr>
                <w:rFonts w:ascii="Times New Roman" w:hAnsi="Times New Roman"/>
                <w:sz w:val="24"/>
              </w:rPr>
            </w:pPr>
            <w:r>
              <w:rPr>
                <w:rFonts w:ascii="Times New Roman" w:hAnsi="Times New Roman"/>
                <w:sz w:val="24"/>
              </w:rPr>
              <w:t>□制备PET用放射性药物</w:t>
            </w:r>
          </w:p>
        </w:tc>
      </w:tr>
      <w:tr w14:paraId="0B8A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751" w:type="dxa"/>
            <w:vMerge w:val="continue"/>
            <w:vAlign w:val="center"/>
          </w:tcPr>
          <w:p w14:paraId="6438699E">
            <w:pPr>
              <w:spacing w:line="360" w:lineRule="auto"/>
              <w:jc w:val="center"/>
              <w:rPr>
                <w:rFonts w:ascii="Times New Roman" w:hAnsi="Times New Roman"/>
                <w:sz w:val="24"/>
              </w:rPr>
            </w:pPr>
          </w:p>
        </w:tc>
        <w:tc>
          <w:tcPr>
            <w:tcW w:w="1102" w:type="dxa"/>
            <w:vMerge w:val="continue"/>
            <w:vAlign w:val="center"/>
          </w:tcPr>
          <w:p w14:paraId="44BFAF36">
            <w:pPr>
              <w:spacing w:line="360" w:lineRule="auto"/>
              <w:jc w:val="center"/>
              <w:rPr>
                <w:rFonts w:ascii="Times New Roman" w:hAnsi="Times New Roman"/>
                <w:sz w:val="24"/>
              </w:rPr>
            </w:pPr>
          </w:p>
        </w:tc>
        <w:tc>
          <w:tcPr>
            <w:tcW w:w="1234" w:type="dxa"/>
          </w:tcPr>
          <w:p w14:paraId="5D53D4C8">
            <w:pPr>
              <w:spacing w:line="360" w:lineRule="auto"/>
              <w:jc w:val="center"/>
              <w:rPr>
                <w:rFonts w:ascii="Times New Roman" w:hAnsi="Times New Roman"/>
                <w:sz w:val="24"/>
              </w:rPr>
            </w:pPr>
            <w:r>
              <w:rPr>
                <w:rFonts w:ascii="Times New Roman" w:hAnsi="Times New Roman"/>
                <w:sz w:val="24"/>
              </w:rPr>
              <w:t>□销售</w:t>
            </w:r>
          </w:p>
        </w:tc>
        <w:tc>
          <w:tcPr>
            <w:tcW w:w="6067" w:type="dxa"/>
            <w:gridSpan w:val="6"/>
          </w:tcPr>
          <w:p w14:paraId="1A08F86B">
            <w:pPr>
              <w:spacing w:line="360" w:lineRule="auto"/>
              <w:jc w:val="center"/>
              <w:rPr>
                <w:rFonts w:ascii="Times New Roman" w:hAnsi="Times New Roman"/>
                <w:sz w:val="24"/>
              </w:rPr>
            </w:pPr>
            <w:r>
              <w:rPr>
                <w:rFonts w:ascii="Times New Roman" w:hAnsi="Times New Roman"/>
                <w:sz w:val="24"/>
              </w:rPr>
              <w:t>/</w:t>
            </w:r>
          </w:p>
        </w:tc>
      </w:tr>
      <w:tr w14:paraId="15A2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51" w:type="dxa"/>
            <w:vMerge w:val="continue"/>
            <w:vAlign w:val="center"/>
          </w:tcPr>
          <w:p w14:paraId="385047A8">
            <w:pPr>
              <w:spacing w:line="360" w:lineRule="auto"/>
              <w:jc w:val="center"/>
              <w:rPr>
                <w:rFonts w:ascii="Times New Roman" w:hAnsi="Times New Roman"/>
                <w:sz w:val="24"/>
              </w:rPr>
            </w:pPr>
          </w:p>
        </w:tc>
        <w:tc>
          <w:tcPr>
            <w:tcW w:w="1102" w:type="dxa"/>
            <w:vMerge w:val="continue"/>
            <w:vAlign w:val="center"/>
          </w:tcPr>
          <w:p w14:paraId="420599A9">
            <w:pPr>
              <w:spacing w:line="360" w:lineRule="auto"/>
              <w:jc w:val="center"/>
              <w:rPr>
                <w:rFonts w:ascii="Times New Roman" w:hAnsi="Times New Roman"/>
                <w:sz w:val="24"/>
              </w:rPr>
            </w:pPr>
          </w:p>
        </w:tc>
        <w:tc>
          <w:tcPr>
            <w:tcW w:w="1234" w:type="dxa"/>
          </w:tcPr>
          <w:p w14:paraId="1EE7DE1F">
            <w:pPr>
              <w:spacing w:line="360" w:lineRule="auto"/>
              <w:jc w:val="center"/>
              <w:rPr>
                <w:rFonts w:ascii="Times New Roman" w:hAnsi="Times New Roman"/>
                <w:sz w:val="24"/>
              </w:rPr>
            </w:pPr>
            <w:r>
              <w:rPr>
                <w:rFonts w:ascii="Times New Roman" w:hAnsi="Times New Roman"/>
                <w:sz w:val="24"/>
              </w:rPr>
              <w:t>□使用</w:t>
            </w:r>
          </w:p>
        </w:tc>
        <w:tc>
          <w:tcPr>
            <w:tcW w:w="6067" w:type="dxa"/>
            <w:gridSpan w:val="6"/>
          </w:tcPr>
          <w:p w14:paraId="216355CA">
            <w:pPr>
              <w:spacing w:line="360" w:lineRule="auto"/>
              <w:jc w:val="center"/>
              <w:rPr>
                <w:rFonts w:ascii="Times New Roman" w:hAnsi="Times New Roman"/>
                <w:sz w:val="24"/>
              </w:rPr>
            </w:pPr>
            <w:r>
              <w:rPr>
                <w:rFonts w:ascii="Times New Roman" w:hAnsi="Times New Roman"/>
                <w:sz w:val="24"/>
              </w:rPr>
              <w:t>□乙  □丙</w:t>
            </w:r>
          </w:p>
        </w:tc>
      </w:tr>
      <w:tr w14:paraId="3BB9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1" w:type="dxa"/>
            <w:vMerge w:val="continue"/>
            <w:vAlign w:val="center"/>
          </w:tcPr>
          <w:p w14:paraId="682C8E86">
            <w:pPr>
              <w:spacing w:line="360" w:lineRule="auto"/>
              <w:jc w:val="center"/>
              <w:rPr>
                <w:rFonts w:ascii="Times New Roman" w:hAnsi="Times New Roman"/>
                <w:sz w:val="24"/>
              </w:rPr>
            </w:pPr>
          </w:p>
        </w:tc>
        <w:tc>
          <w:tcPr>
            <w:tcW w:w="1102" w:type="dxa"/>
            <w:vMerge w:val="restart"/>
            <w:vAlign w:val="center"/>
          </w:tcPr>
          <w:p w14:paraId="74536261">
            <w:pPr>
              <w:spacing w:line="360" w:lineRule="auto"/>
              <w:jc w:val="center"/>
              <w:rPr>
                <w:rFonts w:ascii="Times New Roman" w:hAnsi="Times New Roman"/>
                <w:sz w:val="24"/>
              </w:rPr>
            </w:pPr>
            <w:r>
              <w:rPr>
                <w:rFonts w:ascii="Times New Roman" w:hAnsi="Times New Roman"/>
                <w:sz w:val="24"/>
              </w:rPr>
              <w:t>射线装置</w:t>
            </w:r>
          </w:p>
        </w:tc>
        <w:tc>
          <w:tcPr>
            <w:tcW w:w="1234" w:type="dxa"/>
          </w:tcPr>
          <w:p w14:paraId="4A8E2CEF">
            <w:pPr>
              <w:spacing w:line="360" w:lineRule="auto"/>
              <w:jc w:val="center"/>
              <w:rPr>
                <w:rFonts w:ascii="Times New Roman" w:hAnsi="Times New Roman"/>
                <w:sz w:val="24"/>
              </w:rPr>
            </w:pPr>
            <w:r>
              <w:rPr>
                <w:rFonts w:ascii="Times New Roman" w:hAnsi="Times New Roman"/>
                <w:sz w:val="24"/>
              </w:rPr>
              <w:t>□生产</w:t>
            </w:r>
          </w:p>
        </w:tc>
        <w:tc>
          <w:tcPr>
            <w:tcW w:w="6067" w:type="dxa"/>
            <w:gridSpan w:val="6"/>
          </w:tcPr>
          <w:p w14:paraId="4199E6E5">
            <w:pPr>
              <w:spacing w:line="360" w:lineRule="auto"/>
              <w:jc w:val="center"/>
              <w:rPr>
                <w:rFonts w:ascii="Times New Roman" w:hAnsi="Times New Roman"/>
                <w:sz w:val="24"/>
              </w:rPr>
            </w:pPr>
            <w:r>
              <w:rPr>
                <w:rFonts w:ascii="Times New Roman" w:hAnsi="Times New Roman"/>
                <w:sz w:val="24"/>
              </w:rPr>
              <w:t>□</w:t>
            </w:r>
            <w:r>
              <w:rPr>
                <w:rFonts w:ascii="Times New Roman" w:hAnsi="Times New Roman"/>
                <w:sz w:val="24"/>
              </w:rPr>
              <w:fldChar w:fldCharType="begin"/>
            </w:r>
            <w:r>
              <w:rPr>
                <w:rFonts w:ascii="Times New Roman" w:hAnsi="Times New Roman"/>
                <w:sz w:val="24"/>
              </w:rPr>
              <w:instrText xml:space="preserve"> = 2 \* ROMAN \* MERGEFORMAT </w:instrText>
            </w:r>
            <w:r>
              <w:rPr>
                <w:rFonts w:ascii="Times New Roman" w:hAnsi="Times New Roman"/>
                <w:sz w:val="24"/>
              </w:rPr>
              <w:fldChar w:fldCharType="separate"/>
            </w:r>
            <w:r>
              <w:rPr>
                <w:rFonts w:ascii="Times New Roman" w:hAnsi="Times New Roman"/>
                <w:sz w:val="24"/>
              </w:rPr>
              <w:t>Ⅱ</w:t>
            </w:r>
            <w:r>
              <w:rPr>
                <w:rFonts w:ascii="Times New Roman" w:hAnsi="Times New Roman"/>
                <w:sz w:val="24"/>
              </w:rPr>
              <w:fldChar w:fldCharType="end"/>
            </w:r>
            <w:r>
              <w:rPr>
                <w:rFonts w:ascii="Times New Roman" w:hAnsi="Times New Roman"/>
                <w:sz w:val="24"/>
              </w:rPr>
              <w:t>类  □</w:t>
            </w:r>
            <w:r>
              <w:rPr>
                <w:rFonts w:ascii="Times New Roman" w:hAnsi="Times New Roman"/>
                <w:sz w:val="24"/>
              </w:rPr>
              <w:fldChar w:fldCharType="begin"/>
            </w:r>
            <w:r>
              <w:rPr>
                <w:rFonts w:ascii="Times New Roman" w:hAnsi="Times New Roman"/>
                <w:sz w:val="24"/>
              </w:rPr>
              <w:instrText xml:space="preserve"> = 3 \* ROMAN \* MERGEFORMAT </w:instrText>
            </w:r>
            <w:r>
              <w:rPr>
                <w:rFonts w:ascii="Times New Roman" w:hAnsi="Times New Roman"/>
                <w:sz w:val="24"/>
              </w:rPr>
              <w:fldChar w:fldCharType="separate"/>
            </w:r>
            <w:r>
              <w:rPr>
                <w:rFonts w:ascii="Times New Roman" w:hAnsi="Times New Roman"/>
                <w:sz w:val="24"/>
              </w:rPr>
              <w:t>Ⅲ</w:t>
            </w:r>
            <w:r>
              <w:rPr>
                <w:rFonts w:ascii="Times New Roman" w:hAnsi="Times New Roman"/>
                <w:sz w:val="24"/>
              </w:rPr>
              <w:fldChar w:fldCharType="end"/>
            </w:r>
            <w:r>
              <w:rPr>
                <w:rFonts w:ascii="Times New Roman" w:hAnsi="Times New Roman"/>
                <w:sz w:val="24"/>
              </w:rPr>
              <w:t>类</w:t>
            </w:r>
          </w:p>
        </w:tc>
      </w:tr>
      <w:tr w14:paraId="6439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51" w:type="dxa"/>
            <w:vMerge w:val="continue"/>
            <w:vAlign w:val="center"/>
          </w:tcPr>
          <w:p w14:paraId="1203752F">
            <w:pPr>
              <w:spacing w:line="360" w:lineRule="auto"/>
              <w:jc w:val="center"/>
              <w:rPr>
                <w:rFonts w:ascii="Times New Roman" w:hAnsi="Times New Roman"/>
                <w:sz w:val="24"/>
              </w:rPr>
            </w:pPr>
          </w:p>
        </w:tc>
        <w:tc>
          <w:tcPr>
            <w:tcW w:w="1102" w:type="dxa"/>
            <w:vMerge w:val="continue"/>
            <w:vAlign w:val="center"/>
          </w:tcPr>
          <w:p w14:paraId="0B864571">
            <w:pPr>
              <w:spacing w:line="360" w:lineRule="auto"/>
              <w:jc w:val="center"/>
              <w:rPr>
                <w:rFonts w:ascii="Times New Roman" w:hAnsi="Times New Roman"/>
                <w:sz w:val="24"/>
              </w:rPr>
            </w:pPr>
          </w:p>
        </w:tc>
        <w:tc>
          <w:tcPr>
            <w:tcW w:w="1234" w:type="dxa"/>
          </w:tcPr>
          <w:p w14:paraId="11F49134">
            <w:pPr>
              <w:spacing w:line="360" w:lineRule="auto"/>
              <w:jc w:val="center"/>
              <w:rPr>
                <w:rFonts w:ascii="Times New Roman" w:hAnsi="Times New Roman"/>
                <w:sz w:val="24"/>
              </w:rPr>
            </w:pPr>
            <w:r>
              <w:rPr>
                <w:rFonts w:ascii="Times New Roman" w:hAnsi="Times New Roman"/>
                <w:sz w:val="24"/>
              </w:rPr>
              <w:t>□销售</w:t>
            </w:r>
          </w:p>
        </w:tc>
        <w:tc>
          <w:tcPr>
            <w:tcW w:w="6067" w:type="dxa"/>
            <w:gridSpan w:val="6"/>
          </w:tcPr>
          <w:p w14:paraId="14BE1E1C">
            <w:pPr>
              <w:spacing w:line="360" w:lineRule="auto"/>
              <w:jc w:val="center"/>
              <w:rPr>
                <w:rFonts w:ascii="Times New Roman" w:hAnsi="Times New Roman"/>
                <w:sz w:val="24"/>
              </w:rPr>
            </w:pPr>
            <w:r>
              <w:rPr>
                <w:rFonts w:ascii="Times New Roman" w:hAnsi="Times New Roman"/>
                <w:sz w:val="24"/>
              </w:rPr>
              <w:t>□</w:t>
            </w:r>
            <w:r>
              <w:rPr>
                <w:rFonts w:ascii="Times New Roman" w:hAnsi="Times New Roman"/>
                <w:sz w:val="24"/>
              </w:rPr>
              <w:fldChar w:fldCharType="begin"/>
            </w:r>
            <w:r>
              <w:rPr>
                <w:rFonts w:ascii="Times New Roman" w:hAnsi="Times New Roman"/>
                <w:sz w:val="24"/>
              </w:rPr>
              <w:instrText xml:space="preserve"> = 2 \* ROMAN \* MERGEFORMAT </w:instrText>
            </w:r>
            <w:r>
              <w:rPr>
                <w:rFonts w:ascii="Times New Roman" w:hAnsi="Times New Roman"/>
                <w:sz w:val="24"/>
              </w:rPr>
              <w:fldChar w:fldCharType="separate"/>
            </w:r>
            <w:r>
              <w:rPr>
                <w:rFonts w:ascii="Times New Roman" w:hAnsi="Times New Roman"/>
                <w:sz w:val="24"/>
              </w:rPr>
              <w:t>Ⅱ</w:t>
            </w:r>
            <w:r>
              <w:rPr>
                <w:rFonts w:ascii="Times New Roman" w:hAnsi="Times New Roman"/>
                <w:sz w:val="24"/>
              </w:rPr>
              <w:fldChar w:fldCharType="end"/>
            </w:r>
            <w:r>
              <w:rPr>
                <w:rFonts w:ascii="Times New Roman" w:hAnsi="Times New Roman"/>
                <w:sz w:val="24"/>
              </w:rPr>
              <w:t>类  □</w:t>
            </w:r>
            <w:r>
              <w:rPr>
                <w:rFonts w:ascii="Times New Roman" w:hAnsi="Times New Roman"/>
                <w:sz w:val="24"/>
              </w:rPr>
              <w:fldChar w:fldCharType="begin"/>
            </w:r>
            <w:r>
              <w:rPr>
                <w:rFonts w:ascii="Times New Roman" w:hAnsi="Times New Roman"/>
                <w:sz w:val="24"/>
              </w:rPr>
              <w:instrText xml:space="preserve"> = 3 \* ROMAN \* MERGEFORMAT </w:instrText>
            </w:r>
            <w:r>
              <w:rPr>
                <w:rFonts w:ascii="Times New Roman" w:hAnsi="Times New Roman"/>
                <w:sz w:val="24"/>
              </w:rPr>
              <w:fldChar w:fldCharType="separate"/>
            </w:r>
            <w:r>
              <w:rPr>
                <w:rFonts w:ascii="Times New Roman" w:hAnsi="Times New Roman"/>
                <w:sz w:val="24"/>
              </w:rPr>
              <w:t>Ⅲ</w:t>
            </w:r>
            <w:r>
              <w:rPr>
                <w:rFonts w:ascii="Times New Roman" w:hAnsi="Times New Roman"/>
                <w:sz w:val="24"/>
              </w:rPr>
              <w:fldChar w:fldCharType="end"/>
            </w:r>
            <w:r>
              <w:rPr>
                <w:rFonts w:ascii="Times New Roman" w:hAnsi="Times New Roman"/>
                <w:sz w:val="24"/>
              </w:rPr>
              <w:t>类</w:t>
            </w:r>
          </w:p>
        </w:tc>
      </w:tr>
      <w:tr w14:paraId="6A7E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751" w:type="dxa"/>
            <w:vMerge w:val="continue"/>
            <w:vAlign w:val="center"/>
          </w:tcPr>
          <w:p w14:paraId="17FE400D">
            <w:pPr>
              <w:spacing w:line="360" w:lineRule="auto"/>
              <w:jc w:val="center"/>
              <w:rPr>
                <w:rFonts w:ascii="Times New Roman" w:hAnsi="Times New Roman"/>
                <w:sz w:val="24"/>
              </w:rPr>
            </w:pPr>
          </w:p>
        </w:tc>
        <w:tc>
          <w:tcPr>
            <w:tcW w:w="1102" w:type="dxa"/>
            <w:vMerge w:val="continue"/>
            <w:vAlign w:val="center"/>
          </w:tcPr>
          <w:p w14:paraId="0A6DE33C">
            <w:pPr>
              <w:spacing w:line="360" w:lineRule="auto"/>
              <w:jc w:val="center"/>
              <w:rPr>
                <w:rFonts w:ascii="Times New Roman" w:hAnsi="Times New Roman"/>
                <w:sz w:val="24"/>
              </w:rPr>
            </w:pPr>
          </w:p>
        </w:tc>
        <w:tc>
          <w:tcPr>
            <w:tcW w:w="1234" w:type="dxa"/>
          </w:tcPr>
          <w:p w14:paraId="59ECF2C2">
            <w:pPr>
              <w:spacing w:line="360" w:lineRule="auto"/>
              <w:jc w:val="center"/>
              <w:rPr>
                <w:rFonts w:ascii="Times New Roman" w:hAnsi="Times New Roman"/>
                <w:sz w:val="24"/>
              </w:rPr>
            </w:pPr>
            <w:r>
              <w:rPr>
                <w:rFonts w:ascii="Times New Roman" w:hAnsi="Times New Roman"/>
                <w:sz w:val="24"/>
              </w:rPr>
              <w:t xml:space="preserve"> ☑使用</w:t>
            </w:r>
          </w:p>
        </w:tc>
        <w:tc>
          <w:tcPr>
            <w:tcW w:w="6067" w:type="dxa"/>
            <w:gridSpan w:val="6"/>
          </w:tcPr>
          <w:p w14:paraId="34C4E161">
            <w:pPr>
              <w:spacing w:line="360" w:lineRule="auto"/>
              <w:jc w:val="center"/>
              <w:rPr>
                <w:rFonts w:ascii="Times New Roman" w:hAnsi="Times New Roman"/>
                <w:sz w:val="24"/>
              </w:rPr>
            </w:pPr>
            <w:r>
              <w:rPr>
                <w:rFonts w:ascii="Times New Roman" w:hAnsi="Times New Roman"/>
                <w:sz w:val="24"/>
              </w:rPr>
              <w:t>☑</w:t>
            </w:r>
            <w:r>
              <w:rPr>
                <w:rFonts w:ascii="Times New Roman" w:hAnsi="Times New Roman"/>
                <w:sz w:val="24"/>
              </w:rPr>
              <w:fldChar w:fldCharType="begin"/>
            </w:r>
            <w:r>
              <w:rPr>
                <w:rFonts w:ascii="Times New Roman" w:hAnsi="Times New Roman"/>
                <w:sz w:val="24"/>
              </w:rPr>
              <w:instrText xml:space="preserve"> = 2 \* ROMAN \* MERGEFORMAT </w:instrText>
            </w:r>
            <w:r>
              <w:rPr>
                <w:rFonts w:ascii="Times New Roman" w:hAnsi="Times New Roman"/>
                <w:sz w:val="24"/>
              </w:rPr>
              <w:fldChar w:fldCharType="separate"/>
            </w:r>
            <w:r>
              <w:rPr>
                <w:rFonts w:ascii="Times New Roman" w:hAnsi="Times New Roman"/>
                <w:sz w:val="24"/>
              </w:rPr>
              <w:t>Ⅱ</w:t>
            </w:r>
            <w:r>
              <w:rPr>
                <w:rFonts w:ascii="Times New Roman" w:hAnsi="Times New Roman"/>
                <w:sz w:val="24"/>
              </w:rPr>
              <w:fldChar w:fldCharType="end"/>
            </w:r>
            <w:r>
              <w:rPr>
                <w:rFonts w:ascii="Times New Roman" w:hAnsi="Times New Roman"/>
                <w:sz w:val="24"/>
              </w:rPr>
              <w:t>类  □</w:t>
            </w:r>
            <w:r>
              <w:rPr>
                <w:rFonts w:ascii="Times New Roman" w:hAnsi="Times New Roman"/>
                <w:sz w:val="24"/>
              </w:rPr>
              <w:fldChar w:fldCharType="begin"/>
            </w:r>
            <w:r>
              <w:rPr>
                <w:rFonts w:ascii="Times New Roman" w:hAnsi="Times New Roman"/>
                <w:sz w:val="24"/>
              </w:rPr>
              <w:instrText xml:space="preserve"> = 3 \* ROMAN \* MERGEFORMAT </w:instrText>
            </w:r>
            <w:r>
              <w:rPr>
                <w:rFonts w:ascii="Times New Roman" w:hAnsi="Times New Roman"/>
                <w:sz w:val="24"/>
              </w:rPr>
              <w:fldChar w:fldCharType="separate"/>
            </w:r>
            <w:r>
              <w:rPr>
                <w:rFonts w:ascii="Times New Roman" w:hAnsi="Times New Roman"/>
                <w:sz w:val="24"/>
              </w:rPr>
              <w:t>Ⅲ</w:t>
            </w:r>
            <w:r>
              <w:rPr>
                <w:rFonts w:ascii="Times New Roman" w:hAnsi="Times New Roman"/>
                <w:sz w:val="24"/>
              </w:rPr>
              <w:fldChar w:fldCharType="end"/>
            </w:r>
            <w:r>
              <w:rPr>
                <w:rFonts w:ascii="Times New Roman" w:hAnsi="Times New Roman"/>
                <w:sz w:val="24"/>
              </w:rPr>
              <w:t>类</w:t>
            </w:r>
          </w:p>
        </w:tc>
      </w:tr>
      <w:tr w14:paraId="14BA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751" w:type="dxa"/>
            <w:vMerge w:val="continue"/>
            <w:vAlign w:val="center"/>
          </w:tcPr>
          <w:p w14:paraId="472BD094">
            <w:pPr>
              <w:spacing w:line="360" w:lineRule="auto"/>
              <w:jc w:val="center"/>
              <w:rPr>
                <w:rFonts w:ascii="Times New Roman" w:hAnsi="Times New Roman"/>
                <w:sz w:val="24"/>
              </w:rPr>
            </w:pPr>
          </w:p>
        </w:tc>
        <w:tc>
          <w:tcPr>
            <w:tcW w:w="1102" w:type="dxa"/>
            <w:vAlign w:val="center"/>
          </w:tcPr>
          <w:p w14:paraId="577732F8">
            <w:pPr>
              <w:spacing w:line="360" w:lineRule="auto"/>
              <w:jc w:val="center"/>
              <w:rPr>
                <w:rFonts w:ascii="Times New Roman" w:hAnsi="Times New Roman"/>
                <w:sz w:val="24"/>
              </w:rPr>
            </w:pPr>
            <w:r>
              <w:rPr>
                <w:rFonts w:ascii="Times New Roman" w:hAnsi="Times New Roman"/>
                <w:sz w:val="24"/>
              </w:rPr>
              <w:t>其他</w:t>
            </w:r>
          </w:p>
        </w:tc>
        <w:tc>
          <w:tcPr>
            <w:tcW w:w="7301" w:type="dxa"/>
            <w:gridSpan w:val="7"/>
          </w:tcPr>
          <w:p w14:paraId="2C94312D">
            <w:pPr>
              <w:spacing w:line="360" w:lineRule="auto"/>
              <w:jc w:val="center"/>
              <w:rPr>
                <w:rFonts w:ascii="Times New Roman" w:hAnsi="Times New Roman"/>
                <w:sz w:val="24"/>
              </w:rPr>
            </w:pPr>
            <w:r>
              <w:rPr>
                <w:rFonts w:ascii="Times New Roman" w:hAnsi="Times New Roman"/>
                <w:sz w:val="24"/>
              </w:rPr>
              <w:t>无</w:t>
            </w:r>
          </w:p>
        </w:tc>
      </w:tr>
      <w:tr w14:paraId="7272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4" w:type="dxa"/>
            <w:gridSpan w:val="9"/>
            <w:vAlign w:val="center"/>
          </w:tcPr>
          <w:p w14:paraId="060F3296">
            <w:pPr>
              <w:spacing w:line="360" w:lineRule="auto"/>
              <w:jc w:val="left"/>
              <w:rPr>
                <w:rFonts w:ascii="Times New Roman" w:hAnsi="Times New Roman"/>
                <w:b/>
                <w:bCs/>
                <w:sz w:val="28"/>
                <w:szCs w:val="28"/>
              </w:rPr>
            </w:pPr>
            <w:r>
              <w:rPr>
                <w:rFonts w:ascii="Times New Roman" w:hAnsi="Times New Roman"/>
                <w:b/>
                <w:bCs/>
                <w:sz w:val="28"/>
                <w:szCs w:val="28"/>
              </w:rPr>
              <w:t>一、项目概述</w:t>
            </w:r>
          </w:p>
          <w:p w14:paraId="48474A08">
            <w:pPr>
              <w:spacing w:after="156" w:afterLines="50" w:line="360" w:lineRule="auto"/>
              <w:rPr>
                <w:rFonts w:ascii="Times New Roman" w:hAnsi="Times New Roman"/>
                <w:b/>
                <w:bCs/>
                <w:sz w:val="24"/>
              </w:rPr>
            </w:pPr>
            <w:r>
              <w:rPr>
                <w:rFonts w:ascii="Times New Roman" w:hAnsi="Times New Roman"/>
                <w:b/>
                <w:bCs/>
                <w:sz w:val="24"/>
              </w:rPr>
              <w:t>（一）医院概况及项目由来</w:t>
            </w:r>
          </w:p>
          <w:p w14:paraId="67BE4313">
            <w:pPr>
              <w:pStyle w:val="11"/>
              <w:bidi w:val="0"/>
              <w:rPr>
                <w:rFonts w:hint="eastAsia"/>
                <w:lang w:eastAsia="zh-CN"/>
              </w:rPr>
            </w:pPr>
            <w:r>
              <w:rPr>
                <w:rFonts w:hint="eastAsia"/>
                <w:lang w:eastAsia="zh-CN"/>
              </w:rPr>
              <w:t>平昌县中医医院统一（社会信用代码：125137234524647545）是一所集中医、医疗、教学、保健康复于一体的国家三级乙等综合性中医医院，系平昌县紧密型医共体"同昌医疗集团"的牵头医院，同时也是全县中医药适宜技术推广培训基地、职工健康体检中心、白内障复明工程及县内残疾鉴定的定点医院。占地面积6700平方米。平昌县中医医院创建于2008年3月，位于</w:t>
            </w:r>
            <w:r>
              <w:rPr>
                <w:rFonts w:hint="eastAsia"/>
                <w:lang w:val="en-US" w:eastAsia="zh-CN"/>
              </w:rPr>
              <w:t>四川省巴中市平昌县江口镇新平街西段122号</w:t>
            </w:r>
            <w:r>
              <w:rPr>
                <w:rFonts w:hint="eastAsia"/>
                <w:lang w:eastAsia="zh-CN"/>
              </w:rPr>
              <w:t>。平昌县中医医院为营利性综合医院，现有工程红线内用地面积为11241.95m</w:t>
            </w:r>
            <w:r>
              <w:rPr>
                <w:rFonts w:hint="eastAsia"/>
                <w:vertAlign w:val="superscript"/>
                <w:lang w:val="en-US" w:eastAsia="zh-CN"/>
              </w:rPr>
              <w:t>2</w:t>
            </w:r>
            <w:r>
              <w:rPr>
                <w:rFonts w:hint="eastAsia"/>
                <w:lang w:eastAsia="zh-CN"/>
              </w:rPr>
              <w:t>，医院现有建筑面积约10366m</w:t>
            </w:r>
            <w:r>
              <w:rPr>
                <w:rFonts w:hint="eastAsia"/>
                <w:vertAlign w:val="superscript"/>
                <w:lang w:val="en-US" w:eastAsia="zh-CN"/>
              </w:rPr>
              <w:t>2</w:t>
            </w:r>
            <w:r>
              <w:rPr>
                <w:rFonts w:hint="eastAsia"/>
                <w:lang w:eastAsia="zh-CN"/>
              </w:rPr>
              <w:t>，开设床位约108张。</w:t>
            </w:r>
          </w:p>
          <w:p w14:paraId="265C12EA">
            <w:pPr>
              <w:pStyle w:val="11"/>
              <w:bidi w:val="0"/>
              <w:rPr>
                <w:rFonts w:hint="eastAsia"/>
              </w:rPr>
            </w:pPr>
            <w:r>
              <w:rPr>
                <w:rFonts w:hint="eastAsia"/>
              </w:rPr>
              <w:t>随着</w:t>
            </w:r>
            <w:r>
              <w:rPr>
                <w:rFonts w:hint="eastAsia"/>
                <w:lang w:val="en-US" w:eastAsia="zh-CN"/>
              </w:rPr>
              <w:t>平昌县</w:t>
            </w:r>
            <w:r>
              <w:rPr>
                <w:rFonts w:hint="eastAsia"/>
              </w:rPr>
              <w:t>经济建设迅速发展</w:t>
            </w:r>
            <w:r>
              <w:rPr>
                <w:rFonts w:hint="eastAsia"/>
                <w:lang w:eastAsia="zh-CN"/>
              </w:rPr>
              <w:t>，</w:t>
            </w:r>
            <w:r>
              <w:rPr>
                <w:rFonts w:hint="eastAsia"/>
              </w:rPr>
              <w:t>不断增加的人口数量以及不断增加的人民收入，使得人们对城市卫生服务质量和标准提出了更高的要求。</w:t>
            </w:r>
          </w:p>
          <w:p w14:paraId="6CA3BD75">
            <w:pPr>
              <w:pStyle w:val="11"/>
              <w:bidi w:val="0"/>
              <w:rPr>
                <w:rFonts w:hint="eastAsia"/>
              </w:rPr>
            </w:pPr>
            <w:r>
              <w:rPr>
                <w:rFonts w:hint="eastAsia"/>
                <w:lang w:val="en-US" w:eastAsia="zh-CN"/>
              </w:rPr>
              <w:t>平昌县作为秦巴山区连片特困地区，农村人口占比达65%，且青壮年劳动力外出务工导致留守老人慢性病高发。当前平昌县及周边地区心脑血管疾病发病率呈上升趋势（根据《四川省慢性病防治中长期规划》数据显示，县域脑卒中患病率年均增长约5%），但区域内缺乏具备介入治疗能力的医疗机构。传统外科手术创伤大、恢复周期长，难以满足急性心梗、脑卒中等急危重症患者的救治需求。DSA设备可实现微创介入手术，通过导管精准疏通血管、栓塞病灶，将急性心肌梗死救治时间缩短至90分钟内（国际指南标准），显著降低致残率和死亡率。</w:t>
            </w:r>
          </w:p>
          <w:p w14:paraId="46A8D016">
            <w:pPr>
              <w:pStyle w:val="11"/>
              <w:bidi w:val="0"/>
              <w:rPr>
                <w:rFonts w:hint="eastAsia"/>
                <w:lang w:val="en-US" w:eastAsia="zh-CN"/>
              </w:rPr>
            </w:pPr>
            <w:r>
              <w:rPr>
                <w:rFonts w:hint="eastAsia"/>
                <w:lang w:val="en-US" w:eastAsia="zh-CN"/>
              </w:rPr>
              <w:t>DSA项目建成后：将降低就医门槛，让患者在家门口即可接受国家级标准的介入治疗，避免因经济负担放弃治疗；强化预防体系：依托设备开展冠状动脉造影等早期筛查项目，实现"早发现、早干预"，降低因病致贫返贫风险；培养本土人才：通过与成都中医药大学等高校合作，定向培养介入医学专业人才，解决基层医疗人才短缺问题。</w:t>
            </w:r>
          </w:p>
          <w:p w14:paraId="6872457B">
            <w:pPr>
              <w:pStyle w:val="11"/>
              <w:bidi w:val="0"/>
            </w:pPr>
            <w:r>
              <w:rPr>
                <w:rFonts w:hint="eastAsia"/>
                <w:lang w:eastAsia="zh-CN"/>
              </w:rPr>
              <w:t>平昌县中医医院</w:t>
            </w:r>
            <w:r>
              <w:t>现已取得辐射安全许可证，编号为“川环辐证</w:t>
            </w:r>
            <w:r>
              <w:rPr>
                <w:rFonts w:hint="eastAsia"/>
                <w:lang w:eastAsia="zh-CN"/>
              </w:rPr>
              <w:t>〔</w:t>
            </w:r>
            <w:r>
              <w:rPr>
                <w:rFonts w:hint="eastAsia"/>
                <w:lang w:val="en-US" w:eastAsia="zh-CN"/>
              </w:rPr>
              <w:t>00646</w:t>
            </w:r>
            <w:r>
              <w:rPr>
                <w:rFonts w:hint="eastAsia"/>
                <w:lang w:eastAsia="zh-CN"/>
              </w:rPr>
              <w:t>〕</w:t>
            </w:r>
            <w:r>
              <w:t>”，种类和范围为“使用</w:t>
            </w:r>
            <w:r>
              <w:rPr>
                <w:rFonts w:hint="default" w:ascii="Times New Roman" w:hAnsi="Times New Roman" w:cs="Times New Roman"/>
                <w:lang w:val="en-US" w:eastAsia="zh-CN"/>
              </w:rPr>
              <w:t>Ⅱ</w:t>
            </w:r>
            <w:r>
              <w:rPr>
                <w:rFonts w:hint="eastAsia" w:ascii="Times New Roman" w:hAnsi="Times New Roman" w:cs="Times New Roman"/>
                <w:lang w:val="en-US" w:eastAsia="zh-CN"/>
              </w:rPr>
              <w:t>、</w:t>
            </w:r>
            <w:r>
              <w:t>Ⅲ类射线装置”，有效期至：20</w:t>
            </w:r>
            <w:r>
              <w:rPr>
                <w:rFonts w:hint="eastAsia"/>
                <w:lang w:val="en-US" w:eastAsia="zh-CN"/>
              </w:rPr>
              <w:t>29</w:t>
            </w:r>
            <w:r>
              <w:t>年</w:t>
            </w:r>
            <w:r>
              <w:rPr>
                <w:rFonts w:hint="eastAsia"/>
                <w:lang w:val="en-US" w:eastAsia="zh-CN"/>
              </w:rPr>
              <w:t>4</w:t>
            </w:r>
            <w:r>
              <w:t>月</w:t>
            </w:r>
            <w:r>
              <w:rPr>
                <w:rFonts w:hint="eastAsia"/>
                <w:lang w:val="en-US" w:eastAsia="zh-CN"/>
              </w:rPr>
              <w:t>2</w:t>
            </w:r>
            <w:r>
              <w:t>日。医院的辐射安全许可证正副本扫描件见附件3。</w:t>
            </w:r>
          </w:p>
          <w:p w14:paraId="0EEC718F">
            <w:pPr>
              <w:pStyle w:val="11"/>
              <w:bidi w:val="0"/>
            </w:pPr>
            <w:r>
              <w:t>建设单位拟在</w:t>
            </w:r>
            <w:r>
              <w:rPr>
                <w:rFonts w:hint="eastAsia"/>
                <w:lang w:eastAsia="zh-CN"/>
              </w:rPr>
              <w:t>平昌县中医医院</w:t>
            </w:r>
            <w:r>
              <w:rPr>
                <w:rFonts w:hint="eastAsia"/>
                <w:lang w:val="en-US" w:eastAsia="zh-CN"/>
              </w:rPr>
              <w:t>2号住院综合楼一楼规划一间</w:t>
            </w:r>
            <w:r>
              <w:rPr>
                <w:rFonts w:hint="eastAsia"/>
                <w:color w:val="auto"/>
                <w:lang w:val="en-US" w:eastAsia="zh-CN"/>
              </w:rPr>
              <w:t>DSA机房</w:t>
            </w:r>
            <w:r>
              <w:rPr>
                <w:rFonts w:hint="eastAsia"/>
                <w:color w:val="auto"/>
                <w:lang w:eastAsia="zh-CN"/>
              </w:rPr>
              <w:t>（</w:t>
            </w:r>
            <w:r>
              <w:rPr>
                <w:color w:val="auto"/>
              </w:rPr>
              <w:t>用以开展心血管介入、神经介入、外周血管介入</w:t>
            </w:r>
            <w:r>
              <w:rPr>
                <w:rFonts w:hint="eastAsia"/>
                <w:color w:val="auto"/>
                <w:lang w:eastAsia="zh-CN"/>
              </w:rPr>
              <w:t>）</w:t>
            </w:r>
            <w:r>
              <w:t>。根据《关于发布《射线装置分类》的公告》，数字减影血管造影装置（DSA）属于Ⅱ类射线装置。</w:t>
            </w:r>
          </w:p>
          <w:p w14:paraId="19039A37">
            <w:pPr>
              <w:spacing w:line="360" w:lineRule="auto"/>
              <w:rPr>
                <w:rFonts w:ascii="Times New Roman" w:hAnsi="Times New Roman"/>
                <w:b/>
                <w:bCs/>
                <w:sz w:val="24"/>
              </w:rPr>
            </w:pPr>
            <w:r>
              <w:rPr>
                <w:rFonts w:ascii="Times New Roman" w:hAnsi="Times New Roman"/>
                <w:b/>
                <w:bCs/>
                <w:sz w:val="24"/>
              </w:rPr>
              <w:t>（二）编制目的</w:t>
            </w:r>
          </w:p>
          <w:p w14:paraId="35BB3A07">
            <w:pPr>
              <w:autoSpaceDN w:val="0"/>
              <w:spacing w:line="360" w:lineRule="auto"/>
              <w:ind w:firstLine="480" w:firstLineChars="200"/>
              <w:rPr>
                <w:rFonts w:ascii="Times New Roman" w:hAnsi="Times New Roman"/>
                <w:sz w:val="24"/>
              </w:rPr>
            </w:pPr>
            <w:r>
              <w:rPr>
                <w:rFonts w:ascii="Times New Roman" w:hAnsi="Times New Roman"/>
                <w:sz w:val="24"/>
              </w:rPr>
              <w:t>按照《</w:t>
            </w:r>
            <w:r>
              <w:rPr>
                <w:rFonts w:hint="eastAsia" w:ascii="Times New Roman" w:hAnsi="Times New Roman"/>
                <w:kern w:val="0"/>
                <w:sz w:val="24"/>
              </w:rPr>
              <w:t>中华人民共和国生态环境法典</w:t>
            </w:r>
            <w:r>
              <w:rPr>
                <w:rFonts w:ascii="Times New Roman" w:hAnsi="Times New Roman"/>
                <w:sz w:val="24"/>
              </w:rPr>
              <w:t>》</w:t>
            </w:r>
            <w:r>
              <w:rPr>
                <w:rFonts w:hint="eastAsia" w:ascii="Times New Roman" w:hAnsi="Times New Roman"/>
                <w:sz w:val="24"/>
                <w:lang w:eastAsia="zh-CN"/>
              </w:rPr>
              <w:t>、</w:t>
            </w:r>
            <w:r>
              <w:rPr>
                <w:rFonts w:ascii="Times New Roman" w:hAnsi="Times New Roman"/>
                <w:sz w:val="24"/>
              </w:rPr>
              <w:t>《放射性同位素</w:t>
            </w:r>
            <w:r>
              <w:rPr>
                <w:rFonts w:hint="eastAsia" w:ascii="Times New Roman" w:hAnsi="Times New Roman"/>
                <w:sz w:val="24"/>
                <w:lang w:val="en-US" w:eastAsia="zh-CN"/>
              </w:rPr>
              <w:t>与</w:t>
            </w:r>
            <w:r>
              <w:rPr>
                <w:rFonts w:ascii="Times New Roman" w:hAnsi="Times New Roman"/>
                <w:sz w:val="24"/>
              </w:rPr>
              <w:t>射线装置安全和防护条例》（国务院令第449号）和《放射性同位素与射线装置安全和防护管理办法》（国家环保部令第18号）的规定和要求，本项目需进行环境影响评价。</w:t>
            </w:r>
            <w:r>
              <w:rPr>
                <w:rFonts w:ascii="Times New Roman" w:hAnsi="Times New Roman"/>
                <w:bCs/>
                <w:sz w:val="24"/>
              </w:rPr>
              <w:t>根据《建设项目环境影响评价分类管理名录（2021年版）》（生态环境部令第16号，2021年1月1日起施行），本项目属于“第五十五项—172条核技术利用建设项目—使用Ⅱ类射线装置”</w:t>
            </w:r>
            <w:r>
              <w:rPr>
                <w:rFonts w:ascii="Times New Roman" w:hAnsi="Times New Roman"/>
                <w:sz w:val="24"/>
              </w:rPr>
              <w:t>，本项目应编制环境影响报告表。因此，</w:t>
            </w:r>
            <w:r>
              <w:rPr>
                <w:rFonts w:hint="eastAsia" w:ascii="Times New Roman" w:hAnsi="Times New Roman"/>
                <w:sz w:val="24"/>
                <w:lang w:eastAsia="zh-CN"/>
              </w:rPr>
              <w:t>平昌县中医医院</w:t>
            </w:r>
            <w:r>
              <w:rPr>
                <w:rFonts w:ascii="Times New Roman" w:hAnsi="Times New Roman"/>
                <w:sz w:val="24"/>
              </w:rPr>
              <w:t>委托四川鸿环环保科技有限公司编制本项目的环境影响报告表（委托书见附件1）。</w:t>
            </w:r>
          </w:p>
          <w:p w14:paraId="488FDD1D">
            <w:pPr>
              <w:autoSpaceDE w:val="0"/>
              <w:autoSpaceDN w:val="0"/>
              <w:spacing w:line="360" w:lineRule="auto"/>
              <w:ind w:firstLine="480" w:firstLineChars="200"/>
              <w:jc w:val="left"/>
              <w:rPr>
                <w:rFonts w:ascii="Times New Roman" w:hAnsi="Times New Roman"/>
                <w:sz w:val="24"/>
              </w:rPr>
            </w:pPr>
            <w:r>
              <w:rPr>
                <w:rFonts w:ascii="Times New Roman" w:hAnsi="Times New Roman"/>
                <w:sz w:val="24"/>
              </w:rPr>
              <w:t>四川鸿环环保科技有限公司接受本项目编制工作的委托后，在进行现场踏勘、实地调查了解项目所在地周围环境和充分研读相关法律法规、规章制度、技术资料后，在项目区域环境质量现状评价的基础上，对项目的环境影响进行了预测，并按相应标准进行评价。同时，对项目对环境可能造成的影响、项目单位从事相应辐射活动的能力、拟采取的辐射安全和防护措施及相关管理制度等进行了评价分析，在此基础上提出合理可行的对策和建议。</w:t>
            </w:r>
          </w:p>
          <w:p w14:paraId="6F047067">
            <w:pPr>
              <w:autoSpaceDE w:val="0"/>
              <w:autoSpaceDN w:val="0"/>
              <w:spacing w:line="360" w:lineRule="auto"/>
              <w:ind w:firstLine="480" w:firstLineChars="200"/>
              <w:jc w:val="left"/>
              <w:rPr>
                <w:color w:val="auto"/>
              </w:rPr>
            </w:pPr>
            <w:r>
              <w:rPr>
                <w:rFonts w:ascii="Times New Roman" w:hAnsi="Times New Roman"/>
                <w:color w:val="auto"/>
                <w:sz w:val="24"/>
              </w:rPr>
              <w:t>在</w:t>
            </w:r>
            <w:bookmarkStart w:id="1" w:name="OLE_LINK29"/>
            <w:r>
              <w:rPr>
                <w:rFonts w:ascii="Times New Roman" w:hAnsi="Times New Roman"/>
                <w:color w:val="auto"/>
                <w:sz w:val="24"/>
              </w:rPr>
              <w:t>本项目环境影响报告表编制完成后，建设单位在</w:t>
            </w:r>
            <w:r>
              <w:rPr>
                <w:rFonts w:hint="eastAsia" w:ascii="Times New Roman" w:hAnsi="Times New Roman"/>
                <w:color w:val="auto"/>
                <w:sz w:val="24"/>
                <w:lang w:eastAsia="zh-CN"/>
              </w:rPr>
              <w:t>平昌县中医医院</w:t>
            </w:r>
            <w:r>
              <w:rPr>
                <w:rFonts w:hint="eastAsia" w:ascii="Times New Roman" w:hAnsi="Times New Roman"/>
                <w:color w:val="auto"/>
                <w:sz w:val="24"/>
                <w:lang w:val="en-US" w:eastAsia="zh-CN"/>
              </w:rPr>
              <w:t>官网</w:t>
            </w:r>
            <w:r>
              <w:rPr>
                <w:rFonts w:ascii="Times New Roman" w:hAnsi="Times New Roman"/>
                <w:color w:val="auto"/>
                <w:sz w:val="24"/>
              </w:rPr>
              <w:t>对报告表进行了全文公示。公示网址为</w:t>
            </w:r>
            <w:bookmarkEnd w:id="1"/>
            <w:r>
              <w:rPr>
                <w:rFonts w:ascii="Times New Roman" w:hAnsi="Times New Roman"/>
                <w:color w:val="auto"/>
                <w:sz w:val="24"/>
              </w:rPr>
              <w:t>：</w:t>
            </w:r>
            <w:r>
              <w:rPr>
                <w:rFonts w:hint="eastAsia" w:ascii="Times New Roman" w:hAnsi="Times New Roman"/>
                <w:color w:val="auto"/>
                <w:sz w:val="24"/>
              </w:rPr>
              <w:t>http://www.pcxzyyy.cn/news_show.aspx?id=13158&amp;channel=ment</w:t>
            </w:r>
          </w:p>
          <w:p w14:paraId="4B8D746E">
            <w:pPr>
              <w:autoSpaceDE w:val="0"/>
              <w:autoSpaceDN w:val="0"/>
              <w:spacing w:line="360" w:lineRule="auto"/>
              <w:ind w:firstLine="480" w:firstLineChars="200"/>
              <w:jc w:val="left"/>
              <w:rPr>
                <w:rFonts w:ascii="Times New Roman" w:hAnsi="Times New Roman"/>
                <w:color w:val="auto"/>
                <w:sz w:val="24"/>
              </w:rPr>
            </w:pPr>
            <w:r>
              <w:rPr>
                <w:rFonts w:ascii="Times New Roman" w:hAnsi="Times New Roman"/>
                <w:color w:val="auto"/>
                <w:sz w:val="24"/>
              </w:rPr>
              <w:t>公示网站截图如下：</w:t>
            </w:r>
          </w:p>
          <w:p w14:paraId="68E47DDD">
            <w:pPr>
              <w:pStyle w:val="30"/>
              <w:jc w:val="center"/>
              <w:rPr>
                <w:rFonts w:hint="eastAsia" w:eastAsia="宋体"/>
                <w:lang w:eastAsia="zh-CN"/>
              </w:rPr>
            </w:pPr>
            <w:r>
              <w:drawing>
                <wp:inline distT="0" distB="0" distL="114300" distR="114300">
                  <wp:extent cx="5674360" cy="3053080"/>
                  <wp:effectExtent l="0" t="0" r="2540" b="13970"/>
                  <wp:docPr id="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pic:cNvPicPr>
                            <a:picLocks noChangeAspect="1"/>
                          </pic:cNvPicPr>
                        </pic:nvPicPr>
                        <pic:blipFill>
                          <a:blip r:embed="rId9"/>
                          <a:stretch>
                            <a:fillRect/>
                          </a:stretch>
                        </pic:blipFill>
                        <pic:spPr>
                          <a:xfrm>
                            <a:off x="0" y="0"/>
                            <a:ext cx="5674360" cy="3053080"/>
                          </a:xfrm>
                          <a:prstGeom prst="rect">
                            <a:avLst/>
                          </a:prstGeom>
                          <a:noFill/>
                          <a:ln>
                            <a:noFill/>
                          </a:ln>
                        </pic:spPr>
                      </pic:pic>
                    </a:graphicData>
                  </a:graphic>
                </wp:inline>
              </w:drawing>
            </w:r>
          </w:p>
          <w:p w14:paraId="4A89C166">
            <w:pPr>
              <w:spacing w:line="360" w:lineRule="auto"/>
              <w:ind w:firstLine="480" w:firstLineChars="200"/>
              <w:jc w:val="left"/>
              <w:rPr>
                <w:rFonts w:ascii="Times New Roman" w:hAnsi="Times New Roman"/>
                <w:b/>
                <w:bCs/>
                <w:sz w:val="24"/>
              </w:rPr>
            </w:pPr>
            <w:r>
              <w:rPr>
                <w:rFonts w:ascii="Times New Roman" w:hAnsi="Times New Roman"/>
                <w:sz w:val="24"/>
              </w:rPr>
              <w:t>公示后，未收到单位和个人有关项目情况的反馈意见。</w:t>
            </w:r>
          </w:p>
          <w:p w14:paraId="6262FE30">
            <w:pPr>
              <w:autoSpaceDN w:val="0"/>
              <w:spacing w:line="360" w:lineRule="auto"/>
              <w:rPr>
                <w:rFonts w:ascii="Times New Roman" w:hAnsi="Times New Roman"/>
                <w:b/>
                <w:bCs/>
                <w:sz w:val="24"/>
              </w:rPr>
            </w:pPr>
            <w:r>
              <w:rPr>
                <w:rFonts w:ascii="Times New Roman" w:hAnsi="Times New Roman"/>
                <w:b/>
                <w:bCs/>
                <w:sz w:val="24"/>
              </w:rPr>
              <w:t>（三）项目建设内容与建设规模</w:t>
            </w:r>
          </w:p>
          <w:p w14:paraId="2BBB2D40">
            <w:pPr>
              <w:spacing w:line="360" w:lineRule="auto"/>
              <w:ind w:firstLine="480" w:firstLineChars="200"/>
              <w:rPr>
                <w:rFonts w:ascii="Times New Roman" w:hAnsi="Times New Roman"/>
                <w:bCs/>
                <w:color w:val="000000" w:themeColor="text1"/>
                <w:sz w:val="24"/>
                <w14:textFill>
                  <w14:solidFill>
                    <w14:schemeClr w14:val="tx1"/>
                  </w14:solidFill>
                </w14:textFill>
              </w:rPr>
            </w:pPr>
            <w:r>
              <w:rPr>
                <w:rFonts w:ascii="Times New Roman" w:hAnsi="Times New Roman"/>
                <w:bCs/>
                <w:sz w:val="24"/>
              </w:rPr>
              <w:t>本次评价内容及规模为：</w:t>
            </w:r>
            <w:r>
              <w:rPr>
                <w:rFonts w:ascii="Times New Roman" w:hAnsi="Times New Roman"/>
                <w:sz w:val="24"/>
              </w:rPr>
              <w:t>医院拟在</w:t>
            </w:r>
            <w:r>
              <w:rPr>
                <w:rFonts w:hint="eastAsia" w:ascii="Times New Roman" w:hAnsi="Times New Roman"/>
                <w:sz w:val="24"/>
                <w:lang w:val="en-US" w:eastAsia="zh-CN"/>
              </w:rPr>
              <w:t>2号住院综合楼</w:t>
            </w:r>
            <w:r>
              <w:rPr>
                <w:rFonts w:hint="eastAsia" w:ascii="Times New Roman" w:hAnsi="Times New Roman"/>
                <w:sz w:val="24"/>
                <w:lang w:eastAsia="zh-CN"/>
              </w:rPr>
              <w:t>（</w:t>
            </w:r>
            <w:r>
              <w:rPr>
                <w:rFonts w:ascii="Times New Roman" w:hAnsi="Times New Roman"/>
                <w:sz w:val="24"/>
              </w:rPr>
              <w:t>1</w:t>
            </w:r>
            <w:r>
              <w:rPr>
                <w:rFonts w:hint="eastAsia" w:ascii="Times New Roman" w:hAnsi="Times New Roman"/>
                <w:sz w:val="24"/>
                <w:lang w:val="en-US" w:eastAsia="zh-CN"/>
              </w:rPr>
              <w:t>2</w:t>
            </w:r>
            <w:r>
              <w:rPr>
                <w:rFonts w:ascii="Times New Roman" w:hAnsi="Times New Roman"/>
                <w:sz w:val="24"/>
              </w:rPr>
              <w:t>F/</w:t>
            </w:r>
            <w:r>
              <w:rPr>
                <w:rFonts w:hint="eastAsia" w:ascii="Times New Roman" w:hAnsi="Times New Roman"/>
                <w:sz w:val="24"/>
                <w:lang w:val="en-US" w:eastAsia="zh-CN"/>
              </w:rPr>
              <w:t>1</w:t>
            </w:r>
            <w:r>
              <w:rPr>
                <w:rFonts w:ascii="Times New Roman" w:hAnsi="Times New Roman"/>
                <w:sz w:val="24"/>
              </w:rPr>
              <w:t>D，楼高</w:t>
            </w:r>
            <w:r>
              <w:rPr>
                <w:rFonts w:hint="eastAsia" w:ascii="Times New Roman" w:hAnsi="Times New Roman"/>
                <w:sz w:val="24"/>
                <w:lang w:val="en-US" w:eastAsia="zh-CN"/>
              </w:rPr>
              <w:t>55.2</w:t>
            </w:r>
            <w:r>
              <w:rPr>
                <w:rFonts w:ascii="Times New Roman" w:hAnsi="Times New Roman"/>
                <w:sz w:val="24"/>
              </w:rPr>
              <w:t>m</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sz w:val="24"/>
                <w:lang w:val="en-US" w:eastAsia="zh-CN"/>
              </w:rPr>
              <w:t>一</w:t>
            </w:r>
            <w:r>
              <w:rPr>
                <w:rFonts w:ascii="Times New Roman" w:hAnsi="Times New Roman"/>
                <w:sz w:val="24"/>
              </w:rPr>
              <w:t>楼</w:t>
            </w:r>
            <w:r>
              <w:rPr>
                <w:rFonts w:hint="eastAsia" w:ascii="Times New Roman" w:hAnsi="Times New Roman"/>
                <w:sz w:val="24"/>
                <w:lang w:eastAsia="zh-CN"/>
              </w:rPr>
              <w:t>DSA机房</w:t>
            </w:r>
            <w:r>
              <w:rPr>
                <w:rFonts w:ascii="Times New Roman" w:hAnsi="Times New Roman"/>
                <w:sz w:val="24"/>
              </w:rPr>
              <w:t>新增1台数字减影血管造影机</w:t>
            </w:r>
            <w:r>
              <w:rPr>
                <w:rFonts w:hint="eastAsia" w:ascii="Times New Roman" w:hAnsi="Times New Roman"/>
                <w:sz w:val="24"/>
                <w:lang w:eastAsia="zh-CN"/>
              </w:rPr>
              <w:t>（</w:t>
            </w:r>
            <w:r>
              <w:rPr>
                <w:rFonts w:ascii="Times New Roman" w:hAnsi="Times New Roman"/>
                <w:sz w:val="24"/>
              </w:rPr>
              <w:t>Ⅱ类射线装置，</w:t>
            </w:r>
            <w:r>
              <w:rPr>
                <w:rFonts w:hint="eastAsia" w:ascii="Times New Roman" w:hAnsi="Times New Roman"/>
                <w:sz w:val="24"/>
                <w:lang w:val="en-US" w:eastAsia="zh-CN"/>
              </w:rPr>
              <w:t>东软医疗</w:t>
            </w:r>
            <w:r>
              <w:rPr>
                <w:rFonts w:hint="eastAsia" w:ascii="Times New Roman" w:hAnsi="Times New Roman"/>
                <w:sz w:val="24"/>
              </w:rPr>
              <w:t xml:space="preserve">NeuAngio </w:t>
            </w:r>
            <w:r>
              <w:rPr>
                <w:rFonts w:hint="eastAsia" w:ascii="Times New Roman" w:hAnsi="Times New Roman"/>
                <w:sz w:val="24"/>
                <w:lang w:val="en-US" w:eastAsia="zh-CN"/>
              </w:rPr>
              <w:t>43</w:t>
            </w:r>
            <w:r>
              <w:rPr>
                <w:rFonts w:hint="eastAsia" w:ascii="Times New Roman" w:hAnsi="Times New Roman"/>
                <w:sz w:val="24"/>
              </w:rPr>
              <w:t>C</w:t>
            </w:r>
            <w:r>
              <w:rPr>
                <w:rFonts w:ascii="Times New Roman" w:hAnsi="Times New Roman"/>
                <w:sz w:val="24"/>
              </w:rPr>
              <w:t>，</w:t>
            </w:r>
            <w:r>
              <w:rPr>
                <w:rFonts w:hint="eastAsia" w:ascii="Times New Roman" w:hAnsi="Times New Roman"/>
                <w:sz w:val="24"/>
              </w:rPr>
              <w:t>最大</w:t>
            </w:r>
            <w:r>
              <w:rPr>
                <w:rFonts w:ascii="Times New Roman" w:hAnsi="Times New Roman"/>
                <w:sz w:val="24"/>
              </w:rPr>
              <w:t>管电压为125kV，</w:t>
            </w:r>
            <w:r>
              <w:rPr>
                <w:rFonts w:hint="eastAsia" w:ascii="Times New Roman" w:hAnsi="Times New Roman"/>
                <w:sz w:val="24"/>
              </w:rPr>
              <w:t>最大</w:t>
            </w:r>
            <w:r>
              <w:rPr>
                <w:rFonts w:ascii="Times New Roman" w:hAnsi="Times New Roman"/>
                <w:sz w:val="24"/>
              </w:rPr>
              <w:t>管电流为</w:t>
            </w:r>
            <w:r>
              <w:rPr>
                <w:rFonts w:hint="eastAsia" w:ascii="Times New Roman" w:hAnsi="Times New Roman"/>
                <w:sz w:val="24"/>
                <w:lang w:val="en-US" w:eastAsia="zh-CN"/>
              </w:rPr>
              <w:t>10</w:t>
            </w:r>
            <w:r>
              <w:rPr>
                <w:rFonts w:hint="eastAsia" w:ascii="Times New Roman" w:hAnsi="Times New Roman"/>
                <w:sz w:val="24"/>
              </w:rPr>
              <w:t>00</w:t>
            </w:r>
            <w:r>
              <w:rPr>
                <w:rFonts w:ascii="Times New Roman" w:hAnsi="Times New Roman"/>
                <w:sz w:val="24"/>
              </w:rPr>
              <w:t>mA</w:t>
            </w:r>
            <w:r>
              <w:rPr>
                <w:rFonts w:hint="eastAsia" w:ascii="Times New Roman" w:hAnsi="Times New Roman"/>
                <w:sz w:val="24"/>
                <w:lang w:eastAsia="zh-CN"/>
              </w:rPr>
              <w:t>）</w:t>
            </w:r>
            <w:r>
              <w:rPr>
                <w:rFonts w:ascii="Times New Roman" w:hAnsi="Times New Roman"/>
                <w:sz w:val="24"/>
              </w:rPr>
              <w:t>，根据院方提供信息，</w:t>
            </w:r>
            <w:r>
              <w:rPr>
                <w:rFonts w:hint="eastAsia" w:ascii="Times New Roman" w:hAnsi="Times New Roman"/>
                <w:sz w:val="24"/>
              </w:rPr>
              <w:t>预测进行</w:t>
            </w:r>
            <w:r>
              <w:rPr>
                <w:rFonts w:hint="eastAsia" w:ascii="Times New Roman" w:hAnsi="Times New Roman"/>
                <w:sz w:val="24"/>
                <w:lang w:val="en-US" w:eastAsia="zh-CN"/>
              </w:rPr>
              <w:t>500</w:t>
            </w:r>
            <w:r>
              <w:rPr>
                <w:rFonts w:hint="eastAsia" w:ascii="Times New Roman" w:hAnsi="Times New Roman"/>
                <w:sz w:val="24"/>
              </w:rPr>
              <w:t>台手术量，</w:t>
            </w:r>
            <w:r>
              <w:rPr>
                <w:rFonts w:ascii="Times New Roman" w:hAnsi="Times New Roman"/>
                <w:sz w:val="24"/>
              </w:rPr>
              <w:t>年总照射时间为</w:t>
            </w:r>
            <w:r>
              <w:rPr>
                <w:rFonts w:hint="eastAsia" w:ascii="Times New Roman" w:hAnsi="Times New Roman"/>
                <w:bCs/>
                <w:color w:val="000000" w:themeColor="text1"/>
                <w:sz w:val="24"/>
                <w:lang w:val="en-US" w:eastAsia="zh-CN"/>
                <w14:textFill>
                  <w14:solidFill>
                    <w14:schemeClr w14:val="tx1"/>
                  </w14:solidFill>
                </w14:textFill>
              </w:rPr>
              <w:t>107.36</w:t>
            </w:r>
            <w:r>
              <w:rPr>
                <w:rFonts w:ascii="Times New Roman" w:hAnsi="Times New Roman"/>
                <w:bCs/>
                <w:color w:val="000000" w:themeColor="text1"/>
                <w:sz w:val="24"/>
                <w14:textFill>
                  <w14:solidFill>
                    <w14:schemeClr w14:val="tx1"/>
                  </w14:solidFill>
                </w14:textFill>
              </w:rPr>
              <w:t>h</w:t>
            </w:r>
            <w:r>
              <w:rPr>
                <w:rFonts w:ascii="Times New Roman" w:hAnsi="Times New Roman"/>
                <w:sz w:val="24"/>
              </w:rPr>
              <w:t>。</w:t>
            </w:r>
            <w:r>
              <w:rPr>
                <w:rFonts w:ascii="Times New Roman" w:hAnsi="Times New Roman"/>
                <w:bCs/>
                <w:color w:val="000000" w:themeColor="text1"/>
                <w:sz w:val="24"/>
                <w14:textFill>
                  <w14:solidFill>
                    <w14:schemeClr w14:val="tx1"/>
                  </w14:solidFill>
                </w14:textFill>
              </w:rPr>
              <w:t>出束方向由下向上，主要用于</w:t>
            </w:r>
            <w:r>
              <w:rPr>
                <w:rFonts w:hint="eastAsia" w:ascii="Times New Roman" w:hAnsi="Times New Roman"/>
                <w:bCs/>
                <w:color w:val="000000" w:themeColor="text1"/>
                <w:sz w:val="24"/>
                <w14:textFill>
                  <w14:solidFill>
                    <w14:schemeClr w14:val="tx1"/>
                  </w14:solidFill>
                </w14:textFill>
              </w:rPr>
              <w:t>介入检查</w:t>
            </w:r>
            <w:r>
              <w:rPr>
                <w:rFonts w:ascii="Times New Roman" w:hAnsi="Times New Roman"/>
                <w:bCs/>
                <w:color w:val="000000" w:themeColor="text1"/>
                <w:sz w:val="24"/>
                <w14:textFill>
                  <w14:solidFill>
                    <w14:schemeClr w14:val="tx1"/>
                  </w14:solidFill>
                </w14:textFill>
              </w:rPr>
              <w:t>、血管造影等。</w:t>
            </w:r>
          </w:p>
          <w:p w14:paraId="081F1012">
            <w:pPr>
              <w:autoSpaceDN w:val="0"/>
              <w:spacing w:line="360" w:lineRule="auto"/>
              <w:ind w:firstLine="480" w:firstLineChars="200"/>
              <w:rPr>
                <w:rFonts w:hint="eastAsia" w:ascii="Times New Roman" w:hAnsi="Times New Roman" w:eastAsia="宋体"/>
                <w:sz w:val="24"/>
                <w:lang w:eastAsia="zh-CN"/>
              </w:rPr>
            </w:pPr>
            <w:r>
              <w:rPr>
                <w:rFonts w:hint="eastAsia" w:ascii="Times New Roman" w:hAnsi="Times New Roman"/>
                <w:sz w:val="24"/>
                <w:lang w:eastAsia="zh-CN"/>
              </w:rPr>
              <w:t>DSA机房</w:t>
            </w:r>
            <w:r>
              <w:rPr>
                <w:rFonts w:hint="eastAsia" w:ascii="Times New Roman" w:hAnsi="Times New Roman"/>
                <w:sz w:val="24"/>
                <w:lang w:val="en-US" w:eastAsia="zh-CN"/>
              </w:rPr>
              <w:t>占地面积为72m</w:t>
            </w:r>
            <w:r>
              <w:rPr>
                <w:rFonts w:hint="eastAsia" w:ascii="Times New Roman" w:hAnsi="Times New Roman"/>
                <w:sz w:val="24"/>
                <w:vertAlign w:val="superscript"/>
                <w:lang w:val="en-US" w:eastAsia="zh-CN"/>
              </w:rPr>
              <w:t>2</w:t>
            </w:r>
            <w:r>
              <w:rPr>
                <w:rFonts w:hint="eastAsia" w:ascii="Times New Roman" w:hAnsi="Times New Roman"/>
                <w:sz w:val="24"/>
                <w:lang w:val="en-US" w:eastAsia="zh-CN"/>
              </w:rPr>
              <w:t>，但为多边形，其</w:t>
            </w:r>
            <w:r>
              <w:rPr>
                <w:rFonts w:ascii="Times New Roman" w:hAnsi="Times New Roman"/>
                <w:sz w:val="24"/>
              </w:rPr>
              <w:t>有效使用面积为</w:t>
            </w:r>
            <w:r>
              <w:rPr>
                <w:rFonts w:hint="eastAsia" w:ascii="Times New Roman" w:hAnsi="Times New Roman"/>
                <w:sz w:val="24"/>
                <w:lang w:val="en-US" w:eastAsia="zh-CN"/>
              </w:rPr>
              <w:t>40</w:t>
            </w:r>
            <w:r>
              <w:rPr>
                <w:rFonts w:ascii="Times New Roman" w:hAnsi="Times New Roman"/>
                <w:sz w:val="24"/>
              </w:rPr>
              <w:t>m²</w:t>
            </w:r>
            <w:r>
              <w:rPr>
                <w:rFonts w:hint="eastAsia" w:ascii="Times New Roman" w:hAnsi="Times New Roman"/>
                <w:sz w:val="24"/>
                <w:lang w:eastAsia="zh-CN"/>
              </w:rPr>
              <w:t>（</w:t>
            </w:r>
            <w:r>
              <w:rPr>
                <w:rFonts w:ascii="Times New Roman" w:hAnsi="Times New Roman"/>
                <w:sz w:val="24"/>
              </w:rPr>
              <w:t>层高4.</w:t>
            </w:r>
            <w:r>
              <w:rPr>
                <w:rFonts w:hint="eastAsia" w:ascii="Times New Roman" w:hAnsi="Times New Roman"/>
                <w:sz w:val="24"/>
                <w:lang w:val="en-US" w:eastAsia="zh-CN"/>
              </w:rPr>
              <w:t>5</w:t>
            </w:r>
            <w:r>
              <w:rPr>
                <w:rFonts w:ascii="Times New Roman" w:hAnsi="Times New Roman"/>
                <w:sz w:val="24"/>
              </w:rPr>
              <w:t>m</w:t>
            </w:r>
            <w:r>
              <w:rPr>
                <w:rFonts w:hint="eastAsia" w:ascii="Times New Roman" w:hAnsi="Times New Roman"/>
                <w:sz w:val="24"/>
                <w:lang w:eastAsia="zh-CN"/>
              </w:rPr>
              <w:t>），</w:t>
            </w:r>
            <w:r>
              <w:rPr>
                <w:rFonts w:hint="eastAsia" w:ascii="Times New Roman" w:hAnsi="Times New Roman"/>
                <w:sz w:val="24"/>
                <w:lang w:val="en-US" w:eastAsia="zh-CN"/>
              </w:rPr>
              <w:t>具体布局见附图4</w:t>
            </w:r>
            <w:r>
              <w:rPr>
                <w:rFonts w:ascii="Times New Roman" w:hAnsi="Times New Roman"/>
                <w:sz w:val="24"/>
              </w:rPr>
              <w:t>，其屏蔽设计为：</w:t>
            </w:r>
            <w:r>
              <w:rPr>
                <w:rFonts w:hint="eastAsia" w:ascii="Times New Roman" w:hAnsi="Times New Roman"/>
                <w:color w:val="auto"/>
                <w:sz w:val="24"/>
                <w:lang w:eastAsia="zh-CN"/>
              </w:rPr>
              <w:t>DSA机房</w:t>
            </w:r>
            <w:r>
              <w:rPr>
                <w:rFonts w:ascii="Times New Roman" w:hAnsi="Times New Roman"/>
                <w:color w:val="auto"/>
                <w:sz w:val="24"/>
              </w:rPr>
              <w:t>四周墙体为370mm</w:t>
            </w:r>
            <w:r>
              <w:rPr>
                <w:rFonts w:hint="eastAsia" w:ascii="Times New Roman" w:hAnsi="Times New Roman"/>
                <w:color w:val="auto"/>
                <w:sz w:val="24"/>
                <w:lang w:eastAsia="zh-CN"/>
              </w:rPr>
              <w:t>红色实心砖墙</w:t>
            </w:r>
            <w:r>
              <w:rPr>
                <w:rFonts w:hint="eastAsia" w:ascii="Times New Roman" w:hAnsi="Times New Roman"/>
                <w:color w:val="auto"/>
                <w:sz w:val="24"/>
              </w:rPr>
              <w:t>+10mm硫酸钡水泥砂浆</w:t>
            </w:r>
            <w:r>
              <w:rPr>
                <w:rFonts w:ascii="Times New Roman" w:hAnsi="Times New Roman"/>
                <w:color w:val="auto"/>
                <w:sz w:val="24"/>
              </w:rPr>
              <w:t>；地面为</w:t>
            </w:r>
            <w:r>
              <w:rPr>
                <w:rFonts w:hint="eastAsia" w:ascii="Times New Roman" w:hAnsi="Times New Roman"/>
                <w:color w:val="auto"/>
                <w:sz w:val="24"/>
                <w:lang w:val="en-US" w:eastAsia="zh-CN"/>
              </w:rPr>
              <w:t>26</w:t>
            </w:r>
            <w:r>
              <w:rPr>
                <w:rFonts w:ascii="Times New Roman" w:hAnsi="Times New Roman"/>
                <w:color w:val="auto"/>
                <w:sz w:val="24"/>
              </w:rPr>
              <w:t>0mm钢筋混凝土</w:t>
            </w:r>
            <w:r>
              <w:rPr>
                <w:rFonts w:hint="eastAsia" w:ascii="Times New Roman" w:hAnsi="Times New Roman"/>
                <w:color w:val="auto"/>
                <w:sz w:val="24"/>
              </w:rPr>
              <w:t>+</w:t>
            </w:r>
            <w:r>
              <w:rPr>
                <w:rFonts w:hint="eastAsia" w:ascii="Times New Roman" w:hAnsi="Times New Roman"/>
                <w:color w:val="auto"/>
                <w:sz w:val="24"/>
                <w:lang w:val="en-US" w:eastAsia="zh-CN"/>
              </w:rPr>
              <w:t>1</w:t>
            </w:r>
            <w:r>
              <w:rPr>
                <w:rFonts w:hint="eastAsia" w:ascii="Times New Roman" w:hAnsi="Times New Roman"/>
                <w:color w:val="auto"/>
                <w:sz w:val="24"/>
              </w:rPr>
              <w:t>0mm硫酸钡水泥砂浆</w:t>
            </w:r>
            <w:r>
              <w:rPr>
                <w:rFonts w:ascii="Times New Roman" w:hAnsi="Times New Roman"/>
                <w:color w:val="auto"/>
                <w:sz w:val="24"/>
              </w:rPr>
              <w:t>；顶部为</w:t>
            </w:r>
            <w:r>
              <w:rPr>
                <w:rFonts w:hint="eastAsia" w:ascii="Times New Roman" w:hAnsi="Times New Roman"/>
                <w:color w:val="auto"/>
                <w:sz w:val="24"/>
                <w:lang w:val="en-US" w:eastAsia="zh-CN"/>
              </w:rPr>
              <w:t>26</w:t>
            </w:r>
            <w:r>
              <w:rPr>
                <w:rFonts w:ascii="Times New Roman" w:hAnsi="Times New Roman"/>
                <w:color w:val="auto"/>
                <w:sz w:val="24"/>
              </w:rPr>
              <w:t>0mm钢筋混凝土</w:t>
            </w:r>
            <w:r>
              <w:rPr>
                <w:rFonts w:hint="eastAsia" w:ascii="Times New Roman" w:hAnsi="Times New Roman"/>
                <w:color w:val="auto"/>
                <w:sz w:val="24"/>
              </w:rPr>
              <w:t>+</w:t>
            </w:r>
            <w:r>
              <w:rPr>
                <w:rFonts w:ascii="Times New Roman" w:hAnsi="Times New Roman"/>
                <w:color w:val="auto"/>
                <w:sz w:val="24"/>
              </w:rPr>
              <w:t>内衬3mm铅板；设计有3扇防护门，控制室防辐射</w:t>
            </w:r>
            <w:r>
              <w:rPr>
                <w:rFonts w:hint="eastAsia" w:ascii="Times New Roman" w:hAnsi="Times New Roman"/>
                <w:color w:val="auto"/>
                <w:sz w:val="24"/>
              </w:rPr>
              <w:t>平</w:t>
            </w:r>
            <w:r>
              <w:rPr>
                <w:rFonts w:ascii="Times New Roman" w:hAnsi="Times New Roman"/>
                <w:color w:val="auto"/>
                <w:sz w:val="24"/>
              </w:rPr>
              <w:t>开门</w:t>
            </w:r>
            <w:r>
              <w:rPr>
                <w:rFonts w:hint="eastAsia" w:ascii="Times New Roman" w:hAnsi="Times New Roman"/>
                <w:color w:val="auto"/>
                <w:sz w:val="24"/>
                <w:lang w:eastAsia="zh-CN"/>
              </w:rPr>
              <w:t>（</w:t>
            </w:r>
            <w:r>
              <w:rPr>
                <w:rFonts w:ascii="Times New Roman" w:hAnsi="Times New Roman"/>
                <w:color w:val="auto"/>
                <w:sz w:val="24"/>
              </w:rPr>
              <w:t>宽11</w:t>
            </w:r>
            <w:r>
              <w:rPr>
                <w:rFonts w:hint="eastAsia" w:ascii="Times New Roman" w:hAnsi="Times New Roman"/>
                <w:color w:val="auto"/>
                <w:sz w:val="24"/>
                <w:lang w:val="en-US" w:eastAsia="zh-CN"/>
              </w:rPr>
              <w:t>00</w:t>
            </w:r>
            <w:r>
              <w:rPr>
                <w:rFonts w:ascii="Times New Roman" w:hAnsi="Times New Roman"/>
                <w:color w:val="auto"/>
                <w:sz w:val="24"/>
              </w:rPr>
              <w:t>mm×高2300mm，内衬3mm铅板</w:t>
            </w:r>
            <w:r>
              <w:rPr>
                <w:rFonts w:hint="eastAsia" w:ascii="Times New Roman" w:hAnsi="Times New Roman"/>
                <w:color w:val="auto"/>
                <w:sz w:val="24"/>
                <w:lang w:eastAsia="zh-CN"/>
              </w:rPr>
              <w:t>）</w:t>
            </w:r>
            <w:r>
              <w:rPr>
                <w:rFonts w:ascii="Times New Roman" w:hAnsi="Times New Roman"/>
                <w:color w:val="auto"/>
                <w:sz w:val="24"/>
              </w:rPr>
              <w:t>、污物通道防辐射</w:t>
            </w:r>
            <w:r>
              <w:rPr>
                <w:rFonts w:hint="eastAsia" w:ascii="Times New Roman" w:hAnsi="Times New Roman"/>
                <w:color w:val="auto"/>
                <w:sz w:val="24"/>
              </w:rPr>
              <w:t>平</w:t>
            </w:r>
            <w:r>
              <w:rPr>
                <w:rFonts w:ascii="Times New Roman" w:hAnsi="Times New Roman"/>
                <w:color w:val="auto"/>
                <w:sz w:val="24"/>
              </w:rPr>
              <w:t>开门</w:t>
            </w:r>
            <w:r>
              <w:rPr>
                <w:rFonts w:hint="eastAsia" w:ascii="Times New Roman" w:hAnsi="Times New Roman"/>
                <w:color w:val="auto"/>
                <w:sz w:val="24"/>
                <w:lang w:eastAsia="zh-CN"/>
              </w:rPr>
              <w:t>（</w:t>
            </w:r>
            <w:r>
              <w:rPr>
                <w:rFonts w:ascii="Times New Roman" w:hAnsi="Times New Roman"/>
                <w:color w:val="auto"/>
                <w:sz w:val="24"/>
              </w:rPr>
              <w:t>宽1100mm×高2300mm、内衬3mm铅板</w:t>
            </w:r>
            <w:r>
              <w:rPr>
                <w:rFonts w:hint="eastAsia" w:ascii="Times New Roman" w:hAnsi="Times New Roman"/>
                <w:color w:val="auto"/>
                <w:sz w:val="24"/>
                <w:lang w:eastAsia="zh-CN"/>
              </w:rPr>
              <w:t>）</w:t>
            </w:r>
            <w:r>
              <w:rPr>
                <w:rFonts w:ascii="Times New Roman" w:hAnsi="Times New Roman"/>
                <w:color w:val="auto"/>
                <w:sz w:val="24"/>
              </w:rPr>
              <w:t>、患者通道防辐射电动移门</w:t>
            </w:r>
            <w:r>
              <w:rPr>
                <w:rFonts w:hint="eastAsia" w:ascii="Times New Roman" w:hAnsi="Times New Roman"/>
                <w:color w:val="auto"/>
                <w:sz w:val="24"/>
                <w:lang w:eastAsia="zh-CN"/>
              </w:rPr>
              <w:t>（</w:t>
            </w:r>
            <w:r>
              <w:rPr>
                <w:rFonts w:ascii="Times New Roman" w:hAnsi="Times New Roman"/>
                <w:color w:val="auto"/>
                <w:sz w:val="24"/>
              </w:rPr>
              <w:t>宽1800mm×高2300mm、内衬3mm铅板</w:t>
            </w:r>
            <w:r>
              <w:rPr>
                <w:rFonts w:hint="eastAsia" w:ascii="Times New Roman" w:hAnsi="Times New Roman"/>
                <w:color w:val="auto"/>
                <w:sz w:val="24"/>
                <w:lang w:eastAsia="zh-CN"/>
              </w:rPr>
              <w:t>）</w:t>
            </w:r>
            <w:r>
              <w:rPr>
                <w:rFonts w:ascii="Times New Roman" w:hAnsi="Times New Roman"/>
                <w:color w:val="auto"/>
                <w:sz w:val="24"/>
              </w:rPr>
              <w:t>；</w:t>
            </w:r>
            <w:r>
              <w:rPr>
                <w:rFonts w:hint="eastAsia" w:ascii="Times New Roman" w:hAnsi="Times New Roman"/>
                <w:color w:val="auto"/>
                <w:sz w:val="24"/>
                <w:lang w:val="en-US" w:eastAsia="zh-CN"/>
              </w:rPr>
              <w:t>控制室</w:t>
            </w:r>
            <w:r>
              <w:rPr>
                <w:rFonts w:ascii="Times New Roman" w:hAnsi="Times New Roman"/>
                <w:color w:val="auto"/>
                <w:sz w:val="24"/>
              </w:rPr>
              <w:t>墙体设计有1扇铅玻璃窗</w:t>
            </w:r>
            <w:r>
              <w:rPr>
                <w:rFonts w:hint="eastAsia" w:ascii="Times New Roman" w:hAnsi="Times New Roman"/>
                <w:color w:val="auto"/>
                <w:sz w:val="24"/>
                <w:lang w:eastAsia="zh-CN"/>
              </w:rPr>
              <w:t>（</w:t>
            </w:r>
            <w:r>
              <w:rPr>
                <w:rFonts w:ascii="Times New Roman" w:hAnsi="Times New Roman"/>
                <w:color w:val="auto"/>
                <w:sz w:val="24"/>
              </w:rPr>
              <w:t>长1800mm×宽1200mm</w:t>
            </w:r>
            <w:r>
              <w:rPr>
                <w:rFonts w:hint="eastAsia" w:ascii="Times New Roman" w:hAnsi="Times New Roman"/>
                <w:color w:val="auto"/>
                <w:sz w:val="24"/>
              </w:rPr>
              <w:t>，</w:t>
            </w:r>
            <w:r>
              <w:rPr>
                <w:rFonts w:ascii="Times New Roman" w:hAnsi="Times New Roman"/>
                <w:color w:val="auto"/>
                <w:sz w:val="24"/>
              </w:rPr>
              <w:t>3mm铅当量</w:t>
            </w:r>
            <w:r>
              <w:rPr>
                <w:rFonts w:hint="eastAsia" w:ascii="Times New Roman" w:hAnsi="Times New Roman"/>
                <w:color w:val="auto"/>
                <w:sz w:val="24"/>
                <w:lang w:eastAsia="zh-CN"/>
              </w:rPr>
              <w:t>），</w:t>
            </w:r>
            <w:r>
              <w:rPr>
                <w:rFonts w:ascii="Times New Roman" w:hAnsi="Times New Roman"/>
                <w:color w:val="auto"/>
                <w:sz w:val="24"/>
              </w:rPr>
              <w:t>本项目</w:t>
            </w:r>
            <w:r>
              <w:rPr>
                <w:rFonts w:hint="eastAsia" w:ascii="Times New Roman" w:hAnsi="Times New Roman"/>
                <w:color w:val="auto"/>
                <w:sz w:val="24"/>
                <w:lang w:eastAsia="zh-CN"/>
              </w:rPr>
              <w:t>DSA机房</w:t>
            </w:r>
            <w:r>
              <w:rPr>
                <w:rFonts w:ascii="Times New Roman" w:hAnsi="Times New Roman"/>
                <w:color w:val="auto"/>
                <w:sz w:val="24"/>
              </w:rPr>
              <w:t>拟配备有控制室、设备间。</w:t>
            </w:r>
            <w:r>
              <w:rPr>
                <w:rFonts w:hint="default" w:ascii="Times New Roman" w:hAnsi="Times New Roman"/>
                <w:sz w:val="24"/>
                <w:lang w:eastAsia="zh-CN"/>
              </w:rPr>
              <w:t>DSA机房</w:t>
            </w:r>
            <w:r>
              <w:rPr>
                <w:rFonts w:hint="default" w:ascii="Times New Roman" w:hAnsi="Times New Roman"/>
                <w:sz w:val="24"/>
              </w:rPr>
              <w:t>的电缆线</w:t>
            </w:r>
            <w:r>
              <w:rPr>
                <w:rFonts w:hint="default" w:ascii="Times New Roman" w:hAnsi="Times New Roman"/>
                <w:sz w:val="24"/>
                <w:lang w:eastAsia="zh-CN"/>
              </w:rPr>
              <w:t>、</w:t>
            </w:r>
            <w:r>
              <w:rPr>
                <w:rFonts w:hint="default" w:ascii="Times New Roman" w:hAnsi="Times New Roman"/>
                <w:sz w:val="24"/>
                <w:lang w:val="en-US" w:eastAsia="zh-CN"/>
              </w:rPr>
              <w:t>管道</w:t>
            </w:r>
            <w:r>
              <w:rPr>
                <w:rFonts w:hint="default" w:ascii="Times New Roman" w:hAnsi="Times New Roman"/>
                <w:sz w:val="24"/>
              </w:rPr>
              <w:t>穿孔采用</w:t>
            </w:r>
            <w:r>
              <w:rPr>
                <w:rFonts w:hint="default" w:ascii="Times New Roman" w:hAnsi="Times New Roman"/>
                <w:sz w:val="24"/>
                <w:lang w:val="en-US" w:eastAsia="zh-CN"/>
              </w:rPr>
              <w:t>斜</w:t>
            </w:r>
            <w:r>
              <w:rPr>
                <w:rFonts w:hint="default" w:ascii="Times New Roman" w:hAnsi="Times New Roman"/>
                <w:sz w:val="24"/>
              </w:rPr>
              <w:t>通布线</w:t>
            </w:r>
            <w:r>
              <w:rPr>
                <w:rFonts w:hint="default" w:ascii="Times New Roman" w:hAnsi="Times New Roman"/>
                <w:sz w:val="24"/>
                <w:lang w:val="en-US" w:eastAsia="zh-CN"/>
              </w:rPr>
              <w:t>并采用3mm铅板防护</w:t>
            </w:r>
            <w:r>
              <w:rPr>
                <w:rFonts w:hint="default" w:ascii="Times New Roman" w:hAnsi="Times New Roman"/>
                <w:sz w:val="24"/>
              </w:rPr>
              <w:t>，</w:t>
            </w:r>
            <w:r>
              <w:rPr>
                <w:rFonts w:ascii="Times New Roman" w:hAnsi="Times New Roman"/>
                <w:sz w:val="24"/>
              </w:rPr>
              <w:t>通排风口采用3mm铅橡胶罩，避免漏射产生；另外，为防止辐射泄漏，防护移门与墙的重叠宽度应至少为空隙的10倍，门的底部与地面之间的重叠宽度至少为空隙的10倍。平开防护门底部采用防护胶条处理，密封地面缝隙。</w:t>
            </w:r>
          </w:p>
          <w:p w14:paraId="68391A25">
            <w:pPr>
              <w:autoSpaceDN w:val="0"/>
              <w:spacing w:line="360" w:lineRule="auto"/>
              <w:ind w:firstLine="480" w:firstLineChars="200"/>
              <w:rPr>
                <w:rFonts w:ascii="Times New Roman" w:hAnsi="Times New Roman"/>
                <w:sz w:val="24"/>
              </w:rPr>
            </w:pPr>
            <w:r>
              <w:rPr>
                <w:rFonts w:hint="eastAsia" w:ascii="Times New Roman" w:hAnsi="Times New Roman"/>
                <w:sz w:val="24"/>
              </w:rPr>
              <w:t>本项目所在楼层</w:t>
            </w:r>
            <w:r>
              <w:rPr>
                <w:rFonts w:hint="eastAsia" w:ascii="Times New Roman" w:hAnsi="Times New Roman"/>
                <w:sz w:val="24"/>
                <w:lang w:val="en-US" w:eastAsia="zh-CN"/>
              </w:rPr>
              <w:t>一</w:t>
            </w:r>
            <w:r>
              <w:rPr>
                <w:rFonts w:hint="eastAsia" w:ascii="Times New Roman" w:hAnsi="Times New Roman"/>
                <w:sz w:val="24"/>
              </w:rPr>
              <w:t>楼为院方所建的</w:t>
            </w:r>
            <w:r>
              <w:rPr>
                <w:rFonts w:hint="eastAsia" w:ascii="Times New Roman" w:hAnsi="Times New Roman"/>
                <w:sz w:val="24"/>
                <w:lang w:val="en-US" w:eastAsia="zh-CN"/>
              </w:rPr>
              <w:t>2号住院综合楼放射科</w:t>
            </w:r>
            <w:r>
              <w:rPr>
                <w:rFonts w:hint="eastAsia" w:ascii="Times New Roman" w:hAnsi="Times New Roman"/>
                <w:sz w:val="24"/>
              </w:rPr>
              <w:t>，该楼层主要布局</w:t>
            </w:r>
            <w:r>
              <w:rPr>
                <w:rFonts w:hint="eastAsia" w:ascii="Times New Roman" w:hAnsi="Times New Roman"/>
                <w:sz w:val="24"/>
                <w:lang w:val="en-US" w:eastAsia="zh-CN"/>
              </w:rPr>
              <w:t>为放射科室及住院大厅</w:t>
            </w:r>
            <w:r>
              <w:rPr>
                <w:rFonts w:hint="eastAsia" w:ascii="Times New Roman" w:hAnsi="Times New Roman"/>
                <w:sz w:val="24"/>
              </w:rPr>
              <w:t>。</w:t>
            </w:r>
            <w:r>
              <w:rPr>
                <w:rFonts w:ascii="Times New Roman" w:hAnsi="Times New Roman"/>
                <w:sz w:val="24"/>
              </w:rPr>
              <w:t>本项目</w:t>
            </w:r>
            <w:r>
              <w:rPr>
                <w:rFonts w:hint="eastAsia" w:ascii="Times New Roman" w:hAnsi="Times New Roman"/>
                <w:sz w:val="24"/>
                <w:lang w:eastAsia="zh-CN"/>
              </w:rPr>
              <w:t>DSA机房</w:t>
            </w:r>
            <w:r>
              <w:rPr>
                <w:rFonts w:ascii="Times New Roman" w:hAnsi="Times New Roman"/>
                <w:sz w:val="24"/>
              </w:rPr>
              <w:t>平面布置</w:t>
            </w:r>
            <w:r>
              <w:rPr>
                <w:rFonts w:hint="eastAsia" w:ascii="Times New Roman" w:hAnsi="Times New Roman"/>
                <w:sz w:val="24"/>
              </w:rPr>
              <w:t>及楼层布置</w:t>
            </w:r>
            <w:r>
              <w:rPr>
                <w:rFonts w:hint="eastAsia" w:ascii="Times New Roman" w:hAnsi="Times New Roman"/>
                <w:sz w:val="24"/>
                <w:lang w:val="en-US" w:eastAsia="zh-CN"/>
              </w:rPr>
              <w:t>具体</w:t>
            </w:r>
            <w:r>
              <w:rPr>
                <w:rFonts w:ascii="Times New Roman" w:hAnsi="Times New Roman"/>
                <w:sz w:val="24"/>
              </w:rPr>
              <w:t>见附图</w:t>
            </w:r>
            <w:r>
              <w:rPr>
                <w:rFonts w:hint="eastAsia" w:ascii="Times New Roman" w:hAnsi="Times New Roman"/>
                <w:sz w:val="24"/>
                <w:lang w:val="en-US" w:eastAsia="zh-CN"/>
              </w:rPr>
              <w:t>4</w:t>
            </w:r>
            <w:r>
              <w:rPr>
                <w:rFonts w:ascii="Times New Roman" w:hAnsi="Times New Roman"/>
                <w:sz w:val="24"/>
              </w:rPr>
              <w:t>。</w:t>
            </w:r>
          </w:p>
          <w:p w14:paraId="66C19E20">
            <w:pPr>
              <w:spacing w:line="360" w:lineRule="auto"/>
              <w:rPr>
                <w:rFonts w:ascii="Times New Roman" w:hAnsi="Times New Roman"/>
                <w:sz w:val="24"/>
              </w:rPr>
            </w:pPr>
            <w:r>
              <w:rPr>
                <w:rFonts w:ascii="Times New Roman" w:hAnsi="Times New Roman"/>
                <w:b/>
                <w:bCs/>
                <w:sz w:val="24"/>
              </w:rPr>
              <w:t>（四）项目组成及主要环境影响</w:t>
            </w:r>
          </w:p>
          <w:p w14:paraId="0E11FDF5">
            <w:pPr>
              <w:spacing w:line="360" w:lineRule="auto"/>
              <w:ind w:firstLine="480" w:firstLineChars="200"/>
              <w:rPr>
                <w:rFonts w:hint="eastAsia" w:ascii="Times New Roman" w:hAnsi="Times New Roman" w:eastAsia="宋体"/>
                <w:bCs/>
                <w:sz w:val="24"/>
                <w:lang w:eastAsia="zh-CN"/>
              </w:rPr>
            </w:pPr>
            <w:r>
              <w:rPr>
                <w:rFonts w:ascii="Times New Roman" w:hAnsi="Times New Roman"/>
                <w:bCs/>
                <w:sz w:val="24"/>
              </w:rPr>
              <w:t>项目组成及主要环境影响见表1-1</w:t>
            </w:r>
            <w:r>
              <w:rPr>
                <w:rFonts w:hint="eastAsia" w:ascii="Times New Roman" w:hAnsi="Times New Roman"/>
                <w:bCs/>
                <w:sz w:val="24"/>
                <w:lang w:eastAsia="zh-CN"/>
              </w:rPr>
              <w:t>。</w:t>
            </w:r>
          </w:p>
          <w:p w14:paraId="61D7044A">
            <w:pPr>
              <w:pStyle w:val="52"/>
              <w:spacing w:line="360" w:lineRule="auto"/>
              <w:ind w:firstLine="2390" w:firstLineChars="992"/>
              <w:rPr>
                <w:rFonts w:ascii="Times New Roman" w:hAnsi="Times New Roman"/>
                <w:b/>
                <w:bCs/>
                <w:sz w:val="24"/>
              </w:rPr>
            </w:pPr>
            <w:r>
              <w:rPr>
                <w:rFonts w:ascii="Times New Roman" w:hAnsi="Times New Roman"/>
                <w:b/>
                <w:bCs/>
                <w:sz w:val="24"/>
              </w:rPr>
              <w:t>表1-1 建设项目组成及主要的环境问题表</w:t>
            </w:r>
          </w:p>
          <w:tbl>
            <w:tblPr>
              <w:tblStyle w:val="23"/>
              <w:tblW w:w="8898" w:type="dxa"/>
              <w:jc w:val="center"/>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fixed"/>
              <w:tblCellMar>
                <w:top w:w="0" w:type="dxa"/>
                <w:left w:w="28" w:type="dxa"/>
                <w:bottom w:w="0" w:type="dxa"/>
                <w:right w:w="28" w:type="dxa"/>
              </w:tblCellMar>
            </w:tblPr>
            <w:tblGrid>
              <w:gridCol w:w="1015"/>
              <w:gridCol w:w="681"/>
              <w:gridCol w:w="4408"/>
              <w:gridCol w:w="1072"/>
              <w:gridCol w:w="923"/>
              <w:gridCol w:w="799"/>
            </w:tblGrid>
            <w:tr w14:paraId="0D5B5742">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28" w:type="dxa"/>
                  <w:bottom w:w="0" w:type="dxa"/>
                  <w:right w:w="28" w:type="dxa"/>
                </w:tblCellMar>
              </w:tblPrEx>
              <w:trPr>
                <w:cantSplit/>
                <w:trHeight w:val="23" w:hRule="atLeast"/>
                <w:jc w:val="center"/>
              </w:trPr>
              <w:tc>
                <w:tcPr>
                  <w:tcW w:w="1015" w:type="dxa"/>
                  <w:vMerge w:val="restart"/>
                  <w:tcBorders>
                    <w:top w:val="single" w:color="000000" w:sz="12" w:space="0"/>
                    <w:bottom w:val="single" w:color="000000" w:sz="4" w:space="0"/>
                    <w:right w:val="single" w:color="000000" w:sz="4" w:space="0"/>
                  </w:tcBorders>
                  <w:vAlign w:val="center"/>
                </w:tcPr>
                <w:p w14:paraId="6C862448">
                  <w:pPr>
                    <w:jc w:val="center"/>
                    <w:rPr>
                      <w:rFonts w:ascii="Times New Roman" w:hAnsi="Times New Roman"/>
                      <w:b/>
                      <w:bCs/>
                      <w:caps/>
                      <w:szCs w:val="21"/>
                    </w:rPr>
                  </w:pPr>
                  <w:r>
                    <w:rPr>
                      <w:rFonts w:ascii="Times New Roman" w:hAnsi="Times New Roman"/>
                      <w:b/>
                      <w:bCs/>
                      <w:caps/>
                      <w:szCs w:val="21"/>
                    </w:rPr>
                    <w:t>名称</w:t>
                  </w:r>
                </w:p>
              </w:tc>
              <w:tc>
                <w:tcPr>
                  <w:tcW w:w="5089" w:type="dxa"/>
                  <w:gridSpan w:val="2"/>
                  <w:vMerge w:val="restart"/>
                  <w:tcBorders>
                    <w:top w:val="single" w:color="000000" w:sz="12" w:space="0"/>
                    <w:left w:val="single" w:color="000000" w:sz="4" w:space="0"/>
                    <w:bottom w:val="single" w:color="000000" w:sz="4" w:space="0"/>
                    <w:right w:val="single" w:color="000000" w:sz="4" w:space="0"/>
                  </w:tcBorders>
                  <w:vAlign w:val="center"/>
                </w:tcPr>
                <w:p w14:paraId="33990E41">
                  <w:pPr>
                    <w:jc w:val="center"/>
                    <w:rPr>
                      <w:rFonts w:ascii="Times New Roman" w:hAnsi="Times New Roman"/>
                      <w:b/>
                      <w:bCs/>
                      <w:caps/>
                      <w:szCs w:val="21"/>
                    </w:rPr>
                  </w:pPr>
                  <w:r>
                    <w:rPr>
                      <w:rFonts w:ascii="Times New Roman" w:hAnsi="Times New Roman"/>
                      <w:b/>
                      <w:bCs/>
                      <w:caps/>
                      <w:szCs w:val="21"/>
                    </w:rPr>
                    <w:t>建设内容及规模</w:t>
                  </w:r>
                </w:p>
              </w:tc>
              <w:tc>
                <w:tcPr>
                  <w:tcW w:w="1995" w:type="dxa"/>
                  <w:gridSpan w:val="2"/>
                  <w:tcBorders>
                    <w:top w:val="single" w:color="000000" w:sz="12" w:space="0"/>
                    <w:left w:val="single" w:color="000000" w:sz="4" w:space="0"/>
                    <w:bottom w:val="single" w:color="000000" w:sz="4" w:space="0"/>
                  </w:tcBorders>
                  <w:vAlign w:val="center"/>
                </w:tcPr>
                <w:p w14:paraId="45FC2B12">
                  <w:pPr>
                    <w:jc w:val="center"/>
                    <w:rPr>
                      <w:rFonts w:ascii="Times New Roman" w:hAnsi="Times New Roman"/>
                      <w:b/>
                      <w:bCs/>
                      <w:caps/>
                      <w:szCs w:val="21"/>
                    </w:rPr>
                  </w:pPr>
                  <w:r>
                    <w:rPr>
                      <w:rFonts w:ascii="Times New Roman" w:hAnsi="Times New Roman"/>
                      <w:b/>
                      <w:bCs/>
                      <w:caps/>
                      <w:szCs w:val="21"/>
                    </w:rPr>
                    <w:t>可能产生的环境问题</w:t>
                  </w:r>
                </w:p>
              </w:tc>
              <w:tc>
                <w:tcPr>
                  <w:tcW w:w="799" w:type="dxa"/>
                  <w:vMerge w:val="restart"/>
                  <w:tcBorders>
                    <w:top w:val="single" w:color="000000" w:sz="12" w:space="0"/>
                    <w:left w:val="single" w:color="000000" w:sz="4" w:space="0"/>
                  </w:tcBorders>
                  <w:vAlign w:val="center"/>
                </w:tcPr>
                <w:p w14:paraId="6F378182">
                  <w:pPr>
                    <w:jc w:val="center"/>
                    <w:rPr>
                      <w:rFonts w:ascii="Times New Roman" w:hAnsi="Times New Roman"/>
                      <w:b/>
                      <w:bCs/>
                      <w:caps/>
                      <w:szCs w:val="21"/>
                    </w:rPr>
                  </w:pPr>
                  <w:r>
                    <w:rPr>
                      <w:rFonts w:ascii="Times New Roman" w:hAnsi="Times New Roman"/>
                      <w:b/>
                      <w:bCs/>
                      <w:caps/>
                      <w:szCs w:val="21"/>
                    </w:rPr>
                    <w:t>备注</w:t>
                  </w:r>
                </w:p>
              </w:tc>
            </w:tr>
            <w:tr w14:paraId="4C99CDB5">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28" w:type="dxa"/>
                  <w:bottom w:w="0" w:type="dxa"/>
                  <w:right w:w="28" w:type="dxa"/>
                </w:tblCellMar>
              </w:tblPrEx>
              <w:trPr>
                <w:cantSplit/>
                <w:trHeight w:val="23" w:hRule="atLeast"/>
                <w:jc w:val="center"/>
              </w:trPr>
              <w:tc>
                <w:tcPr>
                  <w:tcW w:w="1015" w:type="dxa"/>
                  <w:vMerge w:val="continue"/>
                  <w:tcBorders>
                    <w:top w:val="single" w:color="000000" w:sz="4" w:space="0"/>
                    <w:bottom w:val="single" w:color="000000" w:sz="12" w:space="0"/>
                    <w:right w:val="single" w:color="000000" w:sz="4" w:space="0"/>
                  </w:tcBorders>
                  <w:vAlign w:val="center"/>
                </w:tcPr>
                <w:p w14:paraId="6281709F">
                  <w:pPr>
                    <w:jc w:val="center"/>
                    <w:rPr>
                      <w:rFonts w:ascii="Times New Roman" w:hAnsi="Times New Roman"/>
                      <w:caps/>
                      <w:szCs w:val="21"/>
                    </w:rPr>
                  </w:pPr>
                </w:p>
              </w:tc>
              <w:tc>
                <w:tcPr>
                  <w:tcW w:w="5089" w:type="dxa"/>
                  <w:gridSpan w:val="2"/>
                  <w:vMerge w:val="continue"/>
                  <w:tcBorders>
                    <w:top w:val="single" w:color="000000" w:sz="4" w:space="0"/>
                    <w:left w:val="single" w:color="000000" w:sz="4" w:space="0"/>
                    <w:bottom w:val="single" w:color="000000" w:sz="12" w:space="0"/>
                    <w:right w:val="single" w:color="000000" w:sz="4" w:space="0"/>
                  </w:tcBorders>
                  <w:vAlign w:val="center"/>
                </w:tcPr>
                <w:p w14:paraId="16F8700A">
                  <w:pPr>
                    <w:jc w:val="center"/>
                    <w:rPr>
                      <w:rFonts w:ascii="Times New Roman" w:hAnsi="Times New Roman"/>
                      <w:caps/>
                      <w:szCs w:val="21"/>
                    </w:rPr>
                  </w:pPr>
                </w:p>
              </w:tc>
              <w:tc>
                <w:tcPr>
                  <w:tcW w:w="1072" w:type="dxa"/>
                  <w:tcBorders>
                    <w:top w:val="single" w:color="000000" w:sz="4" w:space="0"/>
                    <w:left w:val="single" w:color="000000" w:sz="4" w:space="0"/>
                    <w:bottom w:val="single" w:color="000000" w:sz="12" w:space="0"/>
                    <w:right w:val="single" w:color="000000" w:sz="4" w:space="0"/>
                  </w:tcBorders>
                  <w:vAlign w:val="center"/>
                </w:tcPr>
                <w:p w14:paraId="26939AA1">
                  <w:pPr>
                    <w:jc w:val="center"/>
                    <w:rPr>
                      <w:rFonts w:ascii="Times New Roman" w:hAnsi="Times New Roman"/>
                      <w:b/>
                      <w:bCs/>
                      <w:caps/>
                      <w:szCs w:val="21"/>
                    </w:rPr>
                  </w:pPr>
                  <w:r>
                    <w:rPr>
                      <w:rFonts w:ascii="Times New Roman" w:hAnsi="Times New Roman"/>
                      <w:b/>
                      <w:bCs/>
                      <w:caps/>
                      <w:szCs w:val="21"/>
                    </w:rPr>
                    <w:t>施工期</w:t>
                  </w:r>
                </w:p>
              </w:tc>
              <w:tc>
                <w:tcPr>
                  <w:tcW w:w="923" w:type="dxa"/>
                  <w:tcBorders>
                    <w:top w:val="single" w:color="000000" w:sz="4" w:space="0"/>
                    <w:left w:val="single" w:color="000000" w:sz="4" w:space="0"/>
                    <w:bottom w:val="single" w:color="000000" w:sz="12" w:space="0"/>
                  </w:tcBorders>
                  <w:vAlign w:val="center"/>
                </w:tcPr>
                <w:p w14:paraId="76CE97D2">
                  <w:pPr>
                    <w:jc w:val="center"/>
                    <w:rPr>
                      <w:rFonts w:ascii="Times New Roman" w:hAnsi="Times New Roman"/>
                      <w:b/>
                      <w:bCs/>
                      <w:caps/>
                      <w:szCs w:val="21"/>
                    </w:rPr>
                  </w:pPr>
                  <w:r>
                    <w:rPr>
                      <w:rFonts w:ascii="Times New Roman" w:hAnsi="Times New Roman"/>
                      <w:b/>
                      <w:bCs/>
                      <w:caps/>
                      <w:szCs w:val="21"/>
                    </w:rPr>
                    <w:t>营运期</w:t>
                  </w:r>
                </w:p>
              </w:tc>
              <w:tc>
                <w:tcPr>
                  <w:tcW w:w="799" w:type="dxa"/>
                  <w:vMerge w:val="continue"/>
                  <w:tcBorders>
                    <w:left w:val="single" w:color="000000" w:sz="4" w:space="0"/>
                    <w:bottom w:val="single" w:color="000000" w:sz="12" w:space="0"/>
                  </w:tcBorders>
                  <w:vAlign w:val="center"/>
                </w:tcPr>
                <w:p w14:paraId="5DC00E20">
                  <w:pPr>
                    <w:jc w:val="center"/>
                    <w:rPr>
                      <w:rFonts w:ascii="Times New Roman" w:hAnsi="Times New Roman"/>
                      <w:caps/>
                      <w:szCs w:val="21"/>
                    </w:rPr>
                  </w:pPr>
                </w:p>
              </w:tc>
            </w:tr>
            <w:tr w14:paraId="0E75A506">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28" w:type="dxa"/>
                  <w:bottom w:w="0" w:type="dxa"/>
                  <w:right w:w="28" w:type="dxa"/>
                </w:tblCellMar>
              </w:tblPrEx>
              <w:trPr>
                <w:cantSplit/>
                <w:trHeight w:val="23" w:hRule="atLeast"/>
                <w:jc w:val="center"/>
              </w:trPr>
              <w:tc>
                <w:tcPr>
                  <w:tcW w:w="1015" w:type="dxa"/>
                  <w:vMerge w:val="restart"/>
                  <w:tcBorders>
                    <w:top w:val="single" w:color="000000" w:sz="12" w:space="0"/>
                    <w:right w:val="single" w:color="auto" w:sz="4" w:space="0"/>
                  </w:tcBorders>
                  <w:vAlign w:val="center"/>
                </w:tcPr>
                <w:p w14:paraId="1C6BBA81">
                  <w:pPr>
                    <w:jc w:val="center"/>
                    <w:rPr>
                      <w:rFonts w:ascii="Times New Roman" w:hAnsi="Times New Roman"/>
                      <w:szCs w:val="21"/>
                    </w:rPr>
                  </w:pPr>
                  <w:r>
                    <w:rPr>
                      <w:rFonts w:ascii="Times New Roman" w:hAnsi="Times New Roman"/>
                      <w:szCs w:val="21"/>
                    </w:rPr>
                    <w:t>主体</w:t>
                  </w:r>
                </w:p>
                <w:p w14:paraId="710D93E6">
                  <w:pPr>
                    <w:jc w:val="center"/>
                    <w:rPr>
                      <w:rFonts w:ascii="Times New Roman" w:hAnsi="Times New Roman"/>
                      <w:szCs w:val="21"/>
                    </w:rPr>
                  </w:pPr>
                  <w:r>
                    <w:rPr>
                      <w:rFonts w:ascii="Times New Roman" w:hAnsi="Times New Roman"/>
                      <w:szCs w:val="21"/>
                    </w:rPr>
                    <w:t>工程</w:t>
                  </w:r>
                </w:p>
              </w:tc>
              <w:tc>
                <w:tcPr>
                  <w:tcW w:w="5089" w:type="dxa"/>
                  <w:gridSpan w:val="2"/>
                  <w:tcBorders>
                    <w:top w:val="single" w:color="000000" w:sz="12" w:space="0"/>
                    <w:left w:val="single" w:color="auto" w:sz="4" w:space="0"/>
                    <w:bottom w:val="single" w:color="auto" w:sz="4" w:space="0"/>
                    <w:right w:val="single" w:color="auto" w:sz="4" w:space="0"/>
                  </w:tcBorders>
                  <w:vAlign w:val="center"/>
                </w:tcPr>
                <w:p w14:paraId="7D020697">
                  <w:pPr>
                    <w:jc w:val="center"/>
                    <w:rPr>
                      <w:rFonts w:ascii="Times New Roman" w:hAnsi="Times New Roman"/>
                      <w:szCs w:val="21"/>
                    </w:rPr>
                  </w:pPr>
                  <w:r>
                    <w:rPr>
                      <w:rFonts w:hint="eastAsia" w:ascii="Times New Roman" w:hAnsi="Times New Roman"/>
                      <w:szCs w:val="21"/>
                      <w:lang w:eastAsia="zh-CN"/>
                    </w:rPr>
                    <w:t>DSA机房</w:t>
                  </w:r>
                  <w:r>
                    <w:rPr>
                      <w:rFonts w:hint="eastAsia" w:ascii="Times New Roman" w:hAnsi="Times New Roman"/>
                      <w:szCs w:val="21"/>
                      <w:lang w:val="en-US" w:eastAsia="zh-CN"/>
                    </w:rPr>
                    <w:t>有效面积</w:t>
                  </w:r>
                  <w:r>
                    <w:rPr>
                      <w:rFonts w:ascii="Times New Roman" w:hAnsi="Times New Roman"/>
                      <w:szCs w:val="21"/>
                    </w:rPr>
                    <w:t>为</w:t>
                  </w:r>
                  <w:r>
                    <w:rPr>
                      <w:rFonts w:hint="eastAsia" w:ascii="Times New Roman" w:hAnsi="Times New Roman"/>
                      <w:szCs w:val="21"/>
                      <w:lang w:val="en-US" w:eastAsia="zh-CN"/>
                    </w:rPr>
                    <w:t>40</w:t>
                  </w:r>
                  <w:r>
                    <w:rPr>
                      <w:rFonts w:ascii="Times New Roman" w:hAnsi="Times New Roman"/>
                      <w:szCs w:val="21"/>
                    </w:rPr>
                    <w:t>m²</w:t>
                  </w:r>
                  <w:r>
                    <w:rPr>
                      <w:rFonts w:hint="eastAsia" w:ascii="Times New Roman" w:hAnsi="Times New Roman"/>
                      <w:szCs w:val="21"/>
                      <w:lang w:eastAsia="zh-CN"/>
                    </w:rPr>
                    <w:t>（</w:t>
                  </w:r>
                  <w:r>
                    <w:rPr>
                      <w:rFonts w:ascii="Times New Roman" w:hAnsi="Times New Roman"/>
                      <w:szCs w:val="21"/>
                    </w:rPr>
                    <w:t>层高4.</w:t>
                  </w:r>
                  <w:r>
                    <w:rPr>
                      <w:rFonts w:hint="eastAsia" w:ascii="Times New Roman" w:hAnsi="Times New Roman"/>
                      <w:szCs w:val="21"/>
                      <w:lang w:val="en-US" w:eastAsia="zh-CN"/>
                    </w:rPr>
                    <w:t>5</w:t>
                  </w:r>
                  <w:r>
                    <w:rPr>
                      <w:rFonts w:ascii="Times New Roman" w:hAnsi="Times New Roman"/>
                      <w:szCs w:val="21"/>
                    </w:rPr>
                    <w:t>m</w:t>
                  </w:r>
                  <w:r>
                    <w:rPr>
                      <w:rFonts w:hint="eastAsia" w:ascii="Times New Roman" w:hAnsi="Times New Roman"/>
                      <w:szCs w:val="21"/>
                      <w:lang w:eastAsia="zh-CN"/>
                    </w:rPr>
                    <w:t>）</w:t>
                  </w:r>
                  <w:r>
                    <w:rPr>
                      <w:rFonts w:ascii="Times New Roman" w:hAnsi="Times New Roman"/>
                      <w:szCs w:val="21"/>
                    </w:rPr>
                    <w:t>。</w:t>
                  </w:r>
                  <w:r>
                    <w:rPr>
                      <w:rFonts w:hint="eastAsia" w:ascii="Times New Roman" w:hAnsi="Times New Roman"/>
                      <w:szCs w:val="21"/>
                      <w:lang w:eastAsia="zh-CN"/>
                    </w:rPr>
                    <w:t>DSA机房</w:t>
                  </w:r>
                  <w:r>
                    <w:rPr>
                      <w:rFonts w:ascii="Times New Roman" w:hAnsi="Times New Roman"/>
                      <w:szCs w:val="21"/>
                    </w:rPr>
                    <w:t>四周墙体为370mm</w:t>
                  </w:r>
                  <w:r>
                    <w:rPr>
                      <w:rFonts w:hint="eastAsia" w:ascii="Times New Roman" w:hAnsi="Times New Roman"/>
                      <w:szCs w:val="21"/>
                      <w:lang w:eastAsia="zh-CN"/>
                    </w:rPr>
                    <w:t>红色实心砖墙</w:t>
                  </w:r>
                  <w:r>
                    <w:rPr>
                      <w:rFonts w:hint="eastAsia" w:ascii="Times New Roman" w:hAnsi="Times New Roman"/>
                      <w:szCs w:val="21"/>
                    </w:rPr>
                    <w:t>+10mm硫酸钡水泥砂浆</w:t>
                  </w:r>
                  <w:r>
                    <w:rPr>
                      <w:rFonts w:ascii="Times New Roman" w:hAnsi="Times New Roman"/>
                      <w:szCs w:val="21"/>
                    </w:rPr>
                    <w:t>，</w:t>
                  </w:r>
                  <w:r>
                    <w:rPr>
                      <w:rFonts w:hint="eastAsia" w:ascii="Times New Roman" w:hAnsi="Times New Roman"/>
                      <w:szCs w:val="21"/>
                      <w:lang w:eastAsia="zh-CN"/>
                    </w:rPr>
                    <w:t>地面为2</w:t>
                  </w:r>
                  <w:r>
                    <w:rPr>
                      <w:rFonts w:hint="eastAsia" w:ascii="Times New Roman" w:hAnsi="Times New Roman"/>
                      <w:szCs w:val="21"/>
                      <w:lang w:val="en-US" w:eastAsia="zh-CN"/>
                    </w:rPr>
                    <w:t>6</w:t>
                  </w:r>
                  <w:r>
                    <w:rPr>
                      <w:rFonts w:hint="eastAsia" w:ascii="Times New Roman" w:hAnsi="Times New Roman"/>
                      <w:szCs w:val="21"/>
                      <w:lang w:eastAsia="zh-CN"/>
                    </w:rPr>
                    <w:t>0mm钢筋混凝土+10mm硫酸钡水泥砂浆；顶部为</w:t>
                  </w:r>
                  <w:r>
                    <w:rPr>
                      <w:rFonts w:hint="eastAsia" w:ascii="Times New Roman" w:hAnsi="Times New Roman"/>
                      <w:szCs w:val="21"/>
                      <w:lang w:val="en-US" w:eastAsia="zh-CN"/>
                    </w:rPr>
                    <w:t>26</w:t>
                  </w:r>
                  <w:r>
                    <w:rPr>
                      <w:rFonts w:hint="eastAsia" w:ascii="Times New Roman" w:hAnsi="Times New Roman"/>
                      <w:szCs w:val="21"/>
                      <w:lang w:eastAsia="zh-CN"/>
                    </w:rPr>
                    <w:t>0mm钢筋混凝土+内衬3mm铅板</w:t>
                  </w:r>
                  <w:r>
                    <w:rPr>
                      <w:rFonts w:ascii="Times New Roman" w:hAnsi="Times New Roman"/>
                      <w:szCs w:val="21"/>
                    </w:rPr>
                    <w:t>；设计防护门3扇，控制室防辐射</w:t>
                  </w:r>
                  <w:r>
                    <w:rPr>
                      <w:rFonts w:hint="eastAsia" w:ascii="Times New Roman" w:hAnsi="Times New Roman"/>
                      <w:szCs w:val="21"/>
                    </w:rPr>
                    <w:t>平</w:t>
                  </w:r>
                  <w:r>
                    <w:rPr>
                      <w:rFonts w:ascii="Times New Roman" w:hAnsi="Times New Roman"/>
                      <w:szCs w:val="21"/>
                    </w:rPr>
                    <w:t>开门（宽1100mm×高2300mm</w:t>
                  </w:r>
                  <w:r>
                    <w:rPr>
                      <w:rFonts w:hint="eastAsia" w:ascii="Times New Roman" w:hAnsi="Times New Roman"/>
                      <w:szCs w:val="21"/>
                    </w:rPr>
                    <w:t>，</w:t>
                  </w:r>
                  <w:r>
                    <w:rPr>
                      <w:rFonts w:ascii="Times New Roman" w:hAnsi="Times New Roman"/>
                      <w:szCs w:val="21"/>
                    </w:rPr>
                    <w:t>内衬3mm铅板）、污物</w:t>
                  </w:r>
                  <w:r>
                    <w:rPr>
                      <w:rFonts w:hint="eastAsia" w:ascii="Times New Roman" w:hAnsi="Times New Roman"/>
                      <w:szCs w:val="21"/>
                      <w:lang w:val="en-US" w:eastAsia="zh-CN"/>
                    </w:rPr>
                    <w:t>暂存</w:t>
                  </w:r>
                  <w:r>
                    <w:rPr>
                      <w:rFonts w:ascii="Times New Roman" w:hAnsi="Times New Roman"/>
                      <w:szCs w:val="21"/>
                    </w:rPr>
                    <w:t>防辐射</w:t>
                  </w:r>
                  <w:r>
                    <w:rPr>
                      <w:rFonts w:hint="eastAsia" w:ascii="Times New Roman" w:hAnsi="Times New Roman"/>
                      <w:szCs w:val="21"/>
                    </w:rPr>
                    <w:t>平</w:t>
                  </w:r>
                  <w:r>
                    <w:rPr>
                      <w:rFonts w:ascii="Times New Roman" w:hAnsi="Times New Roman"/>
                      <w:szCs w:val="21"/>
                    </w:rPr>
                    <w:t>开门（宽1100mm×高2300mm</w:t>
                  </w:r>
                  <w:r>
                    <w:rPr>
                      <w:rFonts w:hint="eastAsia" w:ascii="Times New Roman" w:hAnsi="Times New Roman"/>
                      <w:szCs w:val="21"/>
                    </w:rPr>
                    <w:t>，</w:t>
                  </w:r>
                  <w:r>
                    <w:rPr>
                      <w:rFonts w:ascii="Times New Roman" w:hAnsi="Times New Roman"/>
                      <w:szCs w:val="21"/>
                    </w:rPr>
                    <w:t>内衬3mm铅板）、患者通道防辐射电动移门（宽1800mm×高2300mm</w:t>
                  </w:r>
                  <w:r>
                    <w:rPr>
                      <w:rFonts w:hint="eastAsia" w:ascii="Times New Roman" w:hAnsi="Times New Roman"/>
                      <w:szCs w:val="21"/>
                    </w:rPr>
                    <w:t>，</w:t>
                  </w:r>
                  <w:r>
                    <w:rPr>
                      <w:rFonts w:ascii="Times New Roman" w:hAnsi="Times New Roman"/>
                      <w:szCs w:val="21"/>
                    </w:rPr>
                    <w:t>内衬3mm铅板）和铅玻璃观察窗（长1800mm×宽1200mm</w:t>
                  </w:r>
                  <w:r>
                    <w:rPr>
                      <w:rFonts w:hint="eastAsia" w:ascii="Times New Roman" w:hAnsi="Times New Roman"/>
                      <w:szCs w:val="21"/>
                    </w:rPr>
                    <w:t>，</w:t>
                  </w:r>
                  <w:r>
                    <w:rPr>
                      <w:rFonts w:ascii="Times New Roman" w:hAnsi="Times New Roman"/>
                      <w:szCs w:val="21"/>
                    </w:rPr>
                    <w:t>3mm铅当量）。</w:t>
                  </w:r>
                </w:p>
              </w:tc>
              <w:tc>
                <w:tcPr>
                  <w:tcW w:w="1072" w:type="dxa"/>
                  <w:vMerge w:val="restart"/>
                  <w:tcBorders>
                    <w:top w:val="single" w:color="000000" w:sz="12" w:space="0"/>
                    <w:left w:val="single" w:color="auto" w:sz="4" w:space="0"/>
                    <w:right w:val="single" w:color="auto" w:sz="4" w:space="0"/>
                  </w:tcBorders>
                  <w:vAlign w:val="center"/>
                </w:tcPr>
                <w:p w14:paraId="568511D1">
                  <w:pPr>
                    <w:jc w:val="center"/>
                    <w:rPr>
                      <w:rFonts w:ascii="Times New Roman" w:hAnsi="Times New Roman"/>
                      <w:szCs w:val="21"/>
                    </w:rPr>
                  </w:pPr>
                  <w:r>
                    <w:rPr>
                      <w:rFonts w:ascii="Times New Roman" w:hAnsi="Times New Roman"/>
                      <w:szCs w:val="21"/>
                    </w:rPr>
                    <w:t>噪声、施工人员产生的生活垃圾、生活废水、X射线、臭氧</w:t>
                  </w:r>
                  <w:r>
                    <w:rPr>
                      <w:rFonts w:hint="eastAsia" w:ascii="Times New Roman" w:hAnsi="Times New Roman"/>
                      <w:szCs w:val="21"/>
                    </w:rPr>
                    <w:t>、氮氧化物</w:t>
                  </w:r>
                </w:p>
              </w:tc>
              <w:tc>
                <w:tcPr>
                  <w:tcW w:w="923" w:type="dxa"/>
                  <w:tcBorders>
                    <w:top w:val="single" w:color="000000" w:sz="12" w:space="0"/>
                    <w:left w:val="single" w:color="auto" w:sz="4" w:space="0"/>
                    <w:bottom w:val="single" w:color="auto" w:sz="4" w:space="0"/>
                    <w:right w:val="single" w:color="auto" w:sz="4" w:space="0"/>
                  </w:tcBorders>
                  <w:vAlign w:val="center"/>
                </w:tcPr>
                <w:p w14:paraId="74AF5C39">
                  <w:pPr>
                    <w:jc w:val="center"/>
                    <w:rPr>
                      <w:rFonts w:ascii="Times New Roman" w:hAnsi="Times New Roman"/>
                      <w:szCs w:val="21"/>
                    </w:rPr>
                  </w:pPr>
                  <w:r>
                    <w:rPr>
                      <w:rFonts w:ascii="Times New Roman" w:hAnsi="Times New Roman"/>
                      <w:szCs w:val="21"/>
                    </w:rPr>
                    <w:t>/</w:t>
                  </w:r>
                </w:p>
              </w:tc>
              <w:tc>
                <w:tcPr>
                  <w:tcW w:w="799" w:type="dxa"/>
                  <w:vMerge w:val="restart"/>
                  <w:tcBorders>
                    <w:top w:val="single" w:color="000000" w:sz="12" w:space="0"/>
                    <w:left w:val="single" w:color="auto" w:sz="4" w:space="0"/>
                  </w:tcBorders>
                  <w:vAlign w:val="center"/>
                </w:tcPr>
                <w:p w14:paraId="7DC1D7EF">
                  <w:pPr>
                    <w:jc w:val="center"/>
                    <w:rPr>
                      <w:rFonts w:hint="default" w:ascii="Times New Roman" w:hAnsi="Times New Roman" w:eastAsia="宋体"/>
                      <w:szCs w:val="21"/>
                      <w:lang w:val="en-US" w:eastAsia="zh-CN"/>
                    </w:rPr>
                  </w:pPr>
                  <w:r>
                    <w:rPr>
                      <w:rFonts w:hint="eastAsia" w:ascii="Times New Roman" w:hAnsi="Times New Roman"/>
                      <w:szCs w:val="21"/>
                      <w:lang w:val="en-US" w:eastAsia="zh-CN"/>
                    </w:rPr>
                    <w:t>依托现有房间</w:t>
                  </w:r>
                  <w:r>
                    <w:rPr>
                      <w:rFonts w:hint="eastAsia"/>
                      <w:lang w:val="en-US" w:eastAsia="zh-CN"/>
                    </w:rPr>
                    <w:t>框架，补充防护设施</w:t>
                  </w:r>
                </w:p>
              </w:tc>
            </w:tr>
            <w:tr w14:paraId="323E95C5">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28" w:type="dxa"/>
                  <w:bottom w:w="0" w:type="dxa"/>
                  <w:right w:w="28" w:type="dxa"/>
                </w:tblCellMar>
              </w:tblPrEx>
              <w:trPr>
                <w:cantSplit/>
                <w:trHeight w:val="23" w:hRule="atLeast"/>
                <w:jc w:val="center"/>
              </w:trPr>
              <w:tc>
                <w:tcPr>
                  <w:tcW w:w="1015" w:type="dxa"/>
                  <w:vMerge w:val="continue"/>
                  <w:tcBorders>
                    <w:bottom w:val="single" w:color="000000" w:sz="4" w:space="0"/>
                    <w:right w:val="single" w:color="000000" w:sz="4" w:space="0"/>
                  </w:tcBorders>
                  <w:vAlign w:val="center"/>
                </w:tcPr>
                <w:p w14:paraId="22FB31D2">
                  <w:pPr>
                    <w:jc w:val="center"/>
                    <w:rPr>
                      <w:rFonts w:ascii="Times New Roman" w:hAnsi="Times New Roman"/>
                      <w:szCs w:val="21"/>
                    </w:rPr>
                  </w:pPr>
                </w:p>
              </w:tc>
              <w:tc>
                <w:tcPr>
                  <w:tcW w:w="5089" w:type="dxa"/>
                  <w:gridSpan w:val="2"/>
                  <w:tcBorders>
                    <w:top w:val="single" w:color="auto" w:sz="4" w:space="0"/>
                    <w:left w:val="single" w:color="000000" w:sz="4" w:space="0"/>
                    <w:right w:val="single" w:color="000000" w:sz="4" w:space="0"/>
                  </w:tcBorders>
                  <w:vAlign w:val="center"/>
                </w:tcPr>
                <w:p w14:paraId="20A7701B">
                  <w:pPr>
                    <w:jc w:val="center"/>
                    <w:rPr>
                      <w:rFonts w:hint="default" w:ascii="Times New Roman" w:hAnsi="Times New Roman" w:cs="Times New Roman"/>
                      <w:szCs w:val="21"/>
                    </w:rPr>
                  </w:pPr>
                  <w:r>
                    <w:rPr>
                      <w:rFonts w:hint="default" w:ascii="Times New Roman" w:hAnsi="Times New Roman" w:cs="Times New Roman"/>
                      <w:szCs w:val="21"/>
                    </w:rPr>
                    <w:t>拟新建1台</w:t>
                  </w:r>
                  <w:bookmarkStart w:id="2" w:name="OLE_LINK15"/>
                  <w:r>
                    <w:rPr>
                      <w:rFonts w:hint="default" w:ascii="Times New Roman" w:hAnsi="Times New Roman" w:cs="Times New Roman"/>
                      <w:szCs w:val="21"/>
                    </w:rPr>
                    <w:t>DSA</w:t>
                  </w:r>
                  <w:bookmarkEnd w:id="2"/>
                  <w:r>
                    <w:rPr>
                      <w:rFonts w:hint="default" w:ascii="Times New Roman" w:hAnsi="Times New Roman" w:cs="Times New Roman"/>
                      <w:szCs w:val="21"/>
                    </w:rPr>
                    <w:t>在</w:t>
                  </w:r>
                  <w:r>
                    <w:rPr>
                      <w:rFonts w:hint="default" w:ascii="Times New Roman" w:hAnsi="Times New Roman" w:cs="Times New Roman"/>
                      <w:szCs w:val="21"/>
                      <w:lang w:eastAsia="zh-CN"/>
                    </w:rPr>
                    <w:t>DSA机房</w:t>
                  </w:r>
                  <w:r>
                    <w:rPr>
                      <w:rFonts w:hint="default" w:ascii="Times New Roman" w:hAnsi="Times New Roman" w:cs="Times New Roman"/>
                      <w:szCs w:val="21"/>
                    </w:rPr>
                    <w:t>内使用。拟新建DSA最大管电压为125kV、最大管电流为1000mA，属于Ⅱ类射线装置，年最大曝光时间为</w:t>
                  </w:r>
                  <w:r>
                    <w:rPr>
                      <w:rFonts w:hint="default" w:ascii="Times New Roman" w:hAnsi="Times New Roman" w:cs="Times New Roman"/>
                      <w:szCs w:val="21"/>
                      <w:lang w:val="en-US" w:eastAsia="zh-CN"/>
                    </w:rPr>
                    <w:t>107.36</w:t>
                  </w:r>
                  <w:r>
                    <w:rPr>
                      <w:rFonts w:hint="default" w:ascii="Times New Roman" w:hAnsi="Times New Roman" w:cs="Times New Roman"/>
                      <w:szCs w:val="21"/>
                    </w:rPr>
                    <w:t>h（透视</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介入治疗引导”105</w:t>
                  </w:r>
                  <w:r>
                    <w:rPr>
                      <w:rFonts w:hint="default" w:ascii="Times New Roman" w:hAnsi="Times New Roman" w:cs="Times New Roman"/>
                      <w:szCs w:val="21"/>
                    </w:rPr>
                    <w:t>.00h，拍片</w:t>
                  </w:r>
                  <w:r>
                    <w:rPr>
                      <w:rFonts w:hint="default" w:ascii="Times New Roman" w:hAnsi="Times New Roman" w:cs="Times New Roman"/>
                      <w:szCs w:val="21"/>
                      <w:lang w:val="en-US" w:eastAsia="zh-CN"/>
                    </w:rPr>
                    <w:t>2.36</w:t>
                  </w:r>
                  <w:r>
                    <w:rPr>
                      <w:rFonts w:hint="default" w:ascii="Times New Roman" w:hAnsi="Times New Roman" w:cs="Times New Roman"/>
                      <w:szCs w:val="21"/>
                    </w:rPr>
                    <w:t>h），主要用于介入检查、血管造影等</w:t>
                  </w:r>
                </w:p>
              </w:tc>
              <w:tc>
                <w:tcPr>
                  <w:tcW w:w="1072" w:type="dxa"/>
                  <w:vMerge w:val="continue"/>
                  <w:tcBorders>
                    <w:left w:val="single" w:color="auto" w:sz="4" w:space="0"/>
                    <w:right w:val="single" w:color="auto" w:sz="4" w:space="0"/>
                  </w:tcBorders>
                  <w:vAlign w:val="center"/>
                </w:tcPr>
                <w:p w14:paraId="2BFB045D">
                  <w:pPr>
                    <w:jc w:val="center"/>
                    <w:rPr>
                      <w:rFonts w:ascii="Times New Roman" w:hAnsi="Times New Roman"/>
                      <w:szCs w:val="21"/>
                    </w:rPr>
                  </w:pPr>
                </w:p>
              </w:tc>
              <w:tc>
                <w:tcPr>
                  <w:tcW w:w="923" w:type="dxa"/>
                  <w:tcBorders>
                    <w:top w:val="single" w:color="auto" w:sz="4" w:space="0"/>
                    <w:left w:val="single" w:color="000000" w:sz="4" w:space="0"/>
                    <w:bottom w:val="single" w:color="000000" w:sz="4" w:space="0"/>
                  </w:tcBorders>
                  <w:vAlign w:val="center"/>
                </w:tcPr>
                <w:p w14:paraId="1F76ACFF">
                  <w:pPr>
                    <w:jc w:val="center"/>
                    <w:rPr>
                      <w:rFonts w:ascii="Times New Roman" w:hAnsi="Times New Roman"/>
                      <w:szCs w:val="21"/>
                    </w:rPr>
                  </w:pPr>
                  <w:r>
                    <w:rPr>
                      <w:rFonts w:ascii="Times New Roman" w:hAnsi="Times New Roman"/>
                      <w:szCs w:val="21"/>
                    </w:rPr>
                    <w:t>X射线、</w:t>
                  </w:r>
                </w:p>
                <w:p w14:paraId="36141868">
                  <w:pPr>
                    <w:jc w:val="center"/>
                    <w:rPr>
                      <w:rFonts w:ascii="Times New Roman" w:hAnsi="Times New Roman"/>
                      <w:szCs w:val="21"/>
                    </w:rPr>
                  </w:pPr>
                  <w:r>
                    <w:rPr>
                      <w:rFonts w:ascii="Times New Roman" w:hAnsi="Times New Roman"/>
                      <w:szCs w:val="21"/>
                    </w:rPr>
                    <w:t>臭氧、噪声</w:t>
                  </w:r>
                  <w:r>
                    <w:rPr>
                      <w:rFonts w:hint="eastAsia"/>
                    </w:rPr>
                    <w:t>、氮氧化物</w:t>
                  </w:r>
                </w:p>
              </w:tc>
              <w:tc>
                <w:tcPr>
                  <w:tcW w:w="799" w:type="dxa"/>
                  <w:vMerge w:val="continue"/>
                  <w:tcBorders>
                    <w:left w:val="single" w:color="000000" w:sz="4" w:space="0"/>
                    <w:bottom w:val="single" w:color="000000" w:sz="4" w:space="0"/>
                  </w:tcBorders>
                  <w:vAlign w:val="center"/>
                </w:tcPr>
                <w:p w14:paraId="0F6DA127">
                  <w:pPr>
                    <w:jc w:val="center"/>
                    <w:rPr>
                      <w:rFonts w:ascii="Times New Roman" w:hAnsi="Times New Roman"/>
                      <w:szCs w:val="21"/>
                    </w:rPr>
                  </w:pPr>
                </w:p>
              </w:tc>
            </w:tr>
            <w:tr w14:paraId="4F2D0CF5">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28" w:type="dxa"/>
                  <w:bottom w:w="0" w:type="dxa"/>
                  <w:right w:w="28" w:type="dxa"/>
                </w:tblCellMar>
              </w:tblPrEx>
              <w:trPr>
                <w:cantSplit/>
                <w:trHeight w:val="23" w:hRule="atLeast"/>
                <w:jc w:val="center"/>
              </w:trPr>
              <w:tc>
                <w:tcPr>
                  <w:tcW w:w="1015" w:type="dxa"/>
                  <w:tcBorders>
                    <w:top w:val="single" w:color="000000" w:sz="4" w:space="0"/>
                    <w:bottom w:val="single" w:color="000000" w:sz="4" w:space="0"/>
                    <w:right w:val="single" w:color="000000" w:sz="4" w:space="0"/>
                  </w:tcBorders>
                  <w:vAlign w:val="center"/>
                </w:tcPr>
                <w:p w14:paraId="005B2468">
                  <w:pPr>
                    <w:jc w:val="center"/>
                    <w:rPr>
                      <w:rFonts w:ascii="Times New Roman" w:hAnsi="Times New Roman"/>
                      <w:szCs w:val="21"/>
                    </w:rPr>
                  </w:pPr>
                  <w:r>
                    <w:rPr>
                      <w:rFonts w:ascii="Times New Roman" w:hAnsi="Times New Roman"/>
                      <w:szCs w:val="21"/>
                    </w:rPr>
                    <w:t>辅助用房</w:t>
                  </w:r>
                </w:p>
              </w:tc>
              <w:tc>
                <w:tcPr>
                  <w:tcW w:w="5089" w:type="dxa"/>
                  <w:gridSpan w:val="2"/>
                  <w:tcBorders>
                    <w:top w:val="single" w:color="000000" w:sz="4" w:space="0"/>
                    <w:left w:val="single" w:color="000000" w:sz="4" w:space="0"/>
                    <w:bottom w:val="single" w:color="000000" w:sz="4" w:space="0"/>
                    <w:right w:val="single" w:color="000000" w:sz="4" w:space="0"/>
                  </w:tcBorders>
                  <w:vAlign w:val="center"/>
                </w:tcPr>
                <w:p w14:paraId="04890489">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rPr>
                    <w:t>控制室、设备间</w:t>
                  </w:r>
                  <w:r>
                    <w:rPr>
                      <w:rFonts w:hint="default" w:ascii="Times New Roman" w:hAnsi="Times New Roman" w:cs="Times New Roman"/>
                      <w:lang w:eastAsia="zh-CN"/>
                    </w:rPr>
                    <w:t>、</w:t>
                  </w:r>
                  <w:r>
                    <w:rPr>
                      <w:rFonts w:hint="eastAsia" w:ascii="Times New Roman" w:hAnsi="Times New Roman" w:cs="Times New Roman"/>
                      <w:lang w:val="en-US" w:eastAsia="zh-CN"/>
                    </w:rPr>
                    <w:t>病人</w:t>
                  </w:r>
                  <w:r>
                    <w:rPr>
                      <w:rFonts w:hint="default" w:ascii="Times New Roman" w:hAnsi="Times New Roman" w:cs="Times New Roman"/>
                      <w:lang w:val="en-US" w:eastAsia="zh-CN"/>
                    </w:rPr>
                    <w:t>准备间</w:t>
                  </w:r>
                </w:p>
              </w:tc>
              <w:tc>
                <w:tcPr>
                  <w:tcW w:w="1072" w:type="dxa"/>
                  <w:vMerge w:val="restart"/>
                  <w:tcBorders>
                    <w:left w:val="single" w:color="000000" w:sz="4" w:space="0"/>
                    <w:right w:val="single" w:color="000000" w:sz="4" w:space="0"/>
                  </w:tcBorders>
                  <w:vAlign w:val="center"/>
                </w:tcPr>
                <w:p w14:paraId="2B4B246B">
                  <w:pPr>
                    <w:jc w:val="center"/>
                    <w:rPr>
                      <w:rFonts w:ascii="Times New Roman" w:hAnsi="Times New Roman"/>
                      <w:szCs w:val="21"/>
                    </w:rPr>
                  </w:pPr>
                  <w:r>
                    <w:rPr>
                      <w:rFonts w:ascii="Times New Roman" w:hAnsi="Times New Roman"/>
                      <w:szCs w:val="21"/>
                    </w:rPr>
                    <w:t>噪声、施工人员产生的生活垃圾、生活废水、施工粉尘</w:t>
                  </w:r>
                </w:p>
              </w:tc>
              <w:tc>
                <w:tcPr>
                  <w:tcW w:w="923" w:type="dxa"/>
                  <w:vMerge w:val="restart"/>
                  <w:tcBorders>
                    <w:top w:val="single" w:color="000000" w:sz="4" w:space="0"/>
                    <w:left w:val="single" w:color="000000" w:sz="4" w:space="0"/>
                  </w:tcBorders>
                  <w:vAlign w:val="center"/>
                </w:tcPr>
                <w:p w14:paraId="7B9E0177">
                  <w:pPr>
                    <w:jc w:val="center"/>
                    <w:rPr>
                      <w:rFonts w:ascii="Times New Roman" w:hAnsi="Times New Roman"/>
                      <w:szCs w:val="21"/>
                    </w:rPr>
                  </w:pPr>
                  <w:r>
                    <w:rPr>
                      <w:rFonts w:ascii="Times New Roman" w:hAnsi="Times New Roman"/>
                      <w:szCs w:val="21"/>
                    </w:rPr>
                    <w:t>生活垃圾、生活污水</w:t>
                  </w:r>
                </w:p>
              </w:tc>
              <w:tc>
                <w:tcPr>
                  <w:tcW w:w="799" w:type="dxa"/>
                  <w:tcBorders>
                    <w:top w:val="single" w:color="000000" w:sz="4" w:space="0"/>
                    <w:left w:val="single" w:color="000000" w:sz="4" w:space="0"/>
                    <w:bottom w:val="single" w:color="auto" w:sz="4" w:space="0"/>
                  </w:tcBorders>
                  <w:vAlign w:val="center"/>
                </w:tcPr>
                <w:p w14:paraId="549DC2B7">
                  <w:pPr>
                    <w:jc w:val="center"/>
                    <w:rPr>
                      <w:rFonts w:ascii="Times New Roman" w:hAnsi="Times New Roman"/>
                      <w:szCs w:val="21"/>
                    </w:rPr>
                  </w:pPr>
                  <w:r>
                    <w:rPr>
                      <w:rFonts w:hint="eastAsia" w:ascii="Times New Roman" w:hAnsi="Times New Roman"/>
                      <w:szCs w:val="21"/>
                      <w:lang w:val="en-US" w:eastAsia="zh-CN"/>
                    </w:rPr>
                    <w:t>依托现有房间</w:t>
                  </w:r>
                </w:p>
              </w:tc>
            </w:tr>
            <w:tr w14:paraId="6CA05FEA">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28" w:type="dxa"/>
                  <w:bottom w:w="0" w:type="dxa"/>
                  <w:right w:w="28" w:type="dxa"/>
                </w:tblCellMar>
              </w:tblPrEx>
              <w:trPr>
                <w:cantSplit/>
                <w:trHeight w:val="23" w:hRule="atLeast"/>
                <w:jc w:val="center"/>
              </w:trPr>
              <w:tc>
                <w:tcPr>
                  <w:tcW w:w="1015" w:type="dxa"/>
                  <w:tcBorders>
                    <w:top w:val="single" w:color="000000" w:sz="4" w:space="0"/>
                    <w:bottom w:val="single" w:color="000000" w:sz="4" w:space="0"/>
                    <w:right w:val="single" w:color="000000" w:sz="4" w:space="0"/>
                  </w:tcBorders>
                  <w:vAlign w:val="center"/>
                </w:tcPr>
                <w:p w14:paraId="5D6DD08D">
                  <w:pPr>
                    <w:jc w:val="center"/>
                    <w:rPr>
                      <w:rFonts w:ascii="Times New Roman" w:hAnsi="Times New Roman"/>
                      <w:szCs w:val="21"/>
                    </w:rPr>
                  </w:pPr>
                  <w:r>
                    <w:rPr>
                      <w:rFonts w:ascii="Times New Roman" w:hAnsi="Times New Roman"/>
                      <w:szCs w:val="21"/>
                    </w:rPr>
                    <w:t>办公及生活设施</w:t>
                  </w:r>
                </w:p>
              </w:tc>
              <w:tc>
                <w:tcPr>
                  <w:tcW w:w="5089" w:type="dxa"/>
                  <w:gridSpan w:val="2"/>
                  <w:tcBorders>
                    <w:top w:val="single" w:color="000000" w:sz="4" w:space="0"/>
                    <w:left w:val="single" w:color="000000" w:sz="4" w:space="0"/>
                    <w:bottom w:val="single" w:color="auto" w:sz="4" w:space="0"/>
                    <w:right w:val="single" w:color="000000" w:sz="4" w:space="0"/>
                  </w:tcBorders>
                  <w:vAlign w:val="center"/>
                </w:tcPr>
                <w:p w14:paraId="7E296A56">
                  <w:pPr>
                    <w:jc w:val="center"/>
                    <w:rPr>
                      <w:rFonts w:ascii="Times New Roman" w:hAnsi="Times New Roman"/>
                      <w:szCs w:val="21"/>
                    </w:rPr>
                  </w:pPr>
                  <w:r>
                    <w:rPr>
                      <w:rFonts w:ascii="Times New Roman" w:hAnsi="Times New Roman"/>
                      <w:szCs w:val="21"/>
                    </w:rPr>
                    <w:t>医护办公室</w:t>
                  </w:r>
                </w:p>
              </w:tc>
              <w:tc>
                <w:tcPr>
                  <w:tcW w:w="1072" w:type="dxa"/>
                  <w:vMerge w:val="continue"/>
                  <w:tcBorders>
                    <w:left w:val="single" w:color="000000" w:sz="4" w:space="0"/>
                    <w:right w:val="single" w:color="000000" w:sz="4" w:space="0"/>
                  </w:tcBorders>
                  <w:vAlign w:val="center"/>
                </w:tcPr>
                <w:p w14:paraId="6FDA6A8A">
                  <w:pPr>
                    <w:jc w:val="center"/>
                    <w:rPr>
                      <w:rFonts w:ascii="Times New Roman" w:hAnsi="Times New Roman"/>
                      <w:szCs w:val="21"/>
                    </w:rPr>
                  </w:pPr>
                </w:p>
              </w:tc>
              <w:tc>
                <w:tcPr>
                  <w:tcW w:w="923" w:type="dxa"/>
                  <w:vMerge w:val="continue"/>
                  <w:tcBorders>
                    <w:left w:val="single" w:color="000000" w:sz="4" w:space="0"/>
                    <w:bottom w:val="single" w:color="000000" w:sz="4" w:space="0"/>
                  </w:tcBorders>
                  <w:vAlign w:val="center"/>
                </w:tcPr>
                <w:p w14:paraId="06D43E56">
                  <w:pPr>
                    <w:jc w:val="center"/>
                    <w:rPr>
                      <w:rFonts w:ascii="Times New Roman" w:hAnsi="Times New Roman"/>
                      <w:szCs w:val="21"/>
                    </w:rPr>
                  </w:pPr>
                </w:p>
              </w:tc>
              <w:tc>
                <w:tcPr>
                  <w:tcW w:w="799" w:type="dxa"/>
                  <w:tcBorders>
                    <w:top w:val="single" w:color="auto" w:sz="4" w:space="0"/>
                    <w:left w:val="single" w:color="000000" w:sz="4" w:space="0"/>
                    <w:bottom w:val="single" w:color="auto" w:sz="4" w:space="0"/>
                  </w:tcBorders>
                  <w:vAlign w:val="center"/>
                </w:tcPr>
                <w:p w14:paraId="1A3266EC">
                  <w:pPr>
                    <w:jc w:val="center"/>
                    <w:rPr>
                      <w:rFonts w:ascii="Times New Roman" w:hAnsi="Times New Roman"/>
                      <w:szCs w:val="21"/>
                    </w:rPr>
                  </w:pPr>
                  <w:r>
                    <w:rPr>
                      <w:rFonts w:hint="eastAsia" w:ascii="Times New Roman" w:hAnsi="Times New Roman"/>
                      <w:szCs w:val="21"/>
                      <w:lang w:val="en-US" w:eastAsia="zh-CN"/>
                    </w:rPr>
                    <w:t>依托现有房间</w:t>
                  </w:r>
                </w:p>
              </w:tc>
            </w:tr>
            <w:tr w14:paraId="178550F1">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28" w:type="dxa"/>
                  <w:bottom w:w="0" w:type="dxa"/>
                  <w:right w:w="28" w:type="dxa"/>
                </w:tblCellMar>
              </w:tblPrEx>
              <w:trPr>
                <w:cantSplit/>
                <w:trHeight w:val="23" w:hRule="atLeast"/>
                <w:jc w:val="center"/>
              </w:trPr>
              <w:tc>
                <w:tcPr>
                  <w:tcW w:w="1015" w:type="dxa"/>
                  <w:tcBorders>
                    <w:top w:val="single" w:color="000000" w:sz="4" w:space="0"/>
                    <w:bottom w:val="single" w:color="000000" w:sz="4" w:space="0"/>
                    <w:right w:val="single" w:color="000000" w:sz="4" w:space="0"/>
                  </w:tcBorders>
                  <w:vAlign w:val="center"/>
                </w:tcPr>
                <w:p w14:paraId="4F62E992">
                  <w:pPr>
                    <w:jc w:val="center"/>
                    <w:rPr>
                      <w:rFonts w:ascii="Times New Roman" w:hAnsi="Times New Roman"/>
                      <w:szCs w:val="21"/>
                    </w:rPr>
                  </w:pPr>
                  <w:r>
                    <w:rPr>
                      <w:rFonts w:ascii="Times New Roman" w:hAnsi="Times New Roman"/>
                      <w:szCs w:val="21"/>
                    </w:rPr>
                    <w:t>公用工程</w:t>
                  </w:r>
                </w:p>
              </w:tc>
              <w:tc>
                <w:tcPr>
                  <w:tcW w:w="5089" w:type="dxa"/>
                  <w:gridSpan w:val="2"/>
                  <w:tcBorders>
                    <w:top w:val="single" w:color="auto" w:sz="4" w:space="0"/>
                    <w:left w:val="single" w:color="000000" w:sz="4" w:space="0"/>
                    <w:bottom w:val="single" w:color="000000" w:sz="4" w:space="0"/>
                    <w:right w:val="single" w:color="000000" w:sz="4" w:space="0"/>
                  </w:tcBorders>
                  <w:vAlign w:val="center"/>
                </w:tcPr>
                <w:p w14:paraId="132B38D7">
                  <w:pPr>
                    <w:jc w:val="center"/>
                    <w:rPr>
                      <w:rFonts w:ascii="Times New Roman" w:hAnsi="Times New Roman"/>
                      <w:szCs w:val="21"/>
                    </w:rPr>
                  </w:pPr>
                  <w:r>
                    <w:rPr>
                      <w:rFonts w:ascii="Times New Roman" w:hAnsi="Times New Roman"/>
                      <w:szCs w:val="21"/>
                    </w:rPr>
                    <w:t>依托市政水网、市政电网、配电系统</w:t>
                  </w:r>
                </w:p>
              </w:tc>
              <w:tc>
                <w:tcPr>
                  <w:tcW w:w="1072" w:type="dxa"/>
                  <w:vMerge w:val="continue"/>
                  <w:tcBorders>
                    <w:left w:val="single" w:color="000000" w:sz="4" w:space="0"/>
                    <w:right w:val="single" w:color="000000" w:sz="4" w:space="0"/>
                  </w:tcBorders>
                  <w:vAlign w:val="center"/>
                </w:tcPr>
                <w:p w14:paraId="0BBEF4D1">
                  <w:pPr>
                    <w:jc w:val="center"/>
                    <w:rPr>
                      <w:rFonts w:ascii="Times New Roman" w:hAnsi="Times New Roman"/>
                      <w:szCs w:val="21"/>
                    </w:rPr>
                  </w:pPr>
                </w:p>
              </w:tc>
              <w:tc>
                <w:tcPr>
                  <w:tcW w:w="923" w:type="dxa"/>
                  <w:tcBorders>
                    <w:top w:val="single" w:color="000000" w:sz="4" w:space="0"/>
                    <w:left w:val="single" w:color="000000" w:sz="4" w:space="0"/>
                    <w:bottom w:val="single" w:color="000000" w:sz="4" w:space="0"/>
                  </w:tcBorders>
                  <w:vAlign w:val="center"/>
                </w:tcPr>
                <w:p w14:paraId="51771852">
                  <w:pPr>
                    <w:jc w:val="center"/>
                    <w:rPr>
                      <w:rFonts w:ascii="Times New Roman" w:hAnsi="Times New Roman"/>
                      <w:szCs w:val="21"/>
                    </w:rPr>
                  </w:pPr>
                  <w:r>
                    <w:rPr>
                      <w:rFonts w:ascii="Times New Roman" w:hAnsi="Times New Roman"/>
                      <w:szCs w:val="21"/>
                    </w:rPr>
                    <w:t>/</w:t>
                  </w:r>
                </w:p>
              </w:tc>
              <w:tc>
                <w:tcPr>
                  <w:tcW w:w="799" w:type="dxa"/>
                  <w:tcBorders>
                    <w:top w:val="single" w:color="auto" w:sz="4" w:space="0"/>
                    <w:left w:val="single" w:color="000000" w:sz="4" w:space="0"/>
                  </w:tcBorders>
                  <w:vAlign w:val="center"/>
                </w:tcPr>
                <w:p w14:paraId="48EF279A">
                  <w:pPr>
                    <w:jc w:val="center"/>
                    <w:rPr>
                      <w:rFonts w:ascii="Times New Roman" w:hAnsi="Times New Roman"/>
                      <w:szCs w:val="21"/>
                    </w:rPr>
                  </w:pPr>
                  <w:r>
                    <w:rPr>
                      <w:rFonts w:ascii="Times New Roman" w:hAnsi="Times New Roman"/>
                      <w:szCs w:val="21"/>
                    </w:rPr>
                    <w:t>依托</w:t>
                  </w:r>
                </w:p>
              </w:tc>
            </w:tr>
            <w:tr w14:paraId="76C35EF6">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28" w:type="dxa"/>
                  <w:bottom w:w="0" w:type="dxa"/>
                  <w:right w:w="28" w:type="dxa"/>
                </w:tblCellMar>
              </w:tblPrEx>
              <w:trPr>
                <w:cantSplit/>
                <w:trHeight w:val="23" w:hRule="atLeast"/>
                <w:jc w:val="center"/>
              </w:trPr>
              <w:tc>
                <w:tcPr>
                  <w:tcW w:w="1015" w:type="dxa"/>
                  <w:vMerge w:val="restart"/>
                  <w:tcBorders>
                    <w:top w:val="single" w:color="000000" w:sz="4" w:space="0"/>
                    <w:right w:val="single" w:color="000000" w:sz="4" w:space="0"/>
                  </w:tcBorders>
                  <w:vAlign w:val="center"/>
                </w:tcPr>
                <w:p w14:paraId="47648B50">
                  <w:pPr>
                    <w:jc w:val="center"/>
                    <w:rPr>
                      <w:rFonts w:ascii="Times New Roman" w:hAnsi="Times New Roman"/>
                      <w:szCs w:val="21"/>
                    </w:rPr>
                  </w:pPr>
                  <w:r>
                    <w:rPr>
                      <w:rFonts w:ascii="Times New Roman" w:hAnsi="Times New Roman"/>
                      <w:szCs w:val="21"/>
                    </w:rPr>
                    <w:t>环保工程</w:t>
                  </w:r>
                </w:p>
              </w:tc>
              <w:tc>
                <w:tcPr>
                  <w:tcW w:w="681" w:type="dxa"/>
                  <w:tcBorders>
                    <w:top w:val="single" w:color="000000" w:sz="4" w:space="0"/>
                    <w:left w:val="single" w:color="000000" w:sz="4" w:space="0"/>
                    <w:bottom w:val="single" w:color="auto" w:sz="4" w:space="0"/>
                    <w:right w:val="single" w:color="000000" w:sz="4" w:space="0"/>
                  </w:tcBorders>
                  <w:vAlign w:val="center"/>
                </w:tcPr>
                <w:p w14:paraId="35E99352">
                  <w:pPr>
                    <w:jc w:val="center"/>
                    <w:rPr>
                      <w:rFonts w:ascii="Times New Roman" w:hAnsi="Times New Roman"/>
                      <w:szCs w:val="21"/>
                    </w:rPr>
                  </w:pPr>
                  <w:r>
                    <w:rPr>
                      <w:rFonts w:ascii="Times New Roman" w:hAnsi="Times New Roman"/>
                      <w:szCs w:val="21"/>
                    </w:rPr>
                    <w:t>废水处理设施</w:t>
                  </w:r>
                </w:p>
              </w:tc>
              <w:tc>
                <w:tcPr>
                  <w:tcW w:w="4408" w:type="dxa"/>
                  <w:tcBorders>
                    <w:top w:val="single" w:color="000000" w:sz="4" w:space="0"/>
                    <w:left w:val="single" w:color="000000" w:sz="4" w:space="0"/>
                    <w:bottom w:val="single" w:color="auto" w:sz="4" w:space="0"/>
                    <w:right w:val="single" w:color="000000" w:sz="4" w:space="0"/>
                  </w:tcBorders>
                  <w:vAlign w:val="center"/>
                </w:tcPr>
                <w:p w14:paraId="12DEB4B0">
                  <w:pPr>
                    <w:jc w:val="center"/>
                    <w:rPr>
                      <w:rFonts w:ascii="Times New Roman" w:hAnsi="Times New Roman"/>
                      <w:color w:val="0000FF"/>
                      <w:szCs w:val="21"/>
                    </w:rPr>
                  </w:pPr>
                  <w:r>
                    <w:rPr>
                      <w:rFonts w:hint="default" w:ascii="Times New Roman" w:hAnsi="Times New Roman" w:eastAsia="宋体" w:cs="Times New Roman"/>
                      <w:color w:val="auto"/>
                      <w:kern w:val="0"/>
                    </w:rPr>
                    <w:t>施工期</w:t>
                  </w:r>
                  <w:r>
                    <w:rPr>
                      <w:rFonts w:hint="eastAsia" w:ascii="Times New Roman" w:hAnsi="Times New Roman" w:cs="Times New Roman"/>
                      <w:color w:val="auto"/>
                      <w:kern w:val="0"/>
                      <w:lang w:eastAsia="zh-CN"/>
                    </w:rPr>
                    <w:t>、</w:t>
                  </w:r>
                  <w:r>
                    <w:rPr>
                      <w:rFonts w:hint="default" w:ascii="Times New Roman" w:hAnsi="Times New Roman" w:eastAsia="宋体" w:cs="Times New Roman"/>
                      <w:color w:val="auto"/>
                      <w:kern w:val="0"/>
                    </w:rPr>
                    <w:t>运营期依托医院</w:t>
                  </w:r>
                  <w:r>
                    <w:rPr>
                      <w:rFonts w:hint="default" w:ascii="Times New Roman" w:hAnsi="Times New Roman" w:eastAsia="宋体" w:cs="Times New Roman"/>
                      <w:color w:val="auto"/>
                      <w:kern w:val="0"/>
                      <w:lang w:val="en-US" w:eastAsia="zh-CN"/>
                    </w:rPr>
                    <w:t>现有</w:t>
                  </w:r>
                  <w:r>
                    <w:rPr>
                      <w:rFonts w:hint="default" w:ascii="Times New Roman" w:hAnsi="Times New Roman" w:eastAsia="宋体" w:cs="Times New Roman"/>
                      <w:color w:val="auto"/>
                      <w:kern w:val="0"/>
                    </w:rPr>
                    <w:t>地埋式污水处理站采用"调节池+A/O+沉淀+</w:t>
                  </w:r>
                  <w:r>
                    <w:rPr>
                      <w:rFonts w:hint="eastAsia" w:ascii="Times New Roman" w:hAnsi="Times New Roman" w:cs="Times New Roman"/>
                      <w:color w:val="auto"/>
                      <w:kern w:val="0"/>
                      <w:lang w:eastAsia="zh-CN"/>
                    </w:rPr>
                    <w:t>次氯酸钠</w:t>
                  </w:r>
                  <w:r>
                    <w:rPr>
                      <w:rFonts w:hint="default" w:ascii="Times New Roman" w:hAnsi="Times New Roman" w:eastAsia="宋体" w:cs="Times New Roman"/>
                      <w:color w:val="auto"/>
                      <w:kern w:val="0"/>
                    </w:rPr>
                    <w:t>消毒"处理工艺，设计日废水处理能力</w:t>
                  </w:r>
                  <w:r>
                    <w:rPr>
                      <w:rFonts w:hint="eastAsia" w:ascii="Times New Roman" w:hAnsi="Times New Roman" w:cs="Times New Roman"/>
                      <w:color w:val="auto"/>
                      <w:kern w:val="0"/>
                      <w:lang w:val="en-US" w:eastAsia="zh-CN"/>
                    </w:rPr>
                    <w:t>5</w:t>
                  </w:r>
                  <w:r>
                    <w:rPr>
                      <w:rFonts w:hint="default" w:ascii="Times New Roman" w:hAnsi="Times New Roman" w:eastAsia="宋体" w:cs="Times New Roman"/>
                      <w:color w:val="auto"/>
                      <w:kern w:val="0"/>
                    </w:rPr>
                    <w:t>00m</w:t>
                  </w:r>
                  <w:r>
                    <w:rPr>
                      <w:rFonts w:hint="default" w:ascii="Times New Roman" w:hAnsi="Times New Roman" w:eastAsia="宋体" w:cs="Times New Roman"/>
                      <w:color w:val="auto"/>
                      <w:kern w:val="0"/>
                      <w:vertAlign w:val="superscript"/>
                    </w:rPr>
                    <w:t>3</w:t>
                  </w:r>
                  <w:r>
                    <w:rPr>
                      <w:rFonts w:hint="eastAsia" w:ascii="Times New Roman" w:hAnsi="Times New Roman" w:cs="Times New Roman"/>
                      <w:color w:val="auto"/>
                      <w:kern w:val="0"/>
                      <w:lang w:val="en-US" w:eastAsia="zh-CN"/>
                    </w:rPr>
                    <w:t>/d</w:t>
                  </w:r>
                  <w:r>
                    <w:rPr>
                      <w:rFonts w:hint="default" w:ascii="Times New Roman" w:hAnsi="Times New Roman" w:eastAsia="宋体" w:cs="Times New Roman"/>
                      <w:color w:val="auto"/>
                      <w:kern w:val="0"/>
                    </w:rPr>
                    <w:t>。</w:t>
                  </w:r>
                </w:p>
              </w:tc>
              <w:tc>
                <w:tcPr>
                  <w:tcW w:w="1072" w:type="dxa"/>
                  <w:vMerge w:val="restart"/>
                  <w:tcBorders>
                    <w:top w:val="single" w:color="auto" w:sz="4" w:space="0"/>
                    <w:left w:val="single" w:color="000000" w:sz="4" w:space="0"/>
                    <w:right w:val="single" w:color="000000" w:sz="4" w:space="0"/>
                  </w:tcBorders>
                  <w:vAlign w:val="center"/>
                </w:tcPr>
                <w:p w14:paraId="74BD068E">
                  <w:pPr>
                    <w:jc w:val="center"/>
                    <w:rPr>
                      <w:rFonts w:ascii="Times New Roman" w:hAnsi="Times New Roman"/>
                      <w:szCs w:val="21"/>
                    </w:rPr>
                  </w:pPr>
                  <w:r>
                    <w:rPr>
                      <w:rFonts w:ascii="Times New Roman" w:hAnsi="Times New Roman"/>
                      <w:szCs w:val="21"/>
                    </w:rPr>
                    <w:t>废水、固体废物</w:t>
                  </w:r>
                  <w:r>
                    <w:rPr>
                      <w:rFonts w:hint="eastAsia" w:ascii="Times New Roman" w:hAnsi="Times New Roman"/>
                      <w:szCs w:val="21"/>
                    </w:rPr>
                    <w:t>、</w:t>
                  </w:r>
                  <w:r>
                    <w:rPr>
                      <w:rFonts w:ascii="Times New Roman" w:hAnsi="Times New Roman"/>
                      <w:szCs w:val="21"/>
                    </w:rPr>
                    <w:t>施工粉尘</w:t>
                  </w:r>
                </w:p>
              </w:tc>
              <w:tc>
                <w:tcPr>
                  <w:tcW w:w="923" w:type="dxa"/>
                  <w:vMerge w:val="restart"/>
                  <w:tcBorders>
                    <w:top w:val="single" w:color="auto" w:sz="4" w:space="0"/>
                    <w:left w:val="single" w:color="000000" w:sz="4" w:space="0"/>
                  </w:tcBorders>
                  <w:vAlign w:val="center"/>
                </w:tcPr>
                <w:p w14:paraId="4261D032">
                  <w:pPr>
                    <w:jc w:val="center"/>
                    <w:rPr>
                      <w:rFonts w:ascii="Times New Roman" w:hAnsi="Times New Roman"/>
                      <w:szCs w:val="21"/>
                    </w:rPr>
                  </w:pPr>
                  <w:r>
                    <w:rPr>
                      <w:rFonts w:ascii="Times New Roman" w:hAnsi="Times New Roman"/>
                      <w:szCs w:val="21"/>
                    </w:rPr>
                    <w:t>废水、固体废物、废气</w:t>
                  </w:r>
                </w:p>
              </w:tc>
              <w:tc>
                <w:tcPr>
                  <w:tcW w:w="799" w:type="dxa"/>
                  <w:vMerge w:val="restart"/>
                  <w:tcBorders>
                    <w:top w:val="single" w:color="000000" w:sz="4" w:space="0"/>
                    <w:left w:val="single" w:color="000000" w:sz="4" w:space="0"/>
                  </w:tcBorders>
                  <w:vAlign w:val="center"/>
                </w:tcPr>
                <w:p w14:paraId="113A8383">
                  <w:pPr>
                    <w:jc w:val="center"/>
                    <w:rPr>
                      <w:rFonts w:ascii="Times New Roman" w:hAnsi="Times New Roman"/>
                      <w:szCs w:val="21"/>
                    </w:rPr>
                  </w:pPr>
                  <w:r>
                    <w:rPr>
                      <w:rFonts w:hint="eastAsia" w:ascii="Times New Roman" w:hAnsi="Times New Roman"/>
                      <w:szCs w:val="21"/>
                    </w:rPr>
                    <w:t>该项目</w:t>
                  </w:r>
                  <w:r>
                    <w:rPr>
                      <w:rFonts w:ascii="Times New Roman" w:hAnsi="Times New Roman"/>
                      <w:szCs w:val="21"/>
                    </w:rPr>
                    <w:t>依托</w:t>
                  </w:r>
                  <w:r>
                    <w:rPr>
                      <w:rFonts w:hint="eastAsia" w:ascii="Times New Roman" w:hAnsi="Times New Roman"/>
                      <w:szCs w:val="21"/>
                    </w:rPr>
                    <w:t>医院</w:t>
                  </w:r>
                  <w:r>
                    <w:rPr>
                      <w:rFonts w:hint="eastAsia" w:ascii="Times New Roman" w:hAnsi="Times New Roman"/>
                      <w:szCs w:val="21"/>
                      <w:lang w:val="en-US" w:eastAsia="zh-CN"/>
                    </w:rPr>
                    <w:t>现有</w:t>
                  </w:r>
                  <w:r>
                    <w:rPr>
                      <w:rFonts w:hint="eastAsia" w:ascii="Times New Roman" w:hAnsi="Times New Roman"/>
                      <w:szCs w:val="21"/>
                    </w:rPr>
                    <w:t>废水、固废处理设施</w:t>
                  </w:r>
                </w:p>
              </w:tc>
            </w:tr>
            <w:tr w14:paraId="389FBE96">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28" w:type="dxa"/>
                  <w:bottom w:w="0" w:type="dxa"/>
                  <w:right w:w="28" w:type="dxa"/>
                </w:tblCellMar>
              </w:tblPrEx>
              <w:trPr>
                <w:cantSplit/>
                <w:trHeight w:val="90" w:hRule="atLeast"/>
                <w:jc w:val="center"/>
              </w:trPr>
              <w:tc>
                <w:tcPr>
                  <w:tcW w:w="1015" w:type="dxa"/>
                  <w:vMerge w:val="continue"/>
                  <w:tcBorders>
                    <w:right w:val="single" w:color="000000" w:sz="4" w:space="0"/>
                  </w:tcBorders>
                  <w:vAlign w:val="center"/>
                </w:tcPr>
                <w:p w14:paraId="6A050866">
                  <w:pPr>
                    <w:jc w:val="center"/>
                    <w:rPr>
                      <w:rFonts w:ascii="Times New Roman" w:hAnsi="Times New Roman"/>
                      <w:szCs w:val="21"/>
                    </w:rPr>
                  </w:pPr>
                </w:p>
              </w:tc>
              <w:tc>
                <w:tcPr>
                  <w:tcW w:w="681" w:type="dxa"/>
                  <w:tcBorders>
                    <w:top w:val="single" w:color="auto" w:sz="4" w:space="0"/>
                    <w:left w:val="single" w:color="000000" w:sz="4" w:space="0"/>
                    <w:bottom w:val="single" w:color="auto" w:sz="4" w:space="0"/>
                    <w:right w:val="single" w:color="000000" w:sz="4" w:space="0"/>
                  </w:tcBorders>
                  <w:vAlign w:val="center"/>
                </w:tcPr>
                <w:p w14:paraId="3A54774C">
                  <w:pPr>
                    <w:jc w:val="center"/>
                    <w:rPr>
                      <w:rFonts w:ascii="Times New Roman" w:hAnsi="Times New Roman"/>
                      <w:szCs w:val="21"/>
                    </w:rPr>
                  </w:pPr>
                  <w:r>
                    <w:rPr>
                      <w:rFonts w:ascii="Times New Roman" w:hAnsi="Times New Roman"/>
                      <w:szCs w:val="21"/>
                    </w:rPr>
                    <w:t>固废处理设施</w:t>
                  </w:r>
                </w:p>
              </w:tc>
              <w:tc>
                <w:tcPr>
                  <w:tcW w:w="4408" w:type="dxa"/>
                  <w:tcBorders>
                    <w:top w:val="single" w:color="auto" w:sz="4" w:space="0"/>
                    <w:left w:val="single" w:color="000000" w:sz="4" w:space="0"/>
                    <w:bottom w:val="single" w:color="auto" w:sz="4" w:space="0"/>
                    <w:right w:val="single" w:color="000000" w:sz="4" w:space="0"/>
                  </w:tcBorders>
                  <w:vAlign w:val="center"/>
                </w:tcPr>
                <w:p w14:paraId="74A1ECCC">
                  <w:pPr>
                    <w:jc w:val="left"/>
                    <w:rPr>
                      <w:rFonts w:ascii="Times New Roman" w:hAnsi="Times New Roman"/>
                      <w:color w:val="auto"/>
                      <w:szCs w:val="21"/>
                    </w:rPr>
                  </w:pPr>
                  <w:r>
                    <w:rPr>
                      <w:rFonts w:hint="eastAsia" w:ascii="Times New Roman" w:hAnsi="Times New Roman"/>
                      <w:color w:val="auto"/>
                      <w:szCs w:val="21"/>
                    </w:rPr>
                    <w:t>施工期</w:t>
                  </w:r>
                  <w:r>
                    <w:rPr>
                      <w:rFonts w:ascii="Times New Roman" w:hAnsi="Times New Roman"/>
                      <w:color w:val="auto"/>
                      <w:szCs w:val="21"/>
                    </w:rPr>
                    <w:t>依托医院</w:t>
                  </w:r>
                  <w:r>
                    <w:rPr>
                      <w:rFonts w:hint="eastAsia" w:ascii="Times New Roman" w:hAnsi="Times New Roman"/>
                      <w:color w:val="auto"/>
                      <w:szCs w:val="21"/>
                      <w:lang w:val="en-US" w:eastAsia="zh-CN"/>
                    </w:rPr>
                    <w:t>修建的临时建筑垃圾储存点储存后</w:t>
                  </w:r>
                  <w:r>
                    <w:rPr>
                      <w:rFonts w:ascii="Times New Roman" w:hAnsi="Times New Roman"/>
                      <w:color w:val="auto"/>
                      <w:szCs w:val="21"/>
                    </w:rPr>
                    <w:t>进行处理</w:t>
                  </w:r>
                  <w:r>
                    <w:rPr>
                      <w:rFonts w:hint="eastAsia" w:ascii="Times New Roman" w:hAnsi="Times New Roman"/>
                      <w:color w:val="auto"/>
                      <w:szCs w:val="21"/>
                      <w:lang w:eastAsia="zh-CN"/>
                    </w:rPr>
                    <w:t>。</w:t>
                  </w:r>
                  <w:r>
                    <w:rPr>
                      <w:rFonts w:ascii="Times New Roman" w:hAnsi="Times New Roman"/>
                      <w:color w:val="auto"/>
                      <w:szCs w:val="21"/>
                    </w:rPr>
                    <w:t>办公、生活垃圾经袋装收集后暂存于生活垃圾暂存间，日产日清，交由环卫部门清运处理。</w:t>
                  </w:r>
                </w:p>
                <w:p w14:paraId="1C390987">
                  <w:pPr>
                    <w:jc w:val="left"/>
                    <w:rPr>
                      <w:rFonts w:ascii="Times New Roman" w:hAnsi="Times New Roman"/>
                      <w:color w:val="0000FF"/>
                      <w:szCs w:val="21"/>
                    </w:rPr>
                  </w:pPr>
                  <w:r>
                    <w:rPr>
                      <w:rFonts w:hint="eastAsia" w:ascii="Times New Roman" w:hAnsi="Times New Roman"/>
                      <w:color w:val="auto"/>
                      <w:szCs w:val="21"/>
                      <w:lang w:val="en-US" w:eastAsia="zh-CN"/>
                    </w:rPr>
                    <w:t>运行期</w:t>
                  </w:r>
                  <w:r>
                    <w:rPr>
                      <w:rFonts w:ascii="Times New Roman" w:hAnsi="Times New Roman"/>
                      <w:color w:val="auto"/>
                      <w:szCs w:val="21"/>
                    </w:rPr>
                    <w:t>医疗废物经分类收集打包好后</w:t>
                  </w:r>
                  <w:r>
                    <w:rPr>
                      <w:rFonts w:hint="eastAsia" w:ascii="Times New Roman" w:hAnsi="Times New Roman"/>
                      <w:color w:val="auto"/>
                      <w:szCs w:val="21"/>
                    </w:rPr>
                    <w:t>直接送至</w:t>
                  </w:r>
                  <w:r>
                    <w:rPr>
                      <w:rFonts w:hint="eastAsia" w:ascii="Times New Roman" w:hAnsi="Times New Roman"/>
                      <w:color w:val="auto"/>
                      <w:szCs w:val="21"/>
                      <w:lang w:val="en-US" w:eastAsia="zh-CN"/>
                    </w:rPr>
                    <w:t>污物暂存间</w:t>
                  </w:r>
                  <w:r>
                    <w:rPr>
                      <w:rFonts w:hint="default" w:ascii="Times New Roman" w:hAnsi="Times New Roman"/>
                      <w:color w:val="auto"/>
                      <w:szCs w:val="21"/>
                      <w:lang w:eastAsia="zh-CN"/>
                    </w:rPr>
                    <w:t>（</w:t>
                  </w:r>
                  <w:r>
                    <w:rPr>
                      <w:rFonts w:hint="eastAsia" w:ascii="Times New Roman" w:hAnsi="Times New Roman"/>
                      <w:color w:val="auto"/>
                      <w:szCs w:val="21"/>
                      <w:lang w:val="en-US" w:eastAsia="zh-CN"/>
                    </w:rPr>
                    <w:t>3.85</w:t>
                  </w:r>
                  <w:r>
                    <w:rPr>
                      <w:rFonts w:hint="default" w:ascii="Times New Roman" w:hAnsi="Times New Roman"/>
                      <w:color w:val="auto"/>
                      <w:szCs w:val="21"/>
                      <w:lang w:val="en-US" w:eastAsia="zh-CN"/>
                    </w:rPr>
                    <w:t>m</w:t>
                  </w:r>
                  <w:r>
                    <w:rPr>
                      <w:rFonts w:hint="default" w:ascii="Times New Roman" w:hAnsi="Times New Roman"/>
                      <w:color w:val="auto"/>
                      <w:szCs w:val="21"/>
                      <w:vertAlign w:val="superscript"/>
                      <w:lang w:val="en-US" w:eastAsia="zh-CN"/>
                    </w:rPr>
                    <w:t>2</w:t>
                  </w:r>
                  <w:r>
                    <w:rPr>
                      <w:rFonts w:hint="default" w:ascii="Times New Roman" w:hAnsi="Times New Roman"/>
                      <w:color w:val="auto"/>
                      <w:szCs w:val="21"/>
                      <w:lang w:eastAsia="zh-CN"/>
                    </w:rPr>
                    <w:t>）</w:t>
                  </w:r>
                  <w:r>
                    <w:rPr>
                      <w:rFonts w:ascii="Times New Roman" w:hAnsi="Times New Roman"/>
                      <w:color w:val="auto"/>
                      <w:szCs w:val="21"/>
                    </w:rPr>
                    <w:t>，医疗废物日产日清，交由资质单位处理；办公、生活垃圾经袋装收集后暂存于生活垃圾暂存间，日产日清，交由环卫部门清运处理。</w:t>
                  </w:r>
                </w:p>
              </w:tc>
              <w:tc>
                <w:tcPr>
                  <w:tcW w:w="1072" w:type="dxa"/>
                  <w:vMerge w:val="continue"/>
                  <w:tcBorders>
                    <w:left w:val="single" w:color="000000" w:sz="4" w:space="0"/>
                    <w:right w:val="single" w:color="000000" w:sz="4" w:space="0"/>
                  </w:tcBorders>
                  <w:vAlign w:val="center"/>
                </w:tcPr>
                <w:p w14:paraId="67FC1797">
                  <w:pPr>
                    <w:jc w:val="center"/>
                    <w:rPr>
                      <w:rFonts w:ascii="Times New Roman" w:hAnsi="Times New Roman"/>
                      <w:szCs w:val="21"/>
                    </w:rPr>
                  </w:pPr>
                </w:p>
              </w:tc>
              <w:tc>
                <w:tcPr>
                  <w:tcW w:w="923" w:type="dxa"/>
                  <w:vMerge w:val="continue"/>
                  <w:tcBorders>
                    <w:left w:val="single" w:color="000000" w:sz="4" w:space="0"/>
                    <w:bottom w:val="single" w:color="auto" w:sz="4" w:space="0"/>
                  </w:tcBorders>
                  <w:vAlign w:val="center"/>
                </w:tcPr>
                <w:p w14:paraId="6D0D99A6">
                  <w:pPr>
                    <w:jc w:val="center"/>
                    <w:rPr>
                      <w:rFonts w:ascii="Times New Roman" w:hAnsi="Times New Roman"/>
                      <w:szCs w:val="21"/>
                    </w:rPr>
                  </w:pPr>
                </w:p>
              </w:tc>
              <w:tc>
                <w:tcPr>
                  <w:tcW w:w="799" w:type="dxa"/>
                  <w:vMerge w:val="continue"/>
                  <w:tcBorders>
                    <w:left w:val="single" w:color="000000" w:sz="4" w:space="0"/>
                    <w:bottom w:val="single" w:color="auto" w:sz="4" w:space="0"/>
                  </w:tcBorders>
                  <w:vAlign w:val="center"/>
                </w:tcPr>
                <w:p w14:paraId="1F47F608">
                  <w:pPr>
                    <w:jc w:val="center"/>
                    <w:rPr>
                      <w:rFonts w:ascii="Times New Roman" w:hAnsi="Times New Roman"/>
                      <w:szCs w:val="21"/>
                    </w:rPr>
                  </w:pPr>
                </w:p>
              </w:tc>
            </w:tr>
            <w:tr w14:paraId="51A410EC">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PrEx>
              <w:trPr>
                <w:cantSplit/>
                <w:trHeight w:val="23" w:hRule="atLeast"/>
                <w:jc w:val="center"/>
              </w:trPr>
              <w:tc>
                <w:tcPr>
                  <w:tcW w:w="1015" w:type="dxa"/>
                  <w:vMerge w:val="continue"/>
                  <w:tcBorders>
                    <w:bottom w:val="single" w:color="000000" w:sz="12" w:space="0"/>
                    <w:right w:val="single" w:color="000000" w:sz="4" w:space="0"/>
                  </w:tcBorders>
                  <w:vAlign w:val="center"/>
                </w:tcPr>
                <w:p w14:paraId="53756CA5">
                  <w:pPr>
                    <w:jc w:val="center"/>
                    <w:rPr>
                      <w:rFonts w:ascii="Times New Roman" w:hAnsi="Times New Roman"/>
                      <w:szCs w:val="21"/>
                    </w:rPr>
                  </w:pPr>
                </w:p>
              </w:tc>
              <w:tc>
                <w:tcPr>
                  <w:tcW w:w="681" w:type="dxa"/>
                  <w:tcBorders>
                    <w:top w:val="single" w:color="auto" w:sz="4" w:space="0"/>
                    <w:left w:val="single" w:color="000000" w:sz="4" w:space="0"/>
                    <w:bottom w:val="single" w:color="000000" w:sz="12" w:space="0"/>
                    <w:right w:val="single" w:color="000000" w:sz="4" w:space="0"/>
                  </w:tcBorders>
                  <w:vAlign w:val="center"/>
                </w:tcPr>
                <w:p w14:paraId="2FCF2B14">
                  <w:pPr>
                    <w:jc w:val="center"/>
                    <w:rPr>
                      <w:rFonts w:ascii="Times New Roman" w:hAnsi="Times New Roman"/>
                      <w:szCs w:val="21"/>
                    </w:rPr>
                  </w:pPr>
                  <w:r>
                    <w:rPr>
                      <w:rFonts w:ascii="Times New Roman" w:hAnsi="Times New Roman"/>
                      <w:szCs w:val="21"/>
                    </w:rPr>
                    <w:t>废气处理设施</w:t>
                  </w:r>
                </w:p>
              </w:tc>
              <w:tc>
                <w:tcPr>
                  <w:tcW w:w="4408" w:type="dxa"/>
                  <w:tcBorders>
                    <w:top w:val="single" w:color="auto" w:sz="4" w:space="0"/>
                    <w:left w:val="single" w:color="000000" w:sz="4" w:space="0"/>
                    <w:bottom w:val="single" w:color="000000" w:sz="12" w:space="0"/>
                    <w:right w:val="single" w:color="000000" w:sz="4" w:space="0"/>
                  </w:tcBorders>
                  <w:vAlign w:val="center"/>
                </w:tcPr>
                <w:p w14:paraId="32C00986">
                  <w:pPr>
                    <w:jc w:val="center"/>
                    <w:rPr>
                      <w:rFonts w:hint="default" w:ascii="Times New Roman" w:hAnsi="Times New Roman" w:eastAsia="宋体"/>
                      <w:szCs w:val="21"/>
                      <w:lang w:val="en-US" w:eastAsia="zh-CN"/>
                    </w:rPr>
                  </w:pPr>
                  <w:r>
                    <w:rPr>
                      <w:rFonts w:ascii="Times New Roman" w:hAnsi="Times New Roman"/>
                      <w:szCs w:val="21"/>
                    </w:rPr>
                    <w:t>项目产生的臭氧</w:t>
                  </w:r>
                  <w:r>
                    <w:rPr>
                      <w:rFonts w:hint="eastAsia" w:ascii="Times New Roman" w:hAnsi="Times New Roman"/>
                      <w:szCs w:val="21"/>
                    </w:rPr>
                    <w:t>、氮氧化物</w:t>
                  </w:r>
                  <w:r>
                    <w:rPr>
                      <w:rFonts w:hint="eastAsia" w:ascii="Times New Roman" w:hAnsi="Times New Roman"/>
                      <w:szCs w:val="21"/>
                      <w:lang w:val="en-US" w:eastAsia="zh-CN"/>
                    </w:rPr>
                    <w:t>经排风</w:t>
                  </w:r>
                  <w:r>
                    <w:rPr>
                      <w:rFonts w:hint="eastAsia" w:ascii="Times New Roman" w:hAnsi="Times New Roman"/>
                      <w:szCs w:val="21"/>
                    </w:rPr>
                    <w:t>系统</w:t>
                  </w:r>
                  <w:r>
                    <w:rPr>
                      <w:rFonts w:hint="eastAsia" w:ascii="Times New Roman" w:hAnsi="Times New Roman"/>
                      <w:szCs w:val="21"/>
                      <w:lang w:eastAsia="zh-CN"/>
                    </w:rPr>
                    <w:t>（</w:t>
                  </w:r>
                  <w:r>
                    <w:rPr>
                      <w:rFonts w:hint="eastAsia" w:ascii="Times New Roman" w:hAnsi="Times New Roman"/>
                      <w:szCs w:val="21"/>
                      <w:lang w:val="en-US" w:eastAsia="zh-CN"/>
                    </w:rPr>
                    <w:t>720m</w:t>
                  </w:r>
                  <w:r>
                    <w:rPr>
                      <w:rFonts w:hint="eastAsia" w:ascii="Times New Roman" w:hAnsi="Times New Roman"/>
                      <w:szCs w:val="21"/>
                      <w:vertAlign w:val="superscript"/>
                      <w:lang w:val="en-US" w:eastAsia="zh-CN"/>
                    </w:rPr>
                    <w:t>3</w:t>
                  </w:r>
                  <w:r>
                    <w:rPr>
                      <w:rFonts w:hint="eastAsia" w:ascii="Times New Roman" w:hAnsi="Times New Roman"/>
                      <w:szCs w:val="21"/>
                      <w:lang w:val="en-US" w:eastAsia="zh-CN"/>
                    </w:rPr>
                    <w:t>/h</w:t>
                  </w:r>
                  <w:r>
                    <w:rPr>
                      <w:rFonts w:hint="eastAsia" w:ascii="Times New Roman" w:hAnsi="Times New Roman"/>
                      <w:szCs w:val="21"/>
                      <w:lang w:eastAsia="zh-CN"/>
                    </w:rPr>
                    <w:t>）</w:t>
                  </w:r>
                  <w:r>
                    <w:rPr>
                      <w:rFonts w:hint="eastAsia" w:ascii="Times New Roman" w:hAnsi="Times New Roman"/>
                      <w:szCs w:val="21"/>
                      <w:lang w:val="en-US" w:eastAsia="zh-CN"/>
                    </w:rPr>
                    <w:t>引至东侧2楼室外排放，高度4.7m</w:t>
                  </w:r>
                </w:p>
              </w:tc>
              <w:tc>
                <w:tcPr>
                  <w:tcW w:w="1072" w:type="dxa"/>
                  <w:vMerge w:val="continue"/>
                  <w:tcBorders>
                    <w:left w:val="single" w:color="000000" w:sz="4" w:space="0"/>
                    <w:bottom w:val="single" w:color="000000" w:sz="12" w:space="0"/>
                    <w:right w:val="single" w:color="000000" w:sz="4" w:space="0"/>
                  </w:tcBorders>
                  <w:vAlign w:val="center"/>
                </w:tcPr>
                <w:p w14:paraId="6A73F349">
                  <w:pPr>
                    <w:jc w:val="center"/>
                    <w:rPr>
                      <w:rFonts w:ascii="Times New Roman" w:hAnsi="Times New Roman"/>
                      <w:szCs w:val="21"/>
                    </w:rPr>
                  </w:pPr>
                </w:p>
              </w:tc>
              <w:tc>
                <w:tcPr>
                  <w:tcW w:w="923" w:type="dxa"/>
                  <w:tcBorders>
                    <w:top w:val="single" w:color="auto" w:sz="4" w:space="0"/>
                    <w:left w:val="single" w:color="000000" w:sz="4" w:space="0"/>
                    <w:bottom w:val="single" w:color="000000" w:sz="12" w:space="0"/>
                  </w:tcBorders>
                  <w:vAlign w:val="center"/>
                </w:tcPr>
                <w:p w14:paraId="157F25CE">
                  <w:pPr>
                    <w:jc w:val="center"/>
                    <w:rPr>
                      <w:rFonts w:ascii="Times New Roman" w:hAnsi="Times New Roman"/>
                      <w:szCs w:val="21"/>
                    </w:rPr>
                  </w:pPr>
                  <w:r>
                    <w:rPr>
                      <w:rFonts w:ascii="Times New Roman" w:hAnsi="Times New Roman"/>
                      <w:szCs w:val="21"/>
                    </w:rPr>
                    <w:t>臭氧、</w:t>
                  </w:r>
                  <w:r>
                    <w:rPr>
                      <w:rFonts w:hint="eastAsia" w:ascii="Times New Roman" w:hAnsi="Times New Roman"/>
                      <w:szCs w:val="21"/>
                    </w:rPr>
                    <w:t>氮氧化物</w:t>
                  </w:r>
                </w:p>
              </w:tc>
              <w:tc>
                <w:tcPr>
                  <w:tcW w:w="799" w:type="dxa"/>
                  <w:tcBorders>
                    <w:top w:val="single" w:color="auto" w:sz="4" w:space="0"/>
                    <w:left w:val="single" w:color="000000" w:sz="4" w:space="0"/>
                    <w:bottom w:val="single" w:color="000000" w:sz="12" w:space="0"/>
                  </w:tcBorders>
                  <w:vAlign w:val="center"/>
                </w:tcPr>
                <w:p w14:paraId="46A6D881">
                  <w:pPr>
                    <w:jc w:val="center"/>
                    <w:rPr>
                      <w:rFonts w:ascii="Times New Roman" w:hAnsi="Times New Roman"/>
                      <w:szCs w:val="21"/>
                    </w:rPr>
                  </w:pPr>
                  <w:r>
                    <w:rPr>
                      <w:rFonts w:hint="eastAsia" w:ascii="Times New Roman" w:hAnsi="Times New Roman"/>
                      <w:szCs w:val="21"/>
                    </w:rPr>
                    <w:t>根据医院整体工程</w:t>
                  </w:r>
                  <w:r>
                    <w:rPr>
                      <w:rFonts w:ascii="Times New Roman" w:hAnsi="Times New Roman"/>
                      <w:szCs w:val="21"/>
                    </w:rPr>
                    <w:t>新建</w:t>
                  </w:r>
                </w:p>
              </w:tc>
            </w:tr>
          </w:tbl>
          <w:p w14:paraId="2827DD6F">
            <w:pPr>
              <w:spacing w:line="360" w:lineRule="auto"/>
              <w:rPr>
                <w:rFonts w:ascii="Times New Roman" w:hAnsi="Times New Roman"/>
                <w:b/>
                <w:bCs/>
                <w:sz w:val="24"/>
              </w:rPr>
            </w:pPr>
            <w:r>
              <w:rPr>
                <w:rFonts w:ascii="Times New Roman" w:hAnsi="Times New Roman"/>
                <w:b/>
                <w:bCs/>
                <w:sz w:val="24"/>
              </w:rPr>
              <w:t>（五）本项目主要原辅材料及能耗情况</w:t>
            </w:r>
          </w:p>
          <w:p w14:paraId="14B8DD94">
            <w:pPr>
              <w:spacing w:line="360" w:lineRule="auto"/>
              <w:ind w:firstLine="480" w:firstLineChars="200"/>
              <w:rPr>
                <w:rFonts w:ascii="Times New Roman" w:hAnsi="Times New Roman"/>
                <w:b/>
                <w:sz w:val="24"/>
              </w:rPr>
            </w:pPr>
            <w:r>
              <w:rPr>
                <w:rFonts w:ascii="Times New Roman" w:hAnsi="Times New Roman"/>
                <w:sz w:val="24"/>
              </w:rPr>
              <w:t>本项目主要原辅材料及能耗情况见表1-2。</w:t>
            </w:r>
          </w:p>
          <w:p w14:paraId="076F8479">
            <w:pPr>
              <w:pStyle w:val="52"/>
              <w:spacing w:line="360" w:lineRule="auto"/>
              <w:jc w:val="center"/>
              <w:rPr>
                <w:rFonts w:ascii="Times New Roman" w:hAnsi="Times New Roman"/>
                <w:b/>
                <w:bCs/>
                <w:sz w:val="24"/>
              </w:rPr>
            </w:pPr>
            <w:r>
              <w:rPr>
                <w:rFonts w:ascii="Times New Roman" w:hAnsi="Times New Roman"/>
                <w:b/>
                <w:bCs/>
                <w:sz w:val="24"/>
              </w:rPr>
              <w:t>表1-2 主要原辅材料及能耗情况表</w:t>
            </w:r>
          </w:p>
          <w:tbl>
            <w:tblPr>
              <w:tblStyle w:val="23"/>
              <w:tblW w:w="0" w:type="auto"/>
              <w:tblInd w:w="0" w:type="dxa"/>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303"/>
              <w:gridCol w:w="1890"/>
              <w:gridCol w:w="1440"/>
              <w:gridCol w:w="1935"/>
              <w:gridCol w:w="1230"/>
              <w:gridCol w:w="998"/>
            </w:tblGrid>
            <w:tr w14:paraId="1A66DA91">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303" w:type="dxa"/>
                  <w:tcBorders>
                    <w:top w:val="single" w:color="000000" w:sz="12" w:space="0"/>
                    <w:bottom w:val="single" w:color="auto" w:sz="4" w:space="0"/>
                    <w:right w:val="single" w:color="auto" w:sz="4" w:space="0"/>
                  </w:tcBorders>
                  <w:vAlign w:val="center"/>
                </w:tcPr>
                <w:p w14:paraId="76DA7A3D">
                  <w:pPr>
                    <w:jc w:val="center"/>
                    <w:rPr>
                      <w:rFonts w:ascii="Times New Roman" w:hAnsi="Times New Roman"/>
                      <w:szCs w:val="21"/>
                    </w:rPr>
                  </w:pPr>
                  <w:r>
                    <w:rPr>
                      <w:rFonts w:ascii="Times New Roman" w:hAnsi="Times New Roman"/>
                      <w:szCs w:val="21"/>
                    </w:rPr>
                    <w:t>类别</w:t>
                  </w:r>
                </w:p>
              </w:tc>
              <w:tc>
                <w:tcPr>
                  <w:tcW w:w="1890" w:type="dxa"/>
                  <w:tcBorders>
                    <w:top w:val="single" w:color="000000" w:sz="12" w:space="0"/>
                    <w:left w:val="single" w:color="auto" w:sz="4" w:space="0"/>
                    <w:bottom w:val="single" w:color="auto" w:sz="4" w:space="0"/>
                    <w:right w:val="single" w:color="auto" w:sz="4" w:space="0"/>
                  </w:tcBorders>
                  <w:vAlign w:val="center"/>
                </w:tcPr>
                <w:p w14:paraId="2B07CE4F">
                  <w:pPr>
                    <w:jc w:val="center"/>
                    <w:rPr>
                      <w:rFonts w:ascii="Times New Roman" w:hAnsi="Times New Roman"/>
                      <w:szCs w:val="21"/>
                    </w:rPr>
                  </w:pPr>
                  <w:r>
                    <w:rPr>
                      <w:rFonts w:ascii="Times New Roman" w:hAnsi="Times New Roman"/>
                      <w:szCs w:val="21"/>
                    </w:rPr>
                    <w:t>名称</w:t>
                  </w:r>
                </w:p>
              </w:tc>
              <w:tc>
                <w:tcPr>
                  <w:tcW w:w="1440" w:type="dxa"/>
                  <w:tcBorders>
                    <w:top w:val="single" w:color="000000" w:sz="12" w:space="0"/>
                    <w:left w:val="single" w:color="auto" w:sz="4" w:space="0"/>
                    <w:bottom w:val="single" w:color="auto" w:sz="4" w:space="0"/>
                    <w:right w:val="single" w:color="auto" w:sz="4" w:space="0"/>
                  </w:tcBorders>
                  <w:vAlign w:val="center"/>
                </w:tcPr>
                <w:p w14:paraId="30ED1B85">
                  <w:pPr>
                    <w:jc w:val="center"/>
                    <w:rPr>
                      <w:rFonts w:ascii="Times New Roman" w:hAnsi="Times New Roman"/>
                      <w:szCs w:val="21"/>
                    </w:rPr>
                  </w:pPr>
                  <w:r>
                    <w:rPr>
                      <w:rFonts w:ascii="Times New Roman" w:hAnsi="Times New Roman"/>
                      <w:szCs w:val="21"/>
                    </w:rPr>
                    <w:t>年耗量</w:t>
                  </w:r>
                </w:p>
              </w:tc>
              <w:tc>
                <w:tcPr>
                  <w:tcW w:w="1935" w:type="dxa"/>
                  <w:tcBorders>
                    <w:top w:val="single" w:color="000000" w:sz="12" w:space="0"/>
                    <w:left w:val="single" w:color="auto" w:sz="4" w:space="0"/>
                    <w:bottom w:val="single" w:color="auto" w:sz="4" w:space="0"/>
                    <w:right w:val="single" w:color="auto" w:sz="4" w:space="0"/>
                  </w:tcBorders>
                  <w:vAlign w:val="center"/>
                </w:tcPr>
                <w:p w14:paraId="11BD4BC5">
                  <w:pPr>
                    <w:jc w:val="center"/>
                    <w:rPr>
                      <w:rFonts w:ascii="Times New Roman" w:hAnsi="Times New Roman"/>
                      <w:szCs w:val="21"/>
                    </w:rPr>
                  </w:pPr>
                  <w:r>
                    <w:rPr>
                      <w:rFonts w:ascii="Times New Roman" w:hAnsi="Times New Roman"/>
                      <w:szCs w:val="21"/>
                    </w:rPr>
                    <w:t>来源</w:t>
                  </w:r>
                </w:p>
              </w:tc>
              <w:tc>
                <w:tcPr>
                  <w:tcW w:w="1230" w:type="dxa"/>
                  <w:tcBorders>
                    <w:top w:val="single" w:color="000000" w:sz="12" w:space="0"/>
                    <w:left w:val="single" w:color="auto" w:sz="4" w:space="0"/>
                    <w:bottom w:val="single" w:color="auto" w:sz="4" w:space="0"/>
                  </w:tcBorders>
                  <w:vAlign w:val="center"/>
                </w:tcPr>
                <w:p w14:paraId="49B98FC6">
                  <w:pPr>
                    <w:jc w:val="center"/>
                    <w:rPr>
                      <w:rFonts w:ascii="Times New Roman" w:hAnsi="Times New Roman"/>
                      <w:szCs w:val="21"/>
                    </w:rPr>
                  </w:pPr>
                  <w:r>
                    <w:rPr>
                      <w:rFonts w:ascii="Times New Roman" w:hAnsi="Times New Roman"/>
                      <w:szCs w:val="21"/>
                    </w:rPr>
                    <w:t>用途</w:t>
                  </w:r>
                </w:p>
              </w:tc>
              <w:tc>
                <w:tcPr>
                  <w:tcW w:w="998" w:type="dxa"/>
                  <w:tcBorders>
                    <w:top w:val="single" w:color="000000" w:sz="12" w:space="0"/>
                    <w:left w:val="single" w:color="auto" w:sz="4" w:space="0"/>
                    <w:bottom w:val="single" w:color="auto" w:sz="4" w:space="0"/>
                  </w:tcBorders>
                  <w:vAlign w:val="center"/>
                </w:tcPr>
                <w:p w14:paraId="133D6B7E">
                  <w:pPr>
                    <w:jc w:val="center"/>
                    <w:rPr>
                      <w:rFonts w:ascii="Times New Roman" w:hAnsi="Times New Roman"/>
                      <w:szCs w:val="21"/>
                    </w:rPr>
                  </w:pPr>
                  <w:r>
                    <w:rPr>
                      <w:rFonts w:ascii="Times New Roman" w:hAnsi="Times New Roman"/>
                      <w:szCs w:val="21"/>
                    </w:rPr>
                    <w:t>备注</w:t>
                  </w:r>
                </w:p>
              </w:tc>
            </w:tr>
            <w:tr w14:paraId="588BCFB5">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303" w:type="dxa"/>
                  <w:tcBorders>
                    <w:top w:val="single" w:color="auto" w:sz="4" w:space="0"/>
                    <w:bottom w:val="single" w:color="auto" w:sz="4" w:space="0"/>
                    <w:right w:val="single" w:color="auto" w:sz="4" w:space="0"/>
                  </w:tcBorders>
                  <w:shd w:val="clear" w:color="auto" w:fill="auto"/>
                  <w:vAlign w:val="center"/>
                </w:tcPr>
                <w:p w14:paraId="3AFD8C65">
                  <w:pPr>
                    <w:jc w:val="center"/>
                    <w:rPr>
                      <w:rFonts w:ascii="Times New Roman" w:hAnsi="Times New Roman"/>
                      <w:szCs w:val="21"/>
                    </w:rPr>
                  </w:pPr>
                  <w:r>
                    <w:rPr>
                      <w:rFonts w:ascii="Times New Roman" w:hAnsi="Times New Roman"/>
                      <w:szCs w:val="21"/>
                    </w:rPr>
                    <w:t>能源</w:t>
                  </w:r>
                </w:p>
              </w:tc>
              <w:tc>
                <w:tcPr>
                  <w:tcW w:w="1890" w:type="dxa"/>
                  <w:tcBorders>
                    <w:top w:val="single" w:color="auto" w:sz="4" w:space="0"/>
                    <w:left w:val="single" w:color="auto" w:sz="4" w:space="0"/>
                    <w:bottom w:val="single" w:color="auto" w:sz="4" w:space="0"/>
                    <w:right w:val="single" w:color="auto" w:sz="4" w:space="0"/>
                  </w:tcBorders>
                  <w:shd w:val="clear" w:color="auto" w:fill="auto"/>
                  <w:vAlign w:val="center"/>
                </w:tcPr>
                <w:p w14:paraId="433FAB65">
                  <w:pPr>
                    <w:jc w:val="center"/>
                    <w:rPr>
                      <w:rFonts w:hint="eastAsia" w:ascii="Times New Roman" w:hAnsi="Times New Roman" w:eastAsia="宋体"/>
                      <w:szCs w:val="21"/>
                      <w:lang w:eastAsia="zh-CN"/>
                    </w:rPr>
                  </w:pPr>
                  <w:r>
                    <w:rPr>
                      <w:rFonts w:ascii="Times New Roman" w:hAnsi="Times New Roman"/>
                      <w:szCs w:val="21"/>
                    </w:rPr>
                    <w:t>电</w:t>
                  </w:r>
                  <w:r>
                    <w:rPr>
                      <w:rFonts w:hint="eastAsia" w:ascii="Times New Roman" w:hAnsi="Times New Roman"/>
                      <w:szCs w:val="21"/>
                      <w:lang w:eastAsia="zh-CN"/>
                    </w:rPr>
                    <w:t>（</w:t>
                  </w:r>
                  <w:r>
                    <w:rPr>
                      <w:rFonts w:ascii="Times New Roman" w:hAnsi="Times New Roman"/>
                      <w:szCs w:val="21"/>
                    </w:rPr>
                    <w:t>kW•h</w:t>
                  </w:r>
                  <w:r>
                    <w:rPr>
                      <w:rFonts w:hint="eastAsia" w:ascii="Times New Roman" w:hAnsi="Times New Roman"/>
                      <w:szCs w:val="21"/>
                      <w:lang w:eastAsia="zh-CN"/>
                    </w:rPr>
                    <w:t>）</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C923E10">
                  <w:pPr>
                    <w:jc w:val="center"/>
                    <w:rPr>
                      <w:rFonts w:ascii="Times New Roman" w:hAnsi="Times New Roman"/>
                      <w:szCs w:val="21"/>
                    </w:rPr>
                  </w:pPr>
                  <w:r>
                    <w:rPr>
                      <w:rFonts w:ascii="Times New Roman" w:hAnsi="Times New Roman"/>
                      <w:szCs w:val="21"/>
                    </w:rPr>
                    <w:t>2000度</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175B4CE">
                  <w:pPr>
                    <w:jc w:val="center"/>
                    <w:rPr>
                      <w:rFonts w:ascii="Times New Roman" w:hAnsi="Times New Roman"/>
                      <w:szCs w:val="21"/>
                    </w:rPr>
                  </w:pPr>
                  <w:r>
                    <w:rPr>
                      <w:rFonts w:ascii="Times New Roman" w:hAnsi="Times New Roman"/>
                      <w:szCs w:val="21"/>
                    </w:rPr>
                    <w:t>市政电网</w:t>
                  </w:r>
                </w:p>
              </w:tc>
              <w:tc>
                <w:tcPr>
                  <w:tcW w:w="1230" w:type="dxa"/>
                  <w:tcBorders>
                    <w:top w:val="single" w:color="auto" w:sz="4" w:space="0"/>
                    <w:left w:val="single" w:color="auto" w:sz="4" w:space="0"/>
                    <w:bottom w:val="single" w:color="auto" w:sz="4" w:space="0"/>
                  </w:tcBorders>
                  <w:shd w:val="clear" w:color="auto" w:fill="auto"/>
                  <w:vAlign w:val="center"/>
                </w:tcPr>
                <w:p w14:paraId="56236CDA">
                  <w:pPr>
                    <w:jc w:val="center"/>
                    <w:rPr>
                      <w:rFonts w:ascii="Times New Roman" w:hAnsi="Times New Roman"/>
                      <w:szCs w:val="21"/>
                    </w:rPr>
                  </w:pPr>
                  <w:r>
                    <w:rPr>
                      <w:rFonts w:ascii="Times New Roman" w:hAnsi="Times New Roman"/>
                      <w:szCs w:val="21"/>
                    </w:rPr>
                    <w:t>机房用电</w:t>
                  </w:r>
                </w:p>
              </w:tc>
              <w:tc>
                <w:tcPr>
                  <w:tcW w:w="998" w:type="dxa"/>
                  <w:tcBorders>
                    <w:top w:val="single" w:color="auto" w:sz="4" w:space="0"/>
                    <w:left w:val="single" w:color="auto" w:sz="4" w:space="0"/>
                    <w:bottom w:val="single" w:color="auto" w:sz="4" w:space="0"/>
                  </w:tcBorders>
                  <w:shd w:val="clear" w:color="auto" w:fill="auto"/>
                  <w:vAlign w:val="center"/>
                </w:tcPr>
                <w:p w14:paraId="3B0CF528">
                  <w:pPr>
                    <w:jc w:val="center"/>
                    <w:rPr>
                      <w:rFonts w:hint="default" w:ascii="Times New Roman" w:hAnsi="Times New Roman" w:eastAsia="宋体"/>
                      <w:szCs w:val="21"/>
                      <w:lang w:val="en-US" w:eastAsia="zh-CN"/>
                    </w:rPr>
                  </w:pPr>
                  <w:r>
                    <w:rPr>
                      <w:rFonts w:hint="eastAsia" w:ascii="Times New Roman" w:hAnsi="Times New Roman"/>
                      <w:szCs w:val="21"/>
                      <w:lang w:val="en-US" w:eastAsia="zh-CN"/>
                    </w:rPr>
                    <w:t>/</w:t>
                  </w:r>
                </w:p>
              </w:tc>
            </w:tr>
            <w:tr w14:paraId="49CB1D8A">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303" w:type="dxa"/>
                  <w:tcBorders>
                    <w:top w:val="single" w:color="auto" w:sz="4" w:space="0"/>
                    <w:bottom w:val="single" w:color="auto" w:sz="4" w:space="0"/>
                    <w:right w:val="single" w:color="auto" w:sz="4" w:space="0"/>
                  </w:tcBorders>
                  <w:shd w:val="clear" w:color="auto" w:fill="auto"/>
                  <w:vAlign w:val="center"/>
                </w:tcPr>
                <w:p w14:paraId="72041458">
                  <w:pPr>
                    <w:jc w:val="center"/>
                    <w:rPr>
                      <w:rFonts w:ascii="Times New Roman" w:hAnsi="Times New Roman"/>
                      <w:szCs w:val="21"/>
                    </w:rPr>
                  </w:pPr>
                  <w:r>
                    <w:rPr>
                      <w:rFonts w:ascii="Times New Roman" w:hAnsi="Times New Roman"/>
                      <w:szCs w:val="21"/>
                    </w:rPr>
                    <w:t>水</w:t>
                  </w:r>
                </w:p>
              </w:tc>
              <w:tc>
                <w:tcPr>
                  <w:tcW w:w="1890" w:type="dxa"/>
                  <w:tcBorders>
                    <w:top w:val="single" w:color="auto" w:sz="4" w:space="0"/>
                    <w:left w:val="single" w:color="auto" w:sz="4" w:space="0"/>
                    <w:bottom w:val="single" w:color="auto" w:sz="4" w:space="0"/>
                    <w:right w:val="single" w:color="auto" w:sz="4" w:space="0"/>
                  </w:tcBorders>
                  <w:shd w:val="clear" w:color="auto" w:fill="auto"/>
                  <w:vAlign w:val="center"/>
                </w:tcPr>
                <w:p w14:paraId="5259701F">
                  <w:pPr>
                    <w:jc w:val="center"/>
                    <w:rPr>
                      <w:rFonts w:ascii="Times New Roman" w:hAnsi="Times New Roman"/>
                      <w:szCs w:val="21"/>
                    </w:rPr>
                  </w:pPr>
                  <w:r>
                    <w:rPr>
                      <w:rFonts w:ascii="Times New Roman" w:hAnsi="Times New Roman"/>
                      <w:szCs w:val="21"/>
                    </w:rPr>
                    <w:t>生活用水</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02931E">
                  <w:pPr>
                    <w:jc w:val="center"/>
                    <w:rPr>
                      <w:rFonts w:ascii="Times New Roman" w:hAnsi="Times New Roman"/>
                      <w:szCs w:val="21"/>
                    </w:rPr>
                  </w:pPr>
                  <w:r>
                    <w:rPr>
                      <w:rFonts w:hint="eastAsia" w:ascii="Times New Roman" w:hAnsi="Times New Roman"/>
                      <w:szCs w:val="21"/>
                      <w:lang w:val="en-US" w:eastAsia="zh-CN"/>
                    </w:rPr>
                    <w:t>606</w:t>
                  </w:r>
                  <w:r>
                    <w:rPr>
                      <w:rFonts w:ascii="Times New Roman" w:hAnsi="Times New Roman"/>
                      <w:szCs w:val="21"/>
                    </w:rPr>
                    <w:t>m</w:t>
                  </w:r>
                  <w:r>
                    <w:rPr>
                      <w:rFonts w:ascii="Times New Roman" w:hAnsi="Times New Roman"/>
                      <w:szCs w:val="21"/>
                      <w:vertAlign w:val="superscript"/>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3601469">
                  <w:pPr>
                    <w:jc w:val="center"/>
                    <w:rPr>
                      <w:rFonts w:ascii="Times New Roman" w:hAnsi="Times New Roman"/>
                      <w:szCs w:val="21"/>
                    </w:rPr>
                  </w:pPr>
                  <w:r>
                    <w:rPr>
                      <w:rFonts w:ascii="Times New Roman" w:hAnsi="Times New Roman"/>
                      <w:szCs w:val="21"/>
                    </w:rPr>
                    <w:t>市政水网</w:t>
                  </w:r>
                </w:p>
              </w:tc>
              <w:tc>
                <w:tcPr>
                  <w:tcW w:w="1230" w:type="dxa"/>
                  <w:tcBorders>
                    <w:top w:val="single" w:color="auto" w:sz="4" w:space="0"/>
                    <w:left w:val="single" w:color="auto" w:sz="4" w:space="0"/>
                    <w:bottom w:val="single" w:color="auto" w:sz="4" w:space="0"/>
                  </w:tcBorders>
                  <w:shd w:val="clear" w:color="auto" w:fill="auto"/>
                  <w:vAlign w:val="center"/>
                </w:tcPr>
                <w:p w14:paraId="53E41FB3">
                  <w:pPr>
                    <w:jc w:val="center"/>
                    <w:rPr>
                      <w:rFonts w:ascii="Times New Roman" w:hAnsi="Times New Roman"/>
                      <w:szCs w:val="21"/>
                    </w:rPr>
                  </w:pPr>
                  <w:r>
                    <w:rPr>
                      <w:rFonts w:ascii="Times New Roman" w:hAnsi="Times New Roman"/>
                      <w:szCs w:val="21"/>
                    </w:rPr>
                    <w:t>生活用水</w:t>
                  </w:r>
                </w:p>
              </w:tc>
              <w:tc>
                <w:tcPr>
                  <w:tcW w:w="998" w:type="dxa"/>
                  <w:tcBorders>
                    <w:top w:val="single" w:color="auto" w:sz="4" w:space="0"/>
                    <w:left w:val="single" w:color="auto" w:sz="4" w:space="0"/>
                    <w:bottom w:val="single" w:color="auto" w:sz="4" w:space="0"/>
                  </w:tcBorders>
                  <w:shd w:val="clear" w:color="auto" w:fill="auto"/>
                  <w:vAlign w:val="center"/>
                </w:tcPr>
                <w:p w14:paraId="62874F54">
                  <w:pPr>
                    <w:jc w:val="center"/>
                    <w:rPr>
                      <w:rFonts w:ascii="Times New Roman" w:hAnsi="Times New Roman"/>
                      <w:szCs w:val="21"/>
                    </w:rPr>
                  </w:pPr>
                  <w:r>
                    <w:rPr>
                      <w:rFonts w:hint="eastAsia" w:ascii="Times New Roman" w:hAnsi="Times New Roman"/>
                      <w:szCs w:val="21"/>
                      <w:lang w:val="en-US" w:eastAsia="zh-CN"/>
                    </w:rPr>
                    <w:t>/</w:t>
                  </w:r>
                </w:p>
              </w:tc>
            </w:tr>
            <w:tr w14:paraId="36D8ADE4">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303" w:type="dxa"/>
                  <w:tcBorders>
                    <w:top w:val="single" w:color="auto" w:sz="4" w:space="0"/>
                    <w:bottom w:val="single" w:color="auto" w:sz="4" w:space="0"/>
                    <w:right w:val="single" w:color="auto" w:sz="4" w:space="0"/>
                  </w:tcBorders>
                  <w:shd w:val="clear" w:color="auto" w:fill="auto"/>
                  <w:vAlign w:val="center"/>
                </w:tcPr>
                <w:p w14:paraId="5B2BA6DA">
                  <w:pPr>
                    <w:jc w:val="center"/>
                    <w:rPr>
                      <w:rFonts w:ascii="Times New Roman" w:hAnsi="Times New Roman"/>
                      <w:szCs w:val="21"/>
                    </w:rPr>
                  </w:pPr>
                  <w:r>
                    <w:rPr>
                      <w:rFonts w:ascii="Times New Roman" w:hAnsi="Times New Roman"/>
                      <w:szCs w:val="21"/>
                    </w:rPr>
                    <w:t>手术耗材</w:t>
                  </w:r>
                </w:p>
              </w:tc>
              <w:tc>
                <w:tcPr>
                  <w:tcW w:w="1890" w:type="dxa"/>
                  <w:tcBorders>
                    <w:top w:val="single" w:color="auto" w:sz="4" w:space="0"/>
                    <w:left w:val="single" w:color="auto" w:sz="4" w:space="0"/>
                    <w:bottom w:val="single" w:color="auto" w:sz="4" w:space="0"/>
                    <w:right w:val="single" w:color="auto" w:sz="4" w:space="0"/>
                  </w:tcBorders>
                  <w:shd w:val="clear" w:color="auto" w:fill="auto"/>
                  <w:vAlign w:val="center"/>
                </w:tcPr>
                <w:p w14:paraId="6F643CC2">
                  <w:pPr>
                    <w:jc w:val="center"/>
                    <w:rPr>
                      <w:rFonts w:ascii="Times New Roman" w:hAnsi="Times New Roman"/>
                      <w:szCs w:val="21"/>
                    </w:rPr>
                  </w:pPr>
                  <w:r>
                    <w:rPr>
                      <w:rFonts w:ascii="Times New Roman" w:hAnsi="Times New Roman"/>
                      <w:szCs w:val="21"/>
                    </w:rPr>
                    <w:t>碘克沙醇注射液</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F8BF895">
                  <w:pPr>
                    <w:jc w:val="center"/>
                    <w:rPr>
                      <w:rFonts w:ascii="Times New Roman" w:hAnsi="Times New Roman"/>
                      <w:szCs w:val="21"/>
                    </w:rPr>
                  </w:pPr>
                  <w:r>
                    <w:rPr>
                      <w:rFonts w:ascii="Times New Roman" w:hAnsi="Times New Roman"/>
                      <w:szCs w:val="21"/>
                    </w:rPr>
                    <w:t>100ml/瓶</w:t>
                  </w:r>
                </w:p>
                <w:p w14:paraId="6B95BA1B">
                  <w:pPr>
                    <w:jc w:val="center"/>
                    <w:rPr>
                      <w:rFonts w:ascii="Times New Roman" w:hAnsi="Times New Roman"/>
                      <w:szCs w:val="21"/>
                    </w:rPr>
                  </w:pPr>
                  <w:r>
                    <w:rPr>
                      <w:rFonts w:ascii="Times New Roman" w:hAnsi="Times New Roman"/>
                      <w:szCs w:val="21"/>
                    </w:rPr>
                    <w:t>1000瓶</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71BFF95">
                  <w:pPr>
                    <w:jc w:val="center"/>
                    <w:rPr>
                      <w:rFonts w:ascii="Times New Roman" w:hAnsi="Times New Roman"/>
                      <w:szCs w:val="21"/>
                    </w:rPr>
                  </w:pPr>
                  <w:r>
                    <w:rPr>
                      <w:rFonts w:ascii="Times New Roman" w:hAnsi="Times New Roman"/>
                      <w:szCs w:val="21"/>
                    </w:rPr>
                    <w:t>每年供应商招标</w:t>
                  </w:r>
                </w:p>
              </w:tc>
              <w:tc>
                <w:tcPr>
                  <w:tcW w:w="1230" w:type="dxa"/>
                  <w:tcBorders>
                    <w:top w:val="single" w:color="auto" w:sz="4" w:space="0"/>
                    <w:left w:val="single" w:color="auto" w:sz="4" w:space="0"/>
                    <w:bottom w:val="single" w:color="auto" w:sz="4" w:space="0"/>
                  </w:tcBorders>
                  <w:shd w:val="clear" w:color="auto" w:fill="auto"/>
                  <w:vAlign w:val="center"/>
                </w:tcPr>
                <w:p w14:paraId="1D2D66CB">
                  <w:pPr>
                    <w:jc w:val="center"/>
                    <w:rPr>
                      <w:rFonts w:ascii="Times New Roman" w:hAnsi="Times New Roman"/>
                      <w:szCs w:val="21"/>
                    </w:rPr>
                  </w:pPr>
                  <w:r>
                    <w:rPr>
                      <w:rFonts w:ascii="Times New Roman" w:hAnsi="Times New Roman"/>
                      <w:szCs w:val="21"/>
                    </w:rPr>
                    <w:t>造影剂</w:t>
                  </w:r>
                </w:p>
              </w:tc>
              <w:tc>
                <w:tcPr>
                  <w:tcW w:w="998" w:type="dxa"/>
                  <w:tcBorders>
                    <w:top w:val="single" w:color="auto" w:sz="4" w:space="0"/>
                    <w:left w:val="single" w:color="auto" w:sz="4" w:space="0"/>
                    <w:bottom w:val="single" w:color="auto" w:sz="4" w:space="0"/>
                  </w:tcBorders>
                  <w:shd w:val="clear" w:color="auto" w:fill="auto"/>
                  <w:vAlign w:val="center"/>
                </w:tcPr>
                <w:p w14:paraId="2F423619">
                  <w:pPr>
                    <w:jc w:val="center"/>
                    <w:rPr>
                      <w:rFonts w:ascii="Times New Roman" w:hAnsi="Times New Roman"/>
                      <w:szCs w:val="21"/>
                    </w:rPr>
                  </w:pPr>
                  <w:r>
                    <w:rPr>
                      <w:rFonts w:ascii="Times New Roman" w:hAnsi="Times New Roman"/>
                      <w:szCs w:val="21"/>
                    </w:rPr>
                    <w:t>320mg碘/ml</w:t>
                  </w:r>
                </w:p>
              </w:tc>
            </w:tr>
            <w:tr w14:paraId="64887840">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303" w:type="dxa"/>
                  <w:tcBorders>
                    <w:top w:val="single" w:color="auto" w:sz="4" w:space="0"/>
                    <w:bottom w:val="single" w:color="auto" w:sz="4" w:space="0"/>
                    <w:right w:val="single" w:color="auto" w:sz="4" w:space="0"/>
                  </w:tcBorders>
                  <w:shd w:val="clear" w:color="auto" w:fill="auto"/>
                  <w:vAlign w:val="center"/>
                </w:tcPr>
                <w:p w14:paraId="4F5ED7C5">
                  <w:pPr>
                    <w:jc w:val="center"/>
                    <w:rPr>
                      <w:rFonts w:ascii="Times New Roman" w:hAnsi="Times New Roman"/>
                      <w:szCs w:val="21"/>
                    </w:rPr>
                  </w:pPr>
                  <w:r>
                    <w:rPr>
                      <w:rFonts w:ascii="Times New Roman" w:hAnsi="Times New Roman"/>
                      <w:szCs w:val="21"/>
                    </w:rPr>
                    <w:t>手术耗材</w:t>
                  </w:r>
                </w:p>
              </w:tc>
              <w:tc>
                <w:tcPr>
                  <w:tcW w:w="1890" w:type="dxa"/>
                  <w:tcBorders>
                    <w:top w:val="single" w:color="auto" w:sz="4" w:space="0"/>
                    <w:left w:val="single" w:color="auto" w:sz="4" w:space="0"/>
                    <w:bottom w:val="single" w:color="auto" w:sz="4" w:space="0"/>
                    <w:right w:val="single" w:color="auto" w:sz="4" w:space="0"/>
                  </w:tcBorders>
                  <w:shd w:val="clear" w:color="auto" w:fill="auto"/>
                  <w:vAlign w:val="center"/>
                </w:tcPr>
                <w:p w14:paraId="0295CF0A">
                  <w:pPr>
                    <w:jc w:val="center"/>
                    <w:rPr>
                      <w:rFonts w:ascii="Times New Roman" w:hAnsi="Times New Roman"/>
                      <w:szCs w:val="21"/>
                    </w:rPr>
                  </w:pPr>
                  <w:r>
                    <w:rPr>
                      <w:rFonts w:ascii="Times New Roman" w:hAnsi="Times New Roman"/>
                      <w:szCs w:val="21"/>
                    </w:rPr>
                    <w:t>手套</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261DC9E">
                  <w:pPr>
                    <w:jc w:val="center"/>
                    <w:rPr>
                      <w:rFonts w:ascii="Times New Roman" w:hAnsi="Times New Roman"/>
                      <w:szCs w:val="21"/>
                    </w:rPr>
                  </w:pPr>
                  <w:r>
                    <w:rPr>
                      <w:rFonts w:hint="eastAsia" w:ascii="Times New Roman" w:hAnsi="Times New Roman"/>
                      <w:szCs w:val="21"/>
                      <w:lang w:val="en-US" w:eastAsia="zh-CN"/>
                    </w:rPr>
                    <w:t>8</w:t>
                  </w:r>
                  <w:r>
                    <w:rPr>
                      <w:rFonts w:hint="eastAsia" w:ascii="Times New Roman" w:hAnsi="Times New Roman"/>
                      <w:szCs w:val="21"/>
                    </w:rPr>
                    <w:t>0</w:t>
                  </w:r>
                  <w:r>
                    <w:rPr>
                      <w:rFonts w:ascii="Times New Roman" w:hAnsi="Times New Roman"/>
                      <w:szCs w:val="21"/>
                    </w:rPr>
                    <w:t>kg</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40E56DE">
                  <w:pPr>
                    <w:jc w:val="center"/>
                    <w:rPr>
                      <w:rFonts w:ascii="Times New Roman" w:hAnsi="Times New Roman"/>
                      <w:szCs w:val="21"/>
                    </w:rPr>
                  </w:pPr>
                  <w:r>
                    <w:rPr>
                      <w:rFonts w:ascii="Times New Roman" w:hAnsi="Times New Roman"/>
                      <w:szCs w:val="21"/>
                    </w:rPr>
                    <w:t>每年供应商招标</w:t>
                  </w:r>
                </w:p>
              </w:tc>
              <w:tc>
                <w:tcPr>
                  <w:tcW w:w="1230" w:type="dxa"/>
                  <w:tcBorders>
                    <w:top w:val="single" w:color="auto" w:sz="4" w:space="0"/>
                    <w:left w:val="single" w:color="auto" w:sz="4" w:space="0"/>
                    <w:bottom w:val="single" w:color="auto" w:sz="4" w:space="0"/>
                  </w:tcBorders>
                  <w:shd w:val="clear" w:color="auto" w:fill="auto"/>
                  <w:vAlign w:val="center"/>
                </w:tcPr>
                <w:p w14:paraId="4176CC06">
                  <w:pPr>
                    <w:jc w:val="center"/>
                    <w:rPr>
                      <w:rFonts w:ascii="Times New Roman" w:hAnsi="Times New Roman"/>
                      <w:szCs w:val="21"/>
                    </w:rPr>
                  </w:pPr>
                  <w:r>
                    <w:rPr>
                      <w:rFonts w:ascii="Times New Roman" w:hAnsi="Times New Roman"/>
                      <w:szCs w:val="21"/>
                    </w:rPr>
                    <w:t>介入手术</w:t>
                  </w:r>
                </w:p>
              </w:tc>
              <w:tc>
                <w:tcPr>
                  <w:tcW w:w="998" w:type="dxa"/>
                  <w:tcBorders>
                    <w:top w:val="single" w:color="auto" w:sz="4" w:space="0"/>
                    <w:left w:val="single" w:color="auto" w:sz="4" w:space="0"/>
                    <w:bottom w:val="single" w:color="auto" w:sz="4" w:space="0"/>
                  </w:tcBorders>
                  <w:shd w:val="clear" w:color="auto" w:fill="auto"/>
                  <w:vAlign w:val="center"/>
                </w:tcPr>
                <w:p w14:paraId="5FCDBA35">
                  <w:pPr>
                    <w:jc w:val="center"/>
                    <w:rPr>
                      <w:rFonts w:ascii="Times New Roman" w:hAnsi="Times New Roman"/>
                      <w:szCs w:val="21"/>
                    </w:rPr>
                  </w:pPr>
                  <w:r>
                    <w:rPr>
                      <w:rFonts w:hint="eastAsia" w:ascii="Times New Roman" w:hAnsi="Times New Roman"/>
                      <w:szCs w:val="21"/>
                      <w:lang w:val="en-US" w:eastAsia="zh-CN"/>
                    </w:rPr>
                    <w:t>/</w:t>
                  </w:r>
                </w:p>
              </w:tc>
            </w:tr>
            <w:tr w14:paraId="78398742">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303" w:type="dxa"/>
                  <w:tcBorders>
                    <w:top w:val="single" w:color="auto" w:sz="4" w:space="0"/>
                    <w:bottom w:val="single" w:color="auto" w:sz="4" w:space="0"/>
                    <w:right w:val="single" w:color="auto" w:sz="4" w:space="0"/>
                  </w:tcBorders>
                  <w:vAlign w:val="center"/>
                </w:tcPr>
                <w:p w14:paraId="0D93FB02">
                  <w:pPr>
                    <w:jc w:val="center"/>
                    <w:rPr>
                      <w:rFonts w:ascii="Times New Roman" w:hAnsi="Times New Roman"/>
                      <w:szCs w:val="21"/>
                    </w:rPr>
                  </w:pPr>
                  <w:r>
                    <w:rPr>
                      <w:rFonts w:ascii="Times New Roman" w:hAnsi="Times New Roman"/>
                      <w:szCs w:val="21"/>
                    </w:rPr>
                    <w:t>手术耗材</w:t>
                  </w:r>
                </w:p>
              </w:tc>
              <w:tc>
                <w:tcPr>
                  <w:tcW w:w="1890" w:type="dxa"/>
                  <w:tcBorders>
                    <w:top w:val="single" w:color="auto" w:sz="4" w:space="0"/>
                    <w:left w:val="single" w:color="auto" w:sz="4" w:space="0"/>
                    <w:bottom w:val="single" w:color="auto" w:sz="4" w:space="0"/>
                    <w:right w:val="single" w:color="auto" w:sz="4" w:space="0"/>
                  </w:tcBorders>
                  <w:vAlign w:val="center"/>
                </w:tcPr>
                <w:p w14:paraId="67DE2F73">
                  <w:pPr>
                    <w:jc w:val="center"/>
                    <w:rPr>
                      <w:rFonts w:ascii="Times New Roman" w:hAnsi="Times New Roman"/>
                      <w:szCs w:val="21"/>
                    </w:rPr>
                  </w:pPr>
                  <w:r>
                    <w:rPr>
                      <w:rFonts w:ascii="Times New Roman" w:hAnsi="Times New Roman"/>
                      <w:szCs w:val="21"/>
                    </w:rPr>
                    <w:t>纱布</w:t>
                  </w:r>
                </w:p>
              </w:tc>
              <w:tc>
                <w:tcPr>
                  <w:tcW w:w="1440" w:type="dxa"/>
                  <w:tcBorders>
                    <w:top w:val="single" w:color="auto" w:sz="4" w:space="0"/>
                    <w:left w:val="single" w:color="auto" w:sz="4" w:space="0"/>
                    <w:bottom w:val="single" w:color="auto" w:sz="4" w:space="0"/>
                    <w:right w:val="single" w:color="auto" w:sz="4" w:space="0"/>
                  </w:tcBorders>
                  <w:vAlign w:val="center"/>
                </w:tcPr>
                <w:p w14:paraId="66E9845D">
                  <w:pPr>
                    <w:jc w:val="center"/>
                    <w:rPr>
                      <w:rFonts w:ascii="Times New Roman" w:hAnsi="Times New Roman"/>
                      <w:szCs w:val="21"/>
                    </w:rPr>
                  </w:pPr>
                  <w:r>
                    <w:rPr>
                      <w:rFonts w:hint="eastAsia" w:ascii="Times New Roman" w:hAnsi="Times New Roman"/>
                      <w:szCs w:val="21"/>
                      <w:lang w:val="en-US" w:eastAsia="zh-CN"/>
                    </w:rPr>
                    <w:t>8</w:t>
                  </w:r>
                  <w:r>
                    <w:rPr>
                      <w:rFonts w:hint="eastAsia" w:ascii="Times New Roman" w:hAnsi="Times New Roman"/>
                      <w:szCs w:val="21"/>
                    </w:rPr>
                    <w:t>0</w:t>
                  </w:r>
                  <w:r>
                    <w:rPr>
                      <w:rFonts w:ascii="Times New Roman" w:hAnsi="Times New Roman"/>
                      <w:szCs w:val="21"/>
                    </w:rPr>
                    <w:t>kg</w:t>
                  </w:r>
                </w:p>
              </w:tc>
              <w:tc>
                <w:tcPr>
                  <w:tcW w:w="1935" w:type="dxa"/>
                  <w:tcBorders>
                    <w:top w:val="single" w:color="auto" w:sz="4" w:space="0"/>
                    <w:left w:val="single" w:color="auto" w:sz="4" w:space="0"/>
                    <w:bottom w:val="single" w:color="auto" w:sz="4" w:space="0"/>
                    <w:right w:val="single" w:color="auto" w:sz="4" w:space="0"/>
                  </w:tcBorders>
                  <w:vAlign w:val="center"/>
                </w:tcPr>
                <w:p w14:paraId="491889F6">
                  <w:pPr>
                    <w:jc w:val="center"/>
                    <w:rPr>
                      <w:rFonts w:ascii="Times New Roman" w:hAnsi="Times New Roman"/>
                      <w:szCs w:val="21"/>
                    </w:rPr>
                  </w:pPr>
                  <w:r>
                    <w:rPr>
                      <w:rFonts w:ascii="Times New Roman" w:hAnsi="Times New Roman"/>
                      <w:szCs w:val="21"/>
                    </w:rPr>
                    <w:t>每年供应商招标</w:t>
                  </w:r>
                </w:p>
              </w:tc>
              <w:tc>
                <w:tcPr>
                  <w:tcW w:w="1230" w:type="dxa"/>
                  <w:tcBorders>
                    <w:top w:val="single" w:color="auto" w:sz="4" w:space="0"/>
                    <w:left w:val="single" w:color="auto" w:sz="4" w:space="0"/>
                    <w:bottom w:val="single" w:color="auto" w:sz="4" w:space="0"/>
                  </w:tcBorders>
                  <w:vAlign w:val="center"/>
                </w:tcPr>
                <w:p w14:paraId="48A0CCAE">
                  <w:pPr>
                    <w:jc w:val="center"/>
                    <w:rPr>
                      <w:rFonts w:ascii="Times New Roman" w:hAnsi="Times New Roman"/>
                      <w:szCs w:val="21"/>
                    </w:rPr>
                  </w:pPr>
                  <w:r>
                    <w:rPr>
                      <w:rFonts w:ascii="Times New Roman" w:hAnsi="Times New Roman"/>
                      <w:szCs w:val="21"/>
                    </w:rPr>
                    <w:t>介入手术</w:t>
                  </w:r>
                </w:p>
              </w:tc>
              <w:tc>
                <w:tcPr>
                  <w:tcW w:w="998" w:type="dxa"/>
                  <w:tcBorders>
                    <w:top w:val="single" w:color="auto" w:sz="4" w:space="0"/>
                    <w:left w:val="single" w:color="auto" w:sz="4" w:space="0"/>
                    <w:bottom w:val="single" w:color="auto" w:sz="4" w:space="0"/>
                  </w:tcBorders>
                  <w:vAlign w:val="center"/>
                </w:tcPr>
                <w:p w14:paraId="1729EF32">
                  <w:pPr>
                    <w:jc w:val="center"/>
                    <w:rPr>
                      <w:rFonts w:ascii="Times New Roman" w:hAnsi="Times New Roman"/>
                      <w:szCs w:val="21"/>
                    </w:rPr>
                  </w:pPr>
                  <w:r>
                    <w:rPr>
                      <w:rFonts w:hint="eastAsia" w:ascii="Times New Roman" w:hAnsi="Times New Roman"/>
                      <w:szCs w:val="21"/>
                      <w:lang w:val="en-US" w:eastAsia="zh-CN"/>
                    </w:rPr>
                    <w:t>/</w:t>
                  </w:r>
                </w:p>
              </w:tc>
            </w:tr>
            <w:tr w14:paraId="3F4B861E">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303" w:type="dxa"/>
                  <w:tcBorders>
                    <w:top w:val="single" w:color="auto" w:sz="4" w:space="0"/>
                    <w:bottom w:val="single" w:color="auto" w:sz="12" w:space="0"/>
                    <w:right w:val="single" w:color="auto" w:sz="4" w:space="0"/>
                  </w:tcBorders>
                  <w:vAlign w:val="center"/>
                </w:tcPr>
                <w:p w14:paraId="26445BDE">
                  <w:pPr>
                    <w:jc w:val="center"/>
                    <w:rPr>
                      <w:rFonts w:ascii="Times New Roman" w:hAnsi="Times New Roman"/>
                      <w:szCs w:val="21"/>
                    </w:rPr>
                  </w:pPr>
                  <w:r>
                    <w:rPr>
                      <w:rFonts w:ascii="Times New Roman" w:hAnsi="Times New Roman"/>
                      <w:szCs w:val="21"/>
                    </w:rPr>
                    <w:t>手术耗材</w:t>
                  </w:r>
                </w:p>
              </w:tc>
              <w:tc>
                <w:tcPr>
                  <w:tcW w:w="1890" w:type="dxa"/>
                  <w:tcBorders>
                    <w:top w:val="single" w:color="auto" w:sz="4" w:space="0"/>
                    <w:left w:val="single" w:color="auto" w:sz="4" w:space="0"/>
                    <w:bottom w:val="single" w:color="auto" w:sz="12" w:space="0"/>
                    <w:right w:val="single" w:color="auto" w:sz="4" w:space="0"/>
                  </w:tcBorders>
                  <w:vAlign w:val="center"/>
                </w:tcPr>
                <w:p w14:paraId="566F323C">
                  <w:pPr>
                    <w:jc w:val="center"/>
                    <w:rPr>
                      <w:rFonts w:ascii="Times New Roman" w:hAnsi="Times New Roman"/>
                      <w:szCs w:val="21"/>
                    </w:rPr>
                  </w:pPr>
                  <w:r>
                    <w:rPr>
                      <w:rFonts w:ascii="Times New Roman" w:hAnsi="Times New Roman"/>
                      <w:szCs w:val="21"/>
                    </w:rPr>
                    <w:t>药棉</w:t>
                  </w:r>
                </w:p>
              </w:tc>
              <w:tc>
                <w:tcPr>
                  <w:tcW w:w="1440" w:type="dxa"/>
                  <w:tcBorders>
                    <w:top w:val="single" w:color="auto" w:sz="4" w:space="0"/>
                    <w:left w:val="single" w:color="auto" w:sz="4" w:space="0"/>
                    <w:bottom w:val="single" w:color="auto" w:sz="12" w:space="0"/>
                    <w:right w:val="single" w:color="auto" w:sz="4" w:space="0"/>
                  </w:tcBorders>
                  <w:vAlign w:val="center"/>
                </w:tcPr>
                <w:p w14:paraId="1614186F">
                  <w:pPr>
                    <w:jc w:val="center"/>
                    <w:rPr>
                      <w:rFonts w:ascii="Times New Roman" w:hAnsi="Times New Roman"/>
                      <w:szCs w:val="21"/>
                    </w:rPr>
                  </w:pPr>
                  <w:r>
                    <w:rPr>
                      <w:rFonts w:hint="eastAsia" w:ascii="Times New Roman" w:hAnsi="Times New Roman"/>
                      <w:szCs w:val="21"/>
                      <w:lang w:val="en-US" w:eastAsia="zh-CN"/>
                    </w:rPr>
                    <w:t>8</w:t>
                  </w:r>
                  <w:r>
                    <w:rPr>
                      <w:rFonts w:hint="eastAsia" w:ascii="Times New Roman" w:hAnsi="Times New Roman"/>
                      <w:szCs w:val="21"/>
                    </w:rPr>
                    <w:t>0</w:t>
                  </w:r>
                  <w:r>
                    <w:rPr>
                      <w:rFonts w:ascii="Times New Roman" w:hAnsi="Times New Roman"/>
                      <w:szCs w:val="21"/>
                    </w:rPr>
                    <w:t>kg</w:t>
                  </w:r>
                </w:p>
              </w:tc>
              <w:tc>
                <w:tcPr>
                  <w:tcW w:w="1935" w:type="dxa"/>
                  <w:tcBorders>
                    <w:top w:val="single" w:color="auto" w:sz="4" w:space="0"/>
                    <w:left w:val="single" w:color="auto" w:sz="4" w:space="0"/>
                    <w:bottom w:val="single" w:color="auto" w:sz="12" w:space="0"/>
                    <w:right w:val="single" w:color="auto" w:sz="4" w:space="0"/>
                  </w:tcBorders>
                  <w:vAlign w:val="center"/>
                </w:tcPr>
                <w:p w14:paraId="483B3315">
                  <w:pPr>
                    <w:jc w:val="center"/>
                    <w:rPr>
                      <w:rFonts w:ascii="Times New Roman" w:hAnsi="Times New Roman"/>
                      <w:szCs w:val="21"/>
                    </w:rPr>
                  </w:pPr>
                  <w:r>
                    <w:rPr>
                      <w:rFonts w:ascii="Times New Roman" w:hAnsi="Times New Roman"/>
                      <w:szCs w:val="21"/>
                    </w:rPr>
                    <w:t>每年供应商招标</w:t>
                  </w:r>
                </w:p>
              </w:tc>
              <w:tc>
                <w:tcPr>
                  <w:tcW w:w="1230" w:type="dxa"/>
                  <w:tcBorders>
                    <w:top w:val="single" w:color="auto" w:sz="4" w:space="0"/>
                    <w:left w:val="single" w:color="auto" w:sz="4" w:space="0"/>
                    <w:bottom w:val="single" w:color="auto" w:sz="12" w:space="0"/>
                  </w:tcBorders>
                  <w:vAlign w:val="center"/>
                </w:tcPr>
                <w:p w14:paraId="60840726">
                  <w:pPr>
                    <w:jc w:val="center"/>
                    <w:rPr>
                      <w:rFonts w:ascii="Times New Roman" w:hAnsi="Times New Roman"/>
                      <w:szCs w:val="21"/>
                    </w:rPr>
                  </w:pPr>
                  <w:r>
                    <w:rPr>
                      <w:rFonts w:ascii="Times New Roman" w:hAnsi="Times New Roman"/>
                      <w:szCs w:val="21"/>
                    </w:rPr>
                    <w:t>介入手术</w:t>
                  </w:r>
                </w:p>
              </w:tc>
              <w:tc>
                <w:tcPr>
                  <w:tcW w:w="998" w:type="dxa"/>
                  <w:tcBorders>
                    <w:top w:val="single" w:color="auto" w:sz="4" w:space="0"/>
                    <w:left w:val="single" w:color="auto" w:sz="4" w:space="0"/>
                    <w:bottom w:val="single" w:color="auto" w:sz="12" w:space="0"/>
                  </w:tcBorders>
                  <w:vAlign w:val="center"/>
                </w:tcPr>
                <w:p w14:paraId="155F344C">
                  <w:pPr>
                    <w:jc w:val="center"/>
                    <w:rPr>
                      <w:rFonts w:ascii="Times New Roman" w:hAnsi="Times New Roman"/>
                      <w:szCs w:val="21"/>
                    </w:rPr>
                  </w:pPr>
                  <w:r>
                    <w:rPr>
                      <w:rFonts w:hint="eastAsia" w:ascii="Times New Roman" w:hAnsi="Times New Roman"/>
                      <w:szCs w:val="21"/>
                      <w:lang w:val="en-US" w:eastAsia="zh-CN"/>
                    </w:rPr>
                    <w:t>/</w:t>
                  </w:r>
                </w:p>
              </w:tc>
            </w:tr>
          </w:tbl>
          <w:p w14:paraId="4D7BD783">
            <w:pPr>
              <w:widowControl/>
              <w:spacing w:line="360" w:lineRule="auto"/>
              <w:ind w:firstLine="480" w:firstLineChars="200"/>
              <w:rPr>
                <w:rFonts w:ascii="Times New Roman" w:hAnsi="Times New Roman"/>
                <w:sz w:val="24"/>
              </w:rPr>
            </w:pPr>
            <w:r>
              <w:rPr>
                <w:rFonts w:ascii="Times New Roman" w:hAnsi="Times New Roman"/>
                <w:sz w:val="24"/>
              </w:rPr>
              <w:t>碘克沙醇注射液：分子式C</w:t>
            </w:r>
            <w:r>
              <w:rPr>
                <w:rFonts w:ascii="Times New Roman" w:hAnsi="Times New Roman"/>
                <w:sz w:val="24"/>
                <w:vertAlign w:val="subscript"/>
              </w:rPr>
              <w:t>35</w:t>
            </w:r>
            <w:r>
              <w:rPr>
                <w:rFonts w:ascii="Times New Roman" w:hAnsi="Times New Roman"/>
                <w:sz w:val="24"/>
              </w:rPr>
              <w:t>H</w:t>
            </w:r>
            <w:r>
              <w:rPr>
                <w:rFonts w:ascii="Times New Roman" w:hAnsi="Times New Roman"/>
                <w:sz w:val="24"/>
                <w:vertAlign w:val="subscript"/>
              </w:rPr>
              <w:t>44</w:t>
            </w:r>
            <w:r>
              <w:rPr>
                <w:rFonts w:ascii="Times New Roman" w:hAnsi="Times New Roman"/>
                <w:sz w:val="24"/>
              </w:rPr>
              <w:t>I</w:t>
            </w:r>
            <w:r>
              <w:rPr>
                <w:rFonts w:ascii="Times New Roman" w:hAnsi="Times New Roman"/>
                <w:sz w:val="24"/>
                <w:vertAlign w:val="subscript"/>
              </w:rPr>
              <w:t>6</w:t>
            </w:r>
            <w:r>
              <w:rPr>
                <w:rFonts w:ascii="Times New Roman" w:hAnsi="Times New Roman"/>
                <w:sz w:val="24"/>
              </w:rPr>
              <w:t>N</w:t>
            </w:r>
            <w:r>
              <w:rPr>
                <w:rFonts w:ascii="Times New Roman" w:hAnsi="Times New Roman"/>
                <w:sz w:val="24"/>
                <w:vertAlign w:val="subscript"/>
              </w:rPr>
              <w:t>6</w:t>
            </w:r>
            <w:r>
              <w:rPr>
                <w:rFonts w:ascii="Times New Roman" w:hAnsi="Times New Roman"/>
                <w:sz w:val="24"/>
              </w:rPr>
              <w:t>O</w:t>
            </w:r>
            <w:r>
              <w:rPr>
                <w:rFonts w:ascii="Times New Roman" w:hAnsi="Times New Roman"/>
                <w:sz w:val="24"/>
                <w:vertAlign w:val="subscript"/>
              </w:rPr>
              <w:t>15</w:t>
            </w:r>
            <w:r>
              <w:rPr>
                <w:rFonts w:ascii="Times New Roman" w:hAnsi="Times New Roman"/>
                <w:sz w:val="24"/>
              </w:rPr>
              <w:t>，分子量1550.20，浓度为320mg I/ml，渗透压为290mosm/kg H</w:t>
            </w:r>
            <w:r>
              <w:rPr>
                <w:rFonts w:ascii="Times New Roman" w:hAnsi="Times New Roman"/>
                <w:sz w:val="24"/>
                <w:vertAlign w:val="subscript"/>
              </w:rPr>
              <w:t>2</w:t>
            </w:r>
            <w:r>
              <w:rPr>
                <w:rFonts w:ascii="Times New Roman" w:hAnsi="Times New Roman"/>
                <w:sz w:val="24"/>
              </w:rPr>
              <w:t>O</w:t>
            </w:r>
            <w:r>
              <w:rPr>
                <w:rFonts w:hint="eastAsia" w:ascii="Times New Roman" w:hAnsi="Times New Roman"/>
                <w:sz w:val="24"/>
                <w:lang w:eastAsia="zh-CN"/>
              </w:rPr>
              <w:t>（</w:t>
            </w:r>
            <w:r>
              <w:rPr>
                <w:rFonts w:ascii="Times New Roman" w:hAnsi="Times New Roman"/>
                <w:sz w:val="24"/>
              </w:rPr>
              <w:t>37℃</w:t>
            </w:r>
            <w:r>
              <w:rPr>
                <w:rFonts w:hint="eastAsia" w:ascii="Times New Roman" w:hAnsi="Times New Roman"/>
                <w:sz w:val="24"/>
                <w:lang w:eastAsia="zh-CN"/>
              </w:rPr>
              <w:t>）</w:t>
            </w:r>
            <w:r>
              <w:rPr>
                <w:rFonts w:hint="eastAsia" w:ascii="Times New Roman" w:hAnsi="Times New Roman"/>
                <w:sz w:val="24"/>
              </w:rPr>
              <w:t>，</w:t>
            </w:r>
            <w:r>
              <w:rPr>
                <w:rFonts w:hint="eastAsia" w:ascii="Times New Roman" w:hAnsi="Times New Roman"/>
                <w:sz w:val="24"/>
                <w:lang w:val="en-US" w:eastAsia="zh-CN"/>
              </w:rPr>
              <w:t>黏度</w:t>
            </w:r>
            <w:r>
              <w:rPr>
                <w:rFonts w:ascii="Times New Roman" w:hAnsi="Times New Roman"/>
                <w:sz w:val="24"/>
              </w:rPr>
              <w:t>为11.4mPa·s</w:t>
            </w:r>
            <w:r>
              <w:rPr>
                <w:rFonts w:hint="eastAsia" w:ascii="Times New Roman" w:hAnsi="Times New Roman"/>
                <w:sz w:val="24"/>
                <w:lang w:eastAsia="zh-CN"/>
              </w:rPr>
              <w:t>（</w:t>
            </w:r>
            <w:r>
              <w:rPr>
                <w:rFonts w:ascii="Times New Roman" w:hAnsi="Times New Roman"/>
                <w:sz w:val="24"/>
              </w:rPr>
              <w:t>37℃</w:t>
            </w:r>
            <w:r>
              <w:rPr>
                <w:rFonts w:hint="eastAsia" w:ascii="Times New Roman" w:hAnsi="Times New Roman"/>
                <w:sz w:val="24"/>
                <w:lang w:eastAsia="zh-CN"/>
              </w:rPr>
              <w:t>）</w:t>
            </w:r>
            <w:r>
              <w:rPr>
                <w:rFonts w:ascii="Times New Roman" w:hAnsi="Times New Roman"/>
                <w:sz w:val="24"/>
              </w:rPr>
              <w:t>，pH值为6.8-7.6。本品为无色或淡黄色的澄明液体。活性成分为碘克沙醇，辅料为氯化钙、氯化钠、氨丁三醇、依地酸钙钠，包装为中性硼硅玻璃输液瓶。因此本项目投运后将产生残留有少量造影剂的输液瓶。</w:t>
            </w:r>
          </w:p>
          <w:p w14:paraId="447A7AB6">
            <w:pPr>
              <w:spacing w:line="360" w:lineRule="auto"/>
              <w:rPr>
                <w:rFonts w:ascii="Times New Roman" w:hAnsi="Times New Roman"/>
                <w:b/>
                <w:bCs/>
                <w:color w:val="FF0000"/>
                <w:sz w:val="24"/>
              </w:rPr>
            </w:pPr>
            <w:r>
              <w:rPr>
                <w:rFonts w:ascii="Times New Roman" w:hAnsi="Times New Roman"/>
                <w:b/>
                <w:bCs/>
                <w:sz w:val="24"/>
              </w:rPr>
              <w:t>（六）本项目主要设备配置及技术参数</w:t>
            </w:r>
          </w:p>
          <w:p w14:paraId="5978A83C">
            <w:pPr>
              <w:widowControl/>
              <w:spacing w:line="360" w:lineRule="auto"/>
              <w:ind w:firstLine="480" w:firstLineChars="200"/>
              <w:rPr>
                <w:rFonts w:ascii="Times New Roman" w:hAnsi="Times New Roman"/>
                <w:sz w:val="24"/>
              </w:rPr>
            </w:pPr>
            <w:r>
              <w:rPr>
                <w:rFonts w:ascii="Times New Roman" w:hAnsi="Times New Roman"/>
                <w:sz w:val="24"/>
              </w:rPr>
              <w:t>本项目使用的DSA位于</w:t>
            </w:r>
            <w:r>
              <w:rPr>
                <w:rFonts w:hint="eastAsia" w:ascii="Times New Roman" w:hAnsi="Times New Roman"/>
                <w:sz w:val="24"/>
                <w:lang w:eastAsia="zh-CN"/>
              </w:rPr>
              <w:t>2号住院综合楼</w:t>
            </w:r>
            <w:r>
              <w:rPr>
                <w:rFonts w:hint="eastAsia" w:ascii="Times New Roman" w:hAnsi="Times New Roman"/>
                <w:sz w:val="24"/>
                <w:lang w:val="en-US" w:eastAsia="zh-CN"/>
              </w:rPr>
              <w:t>一</w:t>
            </w:r>
            <w:r>
              <w:rPr>
                <w:rFonts w:ascii="Times New Roman" w:hAnsi="Times New Roman"/>
                <w:sz w:val="24"/>
              </w:rPr>
              <w:t>楼内，工作人员、辐射安全等由手术室管理。根据医院提供资料，在实际运营过程中，本项目DSA主要</w:t>
            </w:r>
            <w:r>
              <w:rPr>
                <w:rFonts w:ascii="Times New Roman" w:hAnsi="Times New Roman"/>
                <w:color w:val="auto"/>
                <w:sz w:val="24"/>
              </w:rPr>
              <w:t>用以开展心血管介入、神经介入、外周血管介入手术和拍片检查</w:t>
            </w:r>
            <w:r>
              <w:rPr>
                <w:rFonts w:ascii="Times New Roman" w:hAnsi="Times New Roman"/>
                <w:sz w:val="24"/>
              </w:rPr>
              <w:t>，年最大手术为</w:t>
            </w:r>
            <w:r>
              <w:rPr>
                <w:rFonts w:hint="eastAsia" w:ascii="Times New Roman" w:hAnsi="Times New Roman"/>
                <w:sz w:val="24"/>
                <w:lang w:val="en-US" w:eastAsia="zh-CN"/>
              </w:rPr>
              <w:t>5</w:t>
            </w:r>
            <w:r>
              <w:rPr>
                <w:rFonts w:hint="eastAsia" w:ascii="Times New Roman" w:hAnsi="Times New Roman"/>
                <w:sz w:val="24"/>
              </w:rPr>
              <w:t>00</w:t>
            </w:r>
            <w:r>
              <w:rPr>
                <w:rFonts w:ascii="Times New Roman" w:hAnsi="Times New Roman"/>
                <w:sz w:val="24"/>
              </w:rPr>
              <w:t>台DSA年曝光时间累计约</w:t>
            </w:r>
            <w:r>
              <w:rPr>
                <w:rFonts w:hint="eastAsia" w:ascii="Times New Roman" w:hAnsi="Times New Roman"/>
                <w:bCs/>
                <w:color w:val="000000" w:themeColor="text1"/>
                <w:sz w:val="24"/>
                <w:lang w:val="en-US" w:eastAsia="zh-CN"/>
                <w14:textFill>
                  <w14:solidFill>
                    <w14:schemeClr w14:val="tx1"/>
                  </w14:solidFill>
                </w14:textFill>
              </w:rPr>
              <w:t>107.36</w:t>
            </w:r>
            <w:r>
              <w:rPr>
                <w:rFonts w:ascii="Times New Roman" w:hAnsi="Times New Roman"/>
                <w:bCs/>
                <w:color w:val="000000" w:themeColor="text1"/>
                <w:sz w:val="24"/>
                <w14:textFill>
                  <w14:solidFill>
                    <w14:schemeClr w14:val="tx1"/>
                  </w14:solidFill>
                </w14:textFill>
              </w:rPr>
              <w:t>h</w:t>
            </w:r>
            <w:r>
              <w:rPr>
                <w:rFonts w:ascii="Times New Roman" w:hAnsi="Times New Roman"/>
                <w:bCs/>
                <w:sz w:val="24"/>
              </w:rPr>
              <w:t>（</w:t>
            </w:r>
            <w:r>
              <w:rPr>
                <w:rFonts w:hint="eastAsia" w:ascii="Times New Roman" w:hAnsi="Times New Roman"/>
                <w:bCs/>
                <w:sz w:val="24"/>
              </w:rPr>
              <w:t>透视</w:t>
            </w:r>
            <w:r>
              <w:rPr>
                <w:rFonts w:hint="eastAsia" w:ascii="Times New Roman" w:hAnsi="Times New Roman"/>
                <w:bCs/>
                <w:sz w:val="24"/>
                <w:lang w:val="en-US" w:eastAsia="zh-CN"/>
              </w:rPr>
              <w:t>105</w:t>
            </w:r>
            <w:r>
              <w:rPr>
                <w:rFonts w:hint="eastAsia" w:ascii="Times New Roman" w:hAnsi="Times New Roman"/>
                <w:bCs/>
                <w:sz w:val="24"/>
              </w:rPr>
              <w:t>.00h，拍片</w:t>
            </w:r>
            <w:r>
              <w:rPr>
                <w:rFonts w:hint="eastAsia" w:ascii="Times New Roman" w:hAnsi="Times New Roman"/>
                <w:bCs/>
                <w:sz w:val="24"/>
                <w:lang w:val="en-US" w:eastAsia="zh-CN"/>
              </w:rPr>
              <w:t>2.36</w:t>
            </w:r>
            <w:r>
              <w:rPr>
                <w:rFonts w:hint="eastAsia" w:ascii="Times New Roman" w:hAnsi="Times New Roman"/>
                <w:bCs/>
                <w:sz w:val="24"/>
              </w:rPr>
              <w:t>h</w:t>
            </w:r>
            <w:r>
              <w:rPr>
                <w:rFonts w:ascii="Times New Roman" w:hAnsi="Times New Roman"/>
                <w:bCs/>
                <w:sz w:val="24"/>
              </w:rPr>
              <w:t>）</w:t>
            </w:r>
            <w:r>
              <w:rPr>
                <w:rFonts w:ascii="Times New Roman" w:hAnsi="Times New Roman"/>
                <w:sz w:val="24"/>
              </w:rPr>
              <w:t>，曝光</w:t>
            </w:r>
            <w:r>
              <w:rPr>
                <w:rFonts w:ascii="Times New Roman" w:hAnsi="Times New Roman"/>
                <w:kern w:val="0"/>
                <w:sz w:val="24"/>
                <w:lang w:bidi="ar"/>
              </w:rPr>
              <w:t>方向由下而上。主要用于</w:t>
            </w:r>
            <w:r>
              <w:rPr>
                <w:rFonts w:hint="eastAsia" w:ascii="Times New Roman" w:hAnsi="Times New Roman"/>
                <w:kern w:val="0"/>
                <w:sz w:val="24"/>
                <w:lang w:bidi="ar"/>
              </w:rPr>
              <w:t>介入检查</w:t>
            </w:r>
            <w:r>
              <w:rPr>
                <w:rFonts w:ascii="Times New Roman" w:hAnsi="Times New Roman"/>
                <w:kern w:val="0"/>
                <w:sz w:val="24"/>
                <w:lang w:bidi="ar"/>
              </w:rPr>
              <w:t>、血管造影等。</w:t>
            </w:r>
            <w:r>
              <w:rPr>
                <w:rFonts w:ascii="Times New Roman" w:hAnsi="Times New Roman"/>
                <w:sz w:val="24"/>
              </w:rPr>
              <w:t>本项目设备参数及技术参数见表1-3。</w:t>
            </w:r>
          </w:p>
          <w:p w14:paraId="58F8D7E0">
            <w:pPr>
              <w:spacing w:line="360" w:lineRule="auto"/>
              <w:jc w:val="center"/>
              <w:rPr>
                <w:rFonts w:ascii="Times New Roman" w:hAnsi="Times New Roman"/>
                <w:b/>
                <w:sz w:val="24"/>
              </w:rPr>
            </w:pPr>
            <w:r>
              <w:rPr>
                <w:rFonts w:ascii="Times New Roman" w:hAnsi="Times New Roman"/>
                <w:b/>
                <w:sz w:val="24"/>
              </w:rPr>
              <w:t>表1-3 本项目射线装置情况清单表</w:t>
            </w:r>
          </w:p>
          <w:tbl>
            <w:tblPr>
              <w:tblStyle w:val="23"/>
              <w:tblW w:w="893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1" w:type="dxa"/>
                <w:bottom w:w="0" w:type="dxa"/>
                <w:right w:w="51" w:type="dxa"/>
              </w:tblCellMar>
            </w:tblPr>
            <w:tblGrid>
              <w:gridCol w:w="2071"/>
              <w:gridCol w:w="1167"/>
              <w:gridCol w:w="1181"/>
              <w:gridCol w:w="1400"/>
              <w:gridCol w:w="1354"/>
              <w:gridCol w:w="1765"/>
            </w:tblGrid>
            <w:tr w14:paraId="317C61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64" w:hRule="atLeast"/>
                <w:jc w:val="center"/>
              </w:trPr>
              <w:tc>
                <w:tcPr>
                  <w:tcW w:w="2071" w:type="dxa"/>
                  <w:tcBorders>
                    <w:bottom w:val="single" w:color="auto" w:sz="12" w:space="0"/>
                  </w:tcBorders>
                  <w:vAlign w:val="center"/>
                </w:tcPr>
                <w:p w14:paraId="42DB9638">
                  <w:pPr>
                    <w:jc w:val="center"/>
                    <w:rPr>
                      <w:rFonts w:ascii="Times New Roman" w:hAnsi="Times New Roman"/>
                      <w:b/>
                      <w:bCs/>
                      <w:szCs w:val="21"/>
                    </w:rPr>
                  </w:pPr>
                  <w:r>
                    <w:rPr>
                      <w:rFonts w:ascii="Times New Roman" w:hAnsi="Times New Roman"/>
                      <w:b/>
                      <w:bCs/>
                      <w:szCs w:val="21"/>
                    </w:rPr>
                    <w:t>设备名称</w:t>
                  </w:r>
                </w:p>
              </w:tc>
              <w:tc>
                <w:tcPr>
                  <w:tcW w:w="1167" w:type="dxa"/>
                  <w:tcBorders>
                    <w:bottom w:val="single" w:color="auto" w:sz="12" w:space="0"/>
                  </w:tcBorders>
                  <w:vAlign w:val="center"/>
                </w:tcPr>
                <w:p w14:paraId="3706E6F5">
                  <w:pPr>
                    <w:jc w:val="center"/>
                    <w:rPr>
                      <w:rFonts w:ascii="Times New Roman" w:hAnsi="Times New Roman"/>
                      <w:b/>
                      <w:bCs/>
                      <w:szCs w:val="21"/>
                    </w:rPr>
                  </w:pPr>
                  <w:r>
                    <w:rPr>
                      <w:rFonts w:ascii="Times New Roman" w:hAnsi="Times New Roman"/>
                      <w:b/>
                      <w:bCs/>
                      <w:szCs w:val="21"/>
                    </w:rPr>
                    <w:t>型号</w:t>
                  </w:r>
                </w:p>
              </w:tc>
              <w:tc>
                <w:tcPr>
                  <w:tcW w:w="1181" w:type="dxa"/>
                  <w:tcBorders>
                    <w:bottom w:val="single" w:color="auto" w:sz="12" w:space="0"/>
                  </w:tcBorders>
                  <w:vAlign w:val="center"/>
                </w:tcPr>
                <w:p w14:paraId="185AC533">
                  <w:pPr>
                    <w:jc w:val="center"/>
                    <w:rPr>
                      <w:rFonts w:ascii="Times New Roman" w:hAnsi="Times New Roman"/>
                      <w:b/>
                      <w:bCs/>
                      <w:szCs w:val="21"/>
                    </w:rPr>
                  </w:pPr>
                  <w:r>
                    <w:rPr>
                      <w:rFonts w:ascii="Times New Roman" w:hAnsi="Times New Roman"/>
                      <w:b/>
                      <w:bCs/>
                      <w:szCs w:val="21"/>
                    </w:rPr>
                    <w:t>数量</w:t>
                  </w:r>
                </w:p>
              </w:tc>
              <w:tc>
                <w:tcPr>
                  <w:tcW w:w="1400" w:type="dxa"/>
                  <w:tcBorders>
                    <w:bottom w:val="single" w:color="auto" w:sz="12" w:space="0"/>
                  </w:tcBorders>
                  <w:vAlign w:val="center"/>
                </w:tcPr>
                <w:p w14:paraId="3A699C46">
                  <w:pPr>
                    <w:jc w:val="center"/>
                    <w:rPr>
                      <w:rFonts w:ascii="Times New Roman" w:hAnsi="Times New Roman"/>
                      <w:b/>
                      <w:bCs/>
                      <w:szCs w:val="21"/>
                    </w:rPr>
                  </w:pPr>
                  <w:r>
                    <w:rPr>
                      <w:rFonts w:ascii="Times New Roman" w:hAnsi="Times New Roman"/>
                      <w:b/>
                      <w:bCs/>
                      <w:szCs w:val="21"/>
                    </w:rPr>
                    <w:t>最大管电压</w:t>
                  </w:r>
                </w:p>
              </w:tc>
              <w:tc>
                <w:tcPr>
                  <w:tcW w:w="1354" w:type="dxa"/>
                  <w:tcBorders>
                    <w:bottom w:val="single" w:color="auto" w:sz="12" w:space="0"/>
                  </w:tcBorders>
                  <w:vAlign w:val="center"/>
                </w:tcPr>
                <w:p w14:paraId="0DBFAF97">
                  <w:pPr>
                    <w:jc w:val="center"/>
                    <w:rPr>
                      <w:rFonts w:ascii="Times New Roman" w:hAnsi="Times New Roman"/>
                      <w:b/>
                      <w:bCs/>
                      <w:szCs w:val="21"/>
                    </w:rPr>
                  </w:pPr>
                  <w:r>
                    <w:rPr>
                      <w:rFonts w:ascii="Times New Roman" w:hAnsi="Times New Roman"/>
                      <w:b/>
                      <w:bCs/>
                      <w:szCs w:val="21"/>
                    </w:rPr>
                    <w:t>最大管电流</w:t>
                  </w:r>
                </w:p>
              </w:tc>
              <w:tc>
                <w:tcPr>
                  <w:tcW w:w="1765" w:type="dxa"/>
                  <w:tcBorders>
                    <w:bottom w:val="single" w:color="auto" w:sz="12" w:space="0"/>
                  </w:tcBorders>
                  <w:vAlign w:val="center"/>
                </w:tcPr>
                <w:p w14:paraId="46AAF0E2">
                  <w:pPr>
                    <w:jc w:val="center"/>
                    <w:rPr>
                      <w:rFonts w:ascii="Times New Roman" w:hAnsi="Times New Roman"/>
                      <w:b/>
                      <w:bCs/>
                      <w:szCs w:val="21"/>
                    </w:rPr>
                  </w:pPr>
                  <w:r>
                    <w:rPr>
                      <w:rFonts w:ascii="Times New Roman" w:hAnsi="Times New Roman"/>
                      <w:b/>
                      <w:bCs/>
                      <w:szCs w:val="21"/>
                    </w:rPr>
                    <w:t>使用场所</w:t>
                  </w:r>
                </w:p>
              </w:tc>
            </w:tr>
            <w:tr w14:paraId="3ABA48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64" w:hRule="atLeast"/>
                <w:jc w:val="center"/>
              </w:trPr>
              <w:tc>
                <w:tcPr>
                  <w:tcW w:w="2071" w:type="dxa"/>
                  <w:tcBorders>
                    <w:top w:val="single" w:color="auto" w:sz="6" w:space="0"/>
                    <w:bottom w:val="single" w:color="auto" w:sz="12" w:space="0"/>
                  </w:tcBorders>
                  <w:vAlign w:val="center"/>
                </w:tcPr>
                <w:p w14:paraId="4D04AA27">
                  <w:pPr>
                    <w:jc w:val="center"/>
                    <w:rPr>
                      <w:rFonts w:ascii="Times New Roman" w:hAnsi="Times New Roman"/>
                      <w:szCs w:val="21"/>
                    </w:rPr>
                  </w:pPr>
                  <w:r>
                    <w:rPr>
                      <w:rFonts w:ascii="Times New Roman" w:hAnsi="Times New Roman"/>
                      <w:szCs w:val="21"/>
                    </w:rPr>
                    <w:t>数字减影血管造影机</w:t>
                  </w:r>
                </w:p>
              </w:tc>
              <w:tc>
                <w:tcPr>
                  <w:tcW w:w="1167" w:type="dxa"/>
                  <w:tcBorders>
                    <w:top w:val="single" w:color="auto" w:sz="6" w:space="0"/>
                    <w:bottom w:val="single" w:color="auto" w:sz="12" w:space="0"/>
                  </w:tcBorders>
                  <w:vAlign w:val="center"/>
                </w:tcPr>
                <w:p w14:paraId="6733D677">
                  <w:pPr>
                    <w:jc w:val="center"/>
                    <w:rPr>
                      <w:rFonts w:ascii="Times New Roman" w:hAnsi="Times New Roman"/>
                      <w:szCs w:val="21"/>
                    </w:rPr>
                  </w:pPr>
                  <w:r>
                    <w:rPr>
                      <w:rFonts w:hint="eastAsia" w:ascii="Times New Roman" w:hAnsi="Times New Roman"/>
                      <w:szCs w:val="21"/>
                    </w:rPr>
                    <w:t xml:space="preserve">NeuAngio </w:t>
                  </w:r>
                  <w:r>
                    <w:rPr>
                      <w:rFonts w:hint="eastAsia" w:ascii="Times New Roman" w:hAnsi="Times New Roman"/>
                      <w:szCs w:val="21"/>
                      <w:lang w:val="en-US" w:eastAsia="zh-CN"/>
                    </w:rPr>
                    <w:t>43</w:t>
                  </w:r>
                  <w:r>
                    <w:rPr>
                      <w:rFonts w:hint="eastAsia" w:ascii="Times New Roman" w:hAnsi="Times New Roman"/>
                      <w:szCs w:val="21"/>
                    </w:rPr>
                    <w:t>C</w:t>
                  </w:r>
                </w:p>
              </w:tc>
              <w:tc>
                <w:tcPr>
                  <w:tcW w:w="1181" w:type="dxa"/>
                  <w:tcBorders>
                    <w:top w:val="single" w:color="auto" w:sz="6" w:space="0"/>
                    <w:bottom w:val="single" w:color="auto" w:sz="12" w:space="0"/>
                  </w:tcBorders>
                  <w:vAlign w:val="center"/>
                </w:tcPr>
                <w:p w14:paraId="35A7703E">
                  <w:pPr>
                    <w:jc w:val="center"/>
                    <w:rPr>
                      <w:rFonts w:ascii="Times New Roman" w:hAnsi="Times New Roman"/>
                      <w:szCs w:val="21"/>
                    </w:rPr>
                  </w:pPr>
                  <w:r>
                    <w:rPr>
                      <w:rFonts w:ascii="Times New Roman" w:hAnsi="Times New Roman"/>
                      <w:szCs w:val="21"/>
                    </w:rPr>
                    <w:t>1台</w:t>
                  </w:r>
                </w:p>
              </w:tc>
              <w:tc>
                <w:tcPr>
                  <w:tcW w:w="1400" w:type="dxa"/>
                  <w:tcBorders>
                    <w:top w:val="single" w:color="auto" w:sz="6" w:space="0"/>
                    <w:bottom w:val="single" w:color="auto" w:sz="12" w:space="0"/>
                  </w:tcBorders>
                  <w:vAlign w:val="center"/>
                </w:tcPr>
                <w:p w14:paraId="5292ABAE">
                  <w:pPr>
                    <w:jc w:val="center"/>
                    <w:rPr>
                      <w:rFonts w:ascii="Times New Roman" w:hAnsi="Times New Roman"/>
                      <w:szCs w:val="21"/>
                    </w:rPr>
                  </w:pPr>
                  <w:r>
                    <w:rPr>
                      <w:rFonts w:ascii="Times New Roman" w:hAnsi="Times New Roman"/>
                      <w:szCs w:val="21"/>
                    </w:rPr>
                    <w:t>125kV</w:t>
                  </w:r>
                </w:p>
              </w:tc>
              <w:tc>
                <w:tcPr>
                  <w:tcW w:w="1354" w:type="dxa"/>
                  <w:tcBorders>
                    <w:top w:val="single" w:color="auto" w:sz="6" w:space="0"/>
                    <w:bottom w:val="single" w:color="auto" w:sz="12" w:space="0"/>
                  </w:tcBorders>
                  <w:vAlign w:val="center"/>
                </w:tcPr>
                <w:p w14:paraId="4A1EE1DE">
                  <w:pPr>
                    <w:jc w:val="center"/>
                    <w:rPr>
                      <w:rFonts w:ascii="Times New Roman" w:hAnsi="Times New Roman"/>
                      <w:szCs w:val="21"/>
                    </w:rPr>
                  </w:pPr>
                  <w:r>
                    <w:rPr>
                      <w:rFonts w:hint="eastAsia" w:ascii="Times New Roman" w:hAnsi="Times New Roman"/>
                      <w:szCs w:val="21"/>
                    </w:rPr>
                    <w:t>1000</w:t>
                  </w:r>
                  <w:r>
                    <w:rPr>
                      <w:rFonts w:ascii="Times New Roman" w:hAnsi="Times New Roman"/>
                      <w:szCs w:val="21"/>
                    </w:rPr>
                    <w:t>mA</w:t>
                  </w:r>
                </w:p>
              </w:tc>
              <w:tc>
                <w:tcPr>
                  <w:tcW w:w="1765" w:type="dxa"/>
                  <w:tcBorders>
                    <w:top w:val="single" w:color="auto" w:sz="6" w:space="0"/>
                    <w:bottom w:val="single" w:color="auto" w:sz="12" w:space="0"/>
                  </w:tcBorders>
                  <w:vAlign w:val="center"/>
                </w:tcPr>
                <w:p w14:paraId="272D7C07">
                  <w:pPr>
                    <w:jc w:val="center"/>
                    <w:rPr>
                      <w:rFonts w:hint="eastAsia" w:ascii="Times New Roman" w:hAnsi="Times New Roman" w:eastAsia="宋体"/>
                      <w:szCs w:val="21"/>
                      <w:lang w:eastAsia="zh-CN"/>
                    </w:rPr>
                  </w:pPr>
                  <w:r>
                    <w:rPr>
                      <w:rFonts w:hint="eastAsia" w:ascii="Times New Roman" w:hAnsi="Times New Roman"/>
                      <w:szCs w:val="21"/>
                      <w:lang w:eastAsia="zh-CN"/>
                    </w:rPr>
                    <w:t>DSA机房</w:t>
                  </w:r>
                </w:p>
              </w:tc>
            </w:tr>
            <w:tr w14:paraId="4588E6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64" w:hRule="atLeast"/>
                <w:jc w:val="center"/>
              </w:trPr>
              <w:tc>
                <w:tcPr>
                  <w:tcW w:w="8938" w:type="dxa"/>
                  <w:gridSpan w:val="6"/>
                  <w:tcBorders>
                    <w:top w:val="single" w:color="auto" w:sz="12" w:space="0"/>
                  </w:tcBorders>
                  <w:vAlign w:val="center"/>
                </w:tcPr>
                <w:p w14:paraId="42B327A2">
                  <w:pPr>
                    <w:jc w:val="center"/>
                    <w:rPr>
                      <w:rFonts w:ascii="Times New Roman" w:hAnsi="Times New Roman"/>
                      <w:szCs w:val="21"/>
                    </w:rPr>
                  </w:pPr>
                  <w:r>
                    <w:rPr>
                      <w:rFonts w:ascii="Times New Roman" w:hAnsi="Times New Roman"/>
                      <w:b/>
                      <w:bCs/>
                      <w:szCs w:val="21"/>
                    </w:rPr>
                    <w:t>设备使用情况</w:t>
                  </w:r>
                </w:p>
              </w:tc>
            </w:tr>
            <w:tr w14:paraId="345A95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48" w:hRule="atLeast"/>
                <w:jc w:val="center"/>
              </w:trPr>
              <w:tc>
                <w:tcPr>
                  <w:tcW w:w="2071" w:type="dxa"/>
                  <w:vMerge w:val="restart"/>
                  <w:tcBorders>
                    <w:right w:val="single" w:color="auto" w:sz="4" w:space="0"/>
                  </w:tcBorders>
                  <w:vAlign w:val="center"/>
                </w:tcPr>
                <w:p w14:paraId="6BE5F59D">
                  <w:pPr>
                    <w:jc w:val="center"/>
                    <w:rPr>
                      <w:rFonts w:ascii="Times New Roman" w:hAnsi="Times New Roman"/>
                      <w:b/>
                      <w:bCs/>
                      <w:szCs w:val="21"/>
                    </w:rPr>
                  </w:pPr>
                  <w:r>
                    <w:rPr>
                      <w:rFonts w:ascii="Times New Roman" w:hAnsi="Times New Roman"/>
                      <w:b/>
                      <w:bCs/>
                      <w:szCs w:val="21"/>
                    </w:rPr>
                    <w:t>曝光方向</w:t>
                  </w:r>
                </w:p>
              </w:tc>
              <w:tc>
                <w:tcPr>
                  <w:tcW w:w="1167" w:type="dxa"/>
                  <w:vMerge w:val="restart"/>
                  <w:tcBorders>
                    <w:left w:val="single" w:color="auto" w:sz="4" w:space="0"/>
                  </w:tcBorders>
                  <w:vAlign w:val="center"/>
                </w:tcPr>
                <w:p w14:paraId="6B695561">
                  <w:pPr>
                    <w:jc w:val="center"/>
                    <w:rPr>
                      <w:rFonts w:ascii="Times New Roman" w:hAnsi="Times New Roman"/>
                      <w:b/>
                      <w:bCs/>
                      <w:szCs w:val="21"/>
                    </w:rPr>
                  </w:pPr>
                  <w:r>
                    <w:rPr>
                      <w:rFonts w:ascii="Times New Roman" w:hAnsi="Times New Roman"/>
                      <w:b/>
                      <w:bCs/>
                      <w:szCs w:val="21"/>
                    </w:rPr>
                    <w:t>管理</w:t>
                  </w:r>
                </w:p>
              </w:tc>
              <w:tc>
                <w:tcPr>
                  <w:tcW w:w="2581" w:type="dxa"/>
                  <w:gridSpan w:val="2"/>
                  <w:vAlign w:val="center"/>
                </w:tcPr>
                <w:p w14:paraId="0EA02211">
                  <w:pPr>
                    <w:jc w:val="center"/>
                    <w:rPr>
                      <w:rFonts w:ascii="Times New Roman" w:hAnsi="Times New Roman"/>
                      <w:b/>
                      <w:bCs/>
                      <w:szCs w:val="21"/>
                    </w:rPr>
                  </w:pPr>
                  <w:r>
                    <w:rPr>
                      <w:rFonts w:ascii="Times New Roman" w:hAnsi="Times New Roman"/>
                      <w:b/>
                      <w:bCs/>
                      <w:szCs w:val="21"/>
                    </w:rPr>
                    <w:t>常用拍片工况</w:t>
                  </w:r>
                </w:p>
              </w:tc>
              <w:tc>
                <w:tcPr>
                  <w:tcW w:w="3119" w:type="dxa"/>
                  <w:gridSpan w:val="2"/>
                  <w:vAlign w:val="center"/>
                </w:tcPr>
                <w:p w14:paraId="6EC8F177">
                  <w:pPr>
                    <w:jc w:val="center"/>
                    <w:rPr>
                      <w:rFonts w:ascii="Times New Roman" w:hAnsi="Times New Roman"/>
                      <w:b/>
                      <w:bCs/>
                      <w:szCs w:val="21"/>
                    </w:rPr>
                  </w:pPr>
                  <w:r>
                    <w:rPr>
                      <w:rFonts w:ascii="Times New Roman" w:hAnsi="Times New Roman"/>
                      <w:b/>
                      <w:bCs/>
                      <w:szCs w:val="21"/>
                    </w:rPr>
                    <w:t>常用透视工况</w:t>
                  </w:r>
                </w:p>
              </w:tc>
            </w:tr>
            <w:tr w14:paraId="026E04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48" w:hRule="atLeast"/>
                <w:jc w:val="center"/>
              </w:trPr>
              <w:tc>
                <w:tcPr>
                  <w:tcW w:w="2071" w:type="dxa"/>
                  <w:vMerge w:val="continue"/>
                  <w:tcBorders>
                    <w:right w:val="single" w:color="auto" w:sz="4" w:space="0"/>
                  </w:tcBorders>
                  <w:vAlign w:val="center"/>
                </w:tcPr>
                <w:p w14:paraId="6891DA3F">
                  <w:pPr>
                    <w:jc w:val="center"/>
                    <w:rPr>
                      <w:rFonts w:ascii="Times New Roman" w:hAnsi="Times New Roman"/>
                      <w:b/>
                      <w:bCs/>
                      <w:szCs w:val="21"/>
                    </w:rPr>
                  </w:pPr>
                </w:p>
              </w:tc>
              <w:tc>
                <w:tcPr>
                  <w:tcW w:w="1167" w:type="dxa"/>
                  <w:vMerge w:val="continue"/>
                  <w:tcBorders>
                    <w:left w:val="single" w:color="auto" w:sz="4" w:space="0"/>
                  </w:tcBorders>
                  <w:vAlign w:val="center"/>
                </w:tcPr>
                <w:p w14:paraId="6C785DFC">
                  <w:pPr>
                    <w:jc w:val="center"/>
                    <w:rPr>
                      <w:rFonts w:ascii="Times New Roman" w:hAnsi="Times New Roman"/>
                      <w:b/>
                      <w:bCs/>
                      <w:szCs w:val="21"/>
                    </w:rPr>
                  </w:pPr>
                </w:p>
              </w:tc>
              <w:tc>
                <w:tcPr>
                  <w:tcW w:w="1181" w:type="dxa"/>
                  <w:vAlign w:val="center"/>
                </w:tcPr>
                <w:p w14:paraId="019D813D">
                  <w:pPr>
                    <w:jc w:val="center"/>
                    <w:rPr>
                      <w:rFonts w:ascii="Times New Roman" w:hAnsi="Times New Roman"/>
                      <w:b/>
                      <w:bCs/>
                      <w:szCs w:val="21"/>
                    </w:rPr>
                  </w:pPr>
                  <w:r>
                    <w:rPr>
                      <w:rFonts w:ascii="Times New Roman" w:hAnsi="Times New Roman"/>
                      <w:b/>
                      <w:bCs/>
                      <w:szCs w:val="21"/>
                    </w:rPr>
                    <w:t>管电压</w:t>
                  </w:r>
                </w:p>
              </w:tc>
              <w:tc>
                <w:tcPr>
                  <w:tcW w:w="1400" w:type="dxa"/>
                  <w:vAlign w:val="center"/>
                </w:tcPr>
                <w:p w14:paraId="52532839">
                  <w:pPr>
                    <w:jc w:val="center"/>
                    <w:rPr>
                      <w:rFonts w:ascii="Times New Roman" w:hAnsi="Times New Roman"/>
                      <w:b/>
                      <w:bCs/>
                      <w:szCs w:val="21"/>
                    </w:rPr>
                  </w:pPr>
                  <w:r>
                    <w:rPr>
                      <w:rFonts w:ascii="Times New Roman" w:hAnsi="Times New Roman"/>
                      <w:b/>
                      <w:bCs/>
                      <w:szCs w:val="21"/>
                    </w:rPr>
                    <w:t>管电流</w:t>
                  </w:r>
                </w:p>
              </w:tc>
              <w:tc>
                <w:tcPr>
                  <w:tcW w:w="1354" w:type="dxa"/>
                  <w:vAlign w:val="center"/>
                </w:tcPr>
                <w:p w14:paraId="68A09A28">
                  <w:pPr>
                    <w:jc w:val="center"/>
                    <w:rPr>
                      <w:rFonts w:ascii="Times New Roman" w:hAnsi="Times New Roman"/>
                      <w:b/>
                      <w:bCs/>
                      <w:szCs w:val="21"/>
                    </w:rPr>
                  </w:pPr>
                  <w:r>
                    <w:rPr>
                      <w:rFonts w:ascii="Times New Roman" w:hAnsi="Times New Roman"/>
                      <w:b/>
                      <w:bCs/>
                      <w:szCs w:val="21"/>
                    </w:rPr>
                    <w:t>管电压</w:t>
                  </w:r>
                </w:p>
              </w:tc>
              <w:tc>
                <w:tcPr>
                  <w:tcW w:w="1765" w:type="dxa"/>
                  <w:vAlign w:val="center"/>
                </w:tcPr>
                <w:p w14:paraId="6AFA1EC2">
                  <w:pPr>
                    <w:jc w:val="center"/>
                    <w:rPr>
                      <w:rFonts w:ascii="Times New Roman" w:hAnsi="Times New Roman"/>
                      <w:b/>
                      <w:bCs/>
                      <w:szCs w:val="21"/>
                    </w:rPr>
                  </w:pPr>
                  <w:r>
                    <w:rPr>
                      <w:rFonts w:ascii="Times New Roman" w:hAnsi="Times New Roman"/>
                      <w:b/>
                      <w:bCs/>
                      <w:szCs w:val="21"/>
                    </w:rPr>
                    <w:t>管电流</w:t>
                  </w:r>
                </w:p>
              </w:tc>
            </w:tr>
            <w:tr w14:paraId="0A30BB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48" w:hRule="atLeast"/>
                <w:jc w:val="center"/>
              </w:trPr>
              <w:tc>
                <w:tcPr>
                  <w:tcW w:w="2071" w:type="dxa"/>
                  <w:tcBorders>
                    <w:right w:val="single" w:color="auto" w:sz="4" w:space="0"/>
                  </w:tcBorders>
                  <w:vAlign w:val="center"/>
                </w:tcPr>
                <w:p w14:paraId="62B7C5A5">
                  <w:pPr>
                    <w:jc w:val="center"/>
                    <w:rPr>
                      <w:rFonts w:ascii="Times New Roman" w:hAnsi="Times New Roman"/>
                      <w:szCs w:val="21"/>
                    </w:rPr>
                  </w:pPr>
                  <w:r>
                    <w:rPr>
                      <w:rFonts w:ascii="Times New Roman" w:hAnsi="Times New Roman"/>
                      <w:szCs w:val="21"/>
                    </w:rPr>
                    <w:t>由下向上</w:t>
                  </w:r>
                </w:p>
              </w:tc>
              <w:tc>
                <w:tcPr>
                  <w:tcW w:w="1167" w:type="dxa"/>
                  <w:tcBorders>
                    <w:left w:val="single" w:color="auto" w:sz="4" w:space="0"/>
                  </w:tcBorders>
                  <w:vAlign w:val="center"/>
                </w:tcPr>
                <w:p w14:paraId="61726812">
                  <w:pPr>
                    <w:jc w:val="center"/>
                    <w:rPr>
                      <w:rFonts w:ascii="Times New Roman" w:hAnsi="Times New Roman"/>
                      <w:szCs w:val="21"/>
                    </w:rPr>
                  </w:pPr>
                  <w:r>
                    <w:rPr>
                      <w:rFonts w:ascii="Times New Roman" w:hAnsi="Times New Roman"/>
                      <w:szCs w:val="21"/>
                    </w:rPr>
                    <w:t>手术室</w:t>
                  </w:r>
                </w:p>
              </w:tc>
              <w:tc>
                <w:tcPr>
                  <w:tcW w:w="1181" w:type="dxa"/>
                  <w:vAlign w:val="center"/>
                </w:tcPr>
                <w:p w14:paraId="7692B610">
                  <w:pPr>
                    <w:jc w:val="center"/>
                    <w:rPr>
                      <w:rFonts w:ascii="Times New Roman" w:hAnsi="Times New Roman"/>
                      <w:szCs w:val="21"/>
                    </w:rPr>
                  </w:pPr>
                  <w:r>
                    <w:rPr>
                      <w:rFonts w:hint="eastAsia" w:ascii="Times New Roman" w:hAnsi="Times New Roman"/>
                      <w:szCs w:val="21"/>
                      <w:lang w:val="en-US" w:eastAsia="zh-CN"/>
                    </w:rPr>
                    <w:t>100</w:t>
                  </w:r>
                  <w:r>
                    <w:rPr>
                      <w:rFonts w:ascii="Times New Roman" w:hAnsi="Times New Roman"/>
                      <w:szCs w:val="21"/>
                    </w:rPr>
                    <w:t>kV</w:t>
                  </w:r>
                </w:p>
              </w:tc>
              <w:tc>
                <w:tcPr>
                  <w:tcW w:w="1400" w:type="dxa"/>
                  <w:vAlign w:val="center"/>
                </w:tcPr>
                <w:p w14:paraId="318314D7">
                  <w:pPr>
                    <w:jc w:val="center"/>
                    <w:rPr>
                      <w:rFonts w:ascii="Times New Roman" w:hAnsi="Times New Roman"/>
                      <w:szCs w:val="21"/>
                    </w:rPr>
                  </w:pPr>
                  <w:r>
                    <w:rPr>
                      <w:rFonts w:hint="eastAsia" w:ascii="Times New Roman" w:hAnsi="Times New Roman"/>
                      <w:szCs w:val="21"/>
                      <w:lang w:val="en-US" w:eastAsia="zh-CN"/>
                    </w:rPr>
                    <w:t>300</w:t>
                  </w:r>
                  <w:r>
                    <w:rPr>
                      <w:rFonts w:ascii="Times New Roman" w:hAnsi="Times New Roman"/>
                      <w:szCs w:val="21"/>
                    </w:rPr>
                    <w:t>mA</w:t>
                  </w:r>
                </w:p>
              </w:tc>
              <w:tc>
                <w:tcPr>
                  <w:tcW w:w="1354" w:type="dxa"/>
                  <w:vAlign w:val="center"/>
                </w:tcPr>
                <w:p w14:paraId="39D6D13C">
                  <w:pPr>
                    <w:jc w:val="center"/>
                    <w:rPr>
                      <w:rFonts w:ascii="Times New Roman" w:hAnsi="Times New Roman"/>
                      <w:szCs w:val="21"/>
                    </w:rPr>
                  </w:pPr>
                  <w:r>
                    <w:rPr>
                      <w:rFonts w:hint="eastAsia" w:ascii="Times New Roman" w:hAnsi="Times New Roman"/>
                      <w:szCs w:val="21"/>
                      <w:lang w:val="en-US" w:eastAsia="zh-CN"/>
                    </w:rPr>
                    <w:t>90</w:t>
                  </w:r>
                  <w:r>
                    <w:rPr>
                      <w:rFonts w:ascii="Times New Roman" w:hAnsi="Times New Roman"/>
                      <w:szCs w:val="21"/>
                    </w:rPr>
                    <w:t>kV</w:t>
                  </w:r>
                </w:p>
              </w:tc>
              <w:tc>
                <w:tcPr>
                  <w:tcW w:w="1765" w:type="dxa"/>
                  <w:vAlign w:val="center"/>
                </w:tcPr>
                <w:p w14:paraId="345C8E6A">
                  <w:pPr>
                    <w:jc w:val="center"/>
                    <w:rPr>
                      <w:rFonts w:ascii="Times New Roman" w:hAnsi="Times New Roman"/>
                      <w:szCs w:val="21"/>
                    </w:rPr>
                  </w:pPr>
                  <w:r>
                    <w:rPr>
                      <w:rFonts w:hint="eastAsia" w:ascii="Times New Roman" w:hAnsi="Times New Roman"/>
                      <w:szCs w:val="21"/>
                      <w:lang w:val="en-US" w:eastAsia="zh-CN"/>
                    </w:rPr>
                    <w:t>20</w:t>
                  </w:r>
                  <w:r>
                    <w:rPr>
                      <w:rFonts w:ascii="Times New Roman" w:hAnsi="Times New Roman"/>
                      <w:szCs w:val="21"/>
                    </w:rPr>
                    <w:t>mA</w:t>
                  </w:r>
                </w:p>
              </w:tc>
            </w:tr>
            <w:tr w14:paraId="3CFFB6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70" w:hRule="atLeast"/>
                <w:jc w:val="center"/>
              </w:trPr>
              <w:tc>
                <w:tcPr>
                  <w:tcW w:w="2071" w:type="dxa"/>
                  <w:vMerge w:val="restart"/>
                  <w:vAlign w:val="center"/>
                </w:tcPr>
                <w:p w14:paraId="4F00A8AC">
                  <w:pPr>
                    <w:jc w:val="center"/>
                    <w:rPr>
                      <w:rFonts w:ascii="Times New Roman" w:hAnsi="Times New Roman"/>
                      <w:b/>
                      <w:bCs/>
                      <w:szCs w:val="21"/>
                    </w:rPr>
                  </w:pPr>
                  <w:r>
                    <w:rPr>
                      <w:rFonts w:ascii="Times New Roman" w:hAnsi="Times New Roman"/>
                      <w:b/>
                      <w:bCs/>
                      <w:szCs w:val="21"/>
                    </w:rPr>
                    <w:t>使用科室</w:t>
                  </w:r>
                </w:p>
              </w:tc>
              <w:tc>
                <w:tcPr>
                  <w:tcW w:w="2348" w:type="dxa"/>
                  <w:gridSpan w:val="2"/>
                  <w:tcBorders>
                    <w:bottom w:val="single" w:color="auto" w:sz="4" w:space="0"/>
                  </w:tcBorders>
                  <w:vAlign w:val="center"/>
                </w:tcPr>
                <w:p w14:paraId="0C0B0EB9">
                  <w:pPr>
                    <w:jc w:val="center"/>
                    <w:rPr>
                      <w:rFonts w:ascii="Times New Roman" w:hAnsi="Times New Roman"/>
                      <w:b/>
                      <w:bCs/>
                      <w:szCs w:val="21"/>
                    </w:rPr>
                  </w:pPr>
                  <w:r>
                    <w:rPr>
                      <w:rFonts w:ascii="Times New Roman" w:hAnsi="Times New Roman"/>
                      <w:b/>
                      <w:bCs/>
                      <w:szCs w:val="21"/>
                    </w:rPr>
                    <w:t>单台手术最长曝光时间</w:t>
                  </w:r>
                </w:p>
              </w:tc>
              <w:tc>
                <w:tcPr>
                  <w:tcW w:w="1400" w:type="dxa"/>
                  <w:vMerge w:val="restart"/>
                  <w:vAlign w:val="center"/>
                </w:tcPr>
                <w:p w14:paraId="6AEB5E91">
                  <w:pPr>
                    <w:jc w:val="center"/>
                    <w:rPr>
                      <w:rFonts w:ascii="Times New Roman" w:hAnsi="Times New Roman"/>
                      <w:b/>
                      <w:bCs/>
                      <w:szCs w:val="21"/>
                    </w:rPr>
                  </w:pPr>
                  <w:r>
                    <w:rPr>
                      <w:rFonts w:ascii="Times New Roman" w:hAnsi="Times New Roman"/>
                      <w:b/>
                      <w:bCs/>
                      <w:szCs w:val="21"/>
                    </w:rPr>
                    <w:t>年手术台数</w:t>
                  </w:r>
                </w:p>
              </w:tc>
              <w:tc>
                <w:tcPr>
                  <w:tcW w:w="3119" w:type="dxa"/>
                  <w:gridSpan w:val="2"/>
                  <w:tcBorders>
                    <w:bottom w:val="single" w:color="auto" w:sz="4" w:space="0"/>
                  </w:tcBorders>
                  <w:vAlign w:val="center"/>
                </w:tcPr>
                <w:p w14:paraId="113032E7">
                  <w:pPr>
                    <w:jc w:val="center"/>
                    <w:rPr>
                      <w:rFonts w:ascii="Times New Roman" w:hAnsi="Times New Roman"/>
                      <w:b/>
                      <w:bCs/>
                      <w:szCs w:val="21"/>
                    </w:rPr>
                  </w:pPr>
                  <w:r>
                    <w:rPr>
                      <w:rFonts w:ascii="Times New Roman" w:hAnsi="Times New Roman"/>
                      <w:b/>
                      <w:bCs/>
                      <w:szCs w:val="21"/>
                    </w:rPr>
                    <w:t>年最大出束时间</w:t>
                  </w:r>
                </w:p>
              </w:tc>
            </w:tr>
            <w:tr w14:paraId="63D6ED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48" w:hRule="atLeast"/>
                <w:jc w:val="center"/>
              </w:trPr>
              <w:tc>
                <w:tcPr>
                  <w:tcW w:w="2071" w:type="dxa"/>
                  <w:vMerge w:val="continue"/>
                  <w:vAlign w:val="center"/>
                </w:tcPr>
                <w:p w14:paraId="56700494">
                  <w:pPr>
                    <w:jc w:val="center"/>
                    <w:rPr>
                      <w:rFonts w:ascii="Times New Roman" w:hAnsi="Times New Roman"/>
                      <w:b/>
                      <w:bCs/>
                      <w:szCs w:val="21"/>
                    </w:rPr>
                  </w:pPr>
                </w:p>
              </w:tc>
              <w:tc>
                <w:tcPr>
                  <w:tcW w:w="1167" w:type="dxa"/>
                  <w:tcBorders>
                    <w:top w:val="single" w:color="auto" w:sz="4" w:space="0"/>
                  </w:tcBorders>
                  <w:vAlign w:val="center"/>
                </w:tcPr>
                <w:p w14:paraId="49B04847">
                  <w:pPr>
                    <w:jc w:val="center"/>
                    <w:rPr>
                      <w:rFonts w:ascii="Times New Roman" w:hAnsi="Times New Roman"/>
                      <w:b/>
                      <w:bCs/>
                      <w:szCs w:val="21"/>
                    </w:rPr>
                  </w:pPr>
                  <w:r>
                    <w:rPr>
                      <w:rFonts w:ascii="Times New Roman" w:hAnsi="Times New Roman"/>
                      <w:b/>
                      <w:bCs/>
                      <w:szCs w:val="21"/>
                    </w:rPr>
                    <w:t>拍片（s）</w:t>
                  </w:r>
                </w:p>
              </w:tc>
              <w:tc>
                <w:tcPr>
                  <w:tcW w:w="1181" w:type="dxa"/>
                  <w:tcBorders>
                    <w:top w:val="single" w:color="auto" w:sz="4" w:space="0"/>
                  </w:tcBorders>
                  <w:vAlign w:val="center"/>
                </w:tcPr>
                <w:p w14:paraId="4EBDDD05">
                  <w:pPr>
                    <w:jc w:val="center"/>
                    <w:rPr>
                      <w:rFonts w:ascii="Times New Roman" w:hAnsi="Times New Roman"/>
                      <w:b/>
                      <w:bCs/>
                      <w:szCs w:val="21"/>
                    </w:rPr>
                  </w:pPr>
                  <w:r>
                    <w:rPr>
                      <w:rFonts w:ascii="Times New Roman" w:hAnsi="Times New Roman"/>
                      <w:b/>
                      <w:bCs/>
                      <w:szCs w:val="21"/>
                    </w:rPr>
                    <w:t>透视（min）</w:t>
                  </w:r>
                </w:p>
              </w:tc>
              <w:tc>
                <w:tcPr>
                  <w:tcW w:w="1400" w:type="dxa"/>
                  <w:vMerge w:val="continue"/>
                  <w:vAlign w:val="center"/>
                </w:tcPr>
                <w:p w14:paraId="2DE7490D">
                  <w:pPr>
                    <w:jc w:val="center"/>
                    <w:rPr>
                      <w:rFonts w:ascii="Times New Roman" w:hAnsi="Times New Roman"/>
                      <w:b/>
                      <w:bCs/>
                      <w:szCs w:val="21"/>
                    </w:rPr>
                  </w:pPr>
                </w:p>
              </w:tc>
              <w:tc>
                <w:tcPr>
                  <w:tcW w:w="1354" w:type="dxa"/>
                  <w:tcBorders>
                    <w:top w:val="single" w:color="auto" w:sz="4" w:space="0"/>
                  </w:tcBorders>
                  <w:vAlign w:val="center"/>
                </w:tcPr>
                <w:p w14:paraId="49901680">
                  <w:pPr>
                    <w:jc w:val="center"/>
                    <w:rPr>
                      <w:rFonts w:ascii="Times New Roman" w:hAnsi="Times New Roman"/>
                      <w:b/>
                      <w:bCs/>
                      <w:szCs w:val="21"/>
                    </w:rPr>
                  </w:pPr>
                  <w:r>
                    <w:rPr>
                      <w:rFonts w:ascii="Times New Roman" w:hAnsi="Times New Roman"/>
                      <w:b/>
                      <w:bCs/>
                      <w:szCs w:val="21"/>
                    </w:rPr>
                    <w:t>拍片（h）</w:t>
                  </w:r>
                </w:p>
              </w:tc>
              <w:tc>
                <w:tcPr>
                  <w:tcW w:w="1765" w:type="dxa"/>
                  <w:tcBorders>
                    <w:top w:val="single" w:color="auto" w:sz="4" w:space="0"/>
                  </w:tcBorders>
                  <w:vAlign w:val="center"/>
                </w:tcPr>
                <w:p w14:paraId="28DFE929">
                  <w:pPr>
                    <w:jc w:val="center"/>
                    <w:rPr>
                      <w:rFonts w:ascii="Times New Roman" w:hAnsi="Times New Roman"/>
                      <w:b/>
                      <w:bCs/>
                      <w:szCs w:val="21"/>
                    </w:rPr>
                  </w:pPr>
                  <w:r>
                    <w:rPr>
                      <w:rFonts w:ascii="Times New Roman" w:hAnsi="Times New Roman"/>
                      <w:b/>
                      <w:bCs/>
                      <w:szCs w:val="21"/>
                    </w:rPr>
                    <w:t>透视（h）</w:t>
                  </w:r>
                </w:p>
              </w:tc>
            </w:tr>
            <w:tr w14:paraId="77D027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48" w:hRule="atLeast"/>
                <w:jc w:val="center"/>
              </w:trPr>
              <w:tc>
                <w:tcPr>
                  <w:tcW w:w="2071" w:type="dxa"/>
                  <w:vAlign w:val="center"/>
                </w:tcPr>
                <w:p w14:paraId="687FC891">
                  <w:pPr>
                    <w:pStyle w:val="46"/>
                    <w:autoSpaceDE w:val="0"/>
                    <w:autoSpaceDN w:val="0"/>
                    <w:jc w:val="center"/>
                    <w:rPr>
                      <w:rFonts w:ascii="Times New Roman" w:hAnsi="Times New Roman"/>
                      <w:szCs w:val="21"/>
                    </w:rPr>
                  </w:pPr>
                  <w:r>
                    <w:rPr>
                      <w:rFonts w:ascii="Times New Roman" w:hAnsi="Times New Roman"/>
                    </w:rPr>
                    <w:t>心血管内科</w:t>
                  </w:r>
                </w:p>
              </w:tc>
              <w:tc>
                <w:tcPr>
                  <w:tcW w:w="1167" w:type="dxa"/>
                  <w:vAlign w:val="center"/>
                </w:tcPr>
                <w:p w14:paraId="60A23DF8">
                  <w:pPr>
                    <w:jc w:val="center"/>
                    <w:rPr>
                      <w:rFonts w:ascii="Times New Roman" w:hAnsi="Times New Roman"/>
                      <w:bCs/>
                      <w:szCs w:val="21"/>
                    </w:rPr>
                  </w:pPr>
                  <w:r>
                    <w:rPr>
                      <w:rFonts w:ascii="Times New Roman" w:hAnsi="Times New Roman"/>
                      <w:bCs/>
                      <w:szCs w:val="21"/>
                    </w:rPr>
                    <w:t>20</w:t>
                  </w:r>
                </w:p>
              </w:tc>
              <w:tc>
                <w:tcPr>
                  <w:tcW w:w="1181" w:type="dxa"/>
                  <w:vAlign w:val="center"/>
                </w:tcPr>
                <w:p w14:paraId="2497669F">
                  <w:pPr>
                    <w:widowControl/>
                    <w:jc w:val="center"/>
                    <w:textAlignment w:val="center"/>
                    <w:rPr>
                      <w:rFonts w:ascii="Times New Roman" w:hAnsi="Times New Roman"/>
                      <w:bCs/>
                      <w:szCs w:val="21"/>
                    </w:rPr>
                  </w:pPr>
                  <w:r>
                    <w:rPr>
                      <w:rFonts w:hint="eastAsia" w:ascii="Times New Roman" w:hAnsi="Times New Roman"/>
                      <w:kern w:val="0"/>
                      <w:szCs w:val="21"/>
                      <w:lang w:bidi="ar"/>
                    </w:rPr>
                    <w:t>12</w:t>
                  </w:r>
                </w:p>
              </w:tc>
              <w:tc>
                <w:tcPr>
                  <w:tcW w:w="1400" w:type="dxa"/>
                  <w:vAlign w:val="center"/>
                </w:tcPr>
                <w:p w14:paraId="4A1ACD2C">
                  <w:pPr>
                    <w:jc w:val="center"/>
                    <w:rPr>
                      <w:rFonts w:ascii="Times New Roman" w:hAnsi="Times New Roman"/>
                      <w:bCs/>
                      <w:szCs w:val="21"/>
                    </w:rPr>
                  </w:pPr>
                  <w:r>
                    <w:rPr>
                      <w:rFonts w:hint="eastAsia" w:ascii="Times New Roman" w:hAnsi="Times New Roman"/>
                      <w:bCs/>
                      <w:szCs w:val="21"/>
                      <w:lang w:val="en-US" w:eastAsia="zh-CN"/>
                    </w:rPr>
                    <w:t>20</w:t>
                  </w:r>
                  <w:r>
                    <w:rPr>
                      <w:rFonts w:hint="eastAsia" w:ascii="Times New Roman" w:hAnsi="Times New Roman"/>
                      <w:bCs/>
                      <w:szCs w:val="21"/>
                    </w:rPr>
                    <w:t>0</w:t>
                  </w:r>
                </w:p>
              </w:tc>
              <w:tc>
                <w:tcPr>
                  <w:tcW w:w="1354" w:type="dxa"/>
                  <w:vAlign w:val="center"/>
                </w:tcPr>
                <w:p w14:paraId="4310B6BC">
                  <w:pPr>
                    <w:jc w:val="center"/>
                    <w:rPr>
                      <w:rFonts w:hint="default"/>
                      <w:lang w:val="en-US" w:eastAsia="zh-CN"/>
                    </w:rPr>
                  </w:pPr>
                  <w:r>
                    <w:rPr>
                      <w:rFonts w:hint="eastAsia" w:ascii="Times New Roman" w:hAnsi="Times New Roman"/>
                      <w:bCs/>
                      <w:szCs w:val="21"/>
                      <w:lang w:val="en-US" w:eastAsia="zh-CN"/>
                    </w:rPr>
                    <w:t>1.11</w:t>
                  </w:r>
                </w:p>
              </w:tc>
              <w:tc>
                <w:tcPr>
                  <w:tcW w:w="1765" w:type="dxa"/>
                  <w:vAlign w:val="center"/>
                </w:tcPr>
                <w:p w14:paraId="4BA2585D">
                  <w:pPr>
                    <w:jc w:val="center"/>
                    <w:rPr>
                      <w:rFonts w:ascii="Times New Roman" w:hAnsi="Times New Roman"/>
                      <w:bCs/>
                      <w:szCs w:val="21"/>
                    </w:rPr>
                  </w:pPr>
                  <w:r>
                    <w:rPr>
                      <w:rFonts w:hint="eastAsia" w:ascii="Times New Roman" w:hAnsi="Times New Roman"/>
                      <w:color w:val="000000" w:themeColor="text1"/>
                      <w:szCs w:val="21"/>
                      <w:lang w:val="en-US" w:eastAsia="zh-CN"/>
                      <w14:textFill>
                        <w14:solidFill>
                          <w14:schemeClr w14:val="tx1"/>
                        </w14:solidFill>
                      </w14:textFill>
                    </w:rPr>
                    <w:t>4</w:t>
                  </w:r>
                  <w:r>
                    <w:rPr>
                      <w:rFonts w:hint="eastAsia" w:ascii="Times New Roman" w:hAnsi="Times New Roman"/>
                      <w:color w:val="000000" w:themeColor="text1"/>
                      <w:szCs w:val="21"/>
                      <w14:textFill>
                        <w14:solidFill>
                          <w14:schemeClr w14:val="tx1"/>
                        </w14:solidFill>
                      </w14:textFill>
                    </w:rPr>
                    <w:t>0.00</w:t>
                  </w:r>
                </w:p>
              </w:tc>
            </w:tr>
            <w:tr w14:paraId="3C2026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48" w:hRule="atLeast"/>
                <w:jc w:val="center"/>
              </w:trPr>
              <w:tc>
                <w:tcPr>
                  <w:tcW w:w="2071" w:type="dxa"/>
                  <w:vAlign w:val="center"/>
                </w:tcPr>
                <w:p w14:paraId="1B139ADC">
                  <w:pPr>
                    <w:pStyle w:val="46"/>
                    <w:autoSpaceDE w:val="0"/>
                    <w:autoSpaceDN w:val="0"/>
                    <w:jc w:val="center"/>
                    <w:rPr>
                      <w:rFonts w:ascii="Times New Roman" w:hAnsi="Times New Roman"/>
                      <w:szCs w:val="21"/>
                    </w:rPr>
                  </w:pPr>
                  <w:r>
                    <w:rPr>
                      <w:rFonts w:ascii="Times New Roman" w:hAnsi="Times New Roman"/>
                    </w:rPr>
                    <w:t>神经科</w:t>
                  </w:r>
                </w:p>
              </w:tc>
              <w:tc>
                <w:tcPr>
                  <w:tcW w:w="1167" w:type="dxa"/>
                  <w:vAlign w:val="center"/>
                </w:tcPr>
                <w:p w14:paraId="016E770D">
                  <w:pPr>
                    <w:jc w:val="center"/>
                    <w:rPr>
                      <w:rFonts w:ascii="Times New Roman" w:hAnsi="Times New Roman"/>
                      <w:bCs/>
                      <w:szCs w:val="21"/>
                    </w:rPr>
                  </w:pPr>
                  <w:r>
                    <w:rPr>
                      <w:rFonts w:ascii="Times New Roman" w:hAnsi="Times New Roman"/>
                      <w:bCs/>
                      <w:szCs w:val="21"/>
                    </w:rPr>
                    <w:t>15</w:t>
                  </w:r>
                </w:p>
              </w:tc>
              <w:tc>
                <w:tcPr>
                  <w:tcW w:w="1181" w:type="dxa"/>
                  <w:vAlign w:val="center"/>
                </w:tcPr>
                <w:p w14:paraId="14271B47">
                  <w:pPr>
                    <w:widowControl/>
                    <w:jc w:val="center"/>
                    <w:textAlignment w:val="center"/>
                    <w:rPr>
                      <w:rFonts w:ascii="Times New Roman" w:hAnsi="Times New Roman"/>
                      <w:bCs/>
                      <w:szCs w:val="21"/>
                    </w:rPr>
                  </w:pPr>
                  <w:r>
                    <w:rPr>
                      <w:rFonts w:hint="eastAsia" w:ascii="Times New Roman" w:hAnsi="Times New Roman"/>
                      <w:kern w:val="0"/>
                      <w:szCs w:val="21"/>
                      <w:lang w:bidi="ar"/>
                    </w:rPr>
                    <w:t>12</w:t>
                  </w:r>
                </w:p>
              </w:tc>
              <w:tc>
                <w:tcPr>
                  <w:tcW w:w="1400" w:type="dxa"/>
                  <w:vAlign w:val="center"/>
                </w:tcPr>
                <w:p w14:paraId="26151240">
                  <w:pPr>
                    <w:jc w:val="center"/>
                    <w:rPr>
                      <w:rFonts w:ascii="Times New Roman" w:hAnsi="Times New Roman"/>
                      <w:bCs/>
                      <w:szCs w:val="21"/>
                    </w:rPr>
                  </w:pPr>
                  <w:r>
                    <w:rPr>
                      <w:rFonts w:hint="eastAsia" w:ascii="Times New Roman" w:hAnsi="Times New Roman"/>
                      <w:bCs/>
                      <w:szCs w:val="21"/>
                      <w:lang w:val="en-US" w:eastAsia="zh-CN"/>
                    </w:rPr>
                    <w:t>20</w:t>
                  </w:r>
                  <w:r>
                    <w:rPr>
                      <w:rFonts w:hint="eastAsia" w:ascii="Times New Roman" w:hAnsi="Times New Roman"/>
                      <w:bCs/>
                      <w:szCs w:val="21"/>
                    </w:rPr>
                    <w:t>0</w:t>
                  </w:r>
                </w:p>
              </w:tc>
              <w:tc>
                <w:tcPr>
                  <w:tcW w:w="1354" w:type="dxa"/>
                  <w:vAlign w:val="center"/>
                </w:tcPr>
                <w:p w14:paraId="56554A2F">
                  <w:pPr>
                    <w:jc w:val="center"/>
                    <w:rPr>
                      <w:rFonts w:hint="default" w:ascii="Times New Roman" w:hAnsi="Times New Roman" w:eastAsia="宋体"/>
                      <w:bCs/>
                      <w:szCs w:val="21"/>
                      <w:lang w:val="en-US" w:eastAsia="zh-CN"/>
                    </w:rPr>
                  </w:pPr>
                  <w:r>
                    <w:rPr>
                      <w:rFonts w:hint="eastAsia" w:ascii="Times New Roman" w:hAnsi="Times New Roman"/>
                      <w:bCs/>
                      <w:szCs w:val="21"/>
                      <w:lang w:val="en-US" w:eastAsia="zh-CN"/>
                    </w:rPr>
                    <w:t>0.83</w:t>
                  </w:r>
                </w:p>
              </w:tc>
              <w:tc>
                <w:tcPr>
                  <w:tcW w:w="1765" w:type="dxa"/>
                  <w:vAlign w:val="center"/>
                </w:tcPr>
                <w:p w14:paraId="2BE7B18F">
                  <w:pPr>
                    <w:jc w:val="center"/>
                    <w:rPr>
                      <w:rFonts w:ascii="Times New Roman" w:hAnsi="Times New Roman"/>
                      <w:bCs/>
                      <w:szCs w:val="21"/>
                    </w:rPr>
                  </w:pPr>
                  <w:r>
                    <w:rPr>
                      <w:rFonts w:hint="eastAsia" w:ascii="Times New Roman" w:hAnsi="Times New Roman"/>
                      <w:color w:val="000000" w:themeColor="text1"/>
                      <w:szCs w:val="21"/>
                      <w:lang w:val="en-US" w:eastAsia="zh-CN"/>
                      <w14:textFill>
                        <w14:solidFill>
                          <w14:schemeClr w14:val="tx1"/>
                        </w14:solidFill>
                      </w14:textFill>
                    </w:rPr>
                    <w:t>4</w:t>
                  </w:r>
                  <w:r>
                    <w:rPr>
                      <w:rFonts w:hint="eastAsia" w:ascii="Times New Roman" w:hAnsi="Times New Roman"/>
                      <w:color w:val="000000" w:themeColor="text1"/>
                      <w:szCs w:val="21"/>
                      <w14:textFill>
                        <w14:solidFill>
                          <w14:schemeClr w14:val="tx1"/>
                        </w14:solidFill>
                      </w14:textFill>
                    </w:rPr>
                    <w:t>0.00</w:t>
                  </w:r>
                </w:p>
              </w:tc>
            </w:tr>
            <w:tr w14:paraId="5B8192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48" w:hRule="atLeast"/>
                <w:jc w:val="center"/>
              </w:trPr>
              <w:tc>
                <w:tcPr>
                  <w:tcW w:w="2071" w:type="dxa"/>
                  <w:vAlign w:val="center"/>
                </w:tcPr>
                <w:p w14:paraId="5D0A15C4">
                  <w:pPr>
                    <w:pStyle w:val="46"/>
                    <w:autoSpaceDE w:val="0"/>
                    <w:autoSpaceDN w:val="0"/>
                    <w:jc w:val="center"/>
                    <w:rPr>
                      <w:rFonts w:ascii="Times New Roman" w:hAnsi="Times New Roman"/>
                    </w:rPr>
                  </w:pPr>
                  <w:r>
                    <w:rPr>
                      <w:rFonts w:ascii="Times New Roman" w:hAnsi="Times New Roman"/>
                      <w:szCs w:val="21"/>
                    </w:rPr>
                    <w:t>外周</w:t>
                  </w:r>
                </w:p>
              </w:tc>
              <w:tc>
                <w:tcPr>
                  <w:tcW w:w="1167" w:type="dxa"/>
                  <w:vAlign w:val="center"/>
                </w:tcPr>
                <w:p w14:paraId="097BC309">
                  <w:pPr>
                    <w:jc w:val="center"/>
                    <w:rPr>
                      <w:rFonts w:ascii="Times New Roman" w:hAnsi="Times New Roman"/>
                      <w:bCs/>
                      <w:szCs w:val="21"/>
                    </w:rPr>
                  </w:pPr>
                  <w:r>
                    <w:rPr>
                      <w:rFonts w:ascii="Times New Roman" w:hAnsi="Times New Roman"/>
                      <w:bCs/>
                      <w:szCs w:val="21"/>
                    </w:rPr>
                    <w:t>15</w:t>
                  </w:r>
                </w:p>
              </w:tc>
              <w:tc>
                <w:tcPr>
                  <w:tcW w:w="1181" w:type="dxa"/>
                  <w:vAlign w:val="center"/>
                </w:tcPr>
                <w:p w14:paraId="7E0EC2A0">
                  <w:pPr>
                    <w:widowControl/>
                    <w:jc w:val="center"/>
                    <w:textAlignment w:val="center"/>
                    <w:rPr>
                      <w:rFonts w:ascii="Times New Roman" w:hAnsi="Times New Roman"/>
                      <w:bCs/>
                      <w:szCs w:val="21"/>
                    </w:rPr>
                  </w:pPr>
                  <w:r>
                    <w:rPr>
                      <w:rFonts w:hint="eastAsia" w:ascii="Times New Roman" w:hAnsi="Times New Roman"/>
                      <w:kern w:val="0"/>
                      <w:szCs w:val="21"/>
                      <w:lang w:bidi="ar"/>
                    </w:rPr>
                    <w:t>15</w:t>
                  </w:r>
                </w:p>
              </w:tc>
              <w:tc>
                <w:tcPr>
                  <w:tcW w:w="1400" w:type="dxa"/>
                  <w:vAlign w:val="center"/>
                </w:tcPr>
                <w:p w14:paraId="024920C6">
                  <w:pPr>
                    <w:jc w:val="center"/>
                    <w:rPr>
                      <w:rFonts w:ascii="Times New Roman" w:hAnsi="Times New Roman"/>
                      <w:bCs/>
                      <w:szCs w:val="21"/>
                    </w:rPr>
                  </w:pPr>
                  <w:r>
                    <w:rPr>
                      <w:rFonts w:hint="eastAsia" w:ascii="Times New Roman" w:hAnsi="Times New Roman"/>
                      <w:bCs/>
                      <w:szCs w:val="21"/>
                      <w:lang w:val="en-US" w:eastAsia="zh-CN"/>
                    </w:rPr>
                    <w:t>1</w:t>
                  </w:r>
                  <w:r>
                    <w:rPr>
                      <w:rFonts w:hint="eastAsia" w:ascii="Times New Roman" w:hAnsi="Times New Roman"/>
                      <w:bCs/>
                      <w:szCs w:val="21"/>
                    </w:rPr>
                    <w:t>00</w:t>
                  </w:r>
                </w:p>
              </w:tc>
              <w:tc>
                <w:tcPr>
                  <w:tcW w:w="1354" w:type="dxa"/>
                  <w:vAlign w:val="center"/>
                </w:tcPr>
                <w:p w14:paraId="190DBF3B">
                  <w:pPr>
                    <w:jc w:val="center"/>
                    <w:rPr>
                      <w:rFonts w:hint="default" w:ascii="Times New Roman" w:hAnsi="Times New Roman" w:eastAsia="宋体"/>
                      <w:bCs/>
                      <w:szCs w:val="21"/>
                      <w:lang w:val="en-US" w:eastAsia="zh-CN"/>
                    </w:rPr>
                  </w:pPr>
                  <w:r>
                    <w:rPr>
                      <w:rFonts w:hint="eastAsia" w:ascii="Times New Roman" w:hAnsi="Times New Roman"/>
                      <w:bCs/>
                      <w:szCs w:val="21"/>
                      <w:lang w:val="en-US" w:eastAsia="zh-CN"/>
                    </w:rPr>
                    <w:t>0.42</w:t>
                  </w:r>
                </w:p>
              </w:tc>
              <w:tc>
                <w:tcPr>
                  <w:tcW w:w="1765" w:type="dxa"/>
                  <w:vAlign w:val="center"/>
                </w:tcPr>
                <w:p w14:paraId="73BABB25">
                  <w:pPr>
                    <w:jc w:val="center"/>
                    <w:rPr>
                      <w:rFonts w:ascii="Times New Roman" w:hAnsi="Times New Roman"/>
                      <w:bCs/>
                      <w:szCs w:val="21"/>
                    </w:rPr>
                  </w:pPr>
                  <w:r>
                    <w:rPr>
                      <w:rFonts w:hint="eastAsia" w:ascii="Times New Roman" w:hAnsi="Times New Roman"/>
                      <w:color w:val="000000" w:themeColor="text1"/>
                      <w:szCs w:val="21"/>
                      <w:lang w:val="en-US" w:eastAsia="zh-CN"/>
                      <w14:textFill>
                        <w14:solidFill>
                          <w14:schemeClr w14:val="tx1"/>
                        </w14:solidFill>
                      </w14:textFill>
                    </w:rPr>
                    <w:t>25</w:t>
                  </w:r>
                  <w:r>
                    <w:rPr>
                      <w:rFonts w:hint="eastAsia" w:ascii="Times New Roman" w:hAnsi="Times New Roman"/>
                      <w:color w:val="000000" w:themeColor="text1"/>
                      <w:szCs w:val="21"/>
                      <w14:textFill>
                        <w14:solidFill>
                          <w14:schemeClr w14:val="tx1"/>
                        </w14:solidFill>
                      </w14:textFill>
                    </w:rPr>
                    <w:t>.00</w:t>
                  </w:r>
                </w:p>
              </w:tc>
            </w:tr>
            <w:tr w14:paraId="4135C4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1" w:type="dxa"/>
                  <w:bottom w:w="0" w:type="dxa"/>
                  <w:right w:w="51" w:type="dxa"/>
                </w:tblCellMar>
              </w:tblPrEx>
              <w:trPr>
                <w:trHeight w:val="380" w:hRule="atLeast"/>
                <w:jc w:val="center"/>
              </w:trPr>
              <w:tc>
                <w:tcPr>
                  <w:tcW w:w="2071" w:type="dxa"/>
                  <w:vAlign w:val="center"/>
                </w:tcPr>
                <w:p w14:paraId="0F336EA5">
                  <w:pPr>
                    <w:jc w:val="center"/>
                    <w:rPr>
                      <w:rFonts w:ascii="Times New Roman" w:hAnsi="Times New Roman"/>
                      <w:szCs w:val="21"/>
                    </w:rPr>
                  </w:pPr>
                  <w:r>
                    <w:rPr>
                      <w:rFonts w:ascii="Times New Roman" w:hAnsi="Times New Roman"/>
                      <w:szCs w:val="21"/>
                    </w:rPr>
                    <w:t>合计</w:t>
                  </w:r>
                </w:p>
              </w:tc>
              <w:tc>
                <w:tcPr>
                  <w:tcW w:w="1167" w:type="dxa"/>
                  <w:vAlign w:val="center"/>
                </w:tcPr>
                <w:p w14:paraId="16C8FBCA">
                  <w:pPr>
                    <w:jc w:val="center"/>
                    <w:rPr>
                      <w:rFonts w:ascii="Times New Roman" w:hAnsi="Times New Roman"/>
                      <w:bCs/>
                      <w:szCs w:val="21"/>
                    </w:rPr>
                  </w:pPr>
                  <w:r>
                    <w:rPr>
                      <w:rFonts w:hint="eastAsia" w:ascii="Times New Roman" w:hAnsi="Times New Roman"/>
                      <w:bCs/>
                      <w:szCs w:val="21"/>
                    </w:rPr>
                    <w:t>/</w:t>
                  </w:r>
                </w:p>
              </w:tc>
              <w:tc>
                <w:tcPr>
                  <w:tcW w:w="1181" w:type="dxa"/>
                  <w:vAlign w:val="center"/>
                </w:tcPr>
                <w:p w14:paraId="38E8475D">
                  <w:pPr>
                    <w:jc w:val="center"/>
                    <w:rPr>
                      <w:rFonts w:ascii="Times New Roman" w:hAnsi="Times New Roman"/>
                      <w:bCs/>
                      <w:szCs w:val="21"/>
                    </w:rPr>
                  </w:pPr>
                  <w:r>
                    <w:rPr>
                      <w:rFonts w:hint="eastAsia" w:ascii="Times New Roman" w:hAnsi="Times New Roman"/>
                      <w:bCs/>
                      <w:szCs w:val="21"/>
                    </w:rPr>
                    <w:t>/</w:t>
                  </w:r>
                </w:p>
              </w:tc>
              <w:tc>
                <w:tcPr>
                  <w:tcW w:w="1400" w:type="dxa"/>
                  <w:vAlign w:val="center"/>
                </w:tcPr>
                <w:p w14:paraId="0E2F4947">
                  <w:pPr>
                    <w:jc w:val="center"/>
                    <w:rPr>
                      <w:rFonts w:ascii="Times New Roman" w:hAnsi="Times New Roman"/>
                      <w:bCs/>
                      <w:szCs w:val="21"/>
                    </w:rPr>
                  </w:pPr>
                  <w:r>
                    <w:rPr>
                      <w:rFonts w:hint="eastAsia" w:ascii="Times New Roman" w:hAnsi="Times New Roman"/>
                      <w:bCs/>
                      <w:szCs w:val="21"/>
                      <w:lang w:val="en-US" w:eastAsia="zh-CN"/>
                    </w:rPr>
                    <w:t>5</w:t>
                  </w:r>
                  <w:r>
                    <w:rPr>
                      <w:rFonts w:hint="eastAsia" w:ascii="Times New Roman" w:hAnsi="Times New Roman"/>
                      <w:bCs/>
                      <w:szCs w:val="21"/>
                    </w:rPr>
                    <w:t>00</w:t>
                  </w:r>
                </w:p>
              </w:tc>
              <w:tc>
                <w:tcPr>
                  <w:tcW w:w="1354" w:type="dxa"/>
                  <w:vAlign w:val="center"/>
                </w:tcPr>
                <w:p w14:paraId="1F7D1173">
                  <w:pPr>
                    <w:jc w:val="center"/>
                    <w:rPr>
                      <w:rFonts w:hint="default" w:ascii="Times New Roman" w:hAnsi="Times New Roman" w:eastAsia="宋体"/>
                      <w:bCs/>
                      <w:szCs w:val="21"/>
                      <w:lang w:val="en-US" w:eastAsia="zh-CN"/>
                    </w:rPr>
                  </w:pPr>
                  <w:r>
                    <w:rPr>
                      <w:rFonts w:hint="eastAsia" w:ascii="Times New Roman" w:hAnsi="Times New Roman"/>
                      <w:bCs/>
                      <w:szCs w:val="21"/>
                      <w:lang w:val="en-US" w:eastAsia="zh-CN"/>
                    </w:rPr>
                    <w:t>2.36</w:t>
                  </w:r>
                </w:p>
              </w:tc>
              <w:tc>
                <w:tcPr>
                  <w:tcW w:w="1765" w:type="dxa"/>
                  <w:vAlign w:val="center"/>
                </w:tcPr>
                <w:p w14:paraId="22A24067">
                  <w:pPr>
                    <w:jc w:val="center"/>
                    <w:rPr>
                      <w:rFonts w:ascii="Times New Roman" w:hAnsi="Times New Roman"/>
                      <w:bCs/>
                      <w:szCs w:val="21"/>
                    </w:rPr>
                  </w:pPr>
                  <w:r>
                    <w:rPr>
                      <w:rFonts w:hint="eastAsia" w:ascii="Times New Roman" w:hAnsi="Times New Roman"/>
                      <w:bCs/>
                      <w:szCs w:val="21"/>
                      <w:lang w:val="en-US" w:eastAsia="zh-CN"/>
                    </w:rPr>
                    <w:t>105</w:t>
                  </w:r>
                  <w:r>
                    <w:rPr>
                      <w:rFonts w:hint="eastAsia" w:ascii="Times New Roman" w:hAnsi="Times New Roman"/>
                      <w:bCs/>
                      <w:szCs w:val="21"/>
                    </w:rPr>
                    <w:t>.00</w:t>
                  </w:r>
                </w:p>
              </w:tc>
            </w:tr>
          </w:tbl>
          <w:p w14:paraId="06634B6A">
            <w:pPr>
              <w:spacing w:line="360" w:lineRule="auto"/>
              <w:rPr>
                <w:rFonts w:ascii="Times New Roman" w:hAnsi="Times New Roman"/>
                <w:b/>
                <w:sz w:val="24"/>
              </w:rPr>
            </w:pPr>
            <w:r>
              <w:rPr>
                <w:rFonts w:ascii="Times New Roman" w:hAnsi="Times New Roman"/>
                <w:b/>
                <w:sz w:val="24"/>
              </w:rPr>
              <w:t>（七）工作人员配置情况</w:t>
            </w:r>
          </w:p>
          <w:p w14:paraId="5E899354">
            <w:pPr>
              <w:spacing w:line="360" w:lineRule="auto"/>
              <w:ind w:firstLine="480" w:firstLineChars="200"/>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劳动定员：涉及</w:t>
            </w:r>
            <w:r>
              <w:rPr>
                <w:rFonts w:hint="eastAsia" w:ascii="Times New Roman" w:hAnsi="Times New Roman"/>
                <w:bCs/>
                <w:color w:val="000000" w:themeColor="text1"/>
                <w:sz w:val="24"/>
                <w:lang w:val="en-US" w:eastAsia="zh-CN"/>
                <w14:textFill>
                  <w14:solidFill>
                    <w14:schemeClr w14:val="tx1"/>
                  </w14:solidFill>
                </w14:textFill>
              </w:rPr>
              <w:t>新增</w:t>
            </w:r>
            <w:r>
              <w:rPr>
                <w:rFonts w:ascii="Times New Roman" w:hAnsi="Times New Roman"/>
                <w:bCs/>
                <w:color w:val="000000" w:themeColor="text1"/>
                <w:sz w:val="24"/>
                <w14:textFill>
                  <w14:solidFill>
                    <w14:schemeClr w14:val="tx1"/>
                  </w14:solidFill>
                </w14:textFill>
              </w:rPr>
              <w:t>辐射工作人员</w:t>
            </w:r>
            <w:r>
              <w:rPr>
                <w:rFonts w:hint="eastAsia" w:ascii="Times New Roman" w:hAnsi="Times New Roman"/>
                <w:bCs/>
                <w:color w:val="000000" w:themeColor="text1"/>
                <w:sz w:val="24"/>
                <w:lang w:val="en-US" w:eastAsia="zh-CN"/>
                <w14:textFill>
                  <w14:solidFill>
                    <w14:schemeClr w14:val="tx1"/>
                  </w14:solidFill>
                </w14:textFill>
              </w:rPr>
              <w:t>14</w:t>
            </w:r>
            <w:r>
              <w:rPr>
                <w:rFonts w:ascii="Times New Roman" w:hAnsi="Times New Roman"/>
                <w:bCs/>
                <w:color w:val="000000" w:themeColor="text1"/>
                <w:sz w:val="24"/>
                <w14:textFill>
                  <w14:solidFill>
                    <w14:schemeClr w14:val="tx1"/>
                  </w14:solidFill>
                </w14:textFill>
              </w:rPr>
              <w:t>名，其中</w:t>
            </w:r>
            <w:r>
              <w:rPr>
                <w:rFonts w:hint="eastAsia" w:ascii="Times New Roman" w:hAnsi="Times New Roman"/>
                <w:bCs/>
                <w:color w:val="000000" w:themeColor="text1"/>
                <w:sz w:val="24"/>
                <w14:textFill>
                  <w14:solidFill>
                    <w14:schemeClr w14:val="tx1"/>
                  </w14:solidFill>
                </w14:textFill>
              </w:rPr>
              <w:t>心血管内科</w:t>
            </w:r>
            <w:r>
              <w:rPr>
                <w:rFonts w:hint="eastAsia" w:ascii="Times New Roman" w:hAnsi="Times New Roman"/>
                <w:bCs/>
                <w:color w:val="000000" w:themeColor="text1"/>
                <w:sz w:val="24"/>
                <w:lang w:val="en-US" w:eastAsia="zh-CN"/>
                <w14:textFill>
                  <w14:solidFill>
                    <w14:schemeClr w14:val="tx1"/>
                  </w14:solidFill>
                </w14:textFill>
              </w:rPr>
              <w:t>4</w:t>
            </w:r>
            <w:r>
              <w:rPr>
                <w:rFonts w:hint="eastAsia" w:ascii="Times New Roman" w:hAnsi="Times New Roman"/>
                <w:bCs/>
                <w:color w:val="000000" w:themeColor="text1"/>
                <w:sz w:val="24"/>
                <w14:textFill>
                  <w14:solidFill>
                    <w14:schemeClr w14:val="tx1"/>
                  </w14:solidFill>
                </w14:textFill>
              </w:rPr>
              <w:t>名，神经科</w:t>
            </w:r>
            <w:r>
              <w:rPr>
                <w:rFonts w:hint="eastAsia" w:ascii="Times New Roman" w:hAnsi="Times New Roman"/>
                <w:bCs/>
                <w:color w:val="000000" w:themeColor="text1"/>
                <w:sz w:val="24"/>
                <w:lang w:val="en-US" w:eastAsia="zh-CN"/>
                <w14:textFill>
                  <w14:solidFill>
                    <w14:schemeClr w14:val="tx1"/>
                  </w14:solidFill>
                </w14:textFill>
              </w:rPr>
              <w:t>4</w:t>
            </w:r>
            <w:r>
              <w:rPr>
                <w:rFonts w:hint="eastAsia" w:ascii="Times New Roman" w:hAnsi="Times New Roman"/>
                <w:bCs/>
                <w:color w:val="000000" w:themeColor="text1"/>
                <w:sz w:val="24"/>
                <w14:textFill>
                  <w14:solidFill>
                    <w14:schemeClr w14:val="tx1"/>
                  </w14:solidFill>
                </w14:textFill>
              </w:rPr>
              <w:t>名，</w:t>
            </w:r>
            <w:r>
              <w:rPr>
                <w:rFonts w:hint="eastAsia" w:ascii="Times New Roman" w:hAnsi="Times New Roman"/>
                <w:bCs/>
                <w:color w:val="000000" w:themeColor="text1"/>
                <w:sz w:val="24"/>
                <w:lang w:val="en-US" w:eastAsia="zh-CN"/>
                <w14:textFill>
                  <w14:solidFill>
                    <w14:schemeClr w14:val="tx1"/>
                  </w14:solidFill>
                </w14:textFill>
              </w:rPr>
              <w:t>外周</w:t>
            </w:r>
            <w:r>
              <w:rPr>
                <w:rFonts w:hint="eastAsia" w:ascii="Times New Roman" w:hAnsi="Times New Roman"/>
                <w:bCs/>
                <w:color w:val="000000" w:themeColor="text1"/>
                <w:sz w:val="24"/>
                <w14:textFill>
                  <w14:solidFill>
                    <w14:schemeClr w14:val="tx1"/>
                  </w14:solidFill>
                </w14:textFill>
              </w:rPr>
              <w:t>科</w:t>
            </w:r>
            <w:r>
              <w:rPr>
                <w:rFonts w:hint="eastAsia" w:ascii="Times New Roman" w:hAnsi="Times New Roman"/>
                <w:bCs/>
                <w:color w:val="000000" w:themeColor="text1"/>
                <w:sz w:val="24"/>
                <w:lang w:val="en-US" w:eastAsia="zh-CN"/>
                <w14:textFill>
                  <w14:solidFill>
                    <w14:schemeClr w14:val="tx1"/>
                  </w14:solidFill>
                </w14:textFill>
              </w:rPr>
              <w:t>3</w:t>
            </w:r>
            <w:r>
              <w:rPr>
                <w:rFonts w:hint="eastAsia" w:ascii="Times New Roman" w:hAnsi="Times New Roman"/>
                <w:bCs/>
                <w:color w:val="000000" w:themeColor="text1"/>
                <w:sz w:val="24"/>
                <w14:textFill>
                  <w14:solidFill>
                    <w14:schemeClr w14:val="tx1"/>
                  </w14:solidFill>
                </w14:textFill>
              </w:rPr>
              <w:t>名，合计</w:t>
            </w:r>
            <w:r>
              <w:rPr>
                <w:rFonts w:hint="eastAsia" w:ascii="Times New Roman" w:hAnsi="Times New Roman"/>
                <w:bCs/>
                <w:color w:val="000000" w:themeColor="text1"/>
                <w:sz w:val="24"/>
                <w:lang w:val="en-US" w:eastAsia="zh-CN"/>
                <w14:textFill>
                  <w14:solidFill>
                    <w14:schemeClr w14:val="tx1"/>
                  </w14:solidFill>
                </w14:textFill>
              </w:rPr>
              <w:t>11</w:t>
            </w:r>
            <w:r>
              <w:rPr>
                <w:rFonts w:ascii="Times New Roman" w:hAnsi="Times New Roman"/>
                <w:bCs/>
                <w:color w:val="000000" w:themeColor="text1"/>
                <w:sz w:val="24"/>
                <w14:textFill>
                  <w14:solidFill>
                    <w14:schemeClr w14:val="tx1"/>
                  </w14:solidFill>
                </w14:textFill>
              </w:rPr>
              <w:t>名医生（</w:t>
            </w:r>
            <w:r>
              <w:rPr>
                <w:rFonts w:ascii="Times New Roman" w:hAnsi="Times New Roman"/>
                <w:color w:val="000000" w:themeColor="text1"/>
                <w:kern w:val="0"/>
                <w:sz w:val="24"/>
                <w:lang w:bidi="ar"/>
                <w14:textFill>
                  <w14:solidFill>
                    <w14:schemeClr w14:val="tx1"/>
                  </w14:solidFill>
                </w14:textFill>
              </w:rPr>
              <w:t>分为</w:t>
            </w:r>
            <w:r>
              <w:rPr>
                <w:rFonts w:hint="eastAsia" w:ascii="Times New Roman" w:hAnsi="Times New Roman"/>
                <w:color w:val="000000" w:themeColor="text1"/>
                <w:kern w:val="0"/>
                <w:sz w:val="24"/>
                <w:lang w:bidi="ar"/>
                <w14:textFill>
                  <w14:solidFill>
                    <w14:schemeClr w14:val="tx1"/>
                  </w14:solidFill>
                </w14:textFill>
              </w:rPr>
              <w:t>心血管内科2名主刀医生，</w:t>
            </w:r>
            <w:r>
              <w:rPr>
                <w:rFonts w:hint="eastAsia" w:ascii="Times New Roman" w:hAnsi="Times New Roman"/>
                <w:color w:val="000000" w:themeColor="text1"/>
                <w:kern w:val="0"/>
                <w:sz w:val="24"/>
                <w:lang w:val="en-US" w:eastAsia="zh-CN" w:bidi="ar"/>
                <w14:textFill>
                  <w14:solidFill>
                    <w14:schemeClr w14:val="tx1"/>
                  </w14:solidFill>
                </w14:textFill>
              </w:rPr>
              <w:t>2</w:t>
            </w:r>
            <w:r>
              <w:rPr>
                <w:rFonts w:hint="eastAsia" w:ascii="Times New Roman" w:hAnsi="Times New Roman"/>
                <w:color w:val="000000" w:themeColor="text1"/>
                <w:kern w:val="0"/>
                <w:sz w:val="24"/>
                <w:lang w:bidi="ar"/>
                <w14:textFill>
                  <w14:solidFill>
                    <w14:schemeClr w14:val="tx1"/>
                  </w14:solidFill>
                </w14:textFill>
              </w:rPr>
              <w:t>名助手医生，神经科2名主刀医生，</w:t>
            </w:r>
            <w:r>
              <w:rPr>
                <w:rFonts w:hint="eastAsia" w:ascii="Times New Roman" w:hAnsi="Times New Roman"/>
                <w:color w:val="000000" w:themeColor="text1"/>
                <w:kern w:val="0"/>
                <w:sz w:val="24"/>
                <w:lang w:val="en-US" w:eastAsia="zh-CN" w:bidi="ar"/>
                <w14:textFill>
                  <w14:solidFill>
                    <w14:schemeClr w14:val="tx1"/>
                  </w14:solidFill>
                </w14:textFill>
              </w:rPr>
              <w:t>2</w:t>
            </w:r>
            <w:r>
              <w:rPr>
                <w:rFonts w:hint="eastAsia" w:ascii="Times New Roman" w:hAnsi="Times New Roman"/>
                <w:color w:val="000000" w:themeColor="text1"/>
                <w:kern w:val="0"/>
                <w:sz w:val="24"/>
                <w:lang w:bidi="ar"/>
                <w14:textFill>
                  <w14:solidFill>
                    <w14:schemeClr w14:val="tx1"/>
                  </w14:solidFill>
                </w14:textFill>
              </w:rPr>
              <w:t>名助手医生，</w:t>
            </w:r>
            <w:r>
              <w:rPr>
                <w:rFonts w:hint="eastAsia" w:ascii="Times New Roman" w:hAnsi="Times New Roman"/>
                <w:color w:val="000000" w:themeColor="text1"/>
                <w:kern w:val="0"/>
                <w:sz w:val="24"/>
                <w:lang w:val="en-US" w:eastAsia="zh-CN" w:bidi="ar"/>
                <w14:textFill>
                  <w14:solidFill>
                    <w14:schemeClr w14:val="tx1"/>
                  </w14:solidFill>
                </w14:textFill>
              </w:rPr>
              <w:t>外周</w:t>
            </w:r>
            <w:r>
              <w:rPr>
                <w:rFonts w:hint="eastAsia" w:ascii="Times New Roman" w:hAnsi="Times New Roman"/>
                <w:color w:val="000000" w:themeColor="text1"/>
                <w:kern w:val="0"/>
                <w:sz w:val="24"/>
                <w:lang w:bidi="ar"/>
                <w14:textFill>
                  <w14:solidFill>
                    <w14:schemeClr w14:val="tx1"/>
                  </w14:solidFill>
                </w14:textFill>
              </w:rPr>
              <w:t>科2名主刀医生，</w:t>
            </w:r>
            <w:r>
              <w:rPr>
                <w:rFonts w:hint="eastAsia" w:ascii="Times New Roman" w:hAnsi="Times New Roman"/>
                <w:color w:val="000000" w:themeColor="text1"/>
                <w:kern w:val="0"/>
                <w:sz w:val="24"/>
                <w:lang w:val="en-US" w:eastAsia="zh-CN" w:bidi="ar"/>
                <w14:textFill>
                  <w14:solidFill>
                    <w14:schemeClr w14:val="tx1"/>
                  </w14:solidFill>
                </w14:textFill>
              </w:rPr>
              <w:t>1</w:t>
            </w:r>
            <w:r>
              <w:rPr>
                <w:rFonts w:hint="eastAsia" w:ascii="Times New Roman" w:hAnsi="Times New Roman"/>
                <w:color w:val="000000" w:themeColor="text1"/>
                <w:kern w:val="0"/>
                <w:sz w:val="24"/>
                <w:lang w:bidi="ar"/>
                <w14:textFill>
                  <w14:solidFill>
                    <w14:schemeClr w14:val="tx1"/>
                  </w14:solidFill>
                </w14:textFill>
              </w:rPr>
              <w:t>名助手医生</w:t>
            </w:r>
            <w:r>
              <w:rPr>
                <w:rFonts w:ascii="Times New Roman" w:hAnsi="Times New Roman"/>
                <w:bCs/>
                <w:color w:val="000000" w:themeColor="text1"/>
                <w:sz w:val="24"/>
                <w14:textFill>
                  <w14:solidFill>
                    <w14:schemeClr w14:val="tx1"/>
                  </w14:solidFill>
                </w14:textFill>
              </w:rPr>
              <w:t>），</w:t>
            </w:r>
            <w:r>
              <w:rPr>
                <w:rFonts w:hint="eastAsia" w:ascii="Times New Roman" w:hAnsi="Times New Roman"/>
                <w:bCs/>
                <w:color w:val="000000" w:themeColor="text1"/>
                <w:sz w:val="24"/>
                <w:lang w:val="en-US" w:eastAsia="zh-CN"/>
                <w14:textFill>
                  <w14:solidFill>
                    <w14:schemeClr w14:val="tx1"/>
                  </w14:solidFill>
                </w14:textFill>
              </w:rPr>
              <w:t>2</w:t>
            </w:r>
            <w:r>
              <w:rPr>
                <w:rFonts w:ascii="Times New Roman" w:hAnsi="Times New Roman"/>
                <w:bCs/>
                <w:color w:val="000000" w:themeColor="text1"/>
                <w:sz w:val="24"/>
                <w14:textFill>
                  <w14:solidFill>
                    <w14:schemeClr w14:val="tx1"/>
                  </w14:solidFill>
                </w14:textFill>
              </w:rPr>
              <w:t>名护士（分为</w:t>
            </w:r>
            <w:r>
              <w:rPr>
                <w:rFonts w:hint="eastAsia" w:ascii="Times New Roman" w:hAnsi="Times New Roman"/>
                <w:bCs/>
                <w:color w:val="000000" w:themeColor="text1"/>
                <w:sz w:val="24"/>
                <w:lang w:val="en-US" w:eastAsia="zh-CN"/>
                <w14:textFill>
                  <w14:solidFill>
                    <w14:schemeClr w14:val="tx1"/>
                  </w14:solidFill>
                </w14:textFill>
              </w:rPr>
              <w:t>2</w:t>
            </w:r>
            <w:r>
              <w:rPr>
                <w:rFonts w:ascii="Times New Roman" w:hAnsi="Times New Roman"/>
                <w:bCs/>
                <w:color w:val="000000" w:themeColor="text1"/>
                <w:sz w:val="24"/>
                <w14:textFill>
                  <w14:solidFill>
                    <w14:schemeClr w14:val="tx1"/>
                  </w14:solidFill>
                </w14:textFill>
              </w:rPr>
              <w:t>组），</w:t>
            </w:r>
            <w:r>
              <w:rPr>
                <w:rFonts w:hint="eastAsia" w:ascii="Times New Roman" w:hAnsi="Times New Roman"/>
                <w:bCs/>
                <w:color w:val="000000" w:themeColor="text1"/>
                <w:sz w:val="24"/>
                <w:lang w:val="en-US" w:eastAsia="zh-CN"/>
                <w14:textFill>
                  <w14:solidFill>
                    <w14:schemeClr w14:val="tx1"/>
                  </w14:solidFill>
                </w14:textFill>
              </w:rPr>
              <w:t>1</w:t>
            </w:r>
            <w:r>
              <w:rPr>
                <w:rFonts w:hint="eastAsia" w:ascii="Times New Roman" w:hAnsi="Times New Roman"/>
                <w:bCs/>
                <w:color w:val="000000" w:themeColor="text1"/>
                <w:sz w:val="24"/>
                <w14:textFill>
                  <w14:solidFill>
                    <w14:schemeClr w14:val="tx1"/>
                  </w14:solidFill>
                </w14:textFill>
              </w:rPr>
              <w:t>名技师</w:t>
            </w:r>
            <w:r>
              <w:rPr>
                <w:rFonts w:ascii="Times New Roman" w:hAnsi="Times New Roman"/>
                <w:bCs/>
                <w:color w:val="000000" w:themeColor="text1"/>
                <w:sz w:val="24"/>
                <w14:textFill>
                  <w14:solidFill>
                    <w14:schemeClr w14:val="tx1"/>
                  </w14:solidFill>
                </w14:textFill>
              </w:rPr>
              <w:t>，人员定岗定责</w:t>
            </w:r>
            <w:r>
              <w:rPr>
                <w:rFonts w:hint="eastAsia" w:ascii="Times New Roman" w:hAnsi="Times New Roman"/>
                <w:bCs/>
                <w:color w:val="000000" w:themeColor="text1"/>
                <w:sz w:val="24"/>
                <w:lang w:eastAsia="zh-CN"/>
                <w14:textFill>
                  <w14:solidFill>
                    <w14:schemeClr w14:val="tx1"/>
                  </w14:solidFill>
                </w14:textFill>
              </w:rPr>
              <w:t>。</w:t>
            </w:r>
            <w:r>
              <w:rPr>
                <w:rFonts w:hint="eastAsia" w:ascii="Times New Roman" w:hAnsi="Times New Roman"/>
                <w:bCs/>
                <w:color w:val="000000" w:themeColor="text1"/>
                <w:sz w:val="24"/>
                <w14:textFill>
                  <w14:solidFill>
                    <w14:schemeClr w14:val="tx1"/>
                  </w14:solidFill>
                </w14:textFill>
              </w:rPr>
              <w:t>具体</w:t>
            </w:r>
            <w:r>
              <w:rPr>
                <w:rFonts w:ascii="Times New Roman" w:hAnsi="Times New Roman"/>
                <w:bCs/>
                <w:color w:val="000000" w:themeColor="text1"/>
                <w:sz w:val="24"/>
                <w14:textFill>
                  <w14:solidFill>
                    <w14:schemeClr w14:val="tx1"/>
                  </w14:solidFill>
                </w14:textFill>
              </w:rPr>
              <w:t>人员分组情况见表1-4。</w:t>
            </w:r>
          </w:p>
          <w:p w14:paraId="4EB0A15C">
            <w:pPr>
              <w:widowControl/>
              <w:spacing w:line="360" w:lineRule="auto"/>
              <w:ind w:firstLine="482" w:firstLineChars="20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表1-4 本项目人员分组情况表</w:t>
            </w:r>
          </w:p>
          <w:tbl>
            <w:tblPr>
              <w:tblStyle w:val="2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50"/>
              <w:gridCol w:w="1039"/>
              <w:gridCol w:w="1275"/>
              <w:gridCol w:w="724"/>
              <w:gridCol w:w="672"/>
              <w:gridCol w:w="2678"/>
            </w:tblGrid>
            <w:tr w14:paraId="311B05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6" w:type="pct"/>
                  <w:tcBorders>
                    <w:tl2br w:val="nil"/>
                    <w:tr2bl w:val="nil"/>
                  </w:tcBorders>
                  <w:vAlign w:val="center"/>
                </w:tcPr>
                <w:p w14:paraId="4A1D273E">
                  <w:pPr>
                    <w:spacing w:line="360" w:lineRule="auto"/>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科室</w:t>
                  </w:r>
                </w:p>
              </w:tc>
              <w:tc>
                <w:tcPr>
                  <w:tcW w:w="581" w:type="pct"/>
                  <w:tcBorders>
                    <w:tl2br w:val="nil"/>
                    <w:tr2bl w:val="nil"/>
                  </w:tcBorders>
                  <w:vAlign w:val="center"/>
                </w:tcPr>
                <w:p w14:paraId="375F556A">
                  <w:pPr>
                    <w:spacing w:line="360" w:lineRule="auto"/>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医生</w:t>
                  </w:r>
                </w:p>
              </w:tc>
              <w:tc>
                <w:tcPr>
                  <w:tcW w:w="713" w:type="pct"/>
                  <w:tcBorders>
                    <w:tl2br w:val="nil"/>
                    <w:tr2bl w:val="nil"/>
                  </w:tcBorders>
                  <w:vAlign w:val="center"/>
                </w:tcPr>
                <w:p w14:paraId="308AEE17">
                  <w:pPr>
                    <w:spacing w:line="360" w:lineRule="auto"/>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助手医生</w:t>
                  </w:r>
                </w:p>
              </w:tc>
              <w:tc>
                <w:tcPr>
                  <w:tcW w:w="405" w:type="pct"/>
                  <w:tcBorders>
                    <w:tl2br w:val="nil"/>
                    <w:tr2bl w:val="nil"/>
                  </w:tcBorders>
                  <w:vAlign w:val="center"/>
                </w:tcPr>
                <w:p w14:paraId="41CC65F5">
                  <w:pPr>
                    <w:spacing w:line="360" w:lineRule="auto"/>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护士</w:t>
                  </w:r>
                </w:p>
              </w:tc>
              <w:tc>
                <w:tcPr>
                  <w:tcW w:w="376" w:type="pct"/>
                  <w:tcBorders>
                    <w:tl2br w:val="nil"/>
                    <w:tr2bl w:val="nil"/>
                  </w:tcBorders>
                  <w:vAlign w:val="center"/>
                </w:tcPr>
                <w:p w14:paraId="6117F8CC">
                  <w:pPr>
                    <w:spacing w:line="360" w:lineRule="auto"/>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技师</w:t>
                  </w:r>
                </w:p>
              </w:tc>
              <w:tc>
                <w:tcPr>
                  <w:tcW w:w="1497" w:type="pct"/>
                  <w:tcBorders>
                    <w:tl2br w:val="nil"/>
                    <w:tr2bl w:val="nil"/>
                  </w:tcBorders>
                  <w:vAlign w:val="center"/>
                </w:tcPr>
                <w:p w14:paraId="7FB3DBC6">
                  <w:pPr>
                    <w:spacing w:line="360" w:lineRule="auto"/>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备注</w:t>
                  </w:r>
                </w:p>
              </w:tc>
            </w:tr>
            <w:tr w14:paraId="049AF8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6" w:type="pct"/>
                  <w:tcBorders>
                    <w:tl2br w:val="nil"/>
                    <w:tr2bl w:val="nil"/>
                  </w:tcBorders>
                  <w:vAlign w:val="center"/>
                </w:tcPr>
                <w:p w14:paraId="732E8BA6">
                  <w:pPr>
                    <w:pStyle w:val="30"/>
                    <w:adjustRightInd/>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心血管内科</w:t>
                  </w:r>
                </w:p>
              </w:tc>
              <w:tc>
                <w:tcPr>
                  <w:tcW w:w="581" w:type="pct"/>
                  <w:tcBorders>
                    <w:tl2br w:val="nil"/>
                    <w:tr2bl w:val="nil"/>
                  </w:tcBorders>
                  <w:vAlign w:val="center"/>
                </w:tcPr>
                <w:p w14:paraId="675D8FB6">
                  <w:pPr>
                    <w:pStyle w:val="46"/>
                    <w:jc w:val="center"/>
                    <w:rPr>
                      <w:rFonts w:ascii="Times New Roman" w:hAnsi="Times New Roman"/>
                      <w:bCs/>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2</w:t>
                  </w:r>
                </w:p>
              </w:tc>
              <w:tc>
                <w:tcPr>
                  <w:tcW w:w="713" w:type="pct"/>
                  <w:tcBorders>
                    <w:tl2br w:val="nil"/>
                    <w:tr2bl w:val="nil"/>
                  </w:tcBorders>
                  <w:vAlign w:val="center"/>
                </w:tcPr>
                <w:p w14:paraId="4FC27223">
                  <w:pPr>
                    <w:pStyle w:val="46"/>
                    <w:jc w:val="center"/>
                    <w:rPr>
                      <w:rFonts w:hint="eastAsia" w:ascii="Times New Roman" w:hAnsi="Times New Roman" w:eastAsia="宋体"/>
                      <w:bCs/>
                      <w:color w:val="000000" w:themeColor="text1"/>
                      <w:szCs w:val="21"/>
                      <w:lang w:eastAsia="zh-CN"/>
                      <w14:textFill>
                        <w14:solidFill>
                          <w14:schemeClr w14:val="tx1"/>
                        </w14:solidFill>
                      </w14:textFill>
                    </w:rPr>
                  </w:pPr>
                  <w:r>
                    <w:rPr>
                      <w:rFonts w:hint="eastAsia" w:ascii="Times New Roman" w:hAnsi="Times New Roman"/>
                      <w:bCs/>
                      <w:color w:val="000000" w:themeColor="text1"/>
                      <w:szCs w:val="21"/>
                      <w:lang w:val="en-US" w:eastAsia="zh-CN"/>
                      <w14:textFill>
                        <w14:solidFill>
                          <w14:schemeClr w14:val="tx1"/>
                        </w14:solidFill>
                      </w14:textFill>
                    </w:rPr>
                    <w:t>2</w:t>
                  </w:r>
                </w:p>
              </w:tc>
              <w:tc>
                <w:tcPr>
                  <w:tcW w:w="405" w:type="pct"/>
                  <w:vMerge w:val="restart"/>
                  <w:tcBorders>
                    <w:tl2br w:val="nil"/>
                    <w:tr2bl w:val="nil"/>
                  </w:tcBorders>
                  <w:vAlign w:val="center"/>
                </w:tcPr>
                <w:p w14:paraId="32498C35">
                  <w:pPr>
                    <w:pStyle w:val="46"/>
                    <w:spacing w:before="36"/>
                    <w:ind w:left="115" w:right="4"/>
                    <w:jc w:val="center"/>
                    <w:rPr>
                      <w:rFonts w:hint="eastAsia"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2</w:t>
                  </w:r>
                </w:p>
              </w:tc>
              <w:tc>
                <w:tcPr>
                  <w:tcW w:w="376" w:type="pct"/>
                  <w:vMerge w:val="restart"/>
                  <w:tcBorders>
                    <w:tl2br w:val="nil"/>
                    <w:tr2bl w:val="nil"/>
                  </w:tcBorders>
                  <w:vAlign w:val="center"/>
                </w:tcPr>
                <w:p w14:paraId="76FF1B35">
                  <w:pPr>
                    <w:pStyle w:val="46"/>
                    <w:spacing w:before="36"/>
                    <w:ind w:left="115" w:right="4"/>
                    <w:jc w:val="center"/>
                    <w:rPr>
                      <w:rFonts w:hint="eastAsia"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1</w:t>
                  </w:r>
                </w:p>
              </w:tc>
              <w:tc>
                <w:tcPr>
                  <w:tcW w:w="1497" w:type="pct"/>
                  <w:vMerge w:val="restart"/>
                  <w:tcBorders>
                    <w:tl2br w:val="nil"/>
                    <w:tr2bl w:val="nil"/>
                  </w:tcBorders>
                  <w:vAlign w:val="center"/>
                </w:tcPr>
                <w:p w14:paraId="566A69E8">
                  <w:pPr>
                    <w:pStyle w:val="46"/>
                    <w:spacing w:before="36"/>
                    <w:ind w:left="115" w:right="4"/>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每台手术配1名主刀医生、1名助手医生、1名护士和1个技师</w:t>
                  </w:r>
                </w:p>
              </w:tc>
            </w:tr>
            <w:tr w14:paraId="4BC3CB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6" w:type="pct"/>
                  <w:tcBorders>
                    <w:tl2br w:val="nil"/>
                    <w:tr2bl w:val="nil"/>
                  </w:tcBorders>
                  <w:vAlign w:val="center"/>
                </w:tcPr>
                <w:p w14:paraId="08E5D6B7">
                  <w:pPr>
                    <w:pStyle w:val="30"/>
                    <w:adjustRightInd/>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神经科</w:t>
                  </w:r>
                </w:p>
              </w:tc>
              <w:tc>
                <w:tcPr>
                  <w:tcW w:w="581" w:type="pct"/>
                  <w:tcBorders>
                    <w:tl2br w:val="nil"/>
                    <w:tr2bl w:val="nil"/>
                  </w:tcBorders>
                  <w:vAlign w:val="center"/>
                </w:tcPr>
                <w:p w14:paraId="1C75A60E">
                  <w:pPr>
                    <w:pStyle w:val="46"/>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2</w:t>
                  </w:r>
                </w:p>
              </w:tc>
              <w:tc>
                <w:tcPr>
                  <w:tcW w:w="713" w:type="pct"/>
                  <w:tcBorders>
                    <w:tl2br w:val="nil"/>
                    <w:tr2bl w:val="nil"/>
                  </w:tcBorders>
                  <w:vAlign w:val="center"/>
                </w:tcPr>
                <w:p w14:paraId="542FC7EE">
                  <w:pPr>
                    <w:pStyle w:val="46"/>
                    <w:jc w:val="center"/>
                    <w:rPr>
                      <w:rFonts w:hint="eastAsia"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2</w:t>
                  </w:r>
                </w:p>
              </w:tc>
              <w:tc>
                <w:tcPr>
                  <w:tcW w:w="405" w:type="pct"/>
                  <w:vMerge w:val="continue"/>
                  <w:tcBorders>
                    <w:tl2br w:val="nil"/>
                    <w:tr2bl w:val="nil"/>
                  </w:tcBorders>
                  <w:vAlign w:val="center"/>
                </w:tcPr>
                <w:p w14:paraId="1067BC3F">
                  <w:pPr>
                    <w:pStyle w:val="46"/>
                    <w:spacing w:before="36"/>
                    <w:ind w:left="115" w:right="4"/>
                    <w:jc w:val="center"/>
                    <w:rPr>
                      <w:rFonts w:ascii="Times New Roman" w:hAnsi="Times New Roman"/>
                      <w:color w:val="000000" w:themeColor="text1"/>
                      <w:szCs w:val="21"/>
                      <w14:textFill>
                        <w14:solidFill>
                          <w14:schemeClr w14:val="tx1"/>
                        </w14:solidFill>
                      </w14:textFill>
                    </w:rPr>
                  </w:pPr>
                </w:p>
              </w:tc>
              <w:tc>
                <w:tcPr>
                  <w:tcW w:w="376" w:type="pct"/>
                  <w:vMerge w:val="continue"/>
                  <w:tcBorders>
                    <w:tl2br w:val="nil"/>
                    <w:tr2bl w:val="nil"/>
                  </w:tcBorders>
                  <w:vAlign w:val="center"/>
                </w:tcPr>
                <w:p w14:paraId="4062098F">
                  <w:pPr>
                    <w:pStyle w:val="46"/>
                    <w:spacing w:before="36"/>
                    <w:ind w:left="115" w:right="4"/>
                    <w:jc w:val="center"/>
                    <w:rPr>
                      <w:rFonts w:ascii="Times New Roman" w:hAnsi="Times New Roman"/>
                      <w:color w:val="000000" w:themeColor="text1"/>
                      <w14:textFill>
                        <w14:solidFill>
                          <w14:schemeClr w14:val="tx1"/>
                        </w14:solidFill>
                      </w14:textFill>
                    </w:rPr>
                  </w:pPr>
                </w:p>
              </w:tc>
              <w:tc>
                <w:tcPr>
                  <w:tcW w:w="1497" w:type="pct"/>
                  <w:vMerge w:val="continue"/>
                  <w:tcBorders>
                    <w:tl2br w:val="nil"/>
                    <w:tr2bl w:val="nil"/>
                  </w:tcBorders>
                  <w:vAlign w:val="center"/>
                </w:tcPr>
                <w:p w14:paraId="1BF17400">
                  <w:pPr>
                    <w:pStyle w:val="46"/>
                    <w:spacing w:before="36"/>
                    <w:ind w:left="115" w:right="4"/>
                    <w:jc w:val="center"/>
                    <w:rPr>
                      <w:rFonts w:ascii="Times New Roman" w:hAnsi="Times New Roman"/>
                      <w:color w:val="000000" w:themeColor="text1"/>
                      <w:szCs w:val="21"/>
                      <w14:textFill>
                        <w14:solidFill>
                          <w14:schemeClr w14:val="tx1"/>
                        </w14:solidFill>
                      </w14:textFill>
                    </w:rPr>
                  </w:pPr>
                </w:p>
              </w:tc>
            </w:tr>
            <w:tr w14:paraId="7C97AF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6" w:type="pct"/>
                  <w:tcBorders>
                    <w:tl2br w:val="nil"/>
                    <w:tr2bl w:val="nil"/>
                  </w:tcBorders>
                  <w:vAlign w:val="center"/>
                </w:tcPr>
                <w:p w14:paraId="22CEF26A">
                  <w:pPr>
                    <w:pStyle w:val="30"/>
                    <w:adjustRightInd/>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外周科</w:t>
                  </w:r>
                </w:p>
              </w:tc>
              <w:tc>
                <w:tcPr>
                  <w:tcW w:w="581" w:type="pct"/>
                  <w:tcBorders>
                    <w:tl2br w:val="nil"/>
                    <w:tr2bl w:val="nil"/>
                  </w:tcBorders>
                  <w:vAlign w:val="center"/>
                </w:tcPr>
                <w:p w14:paraId="6C4653BB">
                  <w:pPr>
                    <w:pStyle w:val="46"/>
                    <w:jc w:val="center"/>
                    <w:rPr>
                      <w:rFonts w:hint="eastAsia"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2</w:t>
                  </w:r>
                </w:p>
              </w:tc>
              <w:tc>
                <w:tcPr>
                  <w:tcW w:w="713" w:type="pct"/>
                  <w:tcBorders>
                    <w:tl2br w:val="nil"/>
                    <w:tr2bl w:val="nil"/>
                  </w:tcBorders>
                  <w:vAlign w:val="center"/>
                </w:tcPr>
                <w:p w14:paraId="1B1B8D9D">
                  <w:pPr>
                    <w:pStyle w:val="46"/>
                    <w:jc w:val="center"/>
                    <w:rPr>
                      <w:rFonts w:hint="eastAsia"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1</w:t>
                  </w:r>
                </w:p>
              </w:tc>
              <w:tc>
                <w:tcPr>
                  <w:tcW w:w="405" w:type="pct"/>
                  <w:vMerge w:val="continue"/>
                  <w:tcBorders>
                    <w:tl2br w:val="nil"/>
                    <w:tr2bl w:val="nil"/>
                  </w:tcBorders>
                  <w:vAlign w:val="center"/>
                </w:tcPr>
                <w:p w14:paraId="549AB15E">
                  <w:pPr>
                    <w:pStyle w:val="46"/>
                    <w:spacing w:before="36"/>
                    <w:ind w:left="115" w:right="4"/>
                    <w:jc w:val="center"/>
                    <w:rPr>
                      <w:rFonts w:ascii="Times New Roman" w:hAnsi="Times New Roman"/>
                      <w:color w:val="000000" w:themeColor="text1"/>
                      <w:szCs w:val="21"/>
                      <w14:textFill>
                        <w14:solidFill>
                          <w14:schemeClr w14:val="tx1"/>
                        </w14:solidFill>
                      </w14:textFill>
                    </w:rPr>
                  </w:pPr>
                </w:p>
              </w:tc>
              <w:tc>
                <w:tcPr>
                  <w:tcW w:w="376" w:type="pct"/>
                  <w:vMerge w:val="continue"/>
                  <w:tcBorders>
                    <w:tl2br w:val="nil"/>
                    <w:tr2bl w:val="nil"/>
                  </w:tcBorders>
                  <w:vAlign w:val="center"/>
                </w:tcPr>
                <w:p w14:paraId="6C95BBD0">
                  <w:pPr>
                    <w:pStyle w:val="46"/>
                    <w:spacing w:before="36"/>
                    <w:ind w:left="115" w:right="4"/>
                    <w:jc w:val="center"/>
                    <w:rPr>
                      <w:rFonts w:ascii="Times New Roman" w:hAnsi="Times New Roman"/>
                      <w:color w:val="000000" w:themeColor="text1"/>
                      <w14:textFill>
                        <w14:solidFill>
                          <w14:schemeClr w14:val="tx1"/>
                        </w14:solidFill>
                      </w14:textFill>
                    </w:rPr>
                  </w:pPr>
                </w:p>
              </w:tc>
              <w:tc>
                <w:tcPr>
                  <w:tcW w:w="1497" w:type="pct"/>
                  <w:vMerge w:val="continue"/>
                  <w:tcBorders>
                    <w:tl2br w:val="nil"/>
                    <w:tr2bl w:val="nil"/>
                  </w:tcBorders>
                  <w:vAlign w:val="center"/>
                </w:tcPr>
                <w:p w14:paraId="27D4507C">
                  <w:pPr>
                    <w:pStyle w:val="46"/>
                    <w:spacing w:before="36"/>
                    <w:ind w:left="115" w:right="4"/>
                    <w:jc w:val="center"/>
                    <w:rPr>
                      <w:rFonts w:ascii="Times New Roman" w:hAnsi="Times New Roman"/>
                      <w:color w:val="000000" w:themeColor="text1"/>
                      <w:szCs w:val="21"/>
                      <w14:textFill>
                        <w14:solidFill>
                          <w14:schemeClr w14:val="tx1"/>
                        </w14:solidFill>
                      </w14:textFill>
                    </w:rPr>
                  </w:pPr>
                </w:p>
              </w:tc>
            </w:tr>
          </w:tbl>
          <w:p w14:paraId="5EEFA97A">
            <w:pPr>
              <w:widowControl/>
              <w:spacing w:line="360" w:lineRule="auto"/>
              <w:ind w:firstLine="480" w:firstLineChars="200"/>
              <w:jc w:val="left"/>
              <w:rPr>
                <w:rFonts w:ascii="Times New Roman" w:hAnsi="Times New Roman"/>
                <w:bCs/>
                <w:color w:val="000000" w:themeColor="text1"/>
                <w:sz w:val="24"/>
                <w14:textFill>
                  <w14:solidFill>
                    <w14:schemeClr w14:val="tx1"/>
                  </w14:solidFill>
                </w14:textFill>
              </w:rPr>
            </w:pPr>
            <w:r>
              <w:rPr>
                <w:rFonts w:ascii="Times New Roman" w:hAnsi="Times New Roman"/>
                <w:color w:val="000000" w:themeColor="text1"/>
                <w:kern w:val="0"/>
                <w:sz w:val="24"/>
                <w:lang w:bidi="ar"/>
                <w14:textFill>
                  <w14:solidFill>
                    <w14:schemeClr w14:val="tx1"/>
                  </w14:solidFill>
                </w14:textFill>
              </w:rPr>
              <w:t>手术时DSA机房内1名主刀医生</w:t>
            </w:r>
            <w:r>
              <w:rPr>
                <w:rFonts w:hint="eastAsia" w:ascii="Times New Roman" w:hAnsi="Times New Roman"/>
                <w:color w:val="000000" w:themeColor="text1"/>
                <w:kern w:val="0"/>
                <w:sz w:val="24"/>
                <w:lang w:bidi="ar"/>
                <w14:textFill>
                  <w14:solidFill>
                    <w14:schemeClr w14:val="tx1"/>
                  </w14:solidFill>
                </w14:textFill>
              </w:rPr>
              <w:t>（第一术者位）</w:t>
            </w:r>
            <w:r>
              <w:rPr>
                <w:rFonts w:ascii="Times New Roman" w:hAnsi="Times New Roman"/>
                <w:color w:val="000000" w:themeColor="text1"/>
                <w:kern w:val="0"/>
                <w:sz w:val="24"/>
                <w:lang w:bidi="ar"/>
                <w14:textFill>
                  <w14:solidFill>
                    <w14:schemeClr w14:val="tx1"/>
                  </w14:solidFill>
                </w14:textFill>
              </w:rPr>
              <w:t>、1名助手医生</w:t>
            </w:r>
            <w:r>
              <w:rPr>
                <w:rFonts w:hint="eastAsia" w:ascii="Times New Roman" w:hAnsi="Times New Roman"/>
                <w:color w:val="000000" w:themeColor="text1"/>
                <w:kern w:val="0"/>
                <w:sz w:val="24"/>
                <w:lang w:bidi="ar"/>
                <w14:textFill>
                  <w14:solidFill>
                    <w14:schemeClr w14:val="tx1"/>
                  </w14:solidFill>
                </w14:textFill>
              </w:rPr>
              <w:t>（第二术者位）</w:t>
            </w:r>
            <w:r>
              <w:rPr>
                <w:rFonts w:ascii="Times New Roman" w:hAnsi="Times New Roman"/>
                <w:color w:val="000000" w:themeColor="text1"/>
                <w:kern w:val="0"/>
                <w:sz w:val="24"/>
                <w:lang w:bidi="ar"/>
                <w14:textFill>
                  <w14:solidFill>
                    <w14:schemeClr w14:val="tx1"/>
                  </w14:solidFill>
                </w14:textFill>
              </w:rPr>
              <w:t>、1名护士，控制室内1名技师。技师负责在控制室操作DSA，护士负责介入手术前准备、手术后清洁工作及术中配合跟台手术（根据各手术情况需要），科室医生负责操作DSA介入手术。</w:t>
            </w:r>
            <w:r>
              <w:rPr>
                <w:rFonts w:ascii="Times New Roman" w:hAnsi="Times New Roman"/>
                <w:bCs/>
                <w:color w:val="000000" w:themeColor="text1"/>
                <w:sz w:val="24"/>
                <w14:textFill>
                  <w14:solidFill>
                    <w14:schemeClr w14:val="tx1"/>
                  </w14:solidFill>
                </w14:textFill>
              </w:rPr>
              <w:t>项目投运后，医院可根据开展项目的实际情况做适当调整。</w:t>
            </w:r>
          </w:p>
          <w:p w14:paraId="1C7EF883">
            <w:pPr>
              <w:widowControl/>
              <w:spacing w:line="360" w:lineRule="auto"/>
              <w:ind w:firstLine="480" w:firstLineChars="200"/>
              <w:jc w:val="left"/>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工作制度：本项目辐射工作人员每年工作</w:t>
            </w:r>
            <w:r>
              <w:rPr>
                <w:rFonts w:hint="eastAsia" w:ascii="Times New Roman" w:hAnsi="Times New Roman"/>
                <w:bCs/>
                <w:color w:val="000000" w:themeColor="text1"/>
                <w:sz w:val="24"/>
                <w:lang w:val="en-US" w:eastAsia="zh-CN"/>
                <w14:textFill>
                  <w14:solidFill>
                    <w14:schemeClr w14:val="tx1"/>
                  </w14:solidFill>
                </w14:textFill>
              </w:rPr>
              <w:t>28</w:t>
            </w:r>
            <w:r>
              <w:rPr>
                <w:rFonts w:ascii="Times New Roman" w:hAnsi="Times New Roman"/>
                <w:bCs/>
                <w:color w:val="000000" w:themeColor="text1"/>
                <w:sz w:val="24"/>
                <w14:textFill>
                  <w14:solidFill>
                    <w14:schemeClr w14:val="tx1"/>
                  </w14:solidFill>
                </w14:textFill>
              </w:rPr>
              <w:t>0天，每天工作8h，实行白班单班制。</w:t>
            </w:r>
          </w:p>
          <w:p w14:paraId="722517C4">
            <w:pPr>
              <w:spacing w:line="360" w:lineRule="auto"/>
              <w:rPr>
                <w:rFonts w:ascii="Times New Roman" w:hAnsi="Times New Roman"/>
                <w:b/>
                <w:sz w:val="24"/>
              </w:rPr>
            </w:pPr>
            <w:r>
              <w:rPr>
                <w:rFonts w:ascii="Times New Roman" w:hAnsi="Times New Roman"/>
                <w:b/>
                <w:sz w:val="24"/>
              </w:rPr>
              <w:t>（</w:t>
            </w:r>
            <w:r>
              <w:rPr>
                <w:rFonts w:hint="eastAsia" w:ascii="Times New Roman" w:hAnsi="Times New Roman"/>
                <w:b/>
                <w:sz w:val="24"/>
                <w:lang w:val="en-US" w:eastAsia="zh-CN"/>
              </w:rPr>
              <w:t>八</w:t>
            </w:r>
            <w:r>
              <w:rPr>
                <w:rFonts w:ascii="Times New Roman" w:hAnsi="Times New Roman"/>
                <w:b/>
                <w:sz w:val="24"/>
              </w:rPr>
              <w:t>）依托环保设施情况</w:t>
            </w:r>
          </w:p>
          <w:p w14:paraId="7608A8BC">
            <w:pPr>
              <w:spacing w:line="360" w:lineRule="auto"/>
              <w:ind w:firstLine="480" w:firstLineChars="200"/>
              <w:rPr>
                <w:rFonts w:hint="default" w:ascii="Times New Roman" w:hAnsi="Times New Roman" w:eastAsia="宋体"/>
                <w:color w:val="auto"/>
                <w:sz w:val="24"/>
                <w:lang w:val="en-US" w:eastAsia="zh-CN"/>
              </w:rPr>
            </w:pPr>
            <w:r>
              <w:rPr>
                <w:rFonts w:ascii="Times New Roman" w:hAnsi="Times New Roman"/>
                <w:color w:val="auto"/>
                <w:sz w:val="24"/>
              </w:rPr>
              <w:t>1、废水：</w:t>
            </w:r>
            <w:r>
              <w:rPr>
                <w:rFonts w:hint="eastAsia" w:ascii="Times New Roman" w:hAnsi="Times New Roman"/>
                <w:color w:val="auto"/>
                <w:sz w:val="24"/>
              </w:rPr>
              <w:t>施工期</w:t>
            </w:r>
            <w:r>
              <w:rPr>
                <w:rFonts w:hint="eastAsia" w:ascii="Times New Roman" w:hAnsi="Times New Roman"/>
                <w:color w:val="auto"/>
                <w:sz w:val="24"/>
                <w:lang w:val="en-US" w:eastAsia="zh-CN"/>
              </w:rPr>
              <w:t>和运行期</w:t>
            </w:r>
            <w:r>
              <w:rPr>
                <w:rFonts w:hint="eastAsia" w:ascii="Times New Roman" w:hAnsi="Times New Roman"/>
                <w:color w:val="auto"/>
                <w:sz w:val="24"/>
              </w:rPr>
              <w:t>依托医院</w:t>
            </w:r>
            <w:r>
              <w:rPr>
                <w:rFonts w:hint="eastAsia" w:ascii="Times New Roman" w:hAnsi="Times New Roman"/>
                <w:color w:val="auto"/>
                <w:sz w:val="24"/>
                <w:lang w:val="en-US" w:eastAsia="zh-CN"/>
              </w:rPr>
              <w:t>现有</w:t>
            </w:r>
            <w:r>
              <w:rPr>
                <w:rFonts w:hint="eastAsia" w:ascii="Times New Roman" w:hAnsi="Times New Roman"/>
                <w:color w:val="auto"/>
                <w:sz w:val="24"/>
              </w:rPr>
              <w:t>地埋式污水处理站采用"调节池+A/O+沉淀+</w:t>
            </w:r>
            <w:r>
              <w:rPr>
                <w:rFonts w:hint="eastAsia" w:ascii="Times New Roman" w:hAnsi="Times New Roman"/>
                <w:color w:val="auto"/>
                <w:sz w:val="24"/>
                <w:lang w:eastAsia="zh-CN"/>
              </w:rPr>
              <w:t>次氯酸钠</w:t>
            </w:r>
            <w:r>
              <w:rPr>
                <w:rFonts w:hint="eastAsia" w:ascii="Times New Roman" w:hAnsi="Times New Roman"/>
                <w:color w:val="auto"/>
                <w:sz w:val="24"/>
              </w:rPr>
              <w:t>消毒"处理工艺，设计日废水处理能力500m</w:t>
            </w:r>
            <w:r>
              <w:rPr>
                <w:rFonts w:hint="eastAsia" w:ascii="Times New Roman" w:hAnsi="Times New Roman"/>
                <w:color w:val="auto"/>
                <w:sz w:val="24"/>
                <w:vertAlign w:val="superscript"/>
              </w:rPr>
              <w:t>3</w:t>
            </w:r>
            <w:r>
              <w:rPr>
                <w:rFonts w:hint="eastAsia" w:ascii="Times New Roman" w:hAnsi="Times New Roman"/>
                <w:color w:val="auto"/>
                <w:sz w:val="24"/>
                <w:vertAlign w:val="baseline"/>
                <w:lang w:val="en-US" w:eastAsia="zh-CN"/>
              </w:rPr>
              <w:t>/d</w:t>
            </w:r>
            <w:r>
              <w:rPr>
                <w:rFonts w:hint="eastAsia" w:ascii="Times New Roman" w:hAnsi="Times New Roman"/>
                <w:color w:val="auto"/>
                <w:sz w:val="24"/>
                <w:vertAlign w:val="baseline"/>
                <w:lang w:eastAsia="zh-CN"/>
              </w:rPr>
              <w:t>，（</w:t>
            </w:r>
            <w:r>
              <w:rPr>
                <w:rFonts w:hint="eastAsia" w:ascii="Times New Roman" w:hAnsi="Times New Roman"/>
                <w:color w:val="auto"/>
                <w:sz w:val="24"/>
              </w:rPr>
              <w:t>医院</w:t>
            </w:r>
            <w:r>
              <w:rPr>
                <w:rFonts w:hint="eastAsia" w:ascii="Times New Roman" w:hAnsi="Times New Roman"/>
                <w:color w:val="auto"/>
                <w:sz w:val="24"/>
                <w:lang w:val="en-US" w:eastAsia="zh-CN"/>
              </w:rPr>
              <w:t>现有废水</w:t>
            </w:r>
            <w:r>
              <w:rPr>
                <w:rFonts w:hint="eastAsia" w:ascii="Times New Roman" w:hAnsi="Times New Roman"/>
                <w:color w:val="auto"/>
                <w:sz w:val="24"/>
              </w:rPr>
              <w:t>量354.3m</w:t>
            </w:r>
            <w:r>
              <w:rPr>
                <w:rFonts w:hint="eastAsia" w:ascii="Times New Roman" w:hAnsi="Times New Roman"/>
                <w:color w:val="auto"/>
                <w:sz w:val="24"/>
                <w:vertAlign w:val="superscript"/>
              </w:rPr>
              <w:t>3</w:t>
            </w:r>
            <w:r>
              <w:rPr>
                <w:rFonts w:hint="eastAsia" w:ascii="Times New Roman" w:hAnsi="Times New Roman"/>
                <w:color w:val="auto"/>
                <w:sz w:val="24"/>
              </w:rPr>
              <w:t>/d</w:t>
            </w:r>
            <w:r>
              <w:rPr>
                <w:rFonts w:hint="eastAsia" w:ascii="Times New Roman" w:hAnsi="Times New Roman"/>
                <w:color w:val="auto"/>
                <w:sz w:val="24"/>
                <w:lang w:eastAsia="zh-CN"/>
              </w:rPr>
              <w:t>）</w:t>
            </w:r>
            <w:r>
              <w:rPr>
                <w:rFonts w:hint="eastAsia" w:ascii="Times New Roman" w:hAnsi="Times New Roman"/>
                <w:color w:val="auto"/>
                <w:sz w:val="24"/>
              </w:rPr>
              <w:t>，处理后废水达到</w:t>
            </w:r>
            <w:r>
              <w:rPr>
                <w:rFonts w:hint="eastAsia" w:ascii="Times New Roman" w:hAnsi="Times New Roman"/>
                <w:color w:val="auto"/>
                <w:sz w:val="24"/>
                <w:lang w:eastAsia="zh-CN"/>
              </w:rPr>
              <w:t>《</w:t>
            </w:r>
            <w:r>
              <w:rPr>
                <w:rFonts w:hint="eastAsia" w:ascii="Times New Roman" w:hAnsi="Times New Roman"/>
                <w:color w:val="auto"/>
                <w:sz w:val="24"/>
              </w:rPr>
              <w:t>医疗机构水污染物排放标准</w:t>
            </w:r>
            <w:r>
              <w:rPr>
                <w:rFonts w:hint="eastAsia" w:ascii="Times New Roman" w:hAnsi="Times New Roman"/>
                <w:color w:val="auto"/>
                <w:sz w:val="24"/>
                <w:lang w:eastAsia="zh-CN"/>
              </w:rPr>
              <w:t>》</w:t>
            </w:r>
            <w:r>
              <w:rPr>
                <w:rFonts w:hint="eastAsia" w:ascii="Times New Roman" w:hAnsi="Times New Roman"/>
                <w:color w:val="auto"/>
                <w:sz w:val="24"/>
              </w:rPr>
              <w:t>(GB18466-2005)中表2的预处理标准后，经市政污水管网进入平昌县第二污水处理厂进行处理达到</w:t>
            </w:r>
            <w:r>
              <w:rPr>
                <w:rFonts w:hint="eastAsia" w:ascii="Times New Roman" w:hAnsi="Times New Roman"/>
                <w:color w:val="auto"/>
                <w:sz w:val="24"/>
                <w:lang w:eastAsia="zh-CN"/>
              </w:rPr>
              <w:t>《</w:t>
            </w:r>
            <w:r>
              <w:rPr>
                <w:rFonts w:hint="eastAsia" w:ascii="Times New Roman" w:hAnsi="Times New Roman"/>
                <w:color w:val="auto"/>
                <w:sz w:val="24"/>
              </w:rPr>
              <w:t>城镇污水处理厂污染物排放标准</w:t>
            </w:r>
            <w:r>
              <w:rPr>
                <w:rFonts w:hint="eastAsia" w:ascii="Times New Roman" w:hAnsi="Times New Roman"/>
                <w:color w:val="auto"/>
                <w:sz w:val="24"/>
                <w:lang w:eastAsia="zh-CN"/>
              </w:rPr>
              <w:t>》（</w:t>
            </w:r>
            <w:r>
              <w:rPr>
                <w:rFonts w:hint="eastAsia" w:ascii="Times New Roman" w:hAnsi="Times New Roman"/>
                <w:color w:val="auto"/>
                <w:sz w:val="24"/>
              </w:rPr>
              <w:t>GB18918-2002</w:t>
            </w:r>
            <w:r>
              <w:rPr>
                <w:rFonts w:hint="eastAsia" w:ascii="Times New Roman" w:hAnsi="Times New Roman"/>
                <w:color w:val="auto"/>
                <w:sz w:val="24"/>
                <w:lang w:eastAsia="zh-CN"/>
              </w:rPr>
              <w:t>）</w:t>
            </w:r>
            <w:r>
              <w:rPr>
                <w:rFonts w:hint="eastAsia" w:ascii="Times New Roman" w:hAnsi="Times New Roman"/>
                <w:color w:val="auto"/>
                <w:sz w:val="24"/>
              </w:rPr>
              <w:t>中一级A标准后排入巴河。</w:t>
            </w:r>
          </w:p>
          <w:p w14:paraId="1CC571FE">
            <w:pPr>
              <w:spacing w:line="360" w:lineRule="auto"/>
              <w:ind w:firstLine="482" w:firstLineChars="200"/>
              <w:rPr>
                <w:rFonts w:hint="eastAsia" w:ascii="Times New Roman" w:hAnsi="Times New Roman"/>
                <w:b w:val="0"/>
                <w:bCs w:val="0"/>
                <w:sz w:val="24"/>
                <w:lang w:val="en-US" w:eastAsia="zh-CN"/>
              </w:rPr>
            </w:pPr>
            <w:r>
              <w:rPr>
                <w:rFonts w:hint="eastAsia" w:ascii="Times New Roman" w:hAnsi="Times New Roman"/>
                <w:b/>
                <w:bCs/>
                <w:sz w:val="24"/>
                <w:lang w:val="en-US" w:eastAsia="zh-CN"/>
              </w:rPr>
              <w:t>项目废水依托的可行性分析</w:t>
            </w:r>
            <w:r>
              <w:rPr>
                <w:rFonts w:hint="eastAsia" w:ascii="Times New Roman" w:hAnsi="Times New Roman"/>
                <w:b w:val="0"/>
                <w:bCs w:val="0"/>
                <w:sz w:val="24"/>
                <w:lang w:val="en-US" w:eastAsia="zh-CN"/>
              </w:rPr>
              <w:t>：</w:t>
            </w:r>
          </w:p>
          <w:p w14:paraId="648E78E6">
            <w:pPr>
              <w:widowControl/>
              <w:spacing w:line="360" w:lineRule="auto"/>
              <w:ind w:firstLine="480" w:firstLineChars="200"/>
              <w:jc w:val="left"/>
              <w:rPr>
                <w:rFonts w:hint="default" w:ascii="Times New Roman" w:hAnsi="Times New Roman"/>
                <w:color w:val="auto"/>
                <w:sz w:val="24"/>
                <w:lang w:val="en-US"/>
              </w:rPr>
            </w:pPr>
            <w:r>
              <w:rPr>
                <w:rFonts w:hint="eastAsia" w:ascii="Times New Roman" w:hAnsi="Times New Roman"/>
                <w:b w:val="0"/>
                <w:bCs w:val="0"/>
                <w:sz w:val="24"/>
                <w:lang w:val="en-US" w:eastAsia="zh-CN"/>
              </w:rPr>
              <w:t>本项目运营期间所产生的废水主要为医疗废水和医护人员及患者的生活污水，不会产生放射性污水。根据平昌县中医医院的污水处理系统建设</w:t>
            </w:r>
            <w:r>
              <w:rPr>
                <w:rFonts w:ascii="Times New Roman" w:hAnsi="Times New Roman"/>
                <w:color w:val="auto"/>
                <w:sz w:val="24"/>
              </w:rPr>
              <w:t>处理能力</w:t>
            </w:r>
            <w:r>
              <w:rPr>
                <w:rFonts w:hint="eastAsia" w:ascii="Times New Roman" w:hAnsi="Times New Roman"/>
                <w:color w:val="auto"/>
                <w:sz w:val="24"/>
                <w:lang w:val="en-US" w:eastAsia="zh-CN"/>
              </w:rPr>
              <w:t>分析及整个医院污水产生量，医院污水产生量为354.3</w:t>
            </w:r>
            <w:r>
              <w:rPr>
                <w:rFonts w:hint="eastAsia" w:ascii="Times New Roman" w:hAnsi="Times New Roman"/>
                <w:b w:val="0"/>
                <w:bCs w:val="0"/>
                <w:sz w:val="24"/>
                <w:lang w:val="en-US" w:eastAsia="zh-CN"/>
              </w:rPr>
              <w:t>m</w:t>
            </w:r>
            <w:r>
              <w:rPr>
                <w:rFonts w:hint="eastAsia" w:ascii="Times New Roman" w:hAnsi="Times New Roman"/>
                <w:b w:val="0"/>
                <w:bCs w:val="0"/>
                <w:sz w:val="24"/>
                <w:vertAlign w:val="superscript"/>
                <w:lang w:val="en-US" w:eastAsia="zh-CN"/>
              </w:rPr>
              <w:t>3</w:t>
            </w:r>
            <w:r>
              <w:rPr>
                <w:rFonts w:hint="eastAsia" w:ascii="Times New Roman" w:hAnsi="Times New Roman"/>
                <w:b w:val="0"/>
                <w:bCs w:val="0"/>
                <w:sz w:val="24"/>
                <w:lang w:val="en-US" w:eastAsia="zh-CN"/>
              </w:rPr>
              <w:t>/d。故本项目废水依托医院污水处理系统可行。</w:t>
            </w:r>
          </w:p>
          <w:p w14:paraId="648472CD">
            <w:pPr>
              <w:autoSpaceDE w:val="0"/>
              <w:autoSpaceDN w:val="0"/>
              <w:adjustRightInd w:val="0"/>
              <w:spacing w:line="360" w:lineRule="auto"/>
              <w:ind w:firstLine="480" w:firstLineChars="200"/>
              <w:rPr>
                <w:rFonts w:ascii="Times New Roman" w:hAnsi="Times New Roman"/>
                <w:sz w:val="24"/>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ascii="Times New Roman" w:hAnsi="Times New Roman"/>
                <w:color w:val="000000" w:themeColor="text1"/>
                <w:sz w:val="24"/>
                <w14:textFill>
                  <w14:solidFill>
                    <w14:schemeClr w14:val="tx1"/>
                  </w14:solidFill>
                </w14:textFill>
              </w:rPr>
              <w:t>固体废物：</w:t>
            </w:r>
            <w:r>
              <w:rPr>
                <w:rFonts w:ascii="Times New Roman" w:hAnsi="Times New Roman"/>
                <w:sz w:val="24"/>
              </w:rPr>
              <w:t>施工过程中固体废物主要为建筑垃圾、装修垃圾、包装垃圾、施工人员产生的生活垃圾等。建筑垃圾由施工单位经收集后运送至指定的建筑垃圾堆放点暂存；装修期间和设备安装期间的产生的包装垃圾经过分类收集，能回收利用部分回收处理，不能回收部分，作为建筑垃圾进行处理；生活垃圾经统一收集后由环卫部门定期清运。</w:t>
            </w:r>
            <w:r>
              <w:rPr>
                <w:rFonts w:ascii="Times New Roman" w:hAnsi="Times New Roman"/>
                <w:color w:val="000000" w:themeColor="text1"/>
                <w:sz w:val="24"/>
                <w14:textFill>
                  <w14:solidFill>
                    <w14:schemeClr w14:val="tx1"/>
                  </w14:solidFill>
                </w14:textFill>
              </w:rPr>
              <w:t>施工</w:t>
            </w:r>
            <w:r>
              <w:rPr>
                <w:rFonts w:hint="eastAsia" w:ascii="Times New Roman" w:hAnsi="Times New Roman"/>
                <w:color w:val="000000" w:themeColor="text1"/>
                <w:sz w:val="24"/>
                <w:lang w:eastAsia="zh-CN"/>
                <w14:textFill>
                  <w14:solidFill>
                    <w14:schemeClr w14:val="tx1"/>
                  </w14:solidFill>
                </w14:textFill>
              </w:rPr>
              <w:t>期间</w:t>
            </w:r>
            <w:r>
              <w:rPr>
                <w:rFonts w:ascii="Times New Roman" w:hAnsi="Times New Roman"/>
                <w:color w:val="000000" w:themeColor="text1"/>
                <w:sz w:val="24"/>
                <w14:textFill>
                  <w14:solidFill>
                    <w14:schemeClr w14:val="tx1"/>
                  </w14:solidFill>
                </w14:textFill>
              </w:rPr>
              <w:t>无医疗废物产生。</w:t>
            </w:r>
          </w:p>
          <w:p w14:paraId="791CA22A">
            <w:pPr>
              <w:numPr>
                <w:ilvl w:val="0"/>
                <w:numId w:val="0"/>
              </w:numPr>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运营期产生的医疗废物经分类收集打包好后暂存于污物暂存间，后转运至医院医废间暂存，医疗废物日产日清，交由资质单位处理；办公、生活垃圾经袋装收集后暂存于生活垃圾暂存间，日产日清，交由环卫部门清运处理。</w:t>
            </w:r>
          </w:p>
          <w:p w14:paraId="6DDE7654">
            <w:pPr>
              <w:pStyle w:val="30"/>
              <w:spacing w:line="360" w:lineRule="auto"/>
              <w:ind w:firstLine="48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lang w:bidi="ar"/>
                <w14:textFill>
                  <w14:solidFill>
                    <w14:schemeClr w14:val="tx1"/>
                  </w14:solidFill>
                </w14:textFill>
              </w:rPr>
              <w:t>医院设置医疗废物暂存间用于医疗废弃物的暂存，</w:t>
            </w:r>
            <w:r>
              <w:rPr>
                <w:rFonts w:ascii="Times New Roman" w:hAnsi="Times New Roman"/>
                <w:color w:val="auto"/>
              </w:rPr>
              <w:t>本项目</w:t>
            </w:r>
            <w:r>
              <w:rPr>
                <w:rFonts w:hint="eastAsia" w:ascii="Times New Roman" w:hAnsi="Times New Roman"/>
                <w:color w:val="auto"/>
                <w:lang w:eastAsia="zh-CN"/>
              </w:rPr>
              <w:t>DSA机房</w:t>
            </w:r>
            <w:r>
              <w:rPr>
                <w:rFonts w:ascii="Times New Roman" w:hAnsi="Times New Roman"/>
                <w:color w:val="auto"/>
              </w:rPr>
              <w:t>投运后预计将产生有少量废造影剂的输液瓶</w:t>
            </w:r>
            <w:r>
              <w:rPr>
                <w:rFonts w:hint="eastAsia" w:ascii="Times New Roman" w:hAnsi="Times New Roman"/>
                <w:color w:val="auto"/>
                <w:lang w:eastAsia="zh-CN"/>
              </w:rPr>
              <w:t>（</w:t>
            </w:r>
            <w:r>
              <w:rPr>
                <w:rFonts w:hint="eastAsia" w:ascii="Times New Roman" w:hAnsi="Times New Roman"/>
                <w:color w:val="auto"/>
                <w:lang w:val="en-US" w:eastAsia="zh-CN"/>
              </w:rPr>
              <w:t>1</w:t>
            </w:r>
            <w:r>
              <w:rPr>
                <w:rFonts w:ascii="Times New Roman" w:hAnsi="Times New Roman"/>
                <w:color w:val="auto"/>
              </w:rPr>
              <w:t>00kg/a</w:t>
            </w:r>
            <w:r>
              <w:rPr>
                <w:rFonts w:hint="eastAsia" w:ascii="Times New Roman" w:hAnsi="Times New Roman"/>
                <w:color w:val="auto"/>
                <w:lang w:eastAsia="zh-CN"/>
              </w:rPr>
              <w:t>）</w:t>
            </w:r>
            <w:r>
              <w:rPr>
                <w:rFonts w:ascii="Times New Roman" w:hAnsi="Times New Roman"/>
                <w:color w:val="auto"/>
              </w:rPr>
              <w:t>、废药棉</w:t>
            </w:r>
            <w:r>
              <w:rPr>
                <w:rFonts w:hint="eastAsia" w:ascii="Times New Roman" w:hAnsi="Times New Roman"/>
                <w:color w:val="auto"/>
                <w:lang w:eastAsia="zh-CN"/>
              </w:rPr>
              <w:t>（</w:t>
            </w:r>
            <w:r>
              <w:rPr>
                <w:rFonts w:hint="eastAsia" w:ascii="Times New Roman" w:hAnsi="Times New Roman"/>
                <w:color w:val="auto"/>
                <w:lang w:val="en-US" w:eastAsia="zh-CN"/>
              </w:rPr>
              <w:t>8</w:t>
            </w:r>
            <w:r>
              <w:rPr>
                <w:rFonts w:ascii="Times New Roman" w:hAnsi="Times New Roman"/>
                <w:color w:val="auto"/>
              </w:rPr>
              <w:t>0kg/a</w:t>
            </w:r>
            <w:r>
              <w:rPr>
                <w:rFonts w:hint="eastAsia" w:ascii="Times New Roman" w:hAnsi="Times New Roman"/>
                <w:color w:val="auto"/>
                <w:lang w:eastAsia="zh-CN"/>
              </w:rPr>
              <w:t>）</w:t>
            </w:r>
            <w:r>
              <w:rPr>
                <w:rFonts w:ascii="Times New Roman" w:hAnsi="Times New Roman"/>
                <w:color w:val="auto"/>
              </w:rPr>
              <w:t>、废纱布</w:t>
            </w:r>
            <w:r>
              <w:rPr>
                <w:rFonts w:hint="eastAsia" w:ascii="Times New Roman" w:hAnsi="Times New Roman"/>
                <w:color w:val="auto"/>
                <w:lang w:eastAsia="zh-CN"/>
              </w:rPr>
              <w:t>（</w:t>
            </w:r>
            <w:r>
              <w:rPr>
                <w:rFonts w:hint="eastAsia" w:ascii="Times New Roman" w:hAnsi="Times New Roman"/>
                <w:color w:val="auto"/>
                <w:lang w:val="en-US" w:eastAsia="zh-CN"/>
              </w:rPr>
              <w:t>8</w:t>
            </w:r>
            <w:r>
              <w:rPr>
                <w:rFonts w:ascii="Times New Roman" w:hAnsi="Times New Roman"/>
                <w:color w:val="auto"/>
              </w:rPr>
              <w:t>0kg/a</w:t>
            </w:r>
            <w:r>
              <w:rPr>
                <w:rFonts w:hint="eastAsia" w:ascii="Times New Roman" w:hAnsi="Times New Roman"/>
                <w:color w:val="auto"/>
                <w:lang w:eastAsia="zh-CN"/>
              </w:rPr>
              <w:t>）</w:t>
            </w:r>
            <w:r>
              <w:rPr>
                <w:rFonts w:ascii="Times New Roman" w:hAnsi="Times New Roman"/>
                <w:color w:val="auto"/>
              </w:rPr>
              <w:t>、废手套</w:t>
            </w:r>
            <w:r>
              <w:rPr>
                <w:rFonts w:hint="eastAsia" w:ascii="Times New Roman" w:hAnsi="Times New Roman"/>
                <w:color w:val="auto"/>
                <w:lang w:eastAsia="zh-CN"/>
              </w:rPr>
              <w:t>（</w:t>
            </w:r>
            <w:r>
              <w:rPr>
                <w:rFonts w:hint="eastAsia" w:ascii="Times New Roman" w:hAnsi="Times New Roman"/>
                <w:color w:val="auto"/>
                <w:lang w:val="en-US" w:eastAsia="zh-CN"/>
              </w:rPr>
              <w:t>8</w:t>
            </w:r>
            <w:r>
              <w:rPr>
                <w:rFonts w:ascii="Times New Roman" w:hAnsi="Times New Roman"/>
                <w:color w:val="auto"/>
              </w:rPr>
              <w:t>0kg/a</w:t>
            </w:r>
            <w:r>
              <w:rPr>
                <w:rFonts w:hint="eastAsia" w:ascii="Times New Roman" w:hAnsi="Times New Roman"/>
                <w:color w:val="auto"/>
                <w:lang w:eastAsia="zh-CN"/>
              </w:rPr>
              <w:t>）</w:t>
            </w:r>
            <w:r>
              <w:rPr>
                <w:rFonts w:ascii="Times New Roman" w:hAnsi="Times New Roman"/>
                <w:color w:val="auto"/>
              </w:rPr>
              <w:t>等医疗废物</w:t>
            </w:r>
            <w:r>
              <w:rPr>
                <w:rFonts w:hint="eastAsia" w:ascii="Times New Roman" w:hAnsi="Times New Roman"/>
                <w:color w:val="auto"/>
                <w:lang w:eastAsia="zh-CN"/>
              </w:rPr>
              <w:t>（</w:t>
            </w:r>
            <w:r>
              <w:rPr>
                <w:rFonts w:ascii="Times New Roman" w:hAnsi="Times New Roman"/>
                <w:color w:val="auto"/>
              </w:rPr>
              <w:t>共约</w:t>
            </w:r>
            <w:r>
              <w:rPr>
                <w:rFonts w:hint="eastAsia" w:ascii="Times New Roman" w:hAnsi="Times New Roman"/>
                <w:color w:val="auto"/>
                <w:lang w:val="en-US" w:eastAsia="zh-CN"/>
              </w:rPr>
              <w:t>34</w:t>
            </w:r>
            <w:r>
              <w:rPr>
                <w:rFonts w:hint="eastAsia" w:ascii="Times New Roman" w:hAnsi="Times New Roman"/>
                <w:color w:val="auto"/>
              </w:rPr>
              <w:t>0</w:t>
            </w:r>
            <w:r>
              <w:rPr>
                <w:rFonts w:ascii="Times New Roman" w:hAnsi="Times New Roman"/>
                <w:color w:val="auto"/>
              </w:rPr>
              <w:t>kg/a</w:t>
            </w:r>
            <w:r>
              <w:rPr>
                <w:rFonts w:hint="eastAsia" w:ascii="Times New Roman" w:hAnsi="Times New Roman"/>
                <w:color w:val="auto"/>
                <w:lang w:eastAsia="zh-CN"/>
              </w:rPr>
              <w:t>）</w:t>
            </w:r>
            <w:r>
              <w:rPr>
                <w:rFonts w:ascii="Times New Roman" w:hAnsi="Times New Roman"/>
                <w:color w:val="auto"/>
                <w:lang w:bidi="ar"/>
              </w:rPr>
              <w:t>，医废产</w:t>
            </w:r>
            <w:r>
              <w:rPr>
                <w:rFonts w:ascii="Times New Roman" w:hAnsi="Times New Roman"/>
                <w:color w:val="000000" w:themeColor="text1"/>
                <w:lang w:bidi="ar"/>
                <w14:textFill>
                  <w14:solidFill>
                    <w14:schemeClr w14:val="tx1"/>
                  </w14:solidFill>
                </w14:textFill>
              </w:rPr>
              <w:t>生量较小，</w:t>
            </w:r>
            <w:r>
              <w:rPr>
                <w:rFonts w:ascii="Times New Roman" w:hAnsi="Times New Roman"/>
                <w:color w:val="000000" w:themeColor="text1"/>
                <w14:textFill>
                  <w14:solidFill>
                    <w14:schemeClr w14:val="tx1"/>
                  </w14:solidFill>
                </w14:textFill>
              </w:rPr>
              <w:t>医疗废物日产日清，</w:t>
            </w:r>
            <w:r>
              <w:rPr>
                <w:rFonts w:ascii="Times New Roman" w:hAnsi="Times New Roman"/>
                <w:color w:val="000000" w:themeColor="text1"/>
                <w:lang w:bidi="ar"/>
                <w14:textFill>
                  <w14:solidFill>
                    <w14:schemeClr w14:val="tx1"/>
                  </w14:solidFill>
                </w14:textFill>
              </w:rPr>
              <w:t>可满足暂存要求。</w:t>
            </w:r>
          </w:p>
          <w:p w14:paraId="769EEE47">
            <w:pPr>
              <w:numPr>
                <w:ilvl w:val="0"/>
                <w:numId w:val="2"/>
              </w:numPr>
              <w:spacing w:line="360" w:lineRule="auto"/>
              <w:rPr>
                <w:rFonts w:ascii="Times New Roman" w:hAnsi="Times New Roman"/>
                <w:b/>
                <w:bCs/>
                <w:sz w:val="28"/>
                <w:szCs w:val="28"/>
              </w:rPr>
            </w:pPr>
            <w:r>
              <w:rPr>
                <w:rFonts w:ascii="Times New Roman" w:hAnsi="Times New Roman"/>
                <w:b/>
                <w:bCs/>
                <w:sz w:val="28"/>
                <w:szCs w:val="28"/>
              </w:rPr>
              <w:t>本项目产业政策符合性</w:t>
            </w:r>
          </w:p>
          <w:p w14:paraId="516B85F6">
            <w:pPr>
              <w:spacing w:line="360" w:lineRule="auto"/>
              <w:ind w:firstLine="480" w:firstLineChars="200"/>
              <w:rPr>
                <w:rFonts w:ascii="Times New Roman" w:hAnsi="Times New Roman"/>
                <w:sz w:val="24"/>
              </w:rPr>
            </w:pPr>
            <w:r>
              <w:rPr>
                <w:rFonts w:ascii="Times New Roman" w:hAnsi="Times New Roman"/>
                <w:sz w:val="24"/>
              </w:rPr>
              <w:t>根据《产业结构调整指导目录（2024年本）》，本项目使用数字减影血管造影装置（DSA）为医院医疗基础建设内容，属该指导目录中</w:t>
            </w:r>
            <w:r>
              <w:rPr>
                <w:rFonts w:hint="eastAsia" w:ascii="Times New Roman" w:hAnsi="Times New Roman"/>
                <w:sz w:val="24"/>
              </w:rPr>
              <w:t>三十七、卫生健康</w:t>
            </w:r>
            <w:r>
              <w:rPr>
                <w:rFonts w:ascii="Times New Roman" w:hAnsi="Times New Roman"/>
                <w:sz w:val="24"/>
              </w:rPr>
              <w:t>：</w:t>
            </w:r>
            <w:r>
              <w:rPr>
                <w:rFonts w:hint="eastAsia" w:ascii="Times New Roman" w:hAnsi="Times New Roman"/>
                <w:sz w:val="24"/>
              </w:rPr>
              <w:t>1、医疗卫生服务设施建设</w:t>
            </w:r>
            <w:r>
              <w:rPr>
                <w:rFonts w:ascii="Times New Roman" w:hAnsi="Times New Roman"/>
                <w:sz w:val="24"/>
              </w:rPr>
              <w:t>，属于国家鼓励类产业，符合国家产业政策。</w:t>
            </w:r>
          </w:p>
          <w:p w14:paraId="6CBF8147">
            <w:pPr>
              <w:pStyle w:val="30"/>
              <w:jc w:val="both"/>
              <w:rPr>
                <w:rFonts w:ascii="Times New Roman" w:hAnsi="Times New Roman"/>
                <w:b/>
                <w:bCs/>
                <w:color w:val="auto"/>
                <w:kern w:val="2"/>
                <w:sz w:val="28"/>
                <w:szCs w:val="28"/>
              </w:rPr>
            </w:pPr>
            <w:r>
              <w:rPr>
                <w:rFonts w:ascii="Times New Roman" w:hAnsi="Times New Roman"/>
                <w:b/>
                <w:bCs/>
                <w:color w:val="auto"/>
                <w:kern w:val="2"/>
                <w:sz w:val="28"/>
                <w:szCs w:val="28"/>
              </w:rPr>
              <w:t>三、本项目规划符合性分析</w:t>
            </w:r>
          </w:p>
          <w:p w14:paraId="49D331B1">
            <w:pPr>
              <w:widowControl/>
              <w:spacing w:line="360" w:lineRule="auto"/>
              <w:rPr>
                <w:rFonts w:ascii="Times New Roman" w:hAnsi="Times New Roman"/>
                <w:b/>
                <w:bCs/>
              </w:rPr>
            </w:pPr>
            <w:r>
              <w:rPr>
                <w:rFonts w:ascii="Times New Roman" w:hAnsi="Times New Roman"/>
                <w:b/>
                <w:bCs/>
                <w:kern w:val="0"/>
                <w:sz w:val="24"/>
                <w:lang w:bidi="ar"/>
              </w:rPr>
              <w:t xml:space="preserve">（一）项目用地规划符合性分析 </w:t>
            </w:r>
          </w:p>
          <w:p w14:paraId="2DDE46E2">
            <w:pPr>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kern w:val="0"/>
                <w:sz w:val="24"/>
                <w:lang w:bidi="ar"/>
                <w14:textFill>
                  <w14:solidFill>
                    <w14:schemeClr w14:val="tx1"/>
                  </w14:solidFill>
                </w14:textFill>
              </w:rPr>
              <w:t>本</w:t>
            </w:r>
            <w:r>
              <w:rPr>
                <w:rFonts w:ascii="Times New Roman" w:hAnsi="Times New Roman"/>
                <w:color w:val="000000" w:themeColor="text1"/>
                <w:sz w:val="24"/>
                <w14:textFill>
                  <w14:solidFill>
                    <w14:schemeClr w14:val="tx1"/>
                  </w14:solidFill>
                </w14:textFill>
              </w:rPr>
              <w:t>项目所在医院</w:t>
            </w:r>
            <w:r>
              <w:rPr>
                <w:rFonts w:ascii="Times New Roman" w:hAnsi="Times New Roman"/>
                <w:sz w:val="24"/>
              </w:rPr>
              <w:t>位于</w:t>
            </w:r>
            <w:r>
              <w:rPr>
                <w:rFonts w:hint="eastAsia" w:ascii="Times New Roman" w:hAnsi="Times New Roman"/>
                <w:sz w:val="24"/>
                <w:lang w:eastAsia="zh-CN"/>
              </w:rPr>
              <w:t>平昌县同州街道新平街西段122号</w:t>
            </w:r>
            <w:r>
              <w:rPr>
                <w:rFonts w:ascii="Times New Roman" w:hAnsi="Times New Roman"/>
                <w:sz w:val="24"/>
              </w:rPr>
              <w:t>，</w:t>
            </w:r>
            <w:r>
              <w:rPr>
                <w:rFonts w:hint="eastAsia" w:ascii="Times New Roman" w:hAnsi="Times New Roman"/>
                <w:sz w:val="24"/>
                <w:lang w:val="en-US" w:eastAsia="zh-CN"/>
              </w:rPr>
              <w:t>本</w:t>
            </w:r>
            <w:r>
              <w:rPr>
                <w:rFonts w:ascii="Times New Roman" w:hAnsi="Times New Roman"/>
                <w:sz w:val="24"/>
              </w:rPr>
              <w:t>项目</w:t>
            </w:r>
            <w:r>
              <w:rPr>
                <w:rFonts w:hint="eastAsia" w:ascii="Times New Roman" w:hAnsi="Times New Roman"/>
                <w:sz w:val="24"/>
                <w:lang w:val="en-US" w:eastAsia="zh-CN"/>
              </w:rPr>
              <w:t>位于现有2号住院综合楼内，不新增用地</w:t>
            </w:r>
            <w:r>
              <w:rPr>
                <w:rFonts w:hint="eastAsia" w:ascii="Times New Roman" w:hAnsi="Times New Roman"/>
                <w:color w:val="000000" w:themeColor="text1"/>
                <w:sz w:val="24"/>
                <w:lang w:eastAsia="zh-CN"/>
                <w14:textFill>
                  <w14:solidFill>
                    <w14:schemeClr w14:val="tx1"/>
                  </w14:solidFill>
                </w14:textFill>
              </w:rPr>
              <w:t>。</w:t>
            </w:r>
            <w:r>
              <w:rPr>
                <w:rFonts w:ascii="Times New Roman" w:hAnsi="Times New Roman"/>
                <w:color w:val="000000" w:themeColor="text1"/>
                <w:sz w:val="24"/>
                <w14:textFill>
                  <w14:solidFill>
                    <w14:schemeClr w14:val="tx1"/>
                  </w14:solidFill>
                </w14:textFill>
              </w:rPr>
              <w:t>土地用途为</w:t>
            </w:r>
            <w:r>
              <w:rPr>
                <w:rFonts w:hint="eastAsia" w:ascii="Times New Roman" w:hAnsi="Times New Roman"/>
                <w:color w:val="000000" w:themeColor="text1"/>
                <w:sz w:val="24"/>
                <w:lang w:val="en-US" w:eastAsia="zh-CN"/>
                <w14:textFill>
                  <w14:solidFill>
                    <w14:schemeClr w14:val="tx1"/>
                  </w14:solidFill>
                </w14:textFill>
              </w:rPr>
              <w:t>医疗卫生</w:t>
            </w:r>
            <w:r>
              <w:rPr>
                <w:rFonts w:ascii="Times New Roman" w:hAnsi="Times New Roman"/>
                <w:color w:val="000000" w:themeColor="text1"/>
                <w:sz w:val="24"/>
                <w14:textFill>
                  <w14:solidFill>
                    <w14:schemeClr w14:val="tx1"/>
                  </w14:solidFill>
                </w14:textFill>
              </w:rPr>
              <w:t>用地，因此项目符合当地规划。</w:t>
            </w:r>
          </w:p>
          <w:p w14:paraId="12CC1A8B">
            <w:pPr>
              <w:spacing w:line="360" w:lineRule="auto"/>
              <w:rPr>
                <w:rFonts w:ascii="Times New Roman" w:hAnsi="Times New Roman"/>
                <w:b/>
                <w:bCs/>
                <w:sz w:val="28"/>
                <w:szCs w:val="28"/>
              </w:rPr>
            </w:pPr>
            <w:r>
              <w:rPr>
                <w:rFonts w:ascii="Times New Roman" w:hAnsi="Times New Roman"/>
                <w:b/>
                <w:bCs/>
                <w:sz w:val="28"/>
                <w:szCs w:val="28"/>
              </w:rPr>
              <w:t>四、本项目选址、外环境关系及总平面布局合理性分析</w:t>
            </w:r>
          </w:p>
          <w:p w14:paraId="2CA459C6">
            <w:pPr>
              <w:spacing w:line="360" w:lineRule="auto"/>
              <w:rPr>
                <w:rFonts w:ascii="Times New Roman" w:hAnsi="Times New Roman"/>
                <w:bCs/>
                <w:sz w:val="24"/>
              </w:rPr>
            </w:pPr>
            <w:r>
              <w:rPr>
                <w:rFonts w:ascii="Times New Roman" w:hAnsi="Times New Roman"/>
                <w:b/>
                <w:bCs/>
                <w:sz w:val="24"/>
              </w:rPr>
              <w:t>（一）</w:t>
            </w:r>
            <w:r>
              <w:rPr>
                <w:rFonts w:ascii="Times New Roman" w:hAnsi="Times New Roman"/>
                <w:bCs/>
                <w:sz w:val="24"/>
              </w:rPr>
              <w:t>项目选址合理性分析</w:t>
            </w:r>
          </w:p>
          <w:p w14:paraId="7348DC5A">
            <w:pPr>
              <w:spacing w:line="360" w:lineRule="auto"/>
              <w:ind w:firstLine="480" w:firstLineChars="200"/>
              <w:rPr>
                <w:rFonts w:ascii="Times New Roman" w:hAnsi="Times New Roman"/>
                <w:bCs/>
                <w:sz w:val="24"/>
              </w:rPr>
            </w:pPr>
            <w:r>
              <w:rPr>
                <w:rFonts w:hint="eastAsia" w:ascii="Times New Roman" w:hAnsi="Times New Roman"/>
                <w:color w:val="000000" w:themeColor="text1"/>
                <w:sz w:val="24"/>
                <w:lang w:val="en-US" w:eastAsia="zh-CN"/>
                <w14:textFill>
                  <w14:solidFill>
                    <w14:schemeClr w14:val="tx1"/>
                  </w14:solidFill>
                </w14:textFill>
              </w:rPr>
              <w:t>本项目</w:t>
            </w:r>
            <w:r>
              <w:rPr>
                <w:rFonts w:hint="eastAsia" w:ascii="Times New Roman" w:hAnsi="Times New Roman"/>
                <w:bCs/>
                <w:sz w:val="24"/>
                <w:lang w:val="en-US" w:eastAsia="zh-CN"/>
              </w:rPr>
              <w:t>位于</w:t>
            </w:r>
            <w:r>
              <w:rPr>
                <w:rFonts w:hint="eastAsia" w:ascii="Times New Roman" w:hAnsi="Times New Roman"/>
                <w:sz w:val="24"/>
                <w:lang w:eastAsia="zh-CN"/>
              </w:rPr>
              <w:t>平昌县同州街道新平街西段122号</w:t>
            </w:r>
            <w:r>
              <w:rPr>
                <w:rFonts w:hint="eastAsia" w:ascii="Times New Roman" w:hAnsi="Times New Roman"/>
                <w:sz w:val="24"/>
                <w:lang w:val="en-US" w:eastAsia="zh-CN"/>
              </w:rPr>
              <w:t>平昌中医院2号住院综合楼内。这栋楼选址已经在平昌县中医医院住院综合楼建设项目中进行了论述</w:t>
            </w:r>
            <w:r>
              <w:rPr>
                <w:rFonts w:ascii="Times New Roman" w:hAnsi="Times New Roman"/>
                <w:sz w:val="24"/>
              </w:rPr>
              <w:t>，</w:t>
            </w:r>
            <w:r>
              <w:rPr>
                <w:rFonts w:ascii="Times New Roman" w:hAnsi="Times New Roman"/>
                <w:bCs/>
                <w:sz w:val="24"/>
              </w:rPr>
              <w:t>该</w:t>
            </w:r>
            <w:r>
              <w:rPr>
                <w:rFonts w:hint="eastAsia" w:ascii="Times New Roman" w:hAnsi="Times New Roman"/>
                <w:bCs/>
                <w:sz w:val="24"/>
                <w:lang w:val="en-US" w:eastAsia="zh-CN"/>
              </w:rPr>
              <w:t>项目</w:t>
            </w:r>
            <w:r>
              <w:rPr>
                <w:rFonts w:ascii="Times New Roman" w:hAnsi="Times New Roman"/>
                <w:bCs/>
                <w:sz w:val="24"/>
              </w:rPr>
              <w:t>于20</w:t>
            </w:r>
            <w:r>
              <w:rPr>
                <w:rFonts w:hint="eastAsia" w:ascii="Times New Roman" w:hAnsi="Times New Roman"/>
                <w:bCs/>
                <w:sz w:val="24"/>
                <w:lang w:val="en-US" w:eastAsia="zh-CN"/>
              </w:rPr>
              <w:t>19</w:t>
            </w:r>
            <w:r>
              <w:rPr>
                <w:rFonts w:ascii="Times New Roman" w:hAnsi="Times New Roman"/>
                <w:bCs/>
                <w:sz w:val="24"/>
              </w:rPr>
              <w:t>年</w:t>
            </w:r>
            <w:r>
              <w:rPr>
                <w:rFonts w:hint="eastAsia" w:ascii="Times New Roman" w:hAnsi="Times New Roman"/>
                <w:bCs/>
                <w:sz w:val="24"/>
                <w:lang w:val="en-US" w:eastAsia="zh-CN"/>
              </w:rPr>
              <w:t>9</w:t>
            </w:r>
            <w:r>
              <w:rPr>
                <w:rFonts w:ascii="Times New Roman" w:hAnsi="Times New Roman"/>
                <w:bCs/>
                <w:sz w:val="24"/>
              </w:rPr>
              <w:t>月</w:t>
            </w:r>
            <w:r>
              <w:rPr>
                <w:rFonts w:hint="eastAsia" w:ascii="Times New Roman" w:hAnsi="Times New Roman"/>
                <w:bCs/>
                <w:sz w:val="24"/>
                <w:lang w:val="en-US" w:eastAsia="zh-CN"/>
              </w:rPr>
              <w:t>16</w:t>
            </w:r>
            <w:r>
              <w:rPr>
                <w:rFonts w:ascii="Times New Roman" w:hAnsi="Times New Roman"/>
                <w:bCs/>
                <w:sz w:val="24"/>
              </w:rPr>
              <w:t>日取得</w:t>
            </w:r>
            <w:r>
              <w:rPr>
                <w:rFonts w:hint="eastAsia" w:ascii="Times New Roman" w:hAnsi="Times New Roman"/>
                <w:bCs/>
                <w:sz w:val="24"/>
              </w:rPr>
              <w:t>平昌县环境保护局</w:t>
            </w:r>
            <w:r>
              <w:rPr>
                <w:rFonts w:ascii="Times New Roman" w:hAnsi="Times New Roman"/>
                <w:bCs/>
                <w:sz w:val="24"/>
              </w:rPr>
              <w:t>的相关批复</w:t>
            </w:r>
            <w:r>
              <w:rPr>
                <w:rFonts w:hint="eastAsia" w:ascii="Times New Roman" w:hAnsi="Times New Roman"/>
                <w:bCs/>
                <w:sz w:val="24"/>
                <w:lang w:eastAsia="zh-CN"/>
              </w:rPr>
              <w:t>（</w:t>
            </w:r>
            <w:r>
              <w:rPr>
                <w:rFonts w:hint="eastAsia" w:ascii="Times New Roman" w:hAnsi="Times New Roman"/>
                <w:bCs/>
                <w:sz w:val="24"/>
              </w:rPr>
              <w:t>平环建</w:t>
            </w:r>
            <w:r>
              <w:rPr>
                <w:rFonts w:hint="eastAsia" w:ascii="Times New Roman" w:hAnsi="Times New Roman"/>
                <w:bCs/>
                <w:sz w:val="24"/>
                <w:lang w:val="en-US" w:eastAsia="zh-CN"/>
              </w:rPr>
              <w:t>〔</w:t>
            </w:r>
            <w:r>
              <w:rPr>
                <w:rFonts w:hint="eastAsia" w:ascii="Times New Roman" w:hAnsi="Times New Roman"/>
                <w:bCs/>
                <w:sz w:val="24"/>
              </w:rPr>
              <w:t>20</w:t>
            </w:r>
            <w:r>
              <w:rPr>
                <w:rFonts w:hint="eastAsia" w:ascii="Times New Roman" w:hAnsi="Times New Roman"/>
                <w:bCs/>
                <w:sz w:val="24"/>
                <w:lang w:val="en-US" w:eastAsia="zh-CN"/>
              </w:rPr>
              <w:t>19〕</w:t>
            </w:r>
            <w:r>
              <w:rPr>
                <w:rFonts w:hint="eastAsia" w:ascii="Times New Roman" w:hAnsi="Times New Roman"/>
                <w:bCs/>
                <w:sz w:val="24"/>
              </w:rPr>
              <w:t>24号</w:t>
            </w:r>
            <w:r>
              <w:rPr>
                <w:rFonts w:hint="eastAsia" w:ascii="Times New Roman" w:hAnsi="Times New Roman"/>
                <w:bCs/>
                <w:sz w:val="24"/>
                <w:lang w:eastAsia="zh-CN"/>
              </w:rPr>
              <w:t>）（</w:t>
            </w:r>
            <w:r>
              <w:rPr>
                <w:rFonts w:ascii="Times New Roman" w:hAnsi="Times New Roman"/>
                <w:bCs/>
                <w:sz w:val="24"/>
              </w:rPr>
              <w:t>见附件4</w:t>
            </w:r>
            <w:r>
              <w:rPr>
                <w:rFonts w:hint="eastAsia" w:ascii="Times New Roman" w:hAnsi="Times New Roman"/>
                <w:bCs/>
                <w:sz w:val="24"/>
                <w:lang w:eastAsia="zh-CN"/>
              </w:rPr>
              <w:t>）</w:t>
            </w:r>
            <w:r>
              <w:rPr>
                <w:rFonts w:ascii="Times New Roman" w:hAnsi="Times New Roman"/>
                <w:bCs/>
                <w:sz w:val="24"/>
              </w:rPr>
              <w:t>，院区整体项目的选址合理性已在《</w:t>
            </w:r>
            <w:r>
              <w:rPr>
                <w:rFonts w:hint="eastAsia" w:ascii="Times New Roman" w:hAnsi="Times New Roman"/>
                <w:bCs/>
                <w:sz w:val="24"/>
                <w:lang w:val="en-US" w:eastAsia="zh-CN"/>
              </w:rPr>
              <w:t>平昌县中医医院住院综合楼建设项目</w:t>
            </w:r>
            <w:r>
              <w:rPr>
                <w:rFonts w:ascii="Times New Roman" w:hAnsi="Times New Roman"/>
                <w:bCs/>
                <w:sz w:val="24"/>
              </w:rPr>
              <w:t>环境影响报告</w:t>
            </w:r>
            <w:r>
              <w:rPr>
                <w:rFonts w:hint="eastAsia" w:ascii="Times New Roman" w:hAnsi="Times New Roman"/>
                <w:bCs/>
                <w:sz w:val="24"/>
                <w:lang w:val="en-US" w:eastAsia="zh-CN"/>
              </w:rPr>
              <w:t>表</w:t>
            </w:r>
            <w:r>
              <w:rPr>
                <w:rFonts w:ascii="Times New Roman" w:hAnsi="Times New Roman"/>
                <w:bCs/>
                <w:sz w:val="24"/>
              </w:rPr>
              <w:t>》中进行了论述，该院区项目选址是合理的。</w:t>
            </w:r>
          </w:p>
          <w:p w14:paraId="47C6636B">
            <w:pPr>
              <w:spacing w:line="360" w:lineRule="auto"/>
              <w:ind w:firstLine="480" w:firstLineChars="200"/>
              <w:rPr>
                <w:rFonts w:ascii="Times New Roman" w:hAnsi="Times New Roman"/>
                <w:b/>
                <w:sz w:val="24"/>
              </w:rPr>
            </w:pPr>
            <w:r>
              <w:rPr>
                <w:rFonts w:ascii="Times New Roman" w:hAnsi="Times New Roman"/>
                <w:bCs/>
                <w:sz w:val="24"/>
              </w:rPr>
              <w:t>本项目</w:t>
            </w:r>
            <w:r>
              <w:rPr>
                <w:rFonts w:hint="eastAsia" w:ascii="Times New Roman" w:hAnsi="Times New Roman"/>
                <w:bCs/>
                <w:sz w:val="24"/>
                <w:lang w:eastAsia="zh-CN"/>
              </w:rPr>
              <w:t>DSA机房</w:t>
            </w:r>
            <w:r>
              <w:rPr>
                <w:rFonts w:ascii="Times New Roman" w:hAnsi="Times New Roman"/>
                <w:bCs/>
                <w:sz w:val="24"/>
              </w:rPr>
              <w:t>位于</w:t>
            </w:r>
            <w:r>
              <w:rPr>
                <w:rFonts w:hint="eastAsia" w:ascii="Times New Roman" w:hAnsi="Times New Roman"/>
                <w:bCs/>
                <w:sz w:val="24"/>
                <w:lang w:eastAsia="zh-CN"/>
              </w:rPr>
              <w:t>2号住院综合楼一楼</w:t>
            </w:r>
            <w:r>
              <w:rPr>
                <w:rFonts w:ascii="Times New Roman" w:hAnsi="Times New Roman"/>
                <w:bCs/>
                <w:sz w:val="24"/>
              </w:rPr>
              <w:t>内，</w:t>
            </w:r>
            <w:r>
              <w:rPr>
                <w:rFonts w:hint="eastAsia" w:ascii="Times New Roman" w:hAnsi="Times New Roman"/>
                <w:bCs/>
                <w:sz w:val="24"/>
                <w:lang w:val="en-US" w:eastAsia="zh-CN"/>
              </w:rPr>
              <w:t>一</w:t>
            </w:r>
            <w:r>
              <w:rPr>
                <w:rFonts w:ascii="Times New Roman" w:hAnsi="Times New Roman"/>
                <w:bCs/>
                <w:sz w:val="24"/>
              </w:rPr>
              <w:t>楼</w:t>
            </w:r>
            <w:r>
              <w:rPr>
                <w:rFonts w:hint="eastAsia" w:ascii="Times New Roman" w:hAnsi="Times New Roman"/>
                <w:bCs/>
                <w:sz w:val="24"/>
                <w:lang w:val="en-US" w:eastAsia="zh-CN"/>
              </w:rPr>
              <w:t>主要分布住院大厅和放射科，一楼平面布局见附图4</w:t>
            </w:r>
            <w:r>
              <w:rPr>
                <w:rFonts w:hint="eastAsia" w:ascii="Times New Roman" w:hAnsi="Times New Roman"/>
                <w:bCs/>
                <w:sz w:val="24"/>
                <w:lang w:eastAsia="zh-CN"/>
              </w:rPr>
              <w:t>。</w:t>
            </w:r>
            <w:r>
              <w:rPr>
                <w:rFonts w:ascii="Times New Roman" w:hAnsi="Times New Roman"/>
                <w:bCs/>
                <w:sz w:val="24"/>
              </w:rPr>
              <w:t>项目辐射工作场所50m范围</w:t>
            </w:r>
            <w:r>
              <w:rPr>
                <w:rFonts w:hint="eastAsia" w:ascii="Times New Roman" w:hAnsi="Times New Roman"/>
                <w:bCs/>
                <w:sz w:val="24"/>
              </w:rPr>
              <w:t>（见附图2）</w:t>
            </w:r>
            <w:r>
              <w:rPr>
                <w:rFonts w:ascii="Times New Roman" w:hAnsi="Times New Roman"/>
                <w:bCs/>
                <w:sz w:val="24"/>
              </w:rPr>
              <w:t>，</w:t>
            </w:r>
            <w:r>
              <w:rPr>
                <w:rFonts w:hint="eastAsia" w:ascii="Times New Roman" w:hAnsi="Times New Roman"/>
                <w:bCs/>
                <w:sz w:val="24"/>
                <w:lang w:eastAsia="zh-CN"/>
              </w:rPr>
              <w:t>2号住院综合楼</w:t>
            </w:r>
            <w:r>
              <w:rPr>
                <w:rFonts w:hint="eastAsia" w:ascii="Times New Roman" w:hAnsi="Times New Roman"/>
                <w:bCs/>
                <w:sz w:val="24"/>
              </w:rPr>
              <w:t>整体布局于医院用地的</w:t>
            </w:r>
            <w:r>
              <w:rPr>
                <w:rFonts w:hint="eastAsia" w:ascii="Times New Roman" w:hAnsi="Times New Roman"/>
                <w:bCs/>
                <w:sz w:val="24"/>
                <w:lang w:val="en-US" w:eastAsia="zh-CN"/>
              </w:rPr>
              <w:t>东</w:t>
            </w:r>
            <w:r>
              <w:rPr>
                <w:rFonts w:hint="eastAsia" w:ascii="Times New Roman" w:hAnsi="Times New Roman"/>
                <w:bCs/>
                <w:sz w:val="24"/>
              </w:rPr>
              <w:t>侧</w:t>
            </w:r>
            <w:r>
              <w:rPr>
                <w:rFonts w:hint="eastAsia" w:ascii="Times New Roman" w:hAnsi="Times New Roman"/>
                <w:bCs/>
                <w:sz w:val="24"/>
                <w:lang w:eastAsia="zh-CN"/>
              </w:rPr>
              <w:t>。</w:t>
            </w:r>
            <w:r>
              <w:rPr>
                <w:rFonts w:hint="eastAsia" w:ascii="Times New Roman" w:hAnsi="Times New Roman"/>
                <w:bCs/>
                <w:sz w:val="24"/>
                <w:lang w:val="en-US" w:eastAsia="zh-CN"/>
              </w:rPr>
              <w:t>平昌中医院2号住院综合楼位于山脚，根据现场调查，评价范围内敏感点与项目存在地形高差。本项目DSA机房</w:t>
            </w:r>
            <w:r>
              <w:rPr>
                <w:rFonts w:hint="eastAsia" w:ascii="Times New Roman" w:hAnsi="Times New Roman"/>
                <w:b/>
                <w:bCs w:val="0"/>
                <w:sz w:val="24"/>
                <w:lang w:val="en-US" w:eastAsia="zh-CN"/>
              </w:rPr>
              <w:t>东南侧</w:t>
            </w:r>
            <w:r>
              <w:rPr>
                <w:rFonts w:hint="eastAsia" w:ascii="Times New Roman" w:hAnsi="Times New Roman"/>
                <w:bCs/>
                <w:sz w:val="24"/>
                <w:lang w:val="en-US" w:eastAsia="zh-CN"/>
              </w:rPr>
              <w:t>距离31m为居民楼1，垂直距离约17m；</w:t>
            </w:r>
            <w:r>
              <w:rPr>
                <w:rFonts w:hint="eastAsia" w:ascii="Times New Roman" w:hAnsi="Times New Roman"/>
                <w:b/>
                <w:bCs w:val="0"/>
                <w:sz w:val="24"/>
                <w:lang w:val="en-US" w:eastAsia="zh-CN"/>
              </w:rPr>
              <w:t>东侧</w:t>
            </w:r>
            <w:r>
              <w:rPr>
                <w:rFonts w:hint="eastAsia" w:ascii="Times New Roman" w:hAnsi="Times New Roman"/>
                <w:bCs/>
                <w:sz w:val="24"/>
                <w:lang w:val="en-US" w:eastAsia="zh-CN"/>
              </w:rPr>
              <w:t>距离46m为居民楼2，垂直距离约18米；</w:t>
            </w:r>
            <w:r>
              <w:rPr>
                <w:rFonts w:hint="eastAsia" w:ascii="Times New Roman" w:hAnsi="Times New Roman"/>
                <w:b/>
                <w:bCs w:val="0"/>
                <w:sz w:val="24"/>
                <w:lang w:val="en-US" w:eastAsia="zh-CN"/>
              </w:rPr>
              <w:t>东侧</w:t>
            </w:r>
            <w:r>
              <w:rPr>
                <w:rFonts w:hint="eastAsia" w:ascii="Times New Roman" w:hAnsi="Times New Roman"/>
                <w:bCs/>
                <w:sz w:val="24"/>
                <w:lang w:val="en-US" w:eastAsia="zh-CN"/>
              </w:rPr>
              <w:t>距离27m为居民楼3，垂直距离约12米</w:t>
            </w:r>
            <w:r>
              <w:rPr>
                <w:rFonts w:hint="eastAsia" w:ascii="Times New Roman" w:hAnsi="Times New Roman"/>
                <w:bCs/>
                <w:sz w:val="24"/>
                <w:lang w:eastAsia="zh-CN"/>
              </w:rPr>
              <w:t>，</w:t>
            </w:r>
            <w:r>
              <w:rPr>
                <w:rFonts w:hint="eastAsia" w:ascii="Times New Roman" w:hAnsi="Times New Roman"/>
                <w:b/>
                <w:bCs w:val="0"/>
                <w:sz w:val="24"/>
                <w:lang w:val="en-US" w:eastAsia="zh-CN"/>
              </w:rPr>
              <w:t>北侧</w:t>
            </w:r>
            <w:r>
              <w:rPr>
                <w:rFonts w:hint="eastAsia" w:ascii="Times New Roman" w:hAnsi="Times New Roman"/>
                <w:bCs/>
                <w:sz w:val="24"/>
                <w:lang w:val="en-US" w:eastAsia="zh-CN"/>
              </w:rPr>
              <w:t>距离32m为居民楼4，垂直距离约10米；本项目</w:t>
            </w:r>
            <w:r>
              <w:rPr>
                <w:rFonts w:hint="eastAsia" w:ascii="Times New Roman" w:hAnsi="Times New Roman"/>
                <w:b/>
                <w:bCs w:val="0"/>
                <w:sz w:val="24"/>
                <w:lang w:val="en-US" w:eastAsia="zh-CN"/>
              </w:rPr>
              <w:t>西北侧</w:t>
            </w:r>
            <w:r>
              <w:rPr>
                <w:rFonts w:hint="eastAsia" w:ascii="Times New Roman" w:hAnsi="Times New Roman"/>
                <w:bCs/>
                <w:sz w:val="24"/>
                <w:lang w:val="en-US" w:eastAsia="zh-CN"/>
              </w:rPr>
              <w:t>45m为1号住院楼，本项目</w:t>
            </w:r>
            <w:r>
              <w:rPr>
                <w:rFonts w:hint="eastAsia" w:ascii="Times New Roman" w:hAnsi="Times New Roman"/>
                <w:b/>
                <w:bCs w:val="0"/>
                <w:sz w:val="24"/>
                <w:lang w:val="en-US" w:eastAsia="zh-CN"/>
              </w:rPr>
              <w:t>西南侧</w:t>
            </w:r>
            <w:r>
              <w:rPr>
                <w:rFonts w:hint="eastAsia" w:ascii="Times New Roman" w:hAnsi="Times New Roman"/>
                <w:bCs/>
                <w:sz w:val="24"/>
                <w:lang w:val="en-US" w:eastAsia="zh-CN"/>
              </w:rPr>
              <w:t>33m为医院家属楼。其余50米范围内为道路、医院绿化及山坡植被</w:t>
            </w:r>
            <w:r>
              <w:rPr>
                <w:rFonts w:hint="eastAsia" w:ascii="Times New Roman" w:hAnsi="Times New Roman"/>
                <w:bCs/>
                <w:sz w:val="24"/>
              </w:rPr>
              <w:t>。</w:t>
            </w:r>
            <w:r>
              <w:rPr>
                <w:rFonts w:hint="eastAsia" w:ascii="Times New Roman" w:hAnsi="Times New Roman"/>
                <w:bCs/>
                <w:sz w:val="24"/>
                <w:lang w:val="en-US" w:eastAsia="zh-CN"/>
              </w:rPr>
              <w:t>本项目50m范围内</w:t>
            </w:r>
            <w:r>
              <w:rPr>
                <w:rFonts w:ascii="Times New Roman" w:hAnsi="Times New Roman"/>
                <w:bCs/>
                <w:sz w:val="24"/>
              </w:rPr>
              <w:t>不存在自然保护区、风景名胜区、文物保护单位、饮用水水源保护区等</w:t>
            </w:r>
            <w:r>
              <w:rPr>
                <w:rFonts w:hint="eastAsia" w:ascii="Times New Roman" w:hAnsi="Times New Roman"/>
                <w:bCs/>
                <w:sz w:val="24"/>
              </w:rPr>
              <w:t>特殊</w:t>
            </w:r>
            <w:r>
              <w:rPr>
                <w:rFonts w:ascii="Times New Roman" w:hAnsi="Times New Roman"/>
                <w:bCs/>
                <w:sz w:val="24"/>
              </w:rPr>
              <w:t>敏感</w:t>
            </w:r>
            <w:r>
              <w:rPr>
                <w:rFonts w:hint="eastAsia" w:ascii="Times New Roman" w:hAnsi="Times New Roman"/>
                <w:bCs/>
                <w:sz w:val="24"/>
              </w:rPr>
              <w:t>保护</w:t>
            </w:r>
            <w:r>
              <w:rPr>
                <w:rFonts w:ascii="Times New Roman" w:hAnsi="Times New Roman"/>
                <w:bCs/>
                <w:sz w:val="24"/>
              </w:rPr>
              <w:t>目标，周围无环境制约因素。本项目机房及配套房间</w:t>
            </w:r>
            <w:r>
              <w:rPr>
                <w:rFonts w:hint="eastAsia" w:ascii="Times New Roman" w:hAnsi="Times New Roman"/>
                <w:bCs/>
                <w:sz w:val="24"/>
                <w:lang w:val="en-US" w:eastAsia="zh-CN"/>
              </w:rPr>
              <w:t>位于医院已建2号住院综合楼一楼</w:t>
            </w:r>
            <w:r>
              <w:rPr>
                <w:rFonts w:ascii="Times New Roman" w:hAnsi="Times New Roman"/>
                <w:bCs/>
                <w:sz w:val="24"/>
              </w:rPr>
              <w:t>，不涉及新增占地，拟建设的辐射工作场所按照相关规范要求建有良好的实体屏蔽设施和防护措施，产生的辐射经屏蔽和防护后对周围环境影响较小。</w:t>
            </w:r>
            <w:r>
              <w:rPr>
                <w:rFonts w:ascii="Times New Roman" w:hAnsi="Times New Roman"/>
                <w:b/>
                <w:sz w:val="24"/>
              </w:rPr>
              <w:t>因此，从辐射安全防护的角度分析，本项目选址是合理的。</w:t>
            </w:r>
          </w:p>
          <w:p w14:paraId="2F9BEFF9">
            <w:pPr>
              <w:spacing w:line="360" w:lineRule="auto"/>
              <w:rPr>
                <w:rFonts w:ascii="Times New Roman" w:hAnsi="Times New Roman"/>
                <w:b w:val="0"/>
                <w:bCs/>
                <w:sz w:val="24"/>
              </w:rPr>
            </w:pPr>
            <w:r>
              <w:rPr>
                <w:rFonts w:ascii="Times New Roman" w:hAnsi="Times New Roman"/>
                <w:b w:val="0"/>
                <w:bCs/>
                <w:sz w:val="24"/>
              </w:rPr>
              <w:t>（二）项目外环境关系分析</w:t>
            </w:r>
          </w:p>
          <w:p w14:paraId="6F848B1C">
            <w:pPr>
              <w:spacing w:line="360" w:lineRule="auto"/>
              <w:rPr>
                <w:rFonts w:ascii="Times New Roman" w:hAnsi="Times New Roman"/>
                <w:bCs/>
                <w:sz w:val="24"/>
              </w:rPr>
            </w:pPr>
            <w:r>
              <w:rPr>
                <w:rFonts w:ascii="Times New Roman" w:hAnsi="Times New Roman"/>
                <w:bCs/>
                <w:sz w:val="24"/>
              </w:rPr>
              <w:t>本项目50m范围内</w:t>
            </w:r>
            <w:r>
              <w:rPr>
                <w:rFonts w:hint="eastAsia" w:ascii="Times New Roman" w:hAnsi="Times New Roman"/>
                <w:bCs/>
                <w:sz w:val="24"/>
                <w:lang w:val="en-US" w:eastAsia="zh-CN"/>
              </w:rPr>
              <w:t>外</w:t>
            </w:r>
            <w:r>
              <w:rPr>
                <w:rFonts w:ascii="Times New Roman" w:hAnsi="Times New Roman"/>
                <w:bCs/>
                <w:sz w:val="24"/>
              </w:rPr>
              <w:t>环境关系</w:t>
            </w:r>
          </w:p>
          <w:p w14:paraId="3212CDF9">
            <w:pPr>
              <w:spacing w:line="360" w:lineRule="auto"/>
              <w:ind w:firstLine="480" w:firstLineChars="200"/>
              <w:rPr>
                <w:rFonts w:ascii="Times New Roman" w:hAnsi="Times New Roman"/>
                <w:bCs/>
                <w:sz w:val="24"/>
              </w:rPr>
            </w:pPr>
            <w:r>
              <w:rPr>
                <w:rFonts w:ascii="Times New Roman" w:hAnsi="Times New Roman"/>
                <w:bCs/>
                <w:sz w:val="24"/>
              </w:rPr>
              <w:t>本项目位于</w:t>
            </w:r>
            <w:r>
              <w:rPr>
                <w:rFonts w:hint="eastAsia" w:ascii="Times New Roman" w:hAnsi="Times New Roman"/>
                <w:bCs/>
                <w:sz w:val="24"/>
                <w:lang w:val="en-US" w:eastAsia="zh-CN"/>
              </w:rPr>
              <w:t>平昌县中医医院新建</w:t>
            </w:r>
            <w:r>
              <w:rPr>
                <w:rFonts w:hint="eastAsia" w:ascii="Times New Roman" w:hAnsi="Times New Roman"/>
                <w:bCs/>
                <w:sz w:val="24"/>
                <w:lang w:eastAsia="zh-CN"/>
              </w:rPr>
              <w:t>2号住院综合楼一楼</w:t>
            </w:r>
            <w:r>
              <w:rPr>
                <w:rFonts w:ascii="Times New Roman" w:hAnsi="Times New Roman"/>
                <w:bCs/>
                <w:sz w:val="24"/>
              </w:rPr>
              <w:t>。</w:t>
            </w:r>
            <w:r>
              <w:rPr>
                <w:rFonts w:hint="eastAsia" w:ascii="Times New Roman" w:hAnsi="Times New Roman"/>
                <w:bCs/>
                <w:sz w:val="24"/>
                <w:lang w:val="en-US" w:eastAsia="zh-CN"/>
              </w:rPr>
              <w:t>一</w:t>
            </w:r>
            <w:r>
              <w:rPr>
                <w:rFonts w:ascii="Times New Roman" w:hAnsi="Times New Roman"/>
                <w:bCs/>
                <w:sz w:val="24"/>
              </w:rPr>
              <w:t>楼</w:t>
            </w:r>
            <w:r>
              <w:rPr>
                <w:rFonts w:hint="eastAsia" w:ascii="Times New Roman" w:hAnsi="Times New Roman"/>
                <w:bCs/>
                <w:sz w:val="24"/>
                <w:lang w:val="en-US" w:eastAsia="zh-CN"/>
              </w:rPr>
              <w:t>主要分布有住院大厅和放射科</w:t>
            </w:r>
            <w:r>
              <w:rPr>
                <w:rFonts w:hint="eastAsia" w:ascii="Times New Roman" w:hAnsi="Times New Roman"/>
                <w:bCs/>
                <w:sz w:val="24"/>
                <w:lang w:eastAsia="zh-CN"/>
              </w:rPr>
              <w:t>。</w:t>
            </w:r>
            <w:r>
              <w:rPr>
                <w:rFonts w:ascii="Times New Roman" w:hAnsi="Times New Roman"/>
                <w:bCs/>
                <w:sz w:val="24"/>
              </w:rPr>
              <w:t>项目辐射工作场所50m范围</w:t>
            </w:r>
            <w:r>
              <w:rPr>
                <w:rFonts w:hint="eastAsia" w:ascii="Times New Roman" w:hAnsi="Times New Roman"/>
                <w:bCs/>
                <w:sz w:val="24"/>
              </w:rPr>
              <w:t>（见附图2）</w:t>
            </w:r>
            <w:r>
              <w:rPr>
                <w:rFonts w:ascii="Times New Roman" w:hAnsi="Times New Roman"/>
                <w:bCs/>
                <w:sz w:val="24"/>
              </w:rPr>
              <w:t>，</w:t>
            </w:r>
            <w:r>
              <w:rPr>
                <w:rFonts w:hint="eastAsia" w:ascii="Times New Roman" w:hAnsi="Times New Roman"/>
                <w:bCs/>
                <w:sz w:val="24"/>
                <w:lang w:eastAsia="zh-CN"/>
              </w:rPr>
              <w:t>2号住院综合楼</w:t>
            </w:r>
            <w:r>
              <w:rPr>
                <w:rFonts w:hint="eastAsia" w:ascii="Times New Roman" w:hAnsi="Times New Roman"/>
                <w:bCs/>
                <w:sz w:val="24"/>
              </w:rPr>
              <w:t>整体布局于医院用地的</w:t>
            </w:r>
            <w:r>
              <w:rPr>
                <w:rFonts w:hint="eastAsia" w:ascii="Times New Roman" w:hAnsi="Times New Roman"/>
                <w:bCs/>
                <w:sz w:val="24"/>
                <w:lang w:val="en-US" w:eastAsia="zh-CN"/>
              </w:rPr>
              <w:t>东</w:t>
            </w:r>
            <w:r>
              <w:rPr>
                <w:rFonts w:hint="eastAsia" w:ascii="Times New Roman" w:hAnsi="Times New Roman"/>
                <w:bCs/>
                <w:sz w:val="24"/>
              </w:rPr>
              <w:t>侧</w:t>
            </w:r>
            <w:r>
              <w:rPr>
                <w:rFonts w:hint="eastAsia" w:ascii="Times New Roman" w:hAnsi="Times New Roman"/>
                <w:bCs/>
                <w:sz w:val="24"/>
                <w:lang w:eastAsia="zh-CN"/>
              </w:rPr>
              <w:t>。</w:t>
            </w:r>
            <w:r>
              <w:rPr>
                <w:rFonts w:hint="eastAsia" w:ascii="Times New Roman" w:hAnsi="Times New Roman"/>
                <w:bCs/>
                <w:sz w:val="24"/>
                <w:lang w:val="en-US" w:eastAsia="zh-CN"/>
              </w:rPr>
              <w:t>本项目DSA机房</w:t>
            </w:r>
            <w:r>
              <w:rPr>
                <w:rFonts w:hint="eastAsia" w:ascii="Times New Roman" w:hAnsi="Times New Roman"/>
                <w:b/>
                <w:bCs w:val="0"/>
                <w:sz w:val="24"/>
                <w:lang w:val="en-US" w:eastAsia="zh-CN"/>
              </w:rPr>
              <w:t>东南侧：</w:t>
            </w:r>
            <w:r>
              <w:rPr>
                <w:rFonts w:hint="eastAsia" w:ascii="Times New Roman" w:hAnsi="Times New Roman"/>
                <w:b w:val="0"/>
                <w:bCs/>
                <w:sz w:val="24"/>
                <w:lang w:val="en-US" w:eastAsia="zh-CN"/>
              </w:rPr>
              <w:t>0-31m为院区道路及绿化，</w:t>
            </w:r>
            <w:r>
              <w:rPr>
                <w:rFonts w:hint="eastAsia" w:ascii="Times New Roman" w:hAnsi="Times New Roman"/>
                <w:bCs/>
                <w:sz w:val="24"/>
                <w:lang w:val="en-US" w:eastAsia="zh-CN"/>
              </w:rPr>
              <w:t>距离31-50m为居民楼1，垂直距离约17m；</w:t>
            </w:r>
            <w:r>
              <w:rPr>
                <w:rFonts w:hint="eastAsia" w:ascii="Times New Roman" w:hAnsi="Times New Roman"/>
                <w:b/>
                <w:bCs w:val="0"/>
                <w:sz w:val="24"/>
                <w:lang w:val="en-US" w:eastAsia="zh-CN"/>
              </w:rPr>
              <w:t>东侧：</w:t>
            </w:r>
            <w:r>
              <w:rPr>
                <w:rFonts w:hint="eastAsia" w:ascii="Times New Roman" w:hAnsi="Times New Roman"/>
                <w:b w:val="0"/>
                <w:bCs/>
                <w:sz w:val="24"/>
                <w:lang w:val="en-US" w:eastAsia="zh-CN"/>
              </w:rPr>
              <w:t>0-46米为院区道路及绿化，</w:t>
            </w:r>
            <w:r>
              <w:rPr>
                <w:rFonts w:hint="eastAsia" w:ascii="Times New Roman" w:hAnsi="Times New Roman"/>
                <w:bCs/>
                <w:sz w:val="24"/>
                <w:lang w:val="en-US" w:eastAsia="zh-CN"/>
              </w:rPr>
              <w:t>距离46-50m为居民楼2，垂直距离约18米；</w:t>
            </w:r>
            <w:r>
              <w:rPr>
                <w:rFonts w:hint="eastAsia" w:ascii="Times New Roman" w:hAnsi="Times New Roman"/>
                <w:b/>
                <w:bCs w:val="0"/>
                <w:sz w:val="24"/>
                <w:lang w:val="en-US" w:eastAsia="zh-CN"/>
              </w:rPr>
              <w:t>东侧：</w:t>
            </w:r>
            <w:r>
              <w:rPr>
                <w:rFonts w:hint="eastAsia" w:ascii="Times New Roman" w:hAnsi="Times New Roman"/>
                <w:b w:val="0"/>
                <w:bCs/>
                <w:sz w:val="24"/>
                <w:lang w:val="en-US" w:eastAsia="zh-CN"/>
              </w:rPr>
              <w:t>0-27m为院区道路及绿化，</w:t>
            </w:r>
            <w:r>
              <w:rPr>
                <w:rFonts w:hint="eastAsia" w:ascii="Times New Roman" w:hAnsi="Times New Roman"/>
                <w:bCs/>
                <w:sz w:val="24"/>
                <w:lang w:val="en-US" w:eastAsia="zh-CN"/>
              </w:rPr>
              <w:t>距离27-50m为居民楼3，垂直距离约12米</w:t>
            </w:r>
            <w:r>
              <w:rPr>
                <w:rFonts w:hint="eastAsia" w:ascii="Times New Roman" w:hAnsi="Times New Roman"/>
                <w:bCs/>
                <w:sz w:val="24"/>
                <w:lang w:eastAsia="zh-CN"/>
              </w:rPr>
              <w:t>，</w:t>
            </w:r>
            <w:r>
              <w:rPr>
                <w:rFonts w:hint="eastAsia" w:ascii="Times New Roman" w:hAnsi="Times New Roman"/>
                <w:b/>
                <w:bCs w:val="0"/>
                <w:sz w:val="24"/>
                <w:lang w:val="en-US" w:eastAsia="zh-CN"/>
              </w:rPr>
              <w:t>北侧：</w:t>
            </w:r>
            <w:r>
              <w:rPr>
                <w:rFonts w:hint="eastAsia" w:ascii="Times New Roman" w:hAnsi="Times New Roman"/>
                <w:b w:val="0"/>
                <w:bCs/>
                <w:sz w:val="24"/>
                <w:lang w:val="en-US" w:eastAsia="zh-CN"/>
              </w:rPr>
              <w:t>0-32m为院区道路及绿化，</w:t>
            </w:r>
            <w:r>
              <w:rPr>
                <w:rFonts w:hint="eastAsia" w:ascii="Times New Roman" w:hAnsi="Times New Roman"/>
                <w:bCs/>
                <w:sz w:val="24"/>
                <w:lang w:val="en-US" w:eastAsia="zh-CN"/>
              </w:rPr>
              <w:t>距离32-50m为居民楼4，垂直距离约10米；</w:t>
            </w:r>
            <w:r>
              <w:rPr>
                <w:rFonts w:hint="eastAsia" w:ascii="Times New Roman" w:hAnsi="Times New Roman"/>
                <w:b/>
                <w:bCs w:val="0"/>
                <w:sz w:val="24"/>
                <w:lang w:val="en-US" w:eastAsia="zh-CN"/>
              </w:rPr>
              <w:t>本项目西北侧：</w:t>
            </w:r>
            <w:r>
              <w:rPr>
                <w:rFonts w:hint="eastAsia" w:ascii="Times New Roman" w:hAnsi="Times New Roman"/>
                <w:b w:val="0"/>
                <w:bCs/>
                <w:sz w:val="24"/>
                <w:lang w:val="en-US" w:eastAsia="zh-CN"/>
              </w:rPr>
              <w:t>0-45m为2号住院综合楼内部及院区道路，</w:t>
            </w:r>
            <w:r>
              <w:rPr>
                <w:rFonts w:hint="eastAsia" w:ascii="Times New Roman" w:hAnsi="Times New Roman"/>
                <w:bCs/>
                <w:sz w:val="24"/>
                <w:lang w:val="en-US" w:eastAsia="zh-CN"/>
              </w:rPr>
              <w:t>45-50m为1号住院楼；</w:t>
            </w:r>
            <w:r>
              <w:rPr>
                <w:rFonts w:hint="eastAsia" w:ascii="Times New Roman" w:hAnsi="Times New Roman"/>
                <w:b/>
                <w:bCs w:val="0"/>
                <w:sz w:val="24"/>
                <w:lang w:val="en-US" w:eastAsia="zh-CN"/>
              </w:rPr>
              <w:t>本项目西南侧：</w:t>
            </w:r>
            <w:r>
              <w:rPr>
                <w:rFonts w:hint="eastAsia" w:ascii="Times New Roman" w:hAnsi="Times New Roman"/>
                <w:b w:val="0"/>
                <w:bCs/>
                <w:sz w:val="24"/>
                <w:lang w:val="en-US" w:eastAsia="zh-CN"/>
              </w:rPr>
              <w:t>0-33m为2号住院综合楼内部及院区道路，33-50</w:t>
            </w:r>
            <w:r>
              <w:rPr>
                <w:rFonts w:hint="eastAsia" w:ascii="Times New Roman" w:hAnsi="Times New Roman"/>
                <w:bCs/>
                <w:sz w:val="24"/>
                <w:lang w:val="en-US" w:eastAsia="zh-CN"/>
              </w:rPr>
              <w:t>m为医院家属楼。本项目楼下负一</w:t>
            </w:r>
            <w:r>
              <w:rPr>
                <w:rFonts w:ascii="Times New Roman" w:hAnsi="Times New Roman"/>
                <w:bCs/>
                <w:sz w:val="24"/>
              </w:rPr>
              <w:t>楼为</w:t>
            </w:r>
            <w:r>
              <w:rPr>
                <w:rFonts w:hint="eastAsia" w:ascii="Times New Roman" w:hAnsi="Times New Roman"/>
                <w:bCs/>
                <w:sz w:val="24"/>
                <w:lang w:val="en-US" w:eastAsia="zh-CN"/>
              </w:rPr>
              <w:t>消防水池</w:t>
            </w:r>
            <w:r>
              <w:rPr>
                <w:rFonts w:ascii="Times New Roman" w:hAnsi="Times New Roman"/>
                <w:bCs/>
                <w:sz w:val="24"/>
              </w:rPr>
              <w:t>，人员流动相对较少，</w:t>
            </w:r>
            <w:r>
              <w:rPr>
                <w:rFonts w:hint="eastAsia" w:ascii="Times New Roman" w:hAnsi="Times New Roman"/>
                <w:b/>
                <w:bCs w:val="0"/>
                <w:sz w:val="24"/>
                <w:lang w:val="en-US" w:eastAsia="zh-CN"/>
              </w:rPr>
              <w:t>DSA机房楼下：</w:t>
            </w:r>
            <w:r>
              <w:rPr>
                <w:rFonts w:hint="eastAsia" w:ascii="Times New Roman" w:hAnsi="Times New Roman"/>
                <w:bCs/>
                <w:sz w:val="24"/>
                <w:lang w:val="en-US" w:eastAsia="zh-CN"/>
              </w:rPr>
              <w:t>对应消防水池，</w:t>
            </w:r>
            <w:r>
              <w:rPr>
                <w:rFonts w:ascii="Times New Roman" w:hAnsi="Times New Roman"/>
                <w:bCs/>
                <w:sz w:val="24"/>
              </w:rPr>
              <w:t>有效降低了公众受照的可能性。</w:t>
            </w:r>
            <w:r>
              <w:rPr>
                <w:rFonts w:hint="eastAsia" w:ascii="Times New Roman" w:hAnsi="Times New Roman"/>
                <w:bCs/>
                <w:sz w:val="24"/>
              </w:rPr>
              <w:t>楼上</w:t>
            </w:r>
            <w:r>
              <w:rPr>
                <w:rFonts w:hint="eastAsia" w:ascii="Times New Roman" w:hAnsi="Times New Roman"/>
                <w:bCs/>
                <w:sz w:val="24"/>
                <w:lang w:val="en-US" w:eastAsia="zh-CN"/>
              </w:rPr>
              <w:t>二</w:t>
            </w:r>
            <w:r>
              <w:rPr>
                <w:rFonts w:hint="eastAsia" w:ascii="Times New Roman" w:hAnsi="Times New Roman"/>
                <w:bCs/>
                <w:sz w:val="24"/>
              </w:rPr>
              <w:t>楼部分</w:t>
            </w:r>
            <w:r>
              <w:rPr>
                <w:rFonts w:hint="eastAsia" w:ascii="Times New Roman" w:hAnsi="Times New Roman"/>
                <w:bCs/>
                <w:sz w:val="24"/>
                <w:lang w:val="en-US" w:eastAsia="zh-CN"/>
              </w:rPr>
              <w:t>为</w:t>
            </w:r>
            <w:r>
              <w:rPr>
                <w:rFonts w:hint="eastAsia" w:ascii="Times New Roman" w:hAnsi="Times New Roman"/>
                <w:bCs/>
                <w:sz w:val="24"/>
              </w:rPr>
              <w:t>检验科、血库等</w:t>
            </w:r>
            <w:r>
              <w:rPr>
                <w:rFonts w:hint="eastAsia" w:ascii="Times New Roman" w:hAnsi="Times New Roman"/>
                <w:bCs/>
                <w:sz w:val="24"/>
                <w:lang w:eastAsia="zh-CN"/>
              </w:rPr>
              <w:t>，</w:t>
            </w:r>
            <w:r>
              <w:rPr>
                <w:rFonts w:hint="eastAsia" w:ascii="Times New Roman" w:hAnsi="Times New Roman"/>
                <w:b/>
                <w:bCs w:val="0"/>
                <w:sz w:val="24"/>
                <w:lang w:val="en-US" w:eastAsia="zh-CN"/>
              </w:rPr>
              <w:t>DSA机房楼上：</w:t>
            </w:r>
            <w:r>
              <w:rPr>
                <w:rFonts w:hint="eastAsia" w:ascii="Times New Roman" w:hAnsi="Times New Roman"/>
                <w:bCs/>
                <w:sz w:val="24"/>
              </w:rPr>
              <w:t>对应</w:t>
            </w:r>
            <w:r>
              <w:rPr>
                <w:rFonts w:hint="eastAsia" w:ascii="Times New Roman" w:hAnsi="Times New Roman"/>
                <w:bCs/>
                <w:sz w:val="24"/>
                <w:lang w:val="en-US" w:eastAsia="zh-CN"/>
              </w:rPr>
              <w:t>发血窗口室以及值班室</w:t>
            </w:r>
            <w:r>
              <w:rPr>
                <w:rFonts w:hint="eastAsia" w:ascii="Times New Roman" w:hAnsi="Times New Roman"/>
                <w:bCs/>
                <w:sz w:val="24"/>
              </w:rPr>
              <w:t>，减少了公众等无关人员进入该楼层的数量。</w:t>
            </w:r>
            <w:r>
              <w:rPr>
                <w:rFonts w:hint="eastAsia" w:ascii="Times New Roman" w:hAnsi="Times New Roman"/>
                <w:bCs/>
                <w:sz w:val="24"/>
                <w:lang w:val="en-US" w:eastAsia="zh-CN"/>
              </w:rPr>
              <w:t>本项目其余50米范围内为道路、医院绿化及山坡植被</w:t>
            </w:r>
            <w:r>
              <w:rPr>
                <w:rFonts w:hint="eastAsia" w:ascii="Times New Roman" w:hAnsi="Times New Roman"/>
                <w:bCs/>
                <w:sz w:val="24"/>
                <w:lang w:eastAsia="zh-CN"/>
              </w:rPr>
              <w:t>。</w:t>
            </w:r>
            <w:r>
              <w:rPr>
                <w:rFonts w:ascii="Times New Roman" w:hAnsi="Times New Roman"/>
                <w:bCs/>
                <w:sz w:val="24"/>
              </w:rPr>
              <w:t>其余方位50米范围均在</w:t>
            </w:r>
            <w:r>
              <w:rPr>
                <w:rFonts w:hint="eastAsia" w:ascii="Times New Roman" w:hAnsi="Times New Roman"/>
                <w:bCs/>
                <w:sz w:val="24"/>
                <w:lang w:eastAsia="zh-CN"/>
              </w:rPr>
              <w:t>2号住院综合楼</w:t>
            </w:r>
            <w:r>
              <w:rPr>
                <w:rFonts w:hint="eastAsia" w:ascii="Times New Roman" w:hAnsi="Times New Roman"/>
                <w:bCs/>
                <w:sz w:val="24"/>
                <w:lang w:val="en-US" w:eastAsia="zh-CN"/>
              </w:rPr>
              <w:t>和院区</w:t>
            </w:r>
            <w:r>
              <w:rPr>
                <w:rFonts w:ascii="Times New Roman" w:hAnsi="Times New Roman"/>
                <w:bCs/>
                <w:sz w:val="24"/>
              </w:rPr>
              <w:t>内部。</w:t>
            </w:r>
          </w:p>
          <w:p w14:paraId="6C15B856">
            <w:pPr>
              <w:spacing w:line="360" w:lineRule="auto"/>
              <w:rPr>
                <w:rFonts w:ascii="Times New Roman" w:hAnsi="Times New Roman"/>
                <w:b/>
                <w:sz w:val="24"/>
              </w:rPr>
            </w:pPr>
            <w:r>
              <w:rPr>
                <w:rFonts w:ascii="Times New Roman" w:hAnsi="Times New Roman"/>
                <w:b/>
                <w:sz w:val="24"/>
              </w:rPr>
              <w:t>（三）与周边环境的兼容性分析</w:t>
            </w:r>
          </w:p>
          <w:p w14:paraId="261DAEB3">
            <w:pPr>
              <w:spacing w:line="360" w:lineRule="auto"/>
              <w:ind w:firstLine="480" w:firstLineChars="200"/>
              <w:rPr>
                <w:rFonts w:hint="default" w:ascii="Times New Roman" w:hAnsi="Times New Roman" w:cs="Times New Roman"/>
                <w:bCs/>
                <w:sz w:val="24"/>
              </w:rPr>
            </w:pPr>
            <w:r>
              <w:rPr>
                <w:rFonts w:ascii="Times New Roman" w:hAnsi="Times New Roman"/>
                <w:bCs/>
                <w:sz w:val="24"/>
              </w:rPr>
              <w:t>本项目运行后，不会产生放射性废水，废水主要为辐射工作人员、患者、患者家属的生活污水以及</w:t>
            </w:r>
            <w:r>
              <w:rPr>
                <w:rFonts w:hint="eastAsia" w:ascii="Times New Roman" w:hAnsi="Times New Roman"/>
                <w:bCs/>
                <w:sz w:val="24"/>
                <w:lang w:eastAsia="zh-CN"/>
              </w:rPr>
              <w:t>DSA机房</w:t>
            </w:r>
            <w:r>
              <w:rPr>
                <w:rFonts w:ascii="Times New Roman" w:hAnsi="Times New Roman"/>
                <w:bCs/>
                <w:sz w:val="24"/>
              </w:rPr>
              <w:t>内产生的医疗废水。</w:t>
            </w:r>
            <w:r>
              <w:rPr>
                <w:rFonts w:hint="eastAsia" w:ascii="Times New Roman" w:hAnsi="Times New Roman"/>
                <w:bCs/>
                <w:sz w:val="24"/>
              </w:rPr>
              <w:t>项目运营期医院污水</w:t>
            </w:r>
            <w:r>
              <w:rPr>
                <w:rFonts w:hint="eastAsia" w:ascii="Times New Roman" w:hAnsi="Times New Roman"/>
                <w:bCs/>
                <w:sz w:val="24"/>
                <w:lang w:val="en-US" w:eastAsia="zh-CN"/>
              </w:rPr>
              <w:t>经过</w:t>
            </w:r>
            <w:r>
              <w:rPr>
                <w:rFonts w:hint="eastAsia" w:ascii="Times New Roman" w:hAnsi="Times New Roman"/>
                <w:color w:val="auto"/>
                <w:sz w:val="24"/>
                <w:lang w:val="en-US" w:eastAsia="zh-CN"/>
              </w:rPr>
              <w:t>现有</w:t>
            </w:r>
            <w:r>
              <w:rPr>
                <w:rFonts w:hint="eastAsia" w:ascii="Times New Roman" w:hAnsi="Times New Roman"/>
                <w:color w:val="auto"/>
                <w:sz w:val="24"/>
              </w:rPr>
              <w:t>地埋式污水处理站采用"格栅池+调节池+A/O+沉淀+</w:t>
            </w:r>
            <w:r>
              <w:rPr>
                <w:rFonts w:hint="eastAsia" w:ascii="Times New Roman" w:hAnsi="Times New Roman"/>
                <w:color w:val="auto"/>
                <w:sz w:val="24"/>
                <w:lang w:eastAsia="zh-CN"/>
              </w:rPr>
              <w:t>次氯酸钠</w:t>
            </w:r>
            <w:r>
              <w:rPr>
                <w:rFonts w:hint="eastAsia" w:ascii="Times New Roman" w:hAnsi="Times New Roman"/>
                <w:color w:val="auto"/>
                <w:sz w:val="24"/>
              </w:rPr>
              <w:t>消毒"处理工艺，设计日废水处理能力500m</w:t>
            </w:r>
            <w:r>
              <w:rPr>
                <w:rFonts w:hint="eastAsia" w:ascii="Times New Roman" w:hAnsi="Times New Roman"/>
                <w:color w:val="auto"/>
                <w:sz w:val="24"/>
                <w:vertAlign w:val="superscript"/>
              </w:rPr>
              <w:t>3</w:t>
            </w:r>
            <w:r>
              <w:rPr>
                <w:rFonts w:hint="eastAsia" w:ascii="Times New Roman" w:hAnsi="Times New Roman"/>
                <w:color w:val="auto"/>
                <w:sz w:val="24"/>
                <w:vertAlign w:val="baseline"/>
                <w:lang w:val="en-US" w:eastAsia="zh-CN"/>
              </w:rPr>
              <w:t>/d</w:t>
            </w:r>
            <w:r>
              <w:rPr>
                <w:rFonts w:hint="eastAsia" w:ascii="Times New Roman" w:hAnsi="Times New Roman"/>
                <w:color w:val="auto"/>
                <w:sz w:val="24"/>
                <w:vertAlign w:val="baseline"/>
                <w:lang w:eastAsia="zh-CN"/>
              </w:rPr>
              <w:t>，（</w:t>
            </w:r>
            <w:r>
              <w:rPr>
                <w:rFonts w:hint="eastAsia" w:ascii="Times New Roman" w:hAnsi="Times New Roman"/>
                <w:color w:val="auto"/>
                <w:sz w:val="24"/>
              </w:rPr>
              <w:t>医院</w:t>
            </w:r>
            <w:r>
              <w:rPr>
                <w:rFonts w:hint="eastAsia" w:ascii="Times New Roman" w:hAnsi="Times New Roman"/>
                <w:color w:val="auto"/>
                <w:sz w:val="24"/>
                <w:lang w:val="en-US" w:eastAsia="zh-CN"/>
              </w:rPr>
              <w:t>现有废水</w:t>
            </w:r>
            <w:r>
              <w:rPr>
                <w:rFonts w:hint="eastAsia" w:ascii="Times New Roman" w:hAnsi="Times New Roman"/>
                <w:color w:val="auto"/>
                <w:sz w:val="24"/>
              </w:rPr>
              <w:t>量354.3m</w:t>
            </w:r>
            <w:r>
              <w:rPr>
                <w:rFonts w:hint="eastAsia" w:ascii="Times New Roman" w:hAnsi="Times New Roman"/>
                <w:color w:val="auto"/>
                <w:sz w:val="24"/>
                <w:vertAlign w:val="superscript"/>
              </w:rPr>
              <w:t>3</w:t>
            </w:r>
            <w:r>
              <w:rPr>
                <w:rFonts w:hint="eastAsia" w:ascii="Times New Roman" w:hAnsi="Times New Roman"/>
                <w:color w:val="auto"/>
                <w:sz w:val="24"/>
              </w:rPr>
              <w:t>/d</w:t>
            </w:r>
            <w:r>
              <w:rPr>
                <w:rFonts w:hint="eastAsia" w:ascii="Times New Roman" w:hAnsi="Times New Roman"/>
                <w:color w:val="auto"/>
                <w:sz w:val="24"/>
                <w:lang w:eastAsia="zh-CN"/>
              </w:rPr>
              <w:t>）</w:t>
            </w:r>
            <w:r>
              <w:rPr>
                <w:rFonts w:hint="eastAsia" w:ascii="Times New Roman" w:hAnsi="Times New Roman"/>
                <w:color w:val="auto"/>
                <w:sz w:val="24"/>
              </w:rPr>
              <w:t>，处理后废水达到</w:t>
            </w:r>
            <w:r>
              <w:rPr>
                <w:rFonts w:hint="eastAsia" w:ascii="Times New Roman" w:hAnsi="Times New Roman"/>
                <w:color w:val="auto"/>
                <w:sz w:val="24"/>
                <w:lang w:eastAsia="zh-CN"/>
              </w:rPr>
              <w:t>《</w:t>
            </w:r>
            <w:r>
              <w:rPr>
                <w:rFonts w:hint="eastAsia" w:ascii="Times New Roman" w:hAnsi="Times New Roman"/>
                <w:color w:val="auto"/>
                <w:sz w:val="24"/>
              </w:rPr>
              <w:t>医疗机构水污染物排放标准</w:t>
            </w:r>
            <w:r>
              <w:rPr>
                <w:rFonts w:hint="eastAsia" w:ascii="Times New Roman" w:hAnsi="Times New Roman"/>
                <w:color w:val="auto"/>
                <w:sz w:val="24"/>
                <w:lang w:eastAsia="zh-CN"/>
              </w:rPr>
              <w:t>》</w:t>
            </w:r>
            <w:r>
              <w:rPr>
                <w:rFonts w:hint="eastAsia" w:ascii="Times New Roman" w:hAnsi="Times New Roman"/>
                <w:color w:val="auto"/>
                <w:sz w:val="24"/>
              </w:rPr>
              <w:t>(GB18466-2005)中表2的预处理标准后，经市政污水管网进入平昌县第二污水处理厂进行处理达到</w:t>
            </w:r>
            <w:r>
              <w:rPr>
                <w:rFonts w:hint="eastAsia" w:ascii="Times New Roman" w:hAnsi="Times New Roman"/>
                <w:color w:val="auto"/>
                <w:sz w:val="24"/>
                <w:lang w:eastAsia="zh-CN"/>
              </w:rPr>
              <w:t>《</w:t>
            </w:r>
            <w:r>
              <w:rPr>
                <w:rFonts w:hint="eastAsia" w:ascii="Times New Roman" w:hAnsi="Times New Roman"/>
                <w:color w:val="auto"/>
                <w:sz w:val="24"/>
              </w:rPr>
              <w:t>城镇污水处理厂污染物排放标准</w:t>
            </w:r>
            <w:r>
              <w:rPr>
                <w:rFonts w:hint="eastAsia" w:ascii="Times New Roman" w:hAnsi="Times New Roman"/>
                <w:color w:val="auto"/>
                <w:sz w:val="24"/>
                <w:lang w:eastAsia="zh-CN"/>
              </w:rPr>
              <w:t>》（</w:t>
            </w:r>
            <w:r>
              <w:rPr>
                <w:rFonts w:hint="eastAsia" w:ascii="Times New Roman" w:hAnsi="Times New Roman"/>
                <w:color w:val="auto"/>
                <w:sz w:val="24"/>
              </w:rPr>
              <w:t>GB18918-2002</w:t>
            </w:r>
            <w:r>
              <w:rPr>
                <w:rFonts w:hint="eastAsia" w:ascii="Times New Roman" w:hAnsi="Times New Roman"/>
                <w:color w:val="auto"/>
                <w:sz w:val="24"/>
                <w:lang w:eastAsia="zh-CN"/>
              </w:rPr>
              <w:t>）</w:t>
            </w:r>
            <w:r>
              <w:rPr>
                <w:rFonts w:hint="eastAsia" w:ascii="Times New Roman" w:hAnsi="Times New Roman"/>
                <w:color w:val="auto"/>
                <w:sz w:val="24"/>
              </w:rPr>
              <w:t>中一级A标准后排入巴河。</w:t>
            </w:r>
            <w:r>
              <w:rPr>
                <w:rFonts w:hint="default" w:ascii="Times New Roman" w:hAnsi="Times New Roman" w:cs="Times New Roman"/>
                <w:bCs/>
                <w:sz w:val="24"/>
              </w:rPr>
              <w:t>对周围水环境产生的影响较小。</w:t>
            </w:r>
          </w:p>
          <w:p w14:paraId="14A692C7">
            <w:pPr>
              <w:spacing w:line="360" w:lineRule="auto"/>
              <w:ind w:firstLine="480" w:firstLineChars="200"/>
              <w:rPr>
                <w:rFonts w:ascii="Times New Roman" w:hAnsi="Times New Roman" w:cs="Times New Roman"/>
                <w:bCs/>
                <w:sz w:val="24"/>
              </w:rPr>
            </w:pPr>
            <w:r>
              <w:rPr>
                <w:rFonts w:hint="default" w:ascii="Times New Roman" w:hAnsi="Times New Roman" w:cs="Times New Roman"/>
                <w:bCs/>
                <w:sz w:val="24"/>
              </w:rPr>
              <w:t>本项目投运后，不会产生放射性固体废物。本项目</w:t>
            </w:r>
            <w:r>
              <w:rPr>
                <w:rFonts w:hint="default" w:ascii="Times New Roman" w:hAnsi="Times New Roman" w:cs="Times New Roman"/>
                <w:bCs/>
                <w:sz w:val="24"/>
                <w:lang w:eastAsia="zh-CN"/>
              </w:rPr>
              <w:t>DSA机房</w:t>
            </w:r>
            <w:r>
              <w:rPr>
                <w:rFonts w:hint="default" w:ascii="Times New Roman" w:hAnsi="Times New Roman" w:cs="Times New Roman"/>
                <w:bCs/>
                <w:sz w:val="24"/>
              </w:rPr>
              <w:t>投运</w:t>
            </w:r>
            <w:r>
              <w:rPr>
                <w:rFonts w:ascii="Times New Roman" w:hAnsi="Times New Roman"/>
                <w:bCs/>
                <w:sz w:val="24"/>
              </w:rPr>
              <w:t>后预计将产生有少量废造影剂的输液瓶</w:t>
            </w:r>
            <w:r>
              <w:rPr>
                <w:rFonts w:hint="eastAsia" w:ascii="Times New Roman" w:hAnsi="Times New Roman"/>
                <w:bCs/>
                <w:sz w:val="24"/>
                <w:lang w:eastAsia="zh-CN"/>
              </w:rPr>
              <w:t>（</w:t>
            </w:r>
            <w:r>
              <w:rPr>
                <w:rFonts w:hint="eastAsia" w:ascii="Times New Roman" w:hAnsi="Times New Roman"/>
                <w:bCs/>
                <w:sz w:val="24"/>
                <w:lang w:val="en-US" w:eastAsia="zh-CN"/>
              </w:rPr>
              <w:t>1</w:t>
            </w:r>
            <w:r>
              <w:rPr>
                <w:rFonts w:ascii="Times New Roman" w:hAnsi="Times New Roman"/>
                <w:bCs/>
                <w:sz w:val="24"/>
              </w:rPr>
              <w:t>00kg/a</w:t>
            </w:r>
            <w:r>
              <w:rPr>
                <w:rFonts w:hint="eastAsia" w:ascii="Times New Roman" w:hAnsi="Times New Roman"/>
                <w:bCs/>
                <w:sz w:val="24"/>
                <w:lang w:eastAsia="zh-CN"/>
              </w:rPr>
              <w:t>）</w:t>
            </w:r>
            <w:r>
              <w:rPr>
                <w:rFonts w:ascii="Times New Roman" w:hAnsi="Times New Roman"/>
                <w:bCs/>
                <w:sz w:val="24"/>
              </w:rPr>
              <w:t>、废药棉</w:t>
            </w:r>
            <w:r>
              <w:rPr>
                <w:rFonts w:hint="eastAsia" w:ascii="Times New Roman" w:hAnsi="Times New Roman"/>
                <w:bCs/>
                <w:sz w:val="24"/>
                <w:lang w:eastAsia="zh-CN"/>
              </w:rPr>
              <w:t>（</w:t>
            </w:r>
            <w:r>
              <w:rPr>
                <w:rFonts w:hint="eastAsia" w:ascii="Times New Roman" w:hAnsi="Times New Roman"/>
                <w:bCs/>
                <w:sz w:val="24"/>
                <w:lang w:val="en-US" w:eastAsia="zh-CN"/>
              </w:rPr>
              <w:t>8</w:t>
            </w:r>
            <w:r>
              <w:rPr>
                <w:rFonts w:hint="eastAsia" w:ascii="Times New Roman" w:hAnsi="Times New Roman"/>
                <w:bCs/>
                <w:sz w:val="24"/>
              </w:rPr>
              <w:t>0</w:t>
            </w:r>
            <w:r>
              <w:rPr>
                <w:rFonts w:ascii="Times New Roman" w:hAnsi="Times New Roman"/>
                <w:bCs/>
                <w:sz w:val="24"/>
              </w:rPr>
              <w:t>kg/a</w:t>
            </w:r>
            <w:r>
              <w:rPr>
                <w:rFonts w:hint="eastAsia" w:ascii="Times New Roman" w:hAnsi="Times New Roman"/>
                <w:bCs/>
                <w:sz w:val="24"/>
                <w:lang w:eastAsia="zh-CN"/>
              </w:rPr>
              <w:t>）</w:t>
            </w:r>
            <w:r>
              <w:rPr>
                <w:rFonts w:ascii="Times New Roman" w:hAnsi="Times New Roman"/>
                <w:bCs/>
                <w:sz w:val="24"/>
              </w:rPr>
              <w:t>、废纱布</w:t>
            </w:r>
            <w:r>
              <w:rPr>
                <w:rFonts w:hint="eastAsia" w:ascii="Times New Roman" w:hAnsi="Times New Roman"/>
                <w:bCs/>
                <w:sz w:val="24"/>
                <w:lang w:eastAsia="zh-CN"/>
              </w:rPr>
              <w:t>（</w:t>
            </w:r>
            <w:r>
              <w:rPr>
                <w:rFonts w:hint="eastAsia" w:ascii="Times New Roman" w:hAnsi="Times New Roman"/>
                <w:bCs/>
                <w:sz w:val="24"/>
                <w:lang w:val="en-US" w:eastAsia="zh-CN"/>
              </w:rPr>
              <w:t>8</w:t>
            </w:r>
            <w:r>
              <w:rPr>
                <w:rFonts w:ascii="Times New Roman" w:hAnsi="Times New Roman"/>
                <w:bCs/>
                <w:sz w:val="24"/>
              </w:rPr>
              <w:t>0kg/a</w:t>
            </w:r>
            <w:r>
              <w:rPr>
                <w:rFonts w:hint="eastAsia" w:ascii="Times New Roman" w:hAnsi="Times New Roman"/>
                <w:bCs/>
                <w:sz w:val="24"/>
                <w:lang w:eastAsia="zh-CN"/>
              </w:rPr>
              <w:t>）</w:t>
            </w:r>
            <w:r>
              <w:rPr>
                <w:rFonts w:ascii="Times New Roman" w:hAnsi="Times New Roman"/>
                <w:bCs/>
                <w:sz w:val="24"/>
              </w:rPr>
              <w:t>、废手套</w:t>
            </w:r>
            <w:r>
              <w:rPr>
                <w:rFonts w:hint="eastAsia" w:ascii="Times New Roman" w:hAnsi="Times New Roman"/>
                <w:bCs/>
                <w:sz w:val="24"/>
                <w:lang w:val="en-US" w:eastAsia="zh-CN"/>
              </w:rPr>
              <w:t>8</w:t>
            </w:r>
            <w:r>
              <w:rPr>
                <w:rFonts w:ascii="Times New Roman" w:hAnsi="Times New Roman"/>
                <w:bCs/>
                <w:sz w:val="24"/>
              </w:rPr>
              <w:t>0kg/a</w:t>
            </w:r>
            <w:r>
              <w:rPr>
                <w:rFonts w:hint="eastAsia" w:ascii="Times New Roman" w:hAnsi="Times New Roman"/>
                <w:bCs/>
                <w:sz w:val="24"/>
                <w:lang w:eastAsia="zh-CN"/>
              </w:rPr>
              <w:t>）</w:t>
            </w:r>
            <w:r>
              <w:rPr>
                <w:rFonts w:ascii="Times New Roman" w:hAnsi="Times New Roman"/>
                <w:bCs/>
                <w:sz w:val="24"/>
              </w:rPr>
              <w:t>等医疗废物</w:t>
            </w:r>
            <w:r>
              <w:rPr>
                <w:rFonts w:hint="eastAsia" w:ascii="Times New Roman" w:hAnsi="Times New Roman"/>
                <w:bCs/>
                <w:sz w:val="24"/>
                <w:lang w:eastAsia="zh-CN"/>
              </w:rPr>
              <w:t>（</w:t>
            </w:r>
            <w:r>
              <w:rPr>
                <w:rFonts w:ascii="Times New Roman" w:hAnsi="Times New Roman"/>
                <w:bCs/>
                <w:sz w:val="24"/>
              </w:rPr>
              <w:t>共约</w:t>
            </w:r>
            <w:r>
              <w:rPr>
                <w:rFonts w:hint="eastAsia" w:ascii="Times New Roman" w:hAnsi="Times New Roman"/>
                <w:bCs/>
                <w:sz w:val="24"/>
                <w:lang w:val="en-US" w:eastAsia="zh-CN"/>
              </w:rPr>
              <w:t>34</w:t>
            </w:r>
            <w:r>
              <w:rPr>
                <w:rFonts w:ascii="Times New Roman" w:hAnsi="Times New Roman"/>
                <w:bCs/>
                <w:sz w:val="24"/>
              </w:rPr>
              <w:t>0kg/a</w:t>
            </w:r>
            <w:r>
              <w:rPr>
                <w:rFonts w:hint="eastAsia" w:ascii="Times New Roman" w:hAnsi="Times New Roman"/>
                <w:bCs/>
                <w:sz w:val="24"/>
                <w:lang w:eastAsia="zh-CN"/>
              </w:rPr>
              <w:t>）</w:t>
            </w:r>
            <w:r>
              <w:rPr>
                <w:rFonts w:ascii="Times New Roman" w:hAnsi="Times New Roman"/>
                <w:bCs/>
                <w:sz w:val="24"/>
              </w:rPr>
              <w:t>。本项目</w:t>
            </w:r>
            <w:r>
              <w:rPr>
                <w:rFonts w:hint="eastAsia" w:ascii="Times New Roman" w:hAnsi="Times New Roman"/>
                <w:bCs/>
                <w:sz w:val="24"/>
                <w:lang w:eastAsia="zh-CN"/>
              </w:rPr>
              <w:t>DSA机房</w:t>
            </w:r>
            <w:r>
              <w:rPr>
                <w:rFonts w:ascii="Times New Roman" w:hAnsi="Times New Roman"/>
                <w:bCs/>
                <w:sz w:val="24"/>
              </w:rPr>
              <w:t>手术过程中产生的医疗废物采用专门的收集容器集中处理后，专业人员</w:t>
            </w:r>
            <w:r>
              <w:rPr>
                <w:rFonts w:hint="eastAsia" w:ascii="Times New Roman" w:hAnsi="Times New Roman"/>
                <w:sz w:val="24"/>
              </w:rPr>
              <w:t>直接经过</w:t>
            </w:r>
            <w:r>
              <w:rPr>
                <w:rFonts w:hint="eastAsia" w:ascii="Times New Roman" w:hAnsi="Times New Roman"/>
                <w:sz w:val="24"/>
                <w:lang w:val="en-US" w:eastAsia="zh-CN"/>
              </w:rPr>
              <w:t>污物门</w:t>
            </w:r>
            <w:r>
              <w:rPr>
                <w:rFonts w:hint="eastAsia" w:ascii="Times New Roman" w:hAnsi="Times New Roman"/>
                <w:sz w:val="24"/>
              </w:rPr>
              <w:t>，</w:t>
            </w:r>
            <w:r>
              <w:rPr>
                <w:rFonts w:hint="eastAsia" w:ascii="Times New Roman" w:hAnsi="Times New Roman"/>
                <w:sz w:val="24"/>
                <w:lang w:val="en-US" w:eastAsia="zh-CN"/>
              </w:rPr>
              <w:t>将医疗废物放置于污物暂存间</w:t>
            </w:r>
            <w:r>
              <w:rPr>
                <w:rFonts w:hint="eastAsia" w:ascii="Times New Roman" w:hAnsi="Times New Roman"/>
                <w:sz w:val="24"/>
              </w:rPr>
              <w:t>，再运到医院医疗废物暂存站</w:t>
            </w:r>
            <w:r>
              <w:rPr>
                <w:rFonts w:ascii="Times New Roman" w:hAnsi="Times New Roman"/>
                <w:bCs/>
                <w:sz w:val="24"/>
              </w:rPr>
              <w:t>，定期委托有资质单位外运处置。本项目产生的生活垃圾经院区垃圾收集房分类收集后交由市政环卫部门统一清运。综上，本项目产生的固体废物经妥善处理后对周围环境影响较小。本项目产噪设备不多，噪声源主要为设备噪声和就诊人</w:t>
            </w:r>
            <w:r>
              <w:rPr>
                <w:rFonts w:hint="eastAsia" w:ascii="Times New Roman" w:hAnsi="Times New Roman"/>
                <w:bCs/>
                <w:sz w:val="24"/>
                <w:lang w:val="en-US" w:eastAsia="zh-CN"/>
              </w:rPr>
              <w:t>员</w:t>
            </w:r>
            <w:r>
              <w:rPr>
                <w:rFonts w:ascii="Times New Roman" w:hAnsi="Times New Roman"/>
                <w:bCs/>
                <w:sz w:val="24"/>
              </w:rPr>
              <w:t>流动噪声，其中设备噪声主要来自风机</w:t>
            </w:r>
            <w:r>
              <w:rPr>
                <w:rFonts w:hint="eastAsia" w:ascii="Times New Roman" w:hAnsi="Times New Roman"/>
                <w:bCs/>
                <w:sz w:val="24"/>
                <w:lang w:eastAsia="zh-CN"/>
              </w:rPr>
              <w:t>（</w:t>
            </w:r>
            <w:r>
              <w:rPr>
                <w:rFonts w:hint="eastAsia" w:ascii="Times New Roman" w:hAnsi="Times New Roman"/>
                <w:bCs/>
                <w:sz w:val="24"/>
                <w:lang w:val="en-US" w:eastAsia="zh-CN"/>
              </w:rPr>
              <w:t>集成通风系统）</w:t>
            </w:r>
            <w:r>
              <w:rPr>
                <w:rFonts w:ascii="Times New Roman" w:hAnsi="Times New Roman"/>
                <w:bCs/>
                <w:sz w:val="24"/>
              </w:rPr>
              <w:t>，</w:t>
            </w:r>
            <w:r>
              <w:rPr>
                <w:rFonts w:hint="eastAsia" w:ascii="Times New Roman" w:hAnsi="Times New Roman"/>
                <w:bCs/>
                <w:sz w:val="24"/>
                <w:lang w:val="en-US" w:eastAsia="zh-CN"/>
              </w:rPr>
              <w:t>风口</w:t>
            </w:r>
            <w:r>
              <w:rPr>
                <w:rFonts w:ascii="Times New Roman" w:hAnsi="Times New Roman"/>
                <w:bCs/>
                <w:sz w:val="24"/>
              </w:rPr>
              <w:t>声源位于室内，声级较小，噪声影响不大，不会改变区域声环境功能区规划。采取治理措施后能够确保项目噪声排放能够达到《工业企业厂界噪声排放标准》</w:t>
            </w:r>
            <w:r>
              <w:rPr>
                <w:rFonts w:hint="default" w:ascii="Times New Roman" w:hAnsi="Times New Roman" w:cs="Times New Roman"/>
                <w:bCs/>
                <w:sz w:val="24"/>
                <w:lang w:eastAsia="zh-CN"/>
              </w:rPr>
              <w:t>（</w:t>
            </w:r>
            <w:r>
              <w:rPr>
                <w:rFonts w:ascii="Times New Roman" w:hAnsi="Times New Roman" w:cs="Times New Roman"/>
                <w:bCs/>
                <w:sz w:val="24"/>
              </w:rPr>
              <w:t>GB12348-2008</w:t>
            </w:r>
            <w:r>
              <w:rPr>
                <w:rFonts w:hint="default" w:ascii="Times New Roman" w:hAnsi="Times New Roman" w:cs="Times New Roman"/>
                <w:bCs/>
                <w:sz w:val="24"/>
                <w:lang w:eastAsia="zh-CN"/>
              </w:rPr>
              <w:t>）</w:t>
            </w:r>
            <w:r>
              <w:rPr>
                <w:rFonts w:ascii="Times New Roman" w:hAnsi="Times New Roman" w:cs="Times New Roman"/>
                <w:bCs/>
                <w:sz w:val="24"/>
              </w:rPr>
              <w:t>规定的2类标准。</w:t>
            </w:r>
          </w:p>
          <w:p w14:paraId="637F52D4">
            <w:pPr>
              <w:spacing w:line="360" w:lineRule="auto"/>
              <w:ind w:firstLine="480" w:firstLineChars="200"/>
              <w:rPr>
                <w:rFonts w:ascii="Times New Roman" w:hAnsi="Times New Roman" w:cs="Times New Roman"/>
                <w:bCs/>
                <w:sz w:val="24"/>
              </w:rPr>
            </w:pPr>
            <w:r>
              <w:rPr>
                <w:rFonts w:ascii="Times New Roman" w:hAnsi="Times New Roman" w:cs="Times New Roman"/>
                <w:bCs/>
                <w:sz w:val="24"/>
              </w:rPr>
              <w:t>因此本项目的建设不会对周边产生新的环境污染，项目与周边环境相容，符合环境保护要求。</w:t>
            </w:r>
          </w:p>
          <w:p w14:paraId="254AFE74">
            <w:pPr>
              <w:pStyle w:val="30"/>
              <w:rPr>
                <w:rFonts w:ascii="Times New Roman" w:hAnsi="Times New Roman" w:cs="Times New Roman"/>
                <w:b/>
                <w:bCs/>
              </w:rPr>
            </w:pPr>
            <w:r>
              <w:rPr>
                <w:rFonts w:hint="default" w:ascii="Times New Roman" w:hAnsi="Times New Roman" w:cs="Times New Roman"/>
                <w:b/>
                <w:bCs/>
              </w:rPr>
              <w:t>（四）实践的正当性分析</w:t>
            </w:r>
          </w:p>
          <w:p w14:paraId="5C553570">
            <w:pPr>
              <w:spacing w:line="360" w:lineRule="auto"/>
              <w:ind w:firstLine="480" w:firstLineChars="200"/>
              <w:rPr>
                <w:rFonts w:ascii="Times New Roman" w:hAnsi="Times New Roman" w:cs="Times New Roman"/>
                <w:bCs/>
                <w:sz w:val="24"/>
              </w:rPr>
            </w:pPr>
            <w:r>
              <w:rPr>
                <w:rFonts w:ascii="Times New Roman" w:hAnsi="Times New Roman" w:cs="Times New Roman"/>
                <w:color w:val="000000"/>
                <w:sz w:val="24"/>
              </w:rPr>
              <w:t>本项目开展目的是对病人进行医学诊断</w:t>
            </w:r>
            <w:r>
              <w:rPr>
                <w:rFonts w:hint="default" w:ascii="Times New Roman" w:hAnsi="Times New Roman" w:cs="Times New Roman"/>
                <w:color w:val="000000"/>
                <w:sz w:val="24"/>
              </w:rPr>
              <w:t>，项目的建设将促进区域医疗卫生发展水平，合理分配医疗资源，提高医疗服务效率，改善医疗服务条件，提升区域内的疾病预防控制和医疗救治的服务水平。经辐射防护屏蔽和辐射安全管理后，对辐射工作人员和公众的影响在剂量约束值和剂量限值范围内，其建设和运行对受照患者和社会所带来的利益能够弥补其可能引起的辐射危害，符合《电离辐射防护与辐射源安全基本标准》</w:t>
            </w:r>
            <w:r>
              <w:rPr>
                <w:rFonts w:hint="default" w:ascii="Times New Roman" w:hAnsi="Times New Roman" w:cs="Times New Roman"/>
                <w:color w:val="000000"/>
                <w:sz w:val="24"/>
                <w:lang w:eastAsia="zh-CN"/>
              </w:rPr>
              <w:t>（</w:t>
            </w:r>
            <w:r>
              <w:rPr>
                <w:rFonts w:hint="default" w:ascii="Times New Roman" w:hAnsi="Times New Roman" w:cs="Times New Roman"/>
                <w:color w:val="000000"/>
                <w:sz w:val="24"/>
              </w:rPr>
              <w:t>GB18871-2002</w:t>
            </w:r>
            <w:r>
              <w:rPr>
                <w:rFonts w:hint="default" w:ascii="Times New Roman" w:hAnsi="Times New Roman" w:cs="Times New Roman"/>
                <w:color w:val="000000"/>
                <w:sz w:val="24"/>
                <w:lang w:eastAsia="zh-CN"/>
              </w:rPr>
              <w:t>）</w:t>
            </w:r>
            <w:r>
              <w:rPr>
                <w:rFonts w:ascii="Times New Roman" w:hAnsi="Times New Roman" w:cs="Times New Roman"/>
                <w:color w:val="000000"/>
                <w:sz w:val="24"/>
              </w:rPr>
              <w:t>“实践正当性”</w:t>
            </w:r>
            <w:r>
              <w:rPr>
                <w:rFonts w:hint="default" w:ascii="Times New Roman" w:hAnsi="Times New Roman" w:cs="Times New Roman"/>
                <w:color w:val="000000"/>
                <w:sz w:val="24"/>
              </w:rPr>
              <w:t>的原则。</w:t>
            </w:r>
          </w:p>
          <w:p w14:paraId="7CA46F27">
            <w:pPr>
              <w:spacing w:line="360" w:lineRule="auto"/>
              <w:rPr>
                <w:rFonts w:ascii="Times New Roman" w:hAnsi="Times New Roman" w:cs="Times New Roman"/>
                <w:b/>
                <w:sz w:val="28"/>
                <w:szCs w:val="28"/>
              </w:rPr>
            </w:pPr>
            <w:r>
              <w:rPr>
                <w:rFonts w:ascii="Times New Roman" w:hAnsi="Times New Roman" w:cs="Times New Roman"/>
                <w:b/>
                <w:sz w:val="28"/>
                <w:szCs w:val="28"/>
              </w:rPr>
              <w:t>五、原有核技术利用情况</w:t>
            </w:r>
          </w:p>
          <w:p w14:paraId="6A470E44">
            <w:pPr>
              <w:spacing w:line="360" w:lineRule="auto"/>
              <w:rPr>
                <w:rFonts w:ascii="Times New Roman" w:hAnsi="Times New Roman"/>
                <w:b/>
                <w:bCs/>
                <w:sz w:val="24"/>
              </w:rPr>
            </w:pPr>
            <w:r>
              <w:rPr>
                <w:rFonts w:ascii="Times New Roman" w:hAnsi="Times New Roman"/>
                <w:b/>
                <w:bCs/>
                <w:sz w:val="24"/>
              </w:rPr>
              <w:t>（一）医院原有项目许可证情况</w:t>
            </w:r>
          </w:p>
          <w:p w14:paraId="5E117C0B">
            <w:pPr>
              <w:spacing w:line="360" w:lineRule="auto"/>
              <w:ind w:firstLine="482" w:firstLineChars="200"/>
              <w:rPr>
                <w:rFonts w:ascii="Times New Roman" w:hAnsi="Times New Roman"/>
                <w:b/>
                <w:bCs/>
                <w:sz w:val="24"/>
              </w:rPr>
            </w:pPr>
            <w:r>
              <w:rPr>
                <w:rFonts w:ascii="Times New Roman" w:hAnsi="Times New Roman"/>
                <w:b/>
                <w:bCs/>
                <w:sz w:val="24"/>
              </w:rPr>
              <w:t>1、辐射安全许可证情况</w:t>
            </w:r>
          </w:p>
          <w:p w14:paraId="6761A1B1">
            <w:pPr>
              <w:spacing w:line="360" w:lineRule="auto"/>
              <w:ind w:firstLine="480" w:firstLineChars="200"/>
              <w:rPr>
                <w:rFonts w:ascii="Times New Roman" w:hAnsi="Times New Roman"/>
                <w:bCs/>
                <w:sz w:val="24"/>
              </w:rPr>
            </w:pPr>
            <w:r>
              <w:rPr>
                <w:rFonts w:hint="eastAsia" w:ascii="Times New Roman" w:hAnsi="Times New Roman"/>
                <w:bCs/>
                <w:sz w:val="24"/>
                <w:lang w:eastAsia="zh-CN"/>
              </w:rPr>
              <w:t>平昌县中医医院</w:t>
            </w:r>
            <w:r>
              <w:rPr>
                <w:rFonts w:ascii="Times New Roman" w:hAnsi="Times New Roman"/>
                <w:bCs/>
                <w:sz w:val="24"/>
              </w:rPr>
              <w:t>已开展核技术利用项目且已取得辐射安全许可证，编号为“川环辐证</w:t>
            </w:r>
            <w:r>
              <w:rPr>
                <w:rFonts w:hint="eastAsia" w:ascii="Times New Roman" w:hAnsi="Times New Roman"/>
                <w:bCs/>
                <w:sz w:val="24"/>
                <w:lang w:eastAsia="zh-CN"/>
              </w:rPr>
              <w:t>〔</w:t>
            </w:r>
            <w:r>
              <w:rPr>
                <w:rFonts w:hint="eastAsia" w:ascii="Times New Roman" w:hAnsi="Times New Roman"/>
                <w:bCs/>
                <w:sz w:val="24"/>
                <w:lang w:val="en-US" w:eastAsia="zh-CN"/>
              </w:rPr>
              <w:t>00646</w:t>
            </w:r>
            <w:r>
              <w:rPr>
                <w:rFonts w:hint="eastAsia" w:ascii="Times New Roman" w:hAnsi="Times New Roman"/>
                <w:bCs/>
                <w:sz w:val="24"/>
                <w:lang w:eastAsia="zh-CN"/>
              </w:rPr>
              <w:t>〕</w:t>
            </w:r>
            <w:r>
              <w:rPr>
                <w:rFonts w:ascii="Times New Roman" w:hAnsi="Times New Roman"/>
                <w:bCs/>
                <w:sz w:val="24"/>
              </w:rPr>
              <w:t>”，种类和范围为“使用</w:t>
            </w:r>
            <w:r>
              <w:rPr>
                <w:rFonts w:hint="default" w:ascii="Times New Roman" w:hAnsi="Times New Roman" w:cs="Times New Roman"/>
                <w:bCs/>
                <w:sz w:val="24"/>
                <w:lang w:val="en-US" w:eastAsia="zh-CN"/>
              </w:rPr>
              <w:t>Ⅱ</w:t>
            </w:r>
            <w:r>
              <w:rPr>
                <w:rFonts w:hint="eastAsia" w:ascii="Times New Roman" w:hAnsi="Times New Roman" w:cs="Times New Roman"/>
                <w:bCs/>
                <w:sz w:val="24"/>
                <w:lang w:val="en-US" w:eastAsia="zh-CN"/>
              </w:rPr>
              <w:t>、</w:t>
            </w:r>
            <w:r>
              <w:rPr>
                <w:rFonts w:hint="default" w:ascii="Times New Roman" w:hAnsi="Times New Roman" w:cs="Times New Roman"/>
                <w:bCs/>
                <w:sz w:val="24"/>
                <w:lang w:val="en-US" w:eastAsia="zh-CN"/>
              </w:rPr>
              <w:t>Ⅲ</w:t>
            </w:r>
            <w:r>
              <w:rPr>
                <w:rFonts w:hint="default" w:ascii="Times New Roman" w:hAnsi="Times New Roman" w:cs="Times New Roman"/>
                <w:bCs/>
                <w:sz w:val="24"/>
              </w:rPr>
              <w:t>类射</w:t>
            </w:r>
            <w:r>
              <w:rPr>
                <w:rFonts w:ascii="Times New Roman" w:hAnsi="Times New Roman"/>
                <w:bCs/>
                <w:sz w:val="24"/>
              </w:rPr>
              <w:t>线装置”，有效期至：20</w:t>
            </w:r>
            <w:r>
              <w:rPr>
                <w:rFonts w:hint="eastAsia" w:ascii="Times New Roman" w:hAnsi="Times New Roman"/>
                <w:bCs/>
                <w:sz w:val="24"/>
                <w:lang w:val="en-US" w:eastAsia="zh-CN"/>
              </w:rPr>
              <w:t>29</w:t>
            </w:r>
            <w:r>
              <w:rPr>
                <w:rFonts w:ascii="Times New Roman" w:hAnsi="Times New Roman"/>
                <w:bCs/>
                <w:sz w:val="24"/>
              </w:rPr>
              <w:t>年</w:t>
            </w:r>
            <w:r>
              <w:rPr>
                <w:rFonts w:hint="eastAsia" w:ascii="Times New Roman" w:hAnsi="Times New Roman"/>
                <w:bCs/>
                <w:sz w:val="24"/>
                <w:lang w:val="en-US" w:eastAsia="zh-CN"/>
              </w:rPr>
              <w:t>4</w:t>
            </w:r>
            <w:r>
              <w:rPr>
                <w:rFonts w:ascii="Times New Roman" w:hAnsi="Times New Roman"/>
                <w:bCs/>
                <w:sz w:val="24"/>
              </w:rPr>
              <w:t>月</w:t>
            </w:r>
            <w:r>
              <w:rPr>
                <w:rFonts w:hint="eastAsia" w:ascii="Times New Roman" w:hAnsi="Times New Roman"/>
                <w:bCs/>
                <w:sz w:val="24"/>
                <w:lang w:val="en-US" w:eastAsia="zh-CN"/>
              </w:rPr>
              <w:t>2</w:t>
            </w:r>
            <w:r>
              <w:rPr>
                <w:rFonts w:ascii="Times New Roman" w:hAnsi="Times New Roman"/>
                <w:bCs/>
                <w:sz w:val="24"/>
              </w:rPr>
              <w:t>日，医院的辐射安全许可证正副本扫描件见附件3。</w:t>
            </w:r>
            <w:r>
              <w:rPr>
                <w:rFonts w:hint="eastAsia" w:ascii="Times New Roman" w:hAnsi="Times New Roman"/>
                <w:bCs/>
                <w:sz w:val="24"/>
                <w:lang w:eastAsia="zh-CN"/>
              </w:rPr>
              <w:t>平昌县中医医院</w:t>
            </w:r>
            <w:r>
              <w:rPr>
                <w:rFonts w:ascii="Times New Roman" w:hAnsi="Times New Roman"/>
                <w:bCs/>
                <w:sz w:val="24"/>
              </w:rPr>
              <w:t>原核技术利用项目详见表1-5。</w:t>
            </w:r>
          </w:p>
          <w:p w14:paraId="0750E90F">
            <w:pPr>
              <w:spacing w:line="360" w:lineRule="auto"/>
              <w:jc w:val="center"/>
              <w:rPr>
                <w:rFonts w:ascii="Times New Roman" w:hAnsi="Times New Roman"/>
                <w:b/>
                <w:bCs/>
                <w:sz w:val="24"/>
              </w:rPr>
            </w:pPr>
            <w:r>
              <w:rPr>
                <w:rFonts w:ascii="Times New Roman" w:hAnsi="Times New Roman"/>
                <w:b/>
                <w:bCs/>
                <w:sz w:val="24"/>
              </w:rPr>
              <w:t>表1-5</w:t>
            </w:r>
            <w:r>
              <w:rPr>
                <w:rFonts w:hint="eastAsia" w:ascii="Times New Roman" w:hAnsi="Times New Roman"/>
                <w:b/>
                <w:bCs/>
                <w:sz w:val="24"/>
                <w:lang w:eastAsia="zh-CN"/>
              </w:rPr>
              <w:t>平昌县中医医院</w:t>
            </w:r>
            <w:r>
              <w:rPr>
                <w:rFonts w:ascii="Times New Roman" w:hAnsi="Times New Roman"/>
                <w:b/>
                <w:bCs/>
                <w:sz w:val="24"/>
              </w:rPr>
              <w:t>原有核技术利用项目一览表</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4"/>
              <w:gridCol w:w="2277"/>
              <w:gridCol w:w="1025"/>
              <w:gridCol w:w="993"/>
              <w:gridCol w:w="458"/>
              <w:gridCol w:w="553"/>
              <w:gridCol w:w="1531"/>
              <w:gridCol w:w="700"/>
              <w:gridCol w:w="897"/>
            </w:tblGrid>
            <w:tr w14:paraId="5C0A0E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tblHeader/>
                <w:jc w:val="center"/>
              </w:trPr>
              <w:tc>
                <w:tcPr>
                  <w:tcW w:w="282" w:type="pct"/>
                  <w:tcBorders>
                    <w:tl2br w:val="nil"/>
                    <w:tr2bl w:val="nil"/>
                  </w:tcBorders>
                  <w:vAlign w:val="center"/>
                </w:tcPr>
                <w:p w14:paraId="3DA78555">
                  <w:pPr>
                    <w:pStyle w:val="9"/>
                    <w:ind w:left="0" w:leftChars="0"/>
                    <w:contextualSpacing/>
                    <w:jc w:val="center"/>
                    <w:rPr>
                      <w:rFonts w:ascii="Times New Roman" w:hAnsi="Times New Roman" w:eastAsia="宋体" w:cs="Times New Roman"/>
                      <w:bCs/>
                      <w:kern w:val="0"/>
                      <w:sz w:val="21"/>
                      <w:szCs w:val="21"/>
                    </w:rPr>
                  </w:pPr>
                  <w:r>
                    <w:rPr>
                      <w:rFonts w:ascii="Times New Roman" w:hAnsi="Times New Roman" w:eastAsia="宋体" w:cs="Times New Roman"/>
                      <w:bCs/>
                      <w:kern w:val="0"/>
                      <w:sz w:val="21"/>
                      <w:szCs w:val="21"/>
                    </w:rPr>
                    <w:t>序号</w:t>
                  </w:r>
                </w:p>
              </w:tc>
              <w:tc>
                <w:tcPr>
                  <w:tcW w:w="1273" w:type="pct"/>
                  <w:tcBorders>
                    <w:tl2br w:val="nil"/>
                    <w:tr2bl w:val="nil"/>
                  </w:tcBorders>
                  <w:vAlign w:val="center"/>
                </w:tcPr>
                <w:p w14:paraId="00DA1378">
                  <w:pPr>
                    <w:pStyle w:val="9"/>
                    <w:ind w:left="0" w:leftChars="0"/>
                    <w:contextualSpacing/>
                    <w:jc w:val="center"/>
                    <w:rPr>
                      <w:rFonts w:ascii="Times New Roman" w:hAnsi="Times New Roman" w:eastAsia="宋体" w:cs="Times New Roman"/>
                      <w:bCs/>
                      <w:kern w:val="0"/>
                      <w:sz w:val="21"/>
                      <w:szCs w:val="21"/>
                    </w:rPr>
                  </w:pPr>
                  <w:r>
                    <w:rPr>
                      <w:rFonts w:ascii="Times New Roman" w:hAnsi="Times New Roman" w:eastAsia="宋体" w:cs="Times New Roman"/>
                      <w:bCs/>
                      <w:kern w:val="0"/>
                      <w:sz w:val="21"/>
                      <w:szCs w:val="21"/>
                    </w:rPr>
                    <w:t>设备名称及型号</w:t>
                  </w:r>
                </w:p>
              </w:tc>
              <w:tc>
                <w:tcPr>
                  <w:tcW w:w="573" w:type="pct"/>
                  <w:tcBorders>
                    <w:tl2br w:val="nil"/>
                    <w:tr2bl w:val="nil"/>
                  </w:tcBorders>
                  <w:vAlign w:val="center"/>
                </w:tcPr>
                <w:p w14:paraId="54A7BE2B">
                  <w:pPr>
                    <w:pStyle w:val="9"/>
                    <w:ind w:left="0" w:leftChars="0"/>
                    <w:contextualSpacing/>
                    <w:jc w:val="center"/>
                    <w:rPr>
                      <w:rFonts w:hint="eastAsia" w:ascii="Times New Roman" w:hAnsi="Times New Roman" w:eastAsia="宋体" w:cs="Times New Roman"/>
                      <w:bCs/>
                      <w:kern w:val="0"/>
                      <w:sz w:val="21"/>
                      <w:szCs w:val="21"/>
                      <w:lang w:eastAsia="zh-CN"/>
                    </w:rPr>
                  </w:pPr>
                  <w:r>
                    <w:rPr>
                      <w:rFonts w:ascii="Times New Roman" w:hAnsi="Times New Roman" w:eastAsia="宋体" w:cs="Times New Roman"/>
                      <w:bCs/>
                      <w:kern w:val="0"/>
                      <w:sz w:val="21"/>
                      <w:szCs w:val="21"/>
                    </w:rPr>
                    <w:t>管电压</w:t>
                  </w:r>
                  <w:r>
                    <w:rPr>
                      <w:rFonts w:hint="eastAsia" w:ascii="Times New Roman" w:hAnsi="Times New Roman" w:eastAsia="宋体" w:cs="Times New Roman"/>
                      <w:bCs/>
                      <w:kern w:val="0"/>
                      <w:sz w:val="21"/>
                      <w:szCs w:val="21"/>
                      <w:lang w:eastAsia="zh-CN"/>
                    </w:rPr>
                    <w:t>（</w:t>
                  </w:r>
                  <w:r>
                    <w:rPr>
                      <w:rFonts w:ascii="Times New Roman" w:hAnsi="Times New Roman" w:eastAsia="宋体" w:cs="Times New Roman"/>
                      <w:bCs/>
                      <w:kern w:val="0"/>
                      <w:sz w:val="21"/>
                      <w:szCs w:val="21"/>
                    </w:rPr>
                    <w:t>kV</w:t>
                  </w:r>
                  <w:r>
                    <w:rPr>
                      <w:rFonts w:hint="eastAsia" w:ascii="Times New Roman" w:hAnsi="Times New Roman" w:eastAsia="宋体" w:cs="Times New Roman"/>
                      <w:bCs/>
                      <w:kern w:val="0"/>
                      <w:sz w:val="21"/>
                      <w:szCs w:val="21"/>
                      <w:lang w:eastAsia="zh-CN"/>
                    </w:rPr>
                    <w:t>）</w:t>
                  </w:r>
                </w:p>
              </w:tc>
              <w:tc>
                <w:tcPr>
                  <w:tcW w:w="555" w:type="pct"/>
                  <w:tcBorders>
                    <w:tl2br w:val="nil"/>
                    <w:tr2bl w:val="nil"/>
                  </w:tcBorders>
                  <w:vAlign w:val="center"/>
                </w:tcPr>
                <w:p w14:paraId="132572C0">
                  <w:pPr>
                    <w:pStyle w:val="9"/>
                    <w:ind w:left="0" w:leftChars="0"/>
                    <w:contextualSpacing/>
                    <w:jc w:val="center"/>
                    <w:rPr>
                      <w:rFonts w:hint="eastAsia" w:ascii="Times New Roman" w:hAnsi="Times New Roman" w:eastAsia="宋体" w:cs="Times New Roman"/>
                      <w:bCs/>
                      <w:kern w:val="0"/>
                      <w:sz w:val="21"/>
                      <w:szCs w:val="21"/>
                      <w:lang w:eastAsia="zh-CN"/>
                    </w:rPr>
                  </w:pPr>
                  <w:r>
                    <w:rPr>
                      <w:rFonts w:ascii="Times New Roman" w:hAnsi="Times New Roman" w:eastAsia="宋体" w:cs="Times New Roman"/>
                      <w:bCs/>
                      <w:kern w:val="0"/>
                      <w:sz w:val="21"/>
                      <w:szCs w:val="21"/>
                    </w:rPr>
                    <w:t>管电流</w:t>
                  </w:r>
                  <w:r>
                    <w:rPr>
                      <w:rFonts w:hint="eastAsia" w:ascii="Times New Roman" w:hAnsi="Times New Roman" w:eastAsia="宋体" w:cs="Times New Roman"/>
                      <w:bCs/>
                      <w:kern w:val="0"/>
                      <w:sz w:val="21"/>
                      <w:szCs w:val="21"/>
                      <w:lang w:eastAsia="zh-CN"/>
                    </w:rPr>
                    <w:t>（</w:t>
                  </w:r>
                  <w:r>
                    <w:rPr>
                      <w:rFonts w:ascii="Times New Roman" w:hAnsi="Times New Roman" w:eastAsia="宋体" w:cs="Times New Roman"/>
                      <w:bCs/>
                      <w:kern w:val="0"/>
                      <w:sz w:val="21"/>
                      <w:szCs w:val="21"/>
                    </w:rPr>
                    <w:t>mA</w:t>
                  </w:r>
                  <w:r>
                    <w:rPr>
                      <w:rFonts w:hint="eastAsia" w:ascii="Times New Roman" w:hAnsi="Times New Roman" w:eastAsia="宋体" w:cs="Times New Roman"/>
                      <w:bCs/>
                      <w:kern w:val="0"/>
                      <w:sz w:val="21"/>
                      <w:szCs w:val="21"/>
                      <w:lang w:eastAsia="zh-CN"/>
                    </w:rPr>
                    <w:t>）</w:t>
                  </w:r>
                </w:p>
              </w:tc>
              <w:tc>
                <w:tcPr>
                  <w:tcW w:w="256" w:type="pct"/>
                  <w:tcBorders>
                    <w:tl2br w:val="nil"/>
                    <w:tr2bl w:val="nil"/>
                  </w:tcBorders>
                  <w:vAlign w:val="center"/>
                </w:tcPr>
                <w:p w14:paraId="583B704A">
                  <w:pPr>
                    <w:pStyle w:val="9"/>
                    <w:ind w:left="0" w:leftChars="0"/>
                    <w:contextualSpacing/>
                    <w:jc w:val="center"/>
                    <w:rPr>
                      <w:rFonts w:ascii="Times New Roman" w:hAnsi="Times New Roman" w:eastAsia="宋体" w:cs="Times New Roman"/>
                      <w:bCs/>
                      <w:kern w:val="0"/>
                      <w:sz w:val="21"/>
                      <w:szCs w:val="21"/>
                    </w:rPr>
                  </w:pPr>
                  <w:r>
                    <w:rPr>
                      <w:rFonts w:ascii="Times New Roman" w:hAnsi="Times New Roman" w:eastAsia="宋体" w:cs="Times New Roman"/>
                      <w:bCs/>
                      <w:kern w:val="0"/>
                      <w:sz w:val="21"/>
                      <w:szCs w:val="21"/>
                    </w:rPr>
                    <w:t>类别</w:t>
                  </w:r>
                </w:p>
              </w:tc>
              <w:tc>
                <w:tcPr>
                  <w:tcW w:w="309" w:type="pct"/>
                  <w:tcBorders>
                    <w:tl2br w:val="nil"/>
                    <w:tr2bl w:val="nil"/>
                  </w:tcBorders>
                  <w:vAlign w:val="center"/>
                </w:tcPr>
                <w:p w14:paraId="76684C6E">
                  <w:pPr>
                    <w:pStyle w:val="9"/>
                    <w:ind w:left="0" w:leftChars="0"/>
                    <w:contextualSpacing/>
                    <w:jc w:val="center"/>
                    <w:rPr>
                      <w:rFonts w:ascii="Times New Roman" w:hAnsi="Times New Roman" w:eastAsia="宋体" w:cs="Times New Roman"/>
                      <w:bCs/>
                      <w:kern w:val="0"/>
                      <w:sz w:val="21"/>
                      <w:szCs w:val="21"/>
                    </w:rPr>
                  </w:pPr>
                  <w:r>
                    <w:rPr>
                      <w:rFonts w:ascii="Times New Roman" w:hAnsi="Times New Roman" w:eastAsia="宋体" w:cs="Times New Roman"/>
                      <w:bCs/>
                      <w:kern w:val="0"/>
                      <w:sz w:val="21"/>
                      <w:szCs w:val="21"/>
                    </w:rPr>
                    <w:t>数量</w:t>
                  </w:r>
                </w:p>
              </w:tc>
              <w:tc>
                <w:tcPr>
                  <w:tcW w:w="856" w:type="pct"/>
                  <w:tcBorders>
                    <w:tl2br w:val="nil"/>
                    <w:tr2bl w:val="nil"/>
                  </w:tcBorders>
                  <w:vAlign w:val="center"/>
                </w:tcPr>
                <w:p w14:paraId="632E1D2A">
                  <w:pPr>
                    <w:pStyle w:val="9"/>
                    <w:ind w:left="0" w:leftChars="0"/>
                    <w:contextualSpacing/>
                    <w:jc w:val="center"/>
                    <w:rPr>
                      <w:rFonts w:ascii="Times New Roman" w:hAnsi="Times New Roman" w:eastAsia="宋体" w:cs="Times New Roman"/>
                      <w:bCs/>
                      <w:kern w:val="0"/>
                      <w:sz w:val="21"/>
                      <w:szCs w:val="21"/>
                    </w:rPr>
                  </w:pPr>
                  <w:r>
                    <w:rPr>
                      <w:rFonts w:ascii="Times New Roman" w:hAnsi="Times New Roman" w:eastAsia="宋体" w:cs="Times New Roman"/>
                      <w:bCs/>
                      <w:kern w:val="0"/>
                      <w:sz w:val="21"/>
                      <w:szCs w:val="21"/>
                    </w:rPr>
                    <w:t>使用场所</w:t>
                  </w:r>
                </w:p>
              </w:tc>
              <w:tc>
                <w:tcPr>
                  <w:tcW w:w="391" w:type="pct"/>
                  <w:tcBorders>
                    <w:tl2br w:val="nil"/>
                    <w:tr2bl w:val="nil"/>
                  </w:tcBorders>
                  <w:vAlign w:val="center"/>
                </w:tcPr>
                <w:p w14:paraId="6CEA05E1">
                  <w:pPr>
                    <w:pStyle w:val="9"/>
                    <w:ind w:left="0" w:leftChars="0"/>
                    <w:contextualSpacing/>
                    <w:jc w:val="center"/>
                    <w:rPr>
                      <w:rFonts w:ascii="Times New Roman" w:hAnsi="Times New Roman" w:eastAsia="宋体" w:cs="Times New Roman"/>
                      <w:bCs/>
                      <w:kern w:val="0"/>
                      <w:sz w:val="21"/>
                      <w:szCs w:val="21"/>
                    </w:rPr>
                  </w:pPr>
                  <w:r>
                    <w:rPr>
                      <w:rFonts w:ascii="Times New Roman" w:hAnsi="Times New Roman" w:eastAsia="宋体" w:cs="Times New Roman"/>
                      <w:bCs/>
                      <w:kern w:val="0"/>
                      <w:sz w:val="21"/>
                      <w:szCs w:val="21"/>
                    </w:rPr>
                    <w:t>许可情况</w:t>
                  </w:r>
                </w:p>
              </w:tc>
              <w:tc>
                <w:tcPr>
                  <w:tcW w:w="501" w:type="pct"/>
                  <w:tcBorders>
                    <w:tl2br w:val="nil"/>
                    <w:tr2bl w:val="nil"/>
                  </w:tcBorders>
                  <w:shd w:val="clear" w:color="auto" w:fill="auto"/>
                  <w:vAlign w:val="center"/>
                </w:tcPr>
                <w:p w14:paraId="7C11BC4E">
                  <w:pPr>
                    <w:pStyle w:val="9"/>
                    <w:ind w:left="0" w:leftChars="0"/>
                    <w:contextualSpacing/>
                    <w:jc w:val="center"/>
                    <w:rPr>
                      <w:rFonts w:ascii="Times New Roman" w:hAnsi="Times New Roman" w:eastAsia="宋体" w:cs="Times New Roman"/>
                      <w:bCs/>
                      <w:kern w:val="0"/>
                      <w:sz w:val="21"/>
                      <w:szCs w:val="21"/>
                    </w:rPr>
                  </w:pPr>
                  <w:r>
                    <w:rPr>
                      <w:rFonts w:ascii="Times New Roman" w:hAnsi="Times New Roman" w:eastAsia="宋体" w:cs="Times New Roman"/>
                      <w:bCs/>
                      <w:kern w:val="0"/>
                      <w:sz w:val="21"/>
                      <w:szCs w:val="21"/>
                    </w:rPr>
                    <w:t>备注</w:t>
                  </w:r>
                </w:p>
              </w:tc>
            </w:tr>
            <w:tr w14:paraId="65BFD1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tblHeader/>
                <w:jc w:val="center"/>
              </w:trPr>
              <w:tc>
                <w:tcPr>
                  <w:tcW w:w="282" w:type="pct"/>
                  <w:tcBorders>
                    <w:tl2br w:val="nil"/>
                    <w:tr2bl w:val="nil"/>
                  </w:tcBorders>
                  <w:shd w:val="clear" w:color="auto" w:fill="auto"/>
                  <w:vAlign w:val="center"/>
                </w:tcPr>
                <w:p w14:paraId="4DB694DE">
                  <w:pPr>
                    <w:jc w:val="center"/>
                    <w:rPr>
                      <w:rFonts w:ascii="Times New Roman" w:hAnsi="Times New Roman" w:eastAsia="宋体" w:cs="Times New Roman"/>
                      <w:kern w:val="2"/>
                      <w:sz w:val="21"/>
                      <w:szCs w:val="21"/>
                      <w:lang w:val="en-US" w:eastAsia="zh-CN" w:bidi="ar-SA"/>
                    </w:rPr>
                  </w:pPr>
                  <w:r>
                    <w:rPr>
                      <w:rFonts w:ascii="Times New Roman" w:hAnsi="Times New Roman"/>
                      <w:sz w:val="21"/>
                      <w:szCs w:val="21"/>
                    </w:rPr>
                    <w:t>1</w:t>
                  </w:r>
                </w:p>
              </w:tc>
              <w:tc>
                <w:tcPr>
                  <w:tcW w:w="1273" w:type="pct"/>
                  <w:tcBorders>
                    <w:tl2br w:val="nil"/>
                    <w:tr2bl w:val="nil"/>
                  </w:tcBorders>
                  <w:vAlign w:val="center"/>
                </w:tcPr>
                <w:p w14:paraId="1820AF9F">
                  <w:pPr>
                    <w:jc w:val="center"/>
                    <w:rPr>
                      <w:rFonts w:hint="eastAsia" w:ascii="Times New Roman" w:hAnsi="Times New Roman"/>
                      <w:sz w:val="21"/>
                      <w:szCs w:val="21"/>
                    </w:rPr>
                  </w:pPr>
                  <w:r>
                    <w:rPr>
                      <w:rFonts w:hint="eastAsia" w:ascii="Times New Roman" w:hAnsi="Times New Roman"/>
                      <w:sz w:val="21"/>
                      <w:szCs w:val="21"/>
                    </w:rPr>
                    <w:t>医用诊断X射线装置</w:t>
                  </w:r>
                </w:p>
              </w:tc>
              <w:tc>
                <w:tcPr>
                  <w:tcW w:w="573" w:type="pct"/>
                  <w:tcBorders>
                    <w:tl2br w:val="nil"/>
                    <w:tr2bl w:val="nil"/>
                  </w:tcBorders>
                  <w:vAlign w:val="center"/>
                </w:tcPr>
                <w:p w14:paraId="225DA43B">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150</w:t>
                  </w:r>
                </w:p>
              </w:tc>
              <w:tc>
                <w:tcPr>
                  <w:tcW w:w="555" w:type="pct"/>
                  <w:tcBorders>
                    <w:tl2br w:val="nil"/>
                    <w:tr2bl w:val="nil"/>
                  </w:tcBorders>
                  <w:vAlign w:val="center"/>
                </w:tcPr>
                <w:p w14:paraId="53946748">
                  <w:pPr>
                    <w:jc w:val="center"/>
                    <w:rPr>
                      <w:rFonts w:hint="default" w:ascii="Times New Roman" w:hAnsi="Times New Roman"/>
                      <w:sz w:val="21"/>
                      <w:szCs w:val="21"/>
                      <w:lang w:val="en-US" w:eastAsia="zh-CN"/>
                    </w:rPr>
                  </w:pPr>
                  <w:r>
                    <w:rPr>
                      <w:rFonts w:hint="eastAsia" w:ascii="Times New Roman" w:hAnsi="Times New Roman"/>
                      <w:sz w:val="21"/>
                      <w:szCs w:val="21"/>
                      <w:lang w:val="en-US" w:eastAsia="zh-CN"/>
                    </w:rPr>
                    <w:t>800</w:t>
                  </w:r>
                </w:p>
              </w:tc>
              <w:tc>
                <w:tcPr>
                  <w:tcW w:w="256" w:type="pct"/>
                  <w:tcBorders>
                    <w:tl2br w:val="nil"/>
                    <w:tr2bl w:val="nil"/>
                  </w:tcBorders>
                  <w:vAlign w:val="center"/>
                </w:tcPr>
                <w:p w14:paraId="1C790238">
                  <w:pPr>
                    <w:jc w:val="center"/>
                    <w:rPr>
                      <w:rFonts w:ascii="Times New Roman" w:hAnsi="Times New Roman"/>
                      <w:sz w:val="21"/>
                      <w:szCs w:val="21"/>
                    </w:rPr>
                  </w:pPr>
                  <w:r>
                    <w:rPr>
                      <w:rFonts w:ascii="Times New Roman" w:hAnsi="Times New Roman"/>
                      <w:sz w:val="21"/>
                      <w:szCs w:val="21"/>
                    </w:rPr>
                    <w:t>Ⅲ</w:t>
                  </w:r>
                </w:p>
              </w:tc>
              <w:tc>
                <w:tcPr>
                  <w:tcW w:w="309" w:type="pct"/>
                  <w:tcBorders>
                    <w:tl2br w:val="nil"/>
                    <w:tr2bl w:val="nil"/>
                  </w:tcBorders>
                  <w:vAlign w:val="center"/>
                </w:tcPr>
                <w:p w14:paraId="0BD2CDC6">
                  <w:pPr>
                    <w:jc w:val="center"/>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1</w:t>
                  </w:r>
                </w:p>
              </w:tc>
              <w:tc>
                <w:tcPr>
                  <w:tcW w:w="856" w:type="pct"/>
                  <w:tcBorders>
                    <w:tl2br w:val="nil"/>
                    <w:tr2bl w:val="nil"/>
                  </w:tcBorders>
                  <w:vAlign w:val="center"/>
                </w:tcPr>
                <w:p w14:paraId="185B5745">
                  <w:pPr>
                    <w:jc w:val="center"/>
                    <w:rPr>
                      <w:rFonts w:ascii="Times New Roman" w:hAnsi="Times New Roman"/>
                      <w:sz w:val="21"/>
                      <w:szCs w:val="21"/>
                    </w:rPr>
                  </w:pPr>
                  <w:r>
                    <w:rPr>
                      <w:rFonts w:hint="eastAsia" w:ascii="Times New Roman" w:hAnsi="Times New Roman"/>
                      <w:sz w:val="21"/>
                      <w:szCs w:val="21"/>
                    </w:rPr>
                    <w:t>门诊大</w:t>
                  </w:r>
                  <w:r>
                    <w:rPr>
                      <w:rFonts w:hint="eastAsia" w:ascii="Times New Roman" w:hAnsi="Times New Roman"/>
                      <w:sz w:val="21"/>
                      <w:szCs w:val="21"/>
                      <w:lang w:val="en-US" w:eastAsia="zh-CN"/>
                    </w:rPr>
                    <w:t>楼</w:t>
                  </w:r>
                  <w:r>
                    <w:rPr>
                      <w:rFonts w:hint="eastAsia" w:ascii="Times New Roman" w:hAnsi="Times New Roman"/>
                      <w:sz w:val="21"/>
                      <w:szCs w:val="21"/>
                    </w:rPr>
                    <w:t>负一楼1-12室</w:t>
                  </w:r>
                </w:p>
              </w:tc>
              <w:tc>
                <w:tcPr>
                  <w:tcW w:w="391" w:type="pct"/>
                  <w:tcBorders>
                    <w:tl2br w:val="nil"/>
                    <w:tr2bl w:val="nil"/>
                  </w:tcBorders>
                  <w:vAlign w:val="center"/>
                </w:tcPr>
                <w:p w14:paraId="79D4889A">
                  <w:pPr>
                    <w:pStyle w:val="9"/>
                    <w:ind w:left="0" w:leftChars="0"/>
                    <w:contextualSpacing/>
                    <w:jc w:val="center"/>
                    <w:rPr>
                      <w:rFonts w:ascii="Times New Roman" w:hAnsi="Times New Roman" w:eastAsia="宋体" w:cs="Times New Roman"/>
                      <w:b w:val="0"/>
                      <w:kern w:val="0"/>
                      <w:sz w:val="21"/>
                      <w:szCs w:val="21"/>
                    </w:rPr>
                  </w:pPr>
                  <w:r>
                    <w:rPr>
                      <w:rFonts w:ascii="Times New Roman" w:hAnsi="Times New Roman" w:eastAsia="宋体" w:cs="Times New Roman"/>
                      <w:b w:val="0"/>
                      <w:kern w:val="0"/>
                      <w:sz w:val="21"/>
                      <w:szCs w:val="21"/>
                    </w:rPr>
                    <w:t>已许可</w:t>
                  </w:r>
                </w:p>
              </w:tc>
              <w:tc>
                <w:tcPr>
                  <w:tcW w:w="501" w:type="pct"/>
                  <w:tcBorders>
                    <w:tl2br w:val="nil"/>
                    <w:tr2bl w:val="nil"/>
                  </w:tcBorders>
                  <w:shd w:val="clear" w:color="auto" w:fill="auto"/>
                  <w:vAlign w:val="center"/>
                </w:tcPr>
                <w:p w14:paraId="00B90BD2">
                  <w:pPr>
                    <w:pStyle w:val="9"/>
                    <w:ind w:left="0" w:leftChars="0"/>
                    <w:contextualSpacing/>
                    <w:jc w:val="center"/>
                    <w:rPr>
                      <w:rFonts w:ascii="Times New Roman" w:hAnsi="Times New Roman" w:eastAsia="宋体" w:cs="Times New Roman"/>
                      <w:b w:val="0"/>
                      <w:kern w:val="0"/>
                      <w:sz w:val="21"/>
                      <w:szCs w:val="21"/>
                    </w:rPr>
                  </w:pPr>
                  <w:r>
                    <w:rPr>
                      <w:rFonts w:ascii="Times New Roman" w:hAnsi="Times New Roman" w:eastAsia="宋体" w:cs="Times New Roman"/>
                      <w:b w:val="0"/>
                      <w:kern w:val="0"/>
                      <w:sz w:val="21"/>
                      <w:szCs w:val="21"/>
                    </w:rPr>
                    <w:t>上证在用</w:t>
                  </w:r>
                </w:p>
              </w:tc>
            </w:tr>
            <w:tr w14:paraId="5776B4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tblHeader/>
                <w:jc w:val="center"/>
              </w:trPr>
              <w:tc>
                <w:tcPr>
                  <w:tcW w:w="282" w:type="pct"/>
                  <w:tcBorders>
                    <w:tl2br w:val="nil"/>
                    <w:tr2bl w:val="nil"/>
                  </w:tcBorders>
                  <w:shd w:val="clear" w:color="auto" w:fill="auto"/>
                  <w:vAlign w:val="center"/>
                </w:tcPr>
                <w:p w14:paraId="6EE97EC0">
                  <w:pPr>
                    <w:jc w:val="center"/>
                    <w:rPr>
                      <w:rFonts w:ascii="Times New Roman" w:hAnsi="Times New Roman" w:eastAsia="宋体" w:cs="Times New Roman"/>
                      <w:kern w:val="2"/>
                      <w:sz w:val="21"/>
                      <w:szCs w:val="21"/>
                      <w:lang w:val="en-US" w:eastAsia="zh-CN" w:bidi="ar-SA"/>
                    </w:rPr>
                  </w:pPr>
                  <w:r>
                    <w:rPr>
                      <w:rFonts w:ascii="Times New Roman" w:hAnsi="Times New Roman"/>
                      <w:sz w:val="21"/>
                      <w:szCs w:val="21"/>
                    </w:rPr>
                    <w:t>2</w:t>
                  </w:r>
                </w:p>
              </w:tc>
              <w:tc>
                <w:tcPr>
                  <w:tcW w:w="1273" w:type="pct"/>
                  <w:tcBorders>
                    <w:tl2br w:val="nil"/>
                    <w:tr2bl w:val="nil"/>
                  </w:tcBorders>
                  <w:vAlign w:val="center"/>
                </w:tcPr>
                <w:p w14:paraId="62A12851">
                  <w:pPr>
                    <w:jc w:val="center"/>
                    <w:rPr>
                      <w:rFonts w:hint="eastAsia" w:ascii="Times New Roman" w:hAnsi="Times New Roman" w:eastAsia="宋体"/>
                      <w:sz w:val="21"/>
                      <w:szCs w:val="21"/>
                      <w:lang w:val="en-US" w:eastAsia="zh-CN"/>
                    </w:rPr>
                  </w:pPr>
                  <w:r>
                    <w:rPr>
                      <w:rFonts w:hint="eastAsia" w:ascii="Times New Roman" w:hAnsi="Times New Roman"/>
                      <w:sz w:val="21"/>
                      <w:szCs w:val="21"/>
                    </w:rPr>
                    <w:t>医用X射线计算机断层扫描</w:t>
                  </w:r>
                  <w:r>
                    <w:rPr>
                      <w:rFonts w:hint="eastAsia" w:ascii="Times New Roman" w:hAnsi="Times New Roman"/>
                      <w:sz w:val="21"/>
                      <w:szCs w:val="21"/>
                      <w:lang w:eastAsia="zh-CN"/>
                    </w:rPr>
                    <w:t>（</w:t>
                  </w:r>
                  <w:r>
                    <w:rPr>
                      <w:rFonts w:hint="eastAsia" w:ascii="Times New Roman" w:hAnsi="Times New Roman"/>
                      <w:sz w:val="21"/>
                      <w:szCs w:val="21"/>
                    </w:rPr>
                    <w:t>CT</w:t>
                  </w:r>
                  <w:r>
                    <w:rPr>
                      <w:rFonts w:hint="eastAsia" w:ascii="Times New Roman" w:hAnsi="Times New Roman"/>
                      <w:sz w:val="21"/>
                      <w:szCs w:val="21"/>
                      <w:lang w:eastAsia="zh-CN"/>
                    </w:rPr>
                    <w:t>）</w:t>
                  </w:r>
                  <w:r>
                    <w:rPr>
                      <w:rFonts w:hint="eastAsia" w:ascii="Times New Roman" w:hAnsi="Times New Roman"/>
                      <w:sz w:val="21"/>
                      <w:szCs w:val="21"/>
                    </w:rPr>
                    <w:t>装</w:t>
                  </w:r>
                  <w:r>
                    <w:rPr>
                      <w:rFonts w:hint="eastAsia" w:ascii="Times New Roman" w:hAnsi="Times New Roman"/>
                      <w:sz w:val="21"/>
                      <w:szCs w:val="21"/>
                      <w:lang w:val="en-US" w:eastAsia="zh-CN"/>
                    </w:rPr>
                    <w:t>置</w:t>
                  </w:r>
                </w:p>
              </w:tc>
              <w:tc>
                <w:tcPr>
                  <w:tcW w:w="573" w:type="pct"/>
                  <w:tcBorders>
                    <w:tl2br w:val="nil"/>
                    <w:tr2bl w:val="nil"/>
                  </w:tcBorders>
                  <w:vAlign w:val="center"/>
                </w:tcPr>
                <w:p w14:paraId="08763548">
                  <w:pPr>
                    <w:jc w:val="center"/>
                    <w:rPr>
                      <w:rFonts w:ascii="Times New Roman" w:hAnsi="Times New Roman"/>
                      <w:sz w:val="21"/>
                      <w:szCs w:val="21"/>
                    </w:rPr>
                  </w:pPr>
                  <w:r>
                    <w:rPr>
                      <w:rFonts w:ascii="Times New Roman" w:hAnsi="Times New Roman"/>
                      <w:sz w:val="21"/>
                      <w:szCs w:val="21"/>
                    </w:rPr>
                    <w:t>140</w:t>
                  </w:r>
                </w:p>
              </w:tc>
              <w:tc>
                <w:tcPr>
                  <w:tcW w:w="555" w:type="pct"/>
                  <w:tcBorders>
                    <w:tl2br w:val="nil"/>
                    <w:tr2bl w:val="nil"/>
                  </w:tcBorders>
                  <w:vAlign w:val="center"/>
                </w:tcPr>
                <w:p w14:paraId="7628C29E">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560</w:t>
                  </w:r>
                </w:p>
              </w:tc>
              <w:tc>
                <w:tcPr>
                  <w:tcW w:w="256" w:type="pct"/>
                  <w:tcBorders>
                    <w:tl2br w:val="nil"/>
                    <w:tr2bl w:val="nil"/>
                  </w:tcBorders>
                  <w:vAlign w:val="center"/>
                </w:tcPr>
                <w:p w14:paraId="1CB1A9DA">
                  <w:pPr>
                    <w:jc w:val="center"/>
                    <w:rPr>
                      <w:rFonts w:ascii="Times New Roman" w:hAnsi="Times New Roman"/>
                      <w:sz w:val="21"/>
                      <w:szCs w:val="21"/>
                    </w:rPr>
                  </w:pPr>
                  <w:r>
                    <w:rPr>
                      <w:rFonts w:ascii="Times New Roman" w:hAnsi="Times New Roman"/>
                      <w:sz w:val="21"/>
                      <w:szCs w:val="21"/>
                    </w:rPr>
                    <w:t>Ⅲ</w:t>
                  </w:r>
                </w:p>
              </w:tc>
              <w:tc>
                <w:tcPr>
                  <w:tcW w:w="309" w:type="pct"/>
                  <w:tcBorders>
                    <w:tl2br w:val="nil"/>
                    <w:tr2bl w:val="nil"/>
                  </w:tcBorders>
                  <w:vAlign w:val="center"/>
                </w:tcPr>
                <w:p w14:paraId="6229296E">
                  <w:pPr>
                    <w:jc w:val="center"/>
                    <w:rPr>
                      <w:rFonts w:ascii="Times New Roman" w:hAnsi="Times New Roman"/>
                      <w:sz w:val="21"/>
                      <w:szCs w:val="21"/>
                    </w:rPr>
                  </w:pPr>
                  <w:r>
                    <w:rPr>
                      <w:rFonts w:ascii="Times New Roman" w:hAnsi="Times New Roman"/>
                      <w:sz w:val="21"/>
                      <w:szCs w:val="21"/>
                    </w:rPr>
                    <w:t>1</w:t>
                  </w:r>
                </w:p>
              </w:tc>
              <w:tc>
                <w:tcPr>
                  <w:tcW w:w="856" w:type="pct"/>
                  <w:tcBorders>
                    <w:tl2br w:val="nil"/>
                    <w:tr2bl w:val="nil"/>
                  </w:tcBorders>
                  <w:vAlign w:val="center"/>
                </w:tcPr>
                <w:p w14:paraId="154393D2">
                  <w:pPr>
                    <w:jc w:val="center"/>
                    <w:rPr>
                      <w:rFonts w:hint="eastAsia" w:ascii="Times New Roman" w:hAnsi="Times New Roman" w:eastAsia="宋体"/>
                      <w:sz w:val="21"/>
                      <w:szCs w:val="21"/>
                      <w:lang w:eastAsia="zh-CN"/>
                    </w:rPr>
                  </w:pPr>
                  <w:r>
                    <w:rPr>
                      <w:rFonts w:hint="eastAsia" w:ascii="Times New Roman" w:hAnsi="Times New Roman"/>
                      <w:sz w:val="21"/>
                      <w:szCs w:val="21"/>
                    </w:rPr>
                    <w:t>门诊大</w:t>
                  </w:r>
                  <w:r>
                    <w:rPr>
                      <w:rFonts w:hint="eastAsia" w:ascii="Times New Roman" w:hAnsi="Times New Roman"/>
                      <w:sz w:val="21"/>
                      <w:szCs w:val="21"/>
                      <w:lang w:val="en-US" w:eastAsia="zh-CN"/>
                    </w:rPr>
                    <w:t>楼</w:t>
                  </w:r>
                  <w:r>
                    <w:rPr>
                      <w:rFonts w:hint="eastAsia" w:ascii="Times New Roman" w:hAnsi="Times New Roman"/>
                      <w:sz w:val="21"/>
                      <w:szCs w:val="21"/>
                    </w:rPr>
                    <w:t>负一楼1-2室</w:t>
                  </w:r>
                </w:p>
              </w:tc>
              <w:tc>
                <w:tcPr>
                  <w:tcW w:w="391" w:type="pct"/>
                  <w:tcBorders>
                    <w:tl2br w:val="nil"/>
                    <w:tr2bl w:val="nil"/>
                  </w:tcBorders>
                  <w:vAlign w:val="center"/>
                </w:tcPr>
                <w:p w14:paraId="79A13833">
                  <w:pPr>
                    <w:pStyle w:val="9"/>
                    <w:ind w:left="0" w:leftChars="0"/>
                    <w:contextualSpacing/>
                    <w:jc w:val="center"/>
                    <w:rPr>
                      <w:rFonts w:ascii="Times New Roman" w:hAnsi="Times New Roman" w:eastAsia="宋体" w:cs="Times New Roman"/>
                      <w:b w:val="0"/>
                      <w:kern w:val="0"/>
                      <w:sz w:val="21"/>
                      <w:szCs w:val="21"/>
                    </w:rPr>
                  </w:pPr>
                  <w:r>
                    <w:rPr>
                      <w:rFonts w:ascii="Times New Roman" w:hAnsi="Times New Roman" w:eastAsia="宋体" w:cs="Times New Roman"/>
                      <w:b w:val="0"/>
                      <w:kern w:val="0"/>
                      <w:sz w:val="21"/>
                      <w:szCs w:val="21"/>
                    </w:rPr>
                    <w:t>已许可</w:t>
                  </w:r>
                </w:p>
              </w:tc>
              <w:tc>
                <w:tcPr>
                  <w:tcW w:w="501" w:type="pct"/>
                  <w:tcBorders>
                    <w:tl2br w:val="nil"/>
                    <w:tr2bl w:val="nil"/>
                  </w:tcBorders>
                  <w:shd w:val="clear" w:color="auto" w:fill="auto"/>
                  <w:vAlign w:val="center"/>
                </w:tcPr>
                <w:p w14:paraId="22AF4172">
                  <w:pPr>
                    <w:pStyle w:val="9"/>
                    <w:ind w:left="0" w:leftChars="0"/>
                    <w:contextualSpacing/>
                    <w:jc w:val="center"/>
                    <w:rPr>
                      <w:rFonts w:ascii="Times New Roman" w:hAnsi="Times New Roman" w:eastAsia="宋体" w:cs="Times New Roman"/>
                      <w:b w:val="0"/>
                      <w:kern w:val="0"/>
                      <w:sz w:val="21"/>
                      <w:szCs w:val="21"/>
                    </w:rPr>
                  </w:pPr>
                  <w:r>
                    <w:rPr>
                      <w:rFonts w:ascii="Times New Roman" w:hAnsi="Times New Roman" w:eastAsia="宋体" w:cs="Times New Roman"/>
                      <w:b w:val="0"/>
                      <w:kern w:val="0"/>
                      <w:sz w:val="21"/>
                      <w:szCs w:val="21"/>
                    </w:rPr>
                    <w:t>上证在用</w:t>
                  </w:r>
                </w:p>
              </w:tc>
            </w:tr>
            <w:tr w14:paraId="217D67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82" w:type="pct"/>
                  <w:tcBorders>
                    <w:tl2br w:val="nil"/>
                    <w:tr2bl w:val="nil"/>
                  </w:tcBorders>
                  <w:shd w:val="clear" w:color="auto" w:fill="auto"/>
                  <w:vAlign w:val="center"/>
                </w:tcPr>
                <w:p w14:paraId="499FA6CA">
                  <w:pPr>
                    <w:jc w:val="center"/>
                    <w:rPr>
                      <w:rFonts w:ascii="Times New Roman" w:hAnsi="Times New Roman" w:eastAsia="宋体" w:cs="Times New Roman"/>
                      <w:kern w:val="2"/>
                      <w:sz w:val="21"/>
                      <w:szCs w:val="21"/>
                      <w:lang w:val="en-US" w:eastAsia="zh-CN" w:bidi="ar-SA"/>
                    </w:rPr>
                  </w:pPr>
                  <w:r>
                    <w:rPr>
                      <w:rFonts w:ascii="Times New Roman" w:hAnsi="Times New Roman"/>
                      <w:sz w:val="21"/>
                      <w:szCs w:val="21"/>
                    </w:rPr>
                    <w:t>3</w:t>
                  </w:r>
                </w:p>
              </w:tc>
              <w:tc>
                <w:tcPr>
                  <w:tcW w:w="1273" w:type="pct"/>
                  <w:tcBorders>
                    <w:tl2br w:val="nil"/>
                    <w:tr2bl w:val="nil"/>
                  </w:tcBorders>
                  <w:vAlign w:val="center"/>
                </w:tcPr>
                <w:p w14:paraId="4C60882A">
                  <w:pPr>
                    <w:jc w:val="center"/>
                    <w:rPr>
                      <w:rFonts w:ascii="Times New Roman" w:hAnsi="Times New Roman"/>
                      <w:sz w:val="21"/>
                      <w:szCs w:val="21"/>
                    </w:rPr>
                  </w:pPr>
                  <w:r>
                    <w:rPr>
                      <w:rFonts w:hint="eastAsia" w:ascii="Times New Roman" w:hAnsi="Times New Roman"/>
                      <w:sz w:val="21"/>
                      <w:szCs w:val="21"/>
                    </w:rPr>
                    <w:t>医用X射线计算机断层扫描</w:t>
                  </w:r>
                  <w:r>
                    <w:rPr>
                      <w:rFonts w:hint="eastAsia" w:ascii="Times New Roman" w:hAnsi="Times New Roman"/>
                      <w:sz w:val="21"/>
                      <w:szCs w:val="21"/>
                      <w:lang w:eastAsia="zh-CN"/>
                    </w:rPr>
                    <w:t>（</w:t>
                  </w:r>
                  <w:r>
                    <w:rPr>
                      <w:rFonts w:hint="eastAsia" w:ascii="Times New Roman" w:hAnsi="Times New Roman"/>
                      <w:sz w:val="21"/>
                      <w:szCs w:val="21"/>
                    </w:rPr>
                    <w:t>CT</w:t>
                  </w:r>
                  <w:r>
                    <w:rPr>
                      <w:rFonts w:hint="eastAsia" w:ascii="Times New Roman" w:hAnsi="Times New Roman"/>
                      <w:sz w:val="21"/>
                      <w:szCs w:val="21"/>
                      <w:lang w:eastAsia="zh-CN"/>
                    </w:rPr>
                    <w:t>）</w:t>
                  </w:r>
                  <w:r>
                    <w:rPr>
                      <w:rFonts w:hint="eastAsia" w:ascii="Times New Roman" w:hAnsi="Times New Roman"/>
                      <w:sz w:val="21"/>
                      <w:szCs w:val="21"/>
                    </w:rPr>
                    <w:t>装</w:t>
                  </w:r>
                  <w:r>
                    <w:rPr>
                      <w:rFonts w:hint="eastAsia" w:ascii="Times New Roman" w:hAnsi="Times New Roman"/>
                      <w:sz w:val="21"/>
                      <w:szCs w:val="21"/>
                      <w:lang w:val="en-US" w:eastAsia="zh-CN"/>
                    </w:rPr>
                    <w:t>置</w:t>
                  </w:r>
                </w:p>
              </w:tc>
              <w:tc>
                <w:tcPr>
                  <w:tcW w:w="573" w:type="pct"/>
                  <w:tcBorders>
                    <w:tl2br w:val="nil"/>
                    <w:tr2bl w:val="nil"/>
                  </w:tcBorders>
                  <w:vAlign w:val="center"/>
                </w:tcPr>
                <w:p w14:paraId="6DD9517F">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140</w:t>
                  </w:r>
                </w:p>
              </w:tc>
              <w:tc>
                <w:tcPr>
                  <w:tcW w:w="555" w:type="pct"/>
                  <w:tcBorders>
                    <w:tl2br w:val="nil"/>
                    <w:tr2bl w:val="nil"/>
                  </w:tcBorders>
                  <w:vAlign w:val="center"/>
                </w:tcPr>
                <w:p w14:paraId="1A86C8A0">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400</w:t>
                  </w:r>
                </w:p>
              </w:tc>
              <w:tc>
                <w:tcPr>
                  <w:tcW w:w="256" w:type="pct"/>
                  <w:tcBorders>
                    <w:tl2br w:val="nil"/>
                    <w:tr2bl w:val="nil"/>
                  </w:tcBorders>
                  <w:vAlign w:val="center"/>
                </w:tcPr>
                <w:p w14:paraId="60681733">
                  <w:pPr>
                    <w:jc w:val="center"/>
                    <w:rPr>
                      <w:rFonts w:ascii="Times New Roman" w:hAnsi="Times New Roman"/>
                      <w:sz w:val="21"/>
                      <w:szCs w:val="21"/>
                    </w:rPr>
                  </w:pPr>
                  <w:r>
                    <w:rPr>
                      <w:rFonts w:ascii="Times New Roman" w:hAnsi="Times New Roman"/>
                      <w:sz w:val="21"/>
                      <w:szCs w:val="21"/>
                    </w:rPr>
                    <w:t>Ⅲ</w:t>
                  </w:r>
                </w:p>
              </w:tc>
              <w:tc>
                <w:tcPr>
                  <w:tcW w:w="309" w:type="pct"/>
                  <w:tcBorders>
                    <w:tl2br w:val="nil"/>
                    <w:tr2bl w:val="nil"/>
                  </w:tcBorders>
                  <w:vAlign w:val="center"/>
                </w:tcPr>
                <w:p w14:paraId="65034DF5">
                  <w:pPr>
                    <w:jc w:val="center"/>
                    <w:rPr>
                      <w:rFonts w:ascii="Times New Roman" w:hAnsi="Times New Roman"/>
                      <w:sz w:val="21"/>
                      <w:szCs w:val="21"/>
                    </w:rPr>
                  </w:pPr>
                  <w:r>
                    <w:rPr>
                      <w:rFonts w:ascii="Times New Roman" w:hAnsi="Times New Roman"/>
                      <w:sz w:val="21"/>
                      <w:szCs w:val="21"/>
                    </w:rPr>
                    <w:t>1</w:t>
                  </w:r>
                </w:p>
              </w:tc>
              <w:tc>
                <w:tcPr>
                  <w:tcW w:w="856" w:type="pct"/>
                  <w:tcBorders>
                    <w:tl2br w:val="nil"/>
                    <w:tr2bl w:val="nil"/>
                  </w:tcBorders>
                  <w:vAlign w:val="center"/>
                </w:tcPr>
                <w:p w14:paraId="57E7DF74">
                  <w:pPr>
                    <w:jc w:val="center"/>
                    <w:rPr>
                      <w:rFonts w:ascii="Times New Roman" w:hAnsi="Times New Roman"/>
                      <w:sz w:val="21"/>
                      <w:szCs w:val="21"/>
                    </w:rPr>
                  </w:pPr>
                  <w:r>
                    <w:rPr>
                      <w:rFonts w:hint="eastAsia" w:ascii="Times New Roman" w:hAnsi="Times New Roman"/>
                      <w:sz w:val="21"/>
                      <w:szCs w:val="21"/>
                    </w:rPr>
                    <w:t>门诊大</w:t>
                  </w:r>
                  <w:r>
                    <w:rPr>
                      <w:rFonts w:hint="eastAsia" w:ascii="Times New Roman" w:hAnsi="Times New Roman"/>
                      <w:sz w:val="21"/>
                      <w:szCs w:val="21"/>
                      <w:lang w:val="en-US" w:eastAsia="zh-CN"/>
                    </w:rPr>
                    <w:t>楼</w:t>
                  </w:r>
                  <w:r>
                    <w:rPr>
                      <w:rFonts w:hint="eastAsia" w:ascii="Times New Roman" w:hAnsi="Times New Roman"/>
                      <w:sz w:val="21"/>
                      <w:szCs w:val="21"/>
                    </w:rPr>
                    <w:t>负一楼1-</w:t>
                  </w:r>
                  <w:r>
                    <w:rPr>
                      <w:rFonts w:hint="eastAsia" w:ascii="Times New Roman" w:hAnsi="Times New Roman"/>
                      <w:sz w:val="21"/>
                      <w:szCs w:val="21"/>
                      <w:lang w:val="en-US" w:eastAsia="zh-CN"/>
                    </w:rPr>
                    <w:t>5</w:t>
                  </w:r>
                  <w:r>
                    <w:rPr>
                      <w:rFonts w:hint="eastAsia" w:ascii="Times New Roman" w:hAnsi="Times New Roman"/>
                      <w:sz w:val="21"/>
                      <w:szCs w:val="21"/>
                    </w:rPr>
                    <w:t>室</w:t>
                  </w:r>
                </w:p>
              </w:tc>
              <w:tc>
                <w:tcPr>
                  <w:tcW w:w="391" w:type="pct"/>
                  <w:tcBorders>
                    <w:tl2br w:val="nil"/>
                    <w:tr2bl w:val="nil"/>
                  </w:tcBorders>
                  <w:vAlign w:val="center"/>
                </w:tcPr>
                <w:p w14:paraId="05A4C7BB">
                  <w:pPr>
                    <w:pStyle w:val="9"/>
                    <w:ind w:left="0" w:leftChars="0"/>
                    <w:contextualSpacing/>
                    <w:jc w:val="center"/>
                    <w:rPr>
                      <w:rFonts w:ascii="Times New Roman" w:hAnsi="Times New Roman" w:eastAsia="宋体" w:cs="Times New Roman"/>
                      <w:b w:val="0"/>
                      <w:kern w:val="0"/>
                      <w:sz w:val="21"/>
                      <w:szCs w:val="21"/>
                    </w:rPr>
                  </w:pPr>
                  <w:r>
                    <w:rPr>
                      <w:rFonts w:ascii="Times New Roman" w:hAnsi="Times New Roman" w:eastAsia="宋体" w:cs="Times New Roman"/>
                      <w:b w:val="0"/>
                      <w:kern w:val="0"/>
                      <w:sz w:val="21"/>
                      <w:szCs w:val="21"/>
                    </w:rPr>
                    <w:t>已许可</w:t>
                  </w:r>
                </w:p>
              </w:tc>
              <w:tc>
                <w:tcPr>
                  <w:tcW w:w="501" w:type="pct"/>
                  <w:tcBorders>
                    <w:tl2br w:val="nil"/>
                    <w:tr2bl w:val="nil"/>
                  </w:tcBorders>
                  <w:shd w:val="clear" w:color="auto" w:fill="auto"/>
                  <w:vAlign w:val="center"/>
                </w:tcPr>
                <w:p w14:paraId="1117170D">
                  <w:pPr>
                    <w:contextualSpacing/>
                    <w:jc w:val="center"/>
                    <w:rPr>
                      <w:rFonts w:ascii="Times New Roman" w:hAnsi="Times New Roman"/>
                      <w:kern w:val="0"/>
                      <w:sz w:val="21"/>
                      <w:szCs w:val="21"/>
                    </w:rPr>
                  </w:pPr>
                  <w:r>
                    <w:rPr>
                      <w:rFonts w:ascii="Times New Roman" w:hAnsi="Times New Roman"/>
                      <w:kern w:val="0"/>
                      <w:sz w:val="21"/>
                      <w:szCs w:val="21"/>
                    </w:rPr>
                    <w:t>上证在用</w:t>
                  </w:r>
                </w:p>
              </w:tc>
            </w:tr>
            <w:tr w14:paraId="133B12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blHeader/>
                <w:jc w:val="center"/>
              </w:trPr>
              <w:tc>
                <w:tcPr>
                  <w:tcW w:w="282" w:type="pct"/>
                  <w:tcBorders>
                    <w:tl2br w:val="nil"/>
                    <w:tr2bl w:val="nil"/>
                  </w:tcBorders>
                  <w:shd w:val="clear" w:color="auto" w:fill="auto"/>
                  <w:vAlign w:val="center"/>
                </w:tcPr>
                <w:p w14:paraId="0DC88B2E">
                  <w:pPr>
                    <w:jc w:val="center"/>
                    <w:rPr>
                      <w:rFonts w:ascii="Times New Roman" w:hAnsi="Times New Roman" w:eastAsia="宋体" w:cs="Times New Roman"/>
                      <w:kern w:val="2"/>
                      <w:sz w:val="21"/>
                      <w:szCs w:val="21"/>
                      <w:lang w:val="en-US" w:eastAsia="zh-CN" w:bidi="ar-SA"/>
                    </w:rPr>
                  </w:pPr>
                  <w:r>
                    <w:rPr>
                      <w:rFonts w:ascii="Times New Roman" w:hAnsi="Times New Roman"/>
                      <w:sz w:val="21"/>
                      <w:szCs w:val="21"/>
                    </w:rPr>
                    <w:t>4</w:t>
                  </w:r>
                </w:p>
              </w:tc>
              <w:tc>
                <w:tcPr>
                  <w:tcW w:w="1273" w:type="pct"/>
                  <w:tcBorders>
                    <w:tl2br w:val="nil"/>
                    <w:tr2bl w:val="nil"/>
                  </w:tcBorders>
                  <w:vAlign w:val="center"/>
                </w:tcPr>
                <w:p w14:paraId="19AE21DB">
                  <w:pPr>
                    <w:jc w:val="center"/>
                    <w:rPr>
                      <w:rFonts w:ascii="Times New Roman" w:hAnsi="Times New Roman"/>
                      <w:sz w:val="21"/>
                      <w:szCs w:val="21"/>
                    </w:rPr>
                  </w:pPr>
                  <w:r>
                    <w:rPr>
                      <w:rFonts w:hint="eastAsia" w:ascii="Times New Roman" w:hAnsi="Times New Roman"/>
                      <w:sz w:val="21"/>
                      <w:szCs w:val="21"/>
                    </w:rPr>
                    <w:t>医用诊断X射线装置</w:t>
                  </w:r>
                </w:p>
              </w:tc>
              <w:tc>
                <w:tcPr>
                  <w:tcW w:w="573" w:type="pct"/>
                  <w:tcBorders>
                    <w:tl2br w:val="nil"/>
                    <w:tr2bl w:val="nil"/>
                  </w:tcBorders>
                  <w:vAlign w:val="center"/>
                </w:tcPr>
                <w:p w14:paraId="7F195934">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150</w:t>
                  </w:r>
                </w:p>
              </w:tc>
              <w:tc>
                <w:tcPr>
                  <w:tcW w:w="555" w:type="pct"/>
                  <w:tcBorders>
                    <w:tl2br w:val="nil"/>
                    <w:tr2bl w:val="nil"/>
                  </w:tcBorders>
                  <w:vAlign w:val="center"/>
                </w:tcPr>
                <w:p w14:paraId="54740808">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1000</w:t>
                  </w:r>
                </w:p>
              </w:tc>
              <w:tc>
                <w:tcPr>
                  <w:tcW w:w="256" w:type="pct"/>
                  <w:tcBorders>
                    <w:tl2br w:val="nil"/>
                    <w:tr2bl w:val="nil"/>
                  </w:tcBorders>
                  <w:vAlign w:val="center"/>
                </w:tcPr>
                <w:p w14:paraId="517059ED">
                  <w:pPr>
                    <w:jc w:val="center"/>
                    <w:rPr>
                      <w:rFonts w:ascii="Times New Roman" w:hAnsi="Times New Roman"/>
                      <w:sz w:val="21"/>
                      <w:szCs w:val="21"/>
                    </w:rPr>
                  </w:pPr>
                  <w:r>
                    <w:rPr>
                      <w:rFonts w:ascii="Times New Roman" w:hAnsi="Times New Roman"/>
                      <w:sz w:val="21"/>
                      <w:szCs w:val="21"/>
                    </w:rPr>
                    <w:t>Ⅲ</w:t>
                  </w:r>
                </w:p>
              </w:tc>
              <w:tc>
                <w:tcPr>
                  <w:tcW w:w="309" w:type="pct"/>
                  <w:tcBorders>
                    <w:tl2br w:val="nil"/>
                    <w:tr2bl w:val="nil"/>
                  </w:tcBorders>
                  <w:vAlign w:val="center"/>
                </w:tcPr>
                <w:p w14:paraId="62C48B73">
                  <w:pPr>
                    <w:jc w:val="center"/>
                    <w:rPr>
                      <w:rFonts w:ascii="Times New Roman" w:hAnsi="Times New Roman"/>
                      <w:sz w:val="21"/>
                      <w:szCs w:val="21"/>
                    </w:rPr>
                  </w:pPr>
                  <w:r>
                    <w:rPr>
                      <w:rFonts w:ascii="Times New Roman" w:hAnsi="Times New Roman"/>
                      <w:sz w:val="21"/>
                      <w:szCs w:val="21"/>
                    </w:rPr>
                    <w:t>1</w:t>
                  </w:r>
                </w:p>
              </w:tc>
              <w:tc>
                <w:tcPr>
                  <w:tcW w:w="856" w:type="pct"/>
                  <w:tcBorders>
                    <w:tl2br w:val="nil"/>
                    <w:tr2bl w:val="nil"/>
                  </w:tcBorders>
                  <w:vAlign w:val="center"/>
                </w:tcPr>
                <w:p w14:paraId="44EC4E7A">
                  <w:pPr>
                    <w:jc w:val="center"/>
                    <w:rPr>
                      <w:rFonts w:hint="default" w:ascii="Times New Roman" w:hAnsi="Times New Roman" w:eastAsia="宋体"/>
                      <w:sz w:val="21"/>
                      <w:szCs w:val="21"/>
                      <w:lang w:val="en-US" w:eastAsia="zh-CN"/>
                    </w:rPr>
                  </w:pPr>
                  <w:r>
                    <w:rPr>
                      <w:rFonts w:hint="eastAsia" w:ascii="Times New Roman" w:hAnsi="Times New Roman"/>
                      <w:sz w:val="21"/>
                      <w:szCs w:val="21"/>
                    </w:rPr>
                    <w:t>门诊大</w:t>
                  </w:r>
                  <w:r>
                    <w:rPr>
                      <w:rFonts w:hint="eastAsia" w:ascii="Times New Roman" w:hAnsi="Times New Roman"/>
                      <w:sz w:val="21"/>
                      <w:szCs w:val="21"/>
                      <w:lang w:val="en-US" w:eastAsia="zh-CN"/>
                    </w:rPr>
                    <w:t>楼</w:t>
                  </w:r>
                  <w:r>
                    <w:rPr>
                      <w:rFonts w:hint="eastAsia" w:ascii="Times New Roman" w:hAnsi="Times New Roman"/>
                      <w:sz w:val="21"/>
                      <w:szCs w:val="21"/>
                    </w:rPr>
                    <w:t>负一楼1-</w:t>
                  </w:r>
                  <w:r>
                    <w:rPr>
                      <w:rFonts w:hint="eastAsia" w:ascii="Times New Roman" w:hAnsi="Times New Roman"/>
                      <w:sz w:val="21"/>
                      <w:szCs w:val="21"/>
                      <w:lang w:val="en-US" w:eastAsia="zh-CN"/>
                    </w:rPr>
                    <w:t>6</w:t>
                  </w:r>
                  <w:r>
                    <w:rPr>
                      <w:rFonts w:hint="eastAsia" w:ascii="Times New Roman" w:hAnsi="Times New Roman"/>
                      <w:sz w:val="21"/>
                      <w:szCs w:val="21"/>
                    </w:rPr>
                    <w:t>室</w:t>
                  </w:r>
                </w:p>
              </w:tc>
              <w:tc>
                <w:tcPr>
                  <w:tcW w:w="391" w:type="pct"/>
                  <w:tcBorders>
                    <w:tl2br w:val="nil"/>
                    <w:tr2bl w:val="nil"/>
                  </w:tcBorders>
                  <w:vAlign w:val="center"/>
                </w:tcPr>
                <w:p w14:paraId="036FEE32">
                  <w:pPr>
                    <w:pStyle w:val="9"/>
                    <w:ind w:left="0" w:leftChars="0"/>
                    <w:contextualSpacing/>
                    <w:jc w:val="center"/>
                    <w:rPr>
                      <w:rFonts w:ascii="Times New Roman" w:hAnsi="Times New Roman" w:eastAsia="宋体" w:cs="Times New Roman"/>
                      <w:b w:val="0"/>
                      <w:kern w:val="0"/>
                      <w:sz w:val="21"/>
                      <w:szCs w:val="21"/>
                    </w:rPr>
                  </w:pPr>
                  <w:r>
                    <w:rPr>
                      <w:rFonts w:ascii="Times New Roman" w:hAnsi="Times New Roman" w:eastAsia="宋体" w:cs="Times New Roman"/>
                      <w:b w:val="0"/>
                      <w:kern w:val="0"/>
                      <w:sz w:val="21"/>
                      <w:szCs w:val="21"/>
                    </w:rPr>
                    <w:t>已许可</w:t>
                  </w:r>
                </w:p>
              </w:tc>
              <w:tc>
                <w:tcPr>
                  <w:tcW w:w="501" w:type="pct"/>
                  <w:tcBorders>
                    <w:tl2br w:val="nil"/>
                    <w:tr2bl w:val="nil"/>
                  </w:tcBorders>
                  <w:shd w:val="clear" w:color="auto" w:fill="auto"/>
                  <w:vAlign w:val="center"/>
                </w:tcPr>
                <w:p w14:paraId="431E6BA3">
                  <w:pPr>
                    <w:contextualSpacing/>
                    <w:jc w:val="center"/>
                    <w:rPr>
                      <w:rFonts w:ascii="Times New Roman" w:hAnsi="Times New Roman"/>
                      <w:kern w:val="0"/>
                      <w:sz w:val="21"/>
                      <w:szCs w:val="21"/>
                    </w:rPr>
                  </w:pPr>
                  <w:r>
                    <w:rPr>
                      <w:rFonts w:ascii="Times New Roman" w:hAnsi="Times New Roman"/>
                      <w:kern w:val="0"/>
                      <w:sz w:val="21"/>
                      <w:szCs w:val="21"/>
                    </w:rPr>
                    <w:t>上证在用</w:t>
                  </w:r>
                </w:p>
              </w:tc>
            </w:tr>
            <w:tr w14:paraId="0D3831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blHeader/>
                <w:jc w:val="center"/>
              </w:trPr>
              <w:tc>
                <w:tcPr>
                  <w:tcW w:w="282" w:type="pct"/>
                  <w:tcBorders>
                    <w:tl2br w:val="nil"/>
                    <w:tr2bl w:val="nil"/>
                  </w:tcBorders>
                  <w:shd w:val="clear" w:color="auto" w:fill="auto"/>
                  <w:vAlign w:val="center"/>
                </w:tcPr>
                <w:p w14:paraId="36E4219E">
                  <w:pPr>
                    <w:jc w:val="center"/>
                    <w:rPr>
                      <w:rFonts w:ascii="Times New Roman" w:hAnsi="Times New Roman" w:eastAsia="宋体" w:cs="Times New Roman"/>
                      <w:kern w:val="2"/>
                      <w:sz w:val="21"/>
                      <w:szCs w:val="21"/>
                      <w:lang w:val="en-US" w:eastAsia="zh-CN" w:bidi="ar-SA"/>
                    </w:rPr>
                  </w:pPr>
                  <w:r>
                    <w:rPr>
                      <w:rFonts w:ascii="Times New Roman" w:hAnsi="Times New Roman"/>
                      <w:sz w:val="21"/>
                      <w:szCs w:val="21"/>
                    </w:rPr>
                    <w:t>5</w:t>
                  </w:r>
                </w:p>
              </w:tc>
              <w:tc>
                <w:tcPr>
                  <w:tcW w:w="1273" w:type="pct"/>
                  <w:tcBorders>
                    <w:tl2br w:val="nil"/>
                    <w:tr2bl w:val="nil"/>
                  </w:tcBorders>
                  <w:vAlign w:val="center"/>
                </w:tcPr>
                <w:p w14:paraId="657846EE">
                  <w:pPr>
                    <w:jc w:val="center"/>
                    <w:rPr>
                      <w:rFonts w:ascii="Times New Roman" w:hAnsi="Times New Roman"/>
                      <w:sz w:val="21"/>
                      <w:szCs w:val="21"/>
                    </w:rPr>
                  </w:pPr>
                  <w:r>
                    <w:rPr>
                      <w:rFonts w:hint="eastAsia" w:ascii="Times New Roman" w:hAnsi="Times New Roman"/>
                      <w:sz w:val="21"/>
                      <w:szCs w:val="21"/>
                    </w:rPr>
                    <w:t>医用诊断X射线装置</w:t>
                  </w:r>
                </w:p>
              </w:tc>
              <w:tc>
                <w:tcPr>
                  <w:tcW w:w="573" w:type="pct"/>
                  <w:tcBorders>
                    <w:tl2br w:val="nil"/>
                    <w:tr2bl w:val="nil"/>
                  </w:tcBorders>
                  <w:vAlign w:val="center"/>
                </w:tcPr>
                <w:p w14:paraId="1A479745">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150</w:t>
                  </w:r>
                </w:p>
              </w:tc>
              <w:tc>
                <w:tcPr>
                  <w:tcW w:w="555" w:type="pct"/>
                  <w:tcBorders>
                    <w:tl2br w:val="nil"/>
                    <w:tr2bl w:val="nil"/>
                  </w:tcBorders>
                  <w:vAlign w:val="center"/>
                </w:tcPr>
                <w:p w14:paraId="7E590B3D">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640</w:t>
                  </w:r>
                </w:p>
              </w:tc>
              <w:tc>
                <w:tcPr>
                  <w:tcW w:w="256" w:type="pct"/>
                  <w:tcBorders>
                    <w:tl2br w:val="nil"/>
                    <w:tr2bl w:val="nil"/>
                  </w:tcBorders>
                  <w:vAlign w:val="center"/>
                </w:tcPr>
                <w:p w14:paraId="11BB48D9">
                  <w:pPr>
                    <w:jc w:val="center"/>
                    <w:rPr>
                      <w:rFonts w:ascii="Times New Roman" w:hAnsi="Times New Roman"/>
                      <w:sz w:val="21"/>
                      <w:szCs w:val="21"/>
                    </w:rPr>
                  </w:pPr>
                  <w:r>
                    <w:rPr>
                      <w:rFonts w:ascii="Times New Roman" w:hAnsi="Times New Roman"/>
                      <w:sz w:val="21"/>
                      <w:szCs w:val="21"/>
                    </w:rPr>
                    <w:t>Ⅲ</w:t>
                  </w:r>
                </w:p>
              </w:tc>
              <w:tc>
                <w:tcPr>
                  <w:tcW w:w="309" w:type="pct"/>
                  <w:tcBorders>
                    <w:tl2br w:val="nil"/>
                    <w:tr2bl w:val="nil"/>
                  </w:tcBorders>
                  <w:vAlign w:val="center"/>
                </w:tcPr>
                <w:p w14:paraId="55CADBD5">
                  <w:pPr>
                    <w:jc w:val="center"/>
                    <w:rPr>
                      <w:rFonts w:ascii="Times New Roman" w:hAnsi="Times New Roman"/>
                      <w:sz w:val="21"/>
                      <w:szCs w:val="21"/>
                    </w:rPr>
                  </w:pPr>
                  <w:r>
                    <w:rPr>
                      <w:rFonts w:ascii="Times New Roman" w:hAnsi="Times New Roman"/>
                      <w:sz w:val="21"/>
                      <w:szCs w:val="21"/>
                    </w:rPr>
                    <w:t>1</w:t>
                  </w:r>
                </w:p>
              </w:tc>
              <w:tc>
                <w:tcPr>
                  <w:tcW w:w="856" w:type="pct"/>
                  <w:tcBorders>
                    <w:tl2br w:val="nil"/>
                    <w:tr2bl w:val="nil"/>
                  </w:tcBorders>
                  <w:vAlign w:val="center"/>
                </w:tcPr>
                <w:p w14:paraId="17E89048">
                  <w:pPr>
                    <w:jc w:val="center"/>
                    <w:rPr>
                      <w:rFonts w:ascii="Times New Roman" w:hAnsi="Times New Roman"/>
                      <w:sz w:val="21"/>
                      <w:szCs w:val="21"/>
                    </w:rPr>
                  </w:pPr>
                  <w:r>
                    <w:rPr>
                      <w:rFonts w:hint="eastAsia" w:ascii="Times New Roman" w:hAnsi="Times New Roman"/>
                      <w:sz w:val="21"/>
                      <w:szCs w:val="21"/>
                    </w:rPr>
                    <w:t>门诊大</w:t>
                  </w:r>
                  <w:r>
                    <w:rPr>
                      <w:rFonts w:hint="eastAsia" w:ascii="Times New Roman" w:hAnsi="Times New Roman"/>
                      <w:sz w:val="21"/>
                      <w:szCs w:val="21"/>
                      <w:lang w:val="en-US" w:eastAsia="zh-CN"/>
                    </w:rPr>
                    <w:t>楼</w:t>
                  </w:r>
                  <w:r>
                    <w:rPr>
                      <w:rFonts w:hint="eastAsia" w:ascii="Times New Roman" w:hAnsi="Times New Roman"/>
                      <w:sz w:val="21"/>
                      <w:szCs w:val="21"/>
                    </w:rPr>
                    <w:t>负一楼1-</w:t>
                  </w:r>
                  <w:r>
                    <w:rPr>
                      <w:rFonts w:hint="eastAsia" w:ascii="Times New Roman" w:hAnsi="Times New Roman"/>
                      <w:sz w:val="21"/>
                      <w:szCs w:val="21"/>
                      <w:lang w:val="en-US" w:eastAsia="zh-CN"/>
                    </w:rPr>
                    <w:t>7</w:t>
                  </w:r>
                  <w:r>
                    <w:rPr>
                      <w:rFonts w:hint="eastAsia" w:ascii="Times New Roman" w:hAnsi="Times New Roman"/>
                      <w:sz w:val="21"/>
                      <w:szCs w:val="21"/>
                    </w:rPr>
                    <w:t>室</w:t>
                  </w:r>
                </w:p>
              </w:tc>
              <w:tc>
                <w:tcPr>
                  <w:tcW w:w="391" w:type="pct"/>
                  <w:tcBorders>
                    <w:tl2br w:val="nil"/>
                    <w:tr2bl w:val="nil"/>
                  </w:tcBorders>
                  <w:vAlign w:val="center"/>
                </w:tcPr>
                <w:p w14:paraId="54AD8FEF">
                  <w:pPr>
                    <w:pStyle w:val="9"/>
                    <w:ind w:left="0" w:leftChars="0"/>
                    <w:contextualSpacing/>
                    <w:jc w:val="center"/>
                    <w:rPr>
                      <w:rFonts w:hint="default" w:ascii="Times New Roman" w:hAnsi="Times New Roman" w:eastAsia="宋体" w:cs="Times New Roman"/>
                      <w:b w:val="0"/>
                      <w:kern w:val="0"/>
                      <w:sz w:val="21"/>
                      <w:szCs w:val="21"/>
                      <w:lang w:val="en-US" w:eastAsia="zh-CN"/>
                    </w:rPr>
                  </w:pPr>
                  <w:r>
                    <w:rPr>
                      <w:rFonts w:hint="eastAsia" w:ascii="Times New Roman" w:hAnsi="Times New Roman" w:eastAsia="宋体" w:cs="Times New Roman"/>
                      <w:b w:val="0"/>
                      <w:kern w:val="0"/>
                      <w:sz w:val="21"/>
                      <w:szCs w:val="21"/>
                      <w:lang w:val="en-US" w:eastAsia="zh-CN"/>
                    </w:rPr>
                    <w:t>/</w:t>
                  </w:r>
                </w:p>
              </w:tc>
              <w:tc>
                <w:tcPr>
                  <w:tcW w:w="501" w:type="pct"/>
                  <w:tcBorders>
                    <w:tl2br w:val="nil"/>
                    <w:tr2bl w:val="nil"/>
                  </w:tcBorders>
                  <w:shd w:val="clear" w:color="auto" w:fill="auto"/>
                  <w:vAlign w:val="center"/>
                </w:tcPr>
                <w:p w14:paraId="0199B373">
                  <w:pPr>
                    <w:contextualSpacing/>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已停用</w:t>
                  </w:r>
                </w:p>
              </w:tc>
            </w:tr>
            <w:tr w14:paraId="1BEF53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tblHeader/>
                <w:jc w:val="center"/>
              </w:trPr>
              <w:tc>
                <w:tcPr>
                  <w:tcW w:w="282" w:type="pct"/>
                  <w:tcBorders>
                    <w:tl2br w:val="nil"/>
                    <w:tr2bl w:val="nil"/>
                  </w:tcBorders>
                  <w:shd w:val="clear" w:color="auto" w:fill="auto"/>
                  <w:vAlign w:val="center"/>
                </w:tcPr>
                <w:p w14:paraId="6DE0EC0E">
                  <w:pPr>
                    <w:jc w:val="center"/>
                    <w:rPr>
                      <w:rFonts w:ascii="Times New Roman" w:hAnsi="Times New Roman" w:eastAsia="宋体" w:cs="Times New Roman"/>
                      <w:kern w:val="2"/>
                      <w:sz w:val="21"/>
                      <w:szCs w:val="21"/>
                      <w:lang w:val="en-US" w:eastAsia="zh-CN" w:bidi="ar-SA"/>
                    </w:rPr>
                  </w:pPr>
                  <w:r>
                    <w:rPr>
                      <w:rFonts w:ascii="Times New Roman" w:hAnsi="Times New Roman"/>
                      <w:sz w:val="21"/>
                      <w:szCs w:val="21"/>
                    </w:rPr>
                    <w:t>6</w:t>
                  </w:r>
                </w:p>
              </w:tc>
              <w:tc>
                <w:tcPr>
                  <w:tcW w:w="1273" w:type="pct"/>
                  <w:tcBorders>
                    <w:tl2br w:val="nil"/>
                    <w:tr2bl w:val="nil"/>
                  </w:tcBorders>
                  <w:vAlign w:val="center"/>
                </w:tcPr>
                <w:p w14:paraId="33644EA5">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血管造影用X射线装置</w:t>
                  </w:r>
                </w:p>
              </w:tc>
              <w:tc>
                <w:tcPr>
                  <w:tcW w:w="573" w:type="pct"/>
                  <w:tcBorders>
                    <w:tl2br w:val="nil"/>
                    <w:tr2bl w:val="nil"/>
                  </w:tcBorders>
                  <w:vAlign w:val="center"/>
                </w:tcPr>
                <w:p w14:paraId="4E067FC2">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150</w:t>
                  </w:r>
                </w:p>
              </w:tc>
              <w:tc>
                <w:tcPr>
                  <w:tcW w:w="555" w:type="pct"/>
                  <w:tcBorders>
                    <w:tl2br w:val="nil"/>
                    <w:tr2bl w:val="nil"/>
                  </w:tcBorders>
                  <w:vAlign w:val="center"/>
                </w:tcPr>
                <w:p w14:paraId="796E658E">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125</w:t>
                  </w:r>
                </w:p>
              </w:tc>
              <w:tc>
                <w:tcPr>
                  <w:tcW w:w="256" w:type="pct"/>
                  <w:tcBorders>
                    <w:tl2br w:val="nil"/>
                    <w:tr2bl w:val="nil"/>
                  </w:tcBorders>
                  <w:vAlign w:val="center"/>
                </w:tcPr>
                <w:p w14:paraId="59EED559">
                  <w:pPr>
                    <w:jc w:val="center"/>
                    <w:rPr>
                      <w:rFonts w:hint="eastAsia" w:ascii="Times New Roman" w:hAnsi="Times New Roman" w:eastAsia="宋体"/>
                      <w:sz w:val="21"/>
                      <w:szCs w:val="21"/>
                      <w:lang w:val="en-US" w:eastAsia="zh-CN"/>
                    </w:rPr>
                  </w:pPr>
                  <w:r>
                    <w:rPr>
                      <w:rFonts w:hint="default" w:ascii="Times New Roman" w:hAnsi="Times New Roman" w:cs="Times New Roman"/>
                      <w:sz w:val="21"/>
                      <w:szCs w:val="21"/>
                      <w:lang w:val="en-US" w:eastAsia="zh-CN"/>
                    </w:rPr>
                    <w:t>Ⅱ</w:t>
                  </w:r>
                </w:p>
              </w:tc>
              <w:tc>
                <w:tcPr>
                  <w:tcW w:w="309" w:type="pct"/>
                  <w:tcBorders>
                    <w:tl2br w:val="nil"/>
                    <w:tr2bl w:val="nil"/>
                  </w:tcBorders>
                  <w:vAlign w:val="center"/>
                </w:tcPr>
                <w:p w14:paraId="3126EBA8">
                  <w:pPr>
                    <w:jc w:val="center"/>
                    <w:rPr>
                      <w:rFonts w:ascii="Times New Roman" w:hAnsi="Times New Roman"/>
                      <w:sz w:val="21"/>
                      <w:szCs w:val="21"/>
                    </w:rPr>
                  </w:pPr>
                  <w:r>
                    <w:rPr>
                      <w:rFonts w:ascii="Times New Roman" w:hAnsi="Times New Roman"/>
                      <w:sz w:val="21"/>
                      <w:szCs w:val="21"/>
                    </w:rPr>
                    <w:t>1</w:t>
                  </w:r>
                </w:p>
              </w:tc>
              <w:tc>
                <w:tcPr>
                  <w:tcW w:w="856" w:type="pct"/>
                  <w:tcBorders>
                    <w:tl2br w:val="nil"/>
                    <w:tr2bl w:val="nil"/>
                  </w:tcBorders>
                  <w:vAlign w:val="center"/>
                </w:tcPr>
                <w:p w14:paraId="72E455E3">
                  <w:pPr>
                    <w:jc w:val="center"/>
                    <w:rPr>
                      <w:rFonts w:hint="default" w:ascii="Times New Roman" w:hAnsi="Times New Roman" w:eastAsia="宋体"/>
                      <w:sz w:val="21"/>
                      <w:szCs w:val="21"/>
                      <w:lang w:val="en-US" w:eastAsia="zh-CN"/>
                    </w:rPr>
                  </w:pPr>
                  <w:r>
                    <w:rPr>
                      <w:rFonts w:hint="eastAsia" w:ascii="Times New Roman" w:hAnsi="Times New Roman"/>
                      <w:sz w:val="21"/>
                      <w:szCs w:val="21"/>
                    </w:rPr>
                    <w:t>门诊大</w:t>
                  </w:r>
                  <w:r>
                    <w:rPr>
                      <w:rFonts w:hint="eastAsia" w:ascii="Times New Roman" w:hAnsi="Times New Roman"/>
                      <w:sz w:val="21"/>
                      <w:szCs w:val="21"/>
                      <w:lang w:val="en-US" w:eastAsia="zh-CN"/>
                    </w:rPr>
                    <w:t>楼四楼介入室</w:t>
                  </w:r>
                </w:p>
              </w:tc>
              <w:tc>
                <w:tcPr>
                  <w:tcW w:w="391" w:type="pct"/>
                  <w:tcBorders>
                    <w:tl2br w:val="nil"/>
                    <w:tr2bl w:val="nil"/>
                  </w:tcBorders>
                  <w:vAlign w:val="center"/>
                </w:tcPr>
                <w:p w14:paraId="06DB0EF1">
                  <w:pPr>
                    <w:pStyle w:val="9"/>
                    <w:ind w:left="0" w:leftChars="0"/>
                    <w:contextualSpacing/>
                    <w:jc w:val="center"/>
                    <w:rPr>
                      <w:rFonts w:ascii="Times New Roman" w:hAnsi="Times New Roman" w:eastAsia="宋体" w:cs="Times New Roman"/>
                      <w:b w:val="0"/>
                      <w:kern w:val="0"/>
                      <w:sz w:val="21"/>
                      <w:szCs w:val="21"/>
                    </w:rPr>
                  </w:pPr>
                  <w:r>
                    <w:rPr>
                      <w:rFonts w:ascii="Times New Roman" w:hAnsi="Times New Roman" w:eastAsia="宋体" w:cs="Times New Roman"/>
                      <w:b w:val="0"/>
                      <w:kern w:val="0"/>
                      <w:sz w:val="21"/>
                      <w:szCs w:val="21"/>
                    </w:rPr>
                    <w:t>已许可</w:t>
                  </w:r>
                </w:p>
              </w:tc>
              <w:tc>
                <w:tcPr>
                  <w:tcW w:w="501" w:type="pct"/>
                  <w:tcBorders>
                    <w:tl2br w:val="nil"/>
                    <w:tr2bl w:val="nil"/>
                  </w:tcBorders>
                  <w:shd w:val="clear" w:color="auto" w:fill="auto"/>
                  <w:vAlign w:val="center"/>
                </w:tcPr>
                <w:p w14:paraId="017A33FC">
                  <w:pPr>
                    <w:contextualSpacing/>
                    <w:jc w:val="center"/>
                    <w:rPr>
                      <w:rFonts w:ascii="Times New Roman" w:hAnsi="Times New Roman"/>
                      <w:kern w:val="0"/>
                      <w:sz w:val="21"/>
                      <w:szCs w:val="21"/>
                    </w:rPr>
                  </w:pPr>
                  <w:r>
                    <w:rPr>
                      <w:rFonts w:ascii="Times New Roman" w:hAnsi="Times New Roman"/>
                      <w:kern w:val="0"/>
                      <w:sz w:val="21"/>
                      <w:szCs w:val="21"/>
                    </w:rPr>
                    <w:t>上证在用</w:t>
                  </w:r>
                </w:p>
              </w:tc>
            </w:tr>
            <w:tr w14:paraId="1A5503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tblHeader/>
                <w:jc w:val="center"/>
              </w:trPr>
              <w:tc>
                <w:tcPr>
                  <w:tcW w:w="282" w:type="pct"/>
                  <w:tcBorders>
                    <w:tl2br w:val="nil"/>
                    <w:tr2bl w:val="nil"/>
                  </w:tcBorders>
                  <w:vAlign w:val="center"/>
                </w:tcPr>
                <w:p w14:paraId="3FA1C577">
                  <w:pPr>
                    <w:jc w:val="center"/>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7</w:t>
                  </w:r>
                </w:p>
              </w:tc>
              <w:tc>
                <w:tcPr>
                  <w:tcW w:w="1273" w:type="pct"/>
                  <w:tcBorders>
                    <w:tl2br w:val="nil"/>
                    <w:tr2bl w:val="nil"/>
                  </w:tcBorders>
                  <w:vAlign w:val="center"/>
                </w:tcPr>
                <w:p w14:paraId="2CA0F3F4">
                  <w:pPr>
                    <w:jc w:val="center"/>
                    <w:rPr>
                      <w:rFonts w:ascii="Times New Roman" w:hAnsi="Times New Roman"/>
                      <w:sz w:val="21"/>
                      <w:szCs w:val="21"/>
                    </w:rPr>
                  </w:pPr>
                  <w:r>
                    <w:rPr>
                      <w:rFonts w:hint="eastAsia" w:ascii="Times New Roman" w:hAnsi="Times New Roman"/>
                      <w:sz w:val="21"/>
                      <w:szCs w:val="21"/>
                    </w:rPr>
                    <w:t>医用诊断X 射线装置</w:t>
                  </w:r>
                </w:p>
              </w:tc>
              <w:tc>
                <w:tcPr>
                  <w:tcW w:w="573" w:type="pct"/>
                  <w:tcBorders>
                    <w:tl2br w:val="nil"/>
                    <w:tr2bl w:val="nil"/>
                  </w:tcBorders>
                  <w:vAlign w:val="center"/>
                </w:tcPr>
                <w:p w14:paraId="0611F011">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120</w:t>
                  </w:r>
                </w:p>
              </w:tc>
              <w:tc>
                <w:tcPr>
                  <w:tcW w:w="555" w:type="pct"/>
                  <w:tcBorders>
                    <w:tl2br w:val="nil"/>
                    <w:tr2bl w:val="nil"/>
                  </w:tcBorders>
                  <w:vAlign w:val="center"/>
                </w:tcPr>
                <w:p w14:paraId="4BA2A3A5">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100</w:t>
                  </w:r>
                </w:p>
              </w:tc>
              <w:tc>
                <w:tcPr>
                  <w:tcW w:w="256" w:type="pct"/>
                  <w:tcBorders>
                    <w:tl2br w:val="nil"/>
                    <w:tr2bl w:val="nil"/>
                  </w:tcBorders>
                  <w:vAlign w:val="center"/>
                </w:tcPr>
                <w:p w14:paraId="1193C904">
                  <w:pPr>
                    <w:jc w:val="center"/>
                    <w:rPr>
                      <w:rFonts w:ascii="Times New Roman" w:hAnsi="Times New Roman"/>
                      <w:sz w:val="21"/>
                      <w:szCs w:val="21"/>
                    </w:rPr>
                  </w:pPr>
                  <w:r>
                    <w:rPr>
                      <w:rFonts w:ascii="Times New Roman" w:hAnsi="Times New Roman"/>
                      <w:sz w:val="21"/>
                      <w:szCs w:val="21"/>
                    </w:rPr>
                    <w:t>Ⅲ</w:t>
                  </w:r>
                </w:p>
              </w:tc>
              <w:tc>
                <w:tcPr>
                  <w:tcW w:w="309" w:type="pct"/>
                  <w:tcBorders>
                    <w:tl2br w:val="nil"/>
                    <w:tr2bl w:val="nil"/>
                  </w:tcBorders>
                  <w:vAlign w:val="center"/>
                </w:tcPr>
                <w:p w14:paraId="514DDABB">
                  <w:pPr>
                    <w:jc w:val="center"/>
                    <w:rPr>
                      <w:rFonts w:ascii="Times New Roman" w:hAnsi="Times New Roman"/>
                      <w:sz w:val="21"/>
                      <w:szCs w:val="21"/>
                    </w:rPr>
                  </w:pPr>
                  <w:r>
                    <w:rPr>
                      <w:rFonts w:ascii="Times New Roman" w:hAnsi="Times New Roman"/>
                      <w:sz w:val="21"/>
                      <w:szCs w:val="21"/>
                    </w:rPr>
                    <w:t>1</w:t>
                  </w:r>
                </w:p>
              </w:tc>
              <w:tc>
                <w:tcPr>
                  <w:tcW w:w="856" w:type="pct"/>
                  <w:tcBorders>
                    <w:tl2br w:val="nil"/>
                    <w:tr2bl w:val="nil"/>
                  </w:tcBorders>
                  <w:vAlign w:val="center"/>
                </w:tcPr>
                <w:p w14:paraId="252DD590">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住院大楼12楼手术室</w:t>
                  </w:r>
                </w:p>
              </w:tc>
              <w:tc>
                <w:tcPr>
                  <w:tcW w:w="391" w:type="pct"/>
                  <w:tcBorders>
                    <w:tl2br w:val="nil"/>
                    <w:tr2bl w:val="nil"/>
                  </w:tcBorders>
                  <w:vAlign w:val="center"/>
                </w:tcPr>
                <w:p w14:paraId="4B2EA5DF">
                  <w:pPr>
                    <w:pStyle w:val="9"/>
                    <w:ind w:left="0" w:leftChars="0"/>
                    <w:contextualSpacing/>
                    <w:jc w:val="center"/>
                    <w:rPr>
                      <w:rFonts w:ascii="Times New Roman" w:hAnsi="Times New Roman" w:eastAsia="宋体" w:cs="Times New Roman"/>
                      <w:b w:val="0"/>
                      <w:kern w:val="0"/>
                      <w:sz w:val="21"/>
                      <w:szCs w:val="21"/>
                    </w:rPr>
                  </w:pPr>
                  <w:r>
                    <w:rPr>
                      <w:rFonts w:ascii="Times New Roman" w:hAnsi="Times New Roman" w:eastAsia="宋体" w:cs="Times New Roman"/>
                      <w:b w:val="0"/>
                      <w:kern w:val="0"/>
                      <w:sz w:val="21"/>
                      <w:szCs w:val="21"/>
                    </w:rPr>
                    <w:t>已许可</w:t>
                  </w:r>
                </w:p>
              </w:tc>
              <w:tc>
                <w:tcPr>
                  <w:tcW w:w="501" w:type="pct"/>
                  <w:tcBorders>
                    <w:tl2br w:val="nil"/>
                    <w:tr2bl w:val="nil"/>
                  </w:tcBorders>
                  <w:shd w:val="clear" w:color="auto" w:fill="auto"/>
                  <w:vAlign w:val="center"/>
                </w:tcPr>
                <w:p w14:paraId="5B650C76">
                  <w:pPr>
                    <w:contextualSpacing/>
                    <w:jc w:val="center"/>
                    <w:rPr>
                      <w:rFonts w:ascii="Times New Roman" w:hAnsi="Times New Roman"/>
                      <w:kern w:val="0"/>
                      <w:sz w:val="21"/>
                      <w:szCs w:val="21"/>
                    </w:rPr>
                  </w:pPr>
                  <w:r>
                    <w:rPr>
                      <w:rFonts w:ascii="Times New Roman" w:hAnsi="Times New Roman"/>
                      <w:kern w:val="0"/>
                      <w:sz w:val="21"/>
                      <w:szCs w:val="21"/>
                    </w:rPr>
                    <w:t>上证在用</w:t>
                  </w:r>
                </w:p>
              </w:tc>
            </w:tr>
          </w:tbl>
          <w:p w14:paraId="29EA1F9C">
            <w:pPr>
              <w:spacing w:line="360" w:lineRule="auto"/>
              <w:rPr>
                <w:rFonts w:ascii="Times New Roman" w:hAnsi="Times New Roman"/>
                <w:b/>
                <w:bCs/>
                <w:sz w:val="24"/>
              </w:rPr>
            </w:pPr>
            <w:r>
              <w:rPr>
                <w:rFonts w:ascii="Times New Roman" w:hAnsi="Times New Roman"/>
                <w:b/>
                <w:bCs/>
                <w:sz w:val="24"/>
              </w:rPr>
              <w:t>2、辐射环境年度监测</w:t>
            </w:r>
          </w:p>
          <w:p w14:paraId="290E535D">
            <w:pPr>
              <w:spacing w:line="360" w:lineRule="auto"/>
              <w:ind w:firstLine="480" w:firstLineChars="200"/>
              <w:rPr>
                <w:rFonts w:ascii="Times New Roman" w:hAnsi="Times New Roman"/>
              </w:rPr>
            </w:pPr>
            <w:r>
              <w:rPr>
                <w:rFonts w:ascii="Times New Roman" w:hAnsi="Times New Roman"/>
                <w:sz w:val="24"/>
              </w:rPr>
              <w:t>医院202</w:t>
            </w:r>
            <w:r>
              <w:rPr>
                <w:rFonts w:hint="eastAsia" w:ascii="Times New Roman" w:hAnsi="Times New Roman"/>
                <w:sz w:val="24"/>
                <w:lang w:val="en-US" w:eastAsia="zh-CN"/>
              </w:rPr>
              <w:t>5</w:t>
            </w:r>
            <w:r>
              <w:rPr>
                <w:rFonts w:ascii="Times New Roman" w:hAnsi="Times New Roman"/>
                <w:sz w:val="24"/>
              </w:rPr>
              <w:t>年委托了</w:t>
            </w:r>
            <w:r>
              <w:rPr>
                <w:rFonts w:hint="eastAsia" w:ascii="Times New Roman" w:hAnsi="Times New Roman"/>
                <w:sz w:val="24"/>
              </w:rPr>
              <w:t>四川世阳卫生技术服务有限公司</w:t>
            </w:r>
            <w:r>
              <w:rPr>
                <w:rFonts w:ascii="Times New Roman" w:hAnsi="Times New Roman"/>
                <w:sz w:val="24"/>
              </w:rPr>
              <w:t>对医院</w:t>
            </w:r>
            <w:r>
              <w:rPr>
                <w:rFonts w:hint="eastAsia" w:ascii="Times New Roman" w:hAnsi="Times New Roman"/>
                <w:sz w:val="24"/>
                <w:lang w:val="en-US" w:eastAsia="zh-CN"/>
              </w:rPr>
              <w:t>现有</w:t>
            </w:r>
            <w:r>
              <w:rPr>
                <w:rFonts w:ascii="Times New Roman" w:hAnsi="Times New Roman"/>
                <w:sz w:val="24"/>
              </w:rPr>
              <w:t>射线装置工作场所进行了年度监测，根据出具的</w:t>
            </w:r>
            <w:r>
              <w:rPr>
                <w:rFonts w:hint="eastAsia" w:ascii="Times New Roman" w:hAnsi="Times New Roman"/>
                <w:sz w:val="24"/>
              </w:rPr>
              <w:t>四川世阳(FS)检(2025)3297号</w:t>
            </w:r>
            <w:r>
              <w:rPr>
                <w:rFonts w:hint="eastAsia" w:ascii="Times New Roman" w:hAnsi="Times New Roman"/>
                <w:sz w:val="24"/>
                <w:lang w:eastAsia="zh-CN"/>
              </w:rPr>
              <w:t>、四川世阳(FS)检(2025)3298号、四川世阳(FS)检(2025)3299号、四川世阳(FS)检(2025)3300号、四川世阳(FS)检(2025)3301号、四川世阳(FS)检(2025)3302号</w:t>
            </w:r>
            <w:r>
              <w:rPr>
                <w:rFonts w:ascii="Times New Roman" w:hAnsi="Times New Roman"/>
                <w:sz w:val="24"/>
              </w:rPr>
              <w:t>报告，X-γ</w:t>
            </w:r>
            <w:r>
              <w:rPr>
                <w:rFonts w:hint="eastAsia" w:ascii="Times New Roman" w:hAnsi="Times New Roman"/>
                <w:sz w:val="24"/>
              </w:rPr>
              <w:t>辐射剂量率变化范围</w:t>
            </w:r>
            <w:r>
              <w:rPr>
                <w:rFonts w:hint="eastAsia" w:ascii="Times New Roman" w:hAnsi="Times New Roman"/>
                <w:sz w:val="24"/>
                <w:lang w:eastAsia="zh-CN"/>
              </w:rPr>
              <w:t>（</w:t>
            </w:r>
            <w:r>
              <w:rPr>
                <w:rFonts w:hint="eastAsia" w:ascii="Times New Roman" w:hAnsi="Times New Roman"/>
                <w:sz w:val="24"/>
                <w:lang w:val="en-US" w:eastAsia="zh-CN"/>
              </w:rPr>
              <w:t>未</w:t>
            </w:r>
            <w:r>
              <w:rPr>
                <w:rFonts w:ascii="Times New Roman" w:hAnsi="Times New Roman"/>
                <w:sz w:val="24"/>
              </w:rPr>
              <w:t>扣除环境本底值</w:t>
            </w:r>
            <w:r>
              <w:rPr>
                <w:rFonts w:hint="eastAsia" w:ascii="Times New Roman" w:hAnsi="Times New Roman"/>
                <w:sz w:val="24"/>
                <w:lang w:val="en-US" w:eastAsia="zh-CN"/>
              </w:rPr>
              <w:t>0.121~0.131</w:t>
            </w:r>
            <w:r>
              <w:rPr>
                <w:rFonts w:ascii="Times New Roman" w:hAnsi="Times New Roman"/>
                <w:sz w:val="24"/>
              </w:rPr>
              <w:t>μSv/h</w:t>
            </w:r>
            <w:r>
              <w:rPr>
                <w:rFonts w:hint="eastAsia" w:ascii="Times New Roman" w:hAnsi="Times New Roman"/>
                <w:sz w:val="24"/>
                <w:lang w:eastAsia="zh-CN"/>
              </w:rPr>
              <w:t>）</w:t>
            </w:r>
            <w:r>
              <w:rPr>
                <w:rFonts w:ascii="Times New Roman" w:hAnsi="Times New Roman"/>
                <w:sz w:val="24"/>
              </w:rPr>
              <w:t>分别为0.</w:t>
            </w:r>
            <w:r>
              <w:rPr>
                <w:rFonts w:hint="eastAsia" w:ascii="Times New Roman" w:hAnsi="Times New Roman"/>
                <w:sz w:val="24"/>
                <w:lang w:val="en-US" w:eastAsia="zh-CN"/>
              </w:rPr>
              <w:t>13</w:t>
            </w:r>
            <w:r>
              <w:rPr>
                <w:rFonts w:ascii="Times New Roman" w:hAnsi="Times New Roman"/>
                <w:sz w:val="24"/>
              </w:rPr>
              <w:t>~0.</w:t>
            </w:r>
            <w:r>
              <w:rPr>
                <w:rFonts w:hint="eastAsia" w:ascii="Times New Roman" w:hAnsi="Times New Roman"/>
                <w:sz w:val="24"/>
                <w:lang w:val="en-US" w:eastAsia="zh-CN"/>
              </w:rPr>
              <w:t>73</w:t>
            </w:r>
            <w:r>
              <w:rPr>
                <w:rFonts w:ascii="Times New Roman" w:hAnsi="Times New Roman"/>
                <w:sz w:val="24"/>
              </w:rPr>
              <w:t>μSv/h之间。</w:t>
            </w:r>
            <w:r>
              <w:rPr>
                <w:rFonts w:hint="eastAsia" w:ascii="Times New Roman" w:hAnsi="Times New Roman"/>
                <w:sz w:val="24"/>
              </w:rPr>
              <w:t>详见附件6。满足《放射诊断放射防护要求》（GBZ130-2020）6.3.1中X射线设备机房屏蔽体外剂量水平要求。医</w:t>
            </w:r>
            <w:r>
              <w:rPr>
                <w:rFonts w:ascii="Times New Roman" w:hAnsi="Times New Roman"/>
                <w:sz w:val="24"/>
              </w:rPr>
              <w:t>院各射线装置工作场所电离辐射符合国家标准《电离辐射防护与辐射源安全基本标准》（GB18871-2002）中规定的职业照射有效剂量20m</w:t>
            </w:r>
            <w:r>
              <w:rPr>
                <w:rFonts w:hint="eastAsia" w:ascii="Times New Roman" w:hAnsi="Times New Roman"/>
                <w:sz w:val="24"/>
              </w:rPr>
              <w:t>Sv</w:t>
            </w:r>
            <w:r>
              <w:rPr>
                <w:rFonts w:ascii="Times New Roman" w:hAnsi="Times New Roman"/>
                <w:sz w:val="24"/>
              </w:rPr>
              <w:t>/a的限值和公众照射有效剂量1m</w:t>
            </w:r>
            <w:r>
              <w:rPr>
                <w:rFonts w:hint="eastAsia" w:ascii="Times New Roman" w:hAnsi="Times New Roman"/>
                <w:sz w:val="24"/>
              </w:rPr>
              <w:t>Sv</w:t>
            </w:r>
            <w:r>
              <w:rPr>
                <w:rFonts w:ascii="Times New Roman" w:hAnsi="Times New Roman"/>
                <w:sz w:val="24"/>
              </w:rPr>
              <w:t>/a的限值；同时也符合职业人员5m</w:t>
            </w:r>
            <w:r>
              <w:rPr>
                <w:rFonts w:hint="eastAsia" w:ascii="Times New Roman" w:hAnsi="Times New Roman"/>
                <w:sz w:val="24"/>
              </w:rPr>
              <w:t>Sv</w:t>
            </w:r>
            <w:r>
              <w:rPr>
                <w:rFonts w:ascii="Times New Roman" w:hAnsi="Times New Roman"/>
                <w:sz w:val="24"/>
              </w:rPr>
              <w:t>/a的年有效剂量管理约束值和公众人员0.1m</w:t>
            </w:r>
            <w:r>
              <w:rPr>
                <w:rFonts w:hint="eastAsia" w:ascii="Times New Roman" w:hAnsi="Times New Roman"/>
                <w:sz w:val="24"/>
              </w:rPr>
              <w:t>Sv</w:t>
            </w:r>
            <w:r>
              <w:rPr>
                <w:rFonts w:ascii="Times New Roman" w:hAnsi="Times New Roman"/>
                <w:sz w:val="24"/>
              </w:rPr>
              <w:t>/a的年有效剂量管理约束值。</w:t>
            </w:r>
          </w:p>
          <w:p w14:paraId="284F90BF">
            <w:pPr>
              <w:spacing w:line="360" w:lineRule="auto"/>
              <w:rPr>
                <w:rFonts w:ascii="Times New Roman" w:hAnsi="Times New Roman"/>
                <w:b/>
                <w:bCs/>
                <w:sz w:val="24"/>
              </w:rPr>
            </w:pPr>
            <w:r>
              <w:rPr>
                <w:rFonts w:ascii="Times New Roman" w:hAnsi="Times New Roman"/>
                <w:b/>
                <w:bCs/>
                <w:sz w:val="24"/>
              </w:rPr>
              <w:t>3、个人剂量</w:t>
            </w:r>
          </w:p>
          <w:p w14:paraId="7D36A871">
            <w:pPr>
              <w:spacing w:line="360" w:lineRule="auto"/>
              <w:ind w:firstLine="480" w:firstLineChars="200"/>
              <w:rPr>
                <w:rFonts w:ascii="Times New Roman" w:hAnsi="Times New Roman"/>
                <w:sz w:val="24"/>
              </w:rPr>
            </w:pPr>
            <w:r>
              <w:rPr>
                <w:rFonts w:ascii="Times New Roman" w:hAnsi="Times New Roman"/>
                <w:sz w:val="24"/>
              </w:rPr>
              <w:t>医院委托了</w:t>
            </w:r>
            <w:r>
              <w:rPr>
                <w:rFonts w:hint="eastAsia" w:ascii="Times New Roman" w:hAnsi="Times New Roman"/>
                <w:sz w:val="24"/>
              </w:rPr>
              <w:t>四川世阳卫生技术服务有限公司</w:t>
            </w:r>
            <w:r>
              <w:rPr>
                <w:rFonts w:ascii="Times New Roman" w:hAnsi="Times New Roman"/>
                <w:sz w:val="24"/>
              </w:rPr>
              <w:t>对医院辐射工作人员个人剂量进行监测，提供了202</w:t>
            </w:r>
            <w:r>
              <w:rPr>
                <w:rFonts w:hint="eastAsia" w:ascii="Times New Roman" w:hAnsi="Times New Roman"/>
                <w:sz w:val="24"/>
                <w:lang w:val="en-US" w:eastAsia="zh-CN"/>
              </w:rPr>
              <w:t>5</w:t>
            </w:r>
            <w:r>
              <w:rPr>
                <w:rFonts w:ascii="Times New Roman" w:hAnsi="Times New Roman"/>
                <w:sz w:val="24"/>
              </w:rPr>
              <w:t>年第</w:t>
            </w:r>
            <w:r>
              <w:rPr>
                <w:rFonts w:hint="eastAsia" w:ascii="Times New Roman" w:hAnsi="Times New Roman"/>
                <w:sz w:val="24"/>
                <w:lang w:val="en-US" w:eastAsia="zh-CN"/>
              </w:rPr>
              <w:t>四</w:t>
            </w:r>
            <w:r>
              <w:rPr>
                <w:rFonts w:ascii="Times New Roman" w:hAnsi="Times New Roman"/>
                <w:sz w:val="24"/>
              </w:rPr>
              <w:t>季度的个人剂量检测报告，根据检测报告，</w:t>
            </w:r>
            <w:r>
              <w:rPr>
                <w:rFonts w:hint="eastAsia" w:ascii="Times New Roman" w:hAnsi="Times New Roman"/>
                <w:sz w:val="24"/>
              </w:rPr>
              <w:t>季度个人剂量检测</w:t>
            </w:r>
            <w:r>
              <w:rPr>
                <w:rFonts w:ascii="Times New Roman" w:hAnsi="Times New Roman"/>
                <w:sz w:val="24"/>
              </w:rPr>
              <w:t>结果为</w:t>
            </w:r>
            <w:r>
              <w:rPr>
                <w:rFonts w:hint="eastAsia" w:ascii="Times New Roman" w:hAnsi="Times New Roman"/>
                <w:sz w:val="24"/>
                <w:lang w:val="en-US" w:eastAsia="zh-CN"/>
              </w:rPr>
              <w:t>小于检出限</w:t>
            </w:r>
            <w:r>
              <w:rPr>
                <w:rFonts w:ascii="Times New Roman" w:hAnsi="Times New Roman"/>
                <w:sz w:val="24"/>
              </w:rPr>
              <w:t>~</w:t>
            </w:r>
            <w:r>
              <w:rPr>
                <w:rFonts w:hint="eastAsia" w:ascii="Times New Roman" w:hAnsi="Times New Roman"/>
                <w:sz w:val="24"/>
              </w:rPr>
              <w:t>0.</w:t>
            </w:r>
            <w:r>
              <w:rPr>
                <w:rFonts w:hint="eastAsia" w:ascii="Times New Roman" w:hAnsi="Times New Roman"/>
                <w:sz w:val="24"/>
                <w:lang w:val="en-US" w:eastAsia="zh-CN"/>
              </w:rPr>
              <w:t>12</w:t>
            </w:r>
            <w:r>
              <w:rPr>
                <w:rFonts w:ascii="Times New Roman" w:hAnsi="Times New Roman"/>
                <w:sz w:val="24"/>
              </w:rPr>
              <w:t>mSv。无单季度个人剂量超过1.25mSv</w:t>
            </w:r>
            <w:r>
              <w:rPr>
                <w:rFonts w:hint="eastAsia" w:ascii="Times New Roman" w:hAnsi="Times New Roman"/>
                <w:sz w:val="24"/>
              </w:rPr>
              <w:t>。</w:t>
            </w:r>
          </w:p>
          <w:p w14:paraId="3A396C2C">
            <w:pPr>
              <w:numPr>
                <w:ilvl w:val="0"/>
                <w:numId w:val="3"/>
              </w:numPr>
              <w:spacing w:line="360" w:lineRule="auto"/>
              <w:rPr>
                <w:rFonts w:ascii="Times New Roman" w:hAnsi="Times New Roman"/>
                <w:b/>
                <w:bCs/>
                <w:sz w:val="24"/>
              </w:rPr>
            </w:pPr>
            <w:r>
              <w:rPr>
                <w:rFonts w:ascii="Times New Roman" w:hAnsi="Times New Roman"/>
                <w:b/>
                <w:bCs/>
                <w:sz w:val="24"/>
              </w:rPr>
              <w:t>辐射工作人员培训情况</w:t>
            </w:r>
          </w:p>
          <w:p w14:paraId="17F85700">
            <w:pPr>
              <w:spacing w:line="360" w:lineRule="auto"/>
              <w:ind w:firstLine="480" w:firstLineChars="200"/>
              <w:rPr>
                <w:rFonts w:hint="default" w:ascii="Times New Roman" w:hAnsi="Times New Roman" w:eastAsia="宋体"/>
                <w:sz w:val="24"/>
                <w:lang w:val="en-US" w:eastAsia="zh-CN"/>
              </w:rPr>
            </w:pPr>
            <w:r>
              <w:rPr>
                <w:rFonts w:ascii="Times New Roman" w:hAnsi="Times New Roman"/>
                <w:sz w:val="24"/>
              </w:rPr>
              <w:t>医院</w:t>
            </w:r>
            <w:r>
              <w:rPr>
                <w:rFonts w:hint="eastAsia" w:ascii="Times New Roman" w:hAnsi="Times New Roman"/>
                <w:sz w:val="24"/>
                <w:lang w:val="en-US" w:eastAsia="zh-CN"/>
              </w:rPr>
              <w:t>应按照《关于核技术利用辐射安全与防护培训和考核有关事项的公告》</w:t>
            </w:r>
            <w:r>
              <w:rPr>
                <w:rFonts w:ascii="Times New Roman" w:hAnsi="Times New Roman"/>
                <w:sz w:val="24"/>
              </w:rPr>
              <w:t>对现</w:t>
            </w:r>
            <w:r>
              <w:rPr>
                <w:rFonts w:hint="default" w:ascii="Times New Roman" w:hAnsi="Times New Roman" w:cs="Times New Roman"/>
                <w:sz w:val="24"/>
              </w:rPr>
              <w:t>有</w:t>
            </w:r>
            <w:r>
              <w:rPr>
                <w:rFonts w:hint="default" w:ascii="Times New Roman" w:hAnsi="Times New Roman" w:cs="Times New Roman"/>
                <w:sz w:val="24"/>
                <w:lang w:val="en-US" w:eastAsia="zh-CN"/>
              </w:rPr>
              <w:t>Ⅱ</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Ⅲ</w:t>
            </w:r>
            <w:r>
              <w:rPr>
                <w:rFonts w:hint="eastAsia" w:ascii="Times New Roman" w:hAnsi="Times New Roman" w:cs="Times New Roman"/>
                <w:sz w:val="24"/>
                <w:lang w:val="en-US" w:eastAsia="zh-CN"/>
              </w:rPr>
              <w:t>射线装置</w:t>
            </w:r>
            <w:r>
              <w:rPr>
                <w:rFonts w:ascii="Times New Roman" w:hAnsi="Times New Roman"/>
                <w:sz w:val="24"/>
              </w:rPr>
              <w:t>工作人员进行了辐射安全与防护相关培训</w:t>
            </w:r>
            <w:r>
              <w:rPr>
                <w:rFonts w:hint="eastAsia" w:ascii="Times New Roman" w:hAnsi="Times New Roman"/>
                <w:sz w:val="24"/>
                <w:lang w:eastAsia="zh-CN"/>
              </w:rPr>
              <w:t>，对</w:t>
            </w:r>
            <w:r>
              <w:rPr>
                <w:rFonts w:hint="default" w:ascii="Times New Roman" w:hAnsi="Times New Roman" w:cs="Times New Roman"/>
                <w:sz w:val="24"/>
                <w:lang w:val="en-US" w:eastAsia="zh-CN"/>
              </w:rPr>
              <w:t>Ⅲ</w:t>
            </w:r>
            <w:r>
              <w:rPr>
                <w:rFonts w:hint="eastAsia" w:ascii="Times New Roman" w:hAnsi="Times New Roman"/>
                <w:sz w:val="24"/>
                <w:lang w:val="en-US" w:eastAsia="zh-CN"/>
              </w:rPr>
              <w:t>类射线进行医院自主考核，</w:t>
            </w:r>
            <w:r>
              <w:rPr>
                <w:rFonts w:hint="default" w:ascii="Times New Roman" w:hAnsi="Times New Roman" w:cs="Times New Roman"/>
                <w:sz w:val="24"/>
                <w:lang w:val="en-US" w:eastAsia="zh-CN"/>
              </w:rPr>
              <w:t>Ⅱ</w:t>
            </w:r>
            <w:r>
              <w:rPr>
                <w:rFonts w:hint="eastAsia" w:ascii="Times New Roman" w:hAnsi="Times New Roman"/>
                <w:sz w:val="24"/>
                <w:lang w:val="en-US" w:eastAsia="zh-CN"/>
              </w:rPr>
              <w:t>类射线装置工作人员按照《关于核技术利用辐射安全与防护培训和考核有关事项的公告》和《关于进一步优化辐射安全考核的公告》的要求在生态环境部培训平台考试合格后上岗，</w:t>
            </w:r>
            <w:r>
              <w:rPr>
                <w:rFonts w:ascii="Times New Roman" w:hAnsi="Times New Roman"/>
                <w:sz w:val="24"/>
              </w:rPr>
              <w:t>培训</w:t>
            </w:r>
            <w:r>
              <w:rPr>
                <w:rFonts w:hint="eastAsia" w:ascii="Times New Roman" w:hAnsi="Times New Roman"/>
                <w:sz w:val="24"/>
                <w:lang w:val="en-US" w:eastAsia="zh-CN"/>
              </w:rPr>
              <w:t>考核</w:t>
            </w:r>
            <w:r>
              <w:rPr>
                <w:rFonts w:ascii="Times New Roman" w:hAnsi="Times New Roman"/>
                <w:sz w:val="24"/>
              </w:rPr>
              <w:t>合格。</w:t>
            </w:r>
            <w:r>
              <w:rPr>
                <w:rFonts w:hint="eastAsia" w:ascii="Times New Roman" w:hAnsi="Times New Roman"/>
                <w:sz w:val="24"/>
                <w:lang w:val="en-US" w:eastAsia="zh-CN"/>
              </w:rPr>
              <w:t>本项目新</w:t>
            </w:r>
            <w:r>
              <w:rPr>
                <w:rFonts w:hint="default" w:ascii="Times New Roman" w:hAnsi="Times New Roman" w:cs="Times New Roman"/>
                <w:sz w:val="24"/>
                <w:lang w:val="en-US" w:eastAsia="zh-CN"/>
              </w:rPr>
              <w:t>增</w:t>
            </w:r>
            <w:r>
              <w:rPr>
                <w:rFonts w:hint="eastAsia" w:ascii="Times New Roman" w:hAnsi="Times New Roman" w:cs="Times New Roman"/>
                <w:sz w:val="24"/>
                <w:lang w:val="en-US" w:eastAsia="zh-CN"/>
              </w:rPr>
              <w:t>将使用</w:t>
            </w:r>
            <w:r>
              <w:rPr>
                <w:rFonts w:hint="default" w:ascii="Times New Roman" w:hAnsi="Times New Roman" w:cs="Times New Roman"/>
                <w:sz w:val="24"/>
                <w:lang w:val="en-US" w:eastAsia="zh-CN"/>
              </w:rPr>
              <w:t>Ⅱ</w:t>
            </w:r>
            <w:r>
              <w:rPr>
                <w:rFonts w:hint="eastAsia" w:ascii="Times New Roman" w:hAnsi="Times New Roman"/>
                <w:sz w:val="24"/>
                <w:lang w:val="en-US" w:eastAsia="zh-CN"/>
              </w:rPr>
              <w:t>类射线装置工作人员将按照《关于核技术利用辐射安全与防护培训和考核有关事项的公告》和《关于进一步优化辐射安全考核的公告》的要求在生态环境部培训平台考试合格后上岗。</w:t>
            </w:r>
          </w:p>
          <w:p w14:paraId="5FA8A453">
            <w:pPr>
              <w:autoSpaceDE w:val="0"/>
              <w:autoSpaceDN w:val="0"/>
              <w:adjustRightInd w:val="0"/>
              <w:spacing w:line="360" w:lineRule="auto"/>
              <w:ind w:firstLine="480" w:firstLineChars="200"/>
              <w:jc w:val="left"/>
              <w:rPr>
                <w:rFonts w:ascii="Times New Roman" w:hAnsi="Times New Roman"/>
                <w:b w:val="0"/>
                <w:bCs w:val="0"/>
                <w:sz w:val="24"/>
              </w:rPr>
            </w:pPr>
            <w:r>
              <w:rPr>
                <w:rFonts w:ascii="Times New Roman" w:hAnsi="Times New Roman"/>
                <w:b w:val="0"/>
                <w:bCs w:val="0"/>
                <w:sz w:val="24"/>
              </w:rPr>
              <w:t>医院应严格按照《关于核技术利用辐射安全与防护培训和考核有关事项的公告》和《关于进一步优化辐射安全考核的公告》的要求，组织医院未考核的辐射工作人员进行学习，并通过考核；已取得辐射安全与防护考核证明文件的</w:t>
            </w:r>
            <w:r>
              <w:rPr>
                <w:rFonts w:hint="eastAsia" w:ascii="Times New Roman" w:hAnsi="Times New Roman"/>
                <w:b w:val="0"/>
                <w:bCs w:val="0"/>
                <w:sz w:val="24"/>
                <w:lang w:eastAsia="zh-CN"/>
              </w:rPr>
              <w:t>，在</w:t>
            </w:r>
            <w:r>
              <w:rPr>
                <w:rFonts w:ascii="Times New Roman" w:hAnsi="Times New Roman"/>
                <w:b w:val="0"/>
                <w:bCs w:val="0"/>
                <w:sz w:val="24"/>
              </w:rPr>
              <w:t>文件到期前，需进行再次考核，辐射安全与防护培训考核合格文件和自主考核成绩记录有效期均为五年。</w:t>
            </w:r>
          </w:p>
          <w:p w14:paraId="24DD989B">
            <w:pPr>
              <w:autoSpaceDE w:val="0"/>
              <w:autoSpaceDN w:val="0"/>
              <w:adjustRightInd w:val="0"/>
              <w:spacing w:line="360" w:lineRule="auto"/>
              <w:ind w:firstLine="482" w:firstLineChars="200"/>
              <w:jc w:val="left"/>
              <w:rPr>
                <w:rFonts w:hint="default" w:ascii="Times New Roman" w:hAnsi="Times New Roman" w:eastAsia="宋体"/>
                <w:b/>
                <w:bCs/>
                <w:sz w:val="24"/>
                <w:lang w:val="en-US" w:eastAsia="zh-CN"/>
              </w:rPr>
            </w:pPr>
            <w:r>
              <w:rPr>
                <w:rFonts w:hint="eastAsia" w:ascii="Times New Roman" w:hAnsi="Times New Roman"/>
                <w:b/>
                <w:bCs/>
                <w:sz w:val="24"/>
                <w:lang w:val="en-US" w:eastAsia="zh-CN"/>
              </w:rPr>
              <w:t>目前医院未能提供辐射工作人员培训考核情况证明。</w:t>
            </w:r>
          </w:p>
          <w:p w14:paraId="210143C5">
            <w:pPr>
              <w:spacing w:line="360" w:lineRule="auto"/>
              <w:rPr>
                <w:rFonts w:ascii="Times New Roman" w:hAnsi="Times New Roman"/>
                <w:b/>
                <w:sz w:val="24"/>
              </w:rPr>
            </w:pPr>
            <w:r>
              <w:rPr>
                <w:rFonts w:ascii="Times New Roman" w:hAnsi="Times New Roman"/>
                <w:b/>
                <w:sz w:val="24"/>
              </w:rPr>
              <w:t>（三）年度评估报告</w:t>
            </w:r>
          </w:p>
          <w:p w14:paraId="68CC8431">
            <w:pPr>
              <w:autoSpaceDE w:val="0"/>
              <w:autoSpaceDN w:val="0"/>
              <w:spacing w:line="360" w:lineRule="auto"/>
              <w:ind w:firstLine="480" w:firstLineChars="200"/>
              <w:rPr>
                <w:rFonts w:ascii="Times New Roman" w:hAnsi="Times New Roman"/>
                <w:sz w:val="24"/>
              </w:rPr>
            </w:pPr>
            <w:r>
              <w:rPr>
                <w:rFonts w:ascii="Times New Roman" w:hAnsi="Times New Roman"/>
                <w:sz w:val="24"/>
              </w:rPr>
              <w:t>医院</w:t>
            </w:r>
            <w:r>
              <w:rPr>
                <w:rFonts w:hint="eastAsia" w:ascii="Times New Roman" w:hAnsi="Times New Roman"/>
                <w:sz w:val="24"/>
                <w:lang w:val="en-US" w:eastAsia="zh-CN"/>
              </w:rPr>
              <w:t>没有在</w:t>
            </w:r>
            <w:r>
              <w:rPr>
                <w:rFonts w:ascii="Times New Roman" w:hAnsi="Times New Roman"/>
                <w:sz w:val="24"/>
              </w:rPr>
              <w:t>全国核技术利用辐射安全申报系统（http</w:t>
            </w:r>
            <w:r>
              <w:rPr>
                <w:rFonts w:hint="eastAsia" w:ascii="Times New Roman" w:hAnsi="Times New Roman"/>
                <w:sz w:val="24"/>
                <w:lang w:eastAsia="zh-CN"/>
              </w:rPr>
              <w:t>：</w:t>
            </w:r>
            <w:r>
              <w:rPr>
                <w:rFonts w:ascii="Times New Roman" w:hAnsi="Times New Roman"/>
                <w:sz w:val="24"/>
              </w:rPr>
              <w:t>//rr.mee.gov.cn/）中提交“202</w:t>
            </w:r>
            <w:r>
              <w:rPr>
                <w:rFonts w:hint="eastAsia" w:ascii="Times New Roman" w:hAnsi="Times New Roman"/>
                <w:sz w:val="24"/>
                <w:lang w:val="en-US" w:eastAsia="zh-CN"/>
              </w:rPr>
              <w:t>5</w:t>
            </w:r>
            <w:r>
              <w:rPr>
                <w:rFonts w:ascii="Times New Roman" w:hAnsi="Times New Roman"/>
                <w:sz w:val="24"/>
              </w:rPr>
              <w:t>年度四川省核技术利用单位放射性同位素与射线装置安全和防护状况年度评估报告”，</w:t>
            </w:r>
            <w:r>
              <w:rPr>
                <w:rFonts w:ascii="Times New Roman" w:hAnsi="Times New Roman"/>
                <w:b/>
                <w:bCs/>
                <w:sz w:val="24"/>
              </w:rPr>
              <w:t>医院对202</w:t>
            </w:r>
            <w:r>
              <w:rPr>
                <w:rFonts w:hint="eastAsia" w:ascii="Times New Roman" w:hAnsi="Times New Roman"/>
                <w:b/>
                <w:bCs/>
                <w:sz w:val="24"/>
                <w:lang w:val="en-US" w:eastAsia="zh-CN"/>
              </w:rPr>
              <w:t>5</w:t>
            </w:r>
            <w:r>
              <w:rPr>
                <w:rFonts w:ascii="Times New Roman" w:hAnsi="Times New Roman"/>
                <w:b/>
                <w:bCs/>
                <w:sz w:val="24"/>
              </w:rPr>
              <w:t>年度的辐射场所的安全和防护状况以及辐射管理情况进行了评估说明。由医院反馈得知，医院自取得辐射安全许可证以来，未发生过辐射安全事故，出具了无事故情况说明。</w:t>
            </w:r>
          </w:p>
          <w:p w14:paraId="0E971492">
            <w:pPr>
              <w:numPr>
                <w:ilvl w:val="0"/>
                <w:numId w:val="4"/>
              </w:numPr>
              <w:spacing w:line="360" w:lineRule="auto"/>
              <w:rPr>
                <w:rFonts w:ascii="Times New Roman" w:hAnsi="Times New Roman"/>
                <w:b/>
                <w:sz w:val="24"/>
              </w:rPr>
            </w:pPr>
            <w:r>
              <w:rPr>
                <w:rFonts w:ascii="Times New Roman" w:hAnsi="Times New Roman"/>
                <w:b/>
                <w:sz w:val="24"/>
              </w:rPr>
              <w:t>辐射管理规章制度执行情况</w:t>
            </w:r>
          </w:p>
          <w:p w14:paraId="10897AAB">
            <w:pPr>
              <w:pStyle w:val="14"/>
              <w:ind w:firstLine="480" w:firstLineChars="200"/>
              <w:rPr>
                <w:rFonts w:ascii="Times New Roman" w:hAnsi="Times New Roman"/>
              </w:rPr>
            </w:pPr>
            <w:r>
              <w:rPr>
                <w:rFonts w:ascii="Times New Roman" w:hAnsi="Times New Roman"/>
              </w:rPr>
              <w:t>根据相关文件的规定，结合医院实际情况，制定有相对完善的管理制度，包括《辐射工作人员岗位职责》、《辐射安全和防护设施维护维修制度》、《射线装置台账管理制度》、《辐射工作人员培训计划》、《辐射工作设备操作规程》、《辐射工作人员健康及个人剂量管理制度》、《辐射事故应急预案》等。医院辐射安全管理机构健全，</w:t>
            </w:r>
            <w:r>
              <w:rPr>
                <w:rFonts w:hint="eastAsia" w:ascii="Times New Roman" w:hAnsi="Times New Roman"/>
                <w:lang w:eastAsia="zh-CN"/>
              </w:rPr>
              <w:t>由</w:t>
            </w:r>
            <w:r>
              <w:rPr>
                <w:rFonts w:ascii="Times New Roman" w:hAnsi="Times New Roman"/>
              </w:rPr>
              <w:t>领导分管，人员落实，责任明确，在落实各项辐射安全规章制度后，可满足原有射线装置防护实际需要。对医院现有场所而言，医院也已具备辐射安全管理的综合能力。医院应在本项目实施后补充完善相应辐射内容，并且应根据国家发布新的相关法规内容，结合医院实际及时对各项规章制度补充修改。</w:t>
            </w:r>
          </w:p>
        </w:tc>
      </w:tr>
    </w:tbl>
    <w:p w14:paraId="6562C6ED">
      <w:pPr>
        <w:rPr>
          <w:rFonts w:ascii="Times New Roman" w:hAnsi="Times New Roman"/>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2A7738F3">
      <w:pPr>
        <w:pStyle w:val="4"/>
        <w:numPr>
          <w:ilvl w:val="2"/>
          <w:numId w:val="0"/>
        </w:numPr>
        <w:rPr>
          <w:rFonts w:ascii="Times New Roman" w:hAnsi="Times New Roman"/>
        </w:rPr>
      </w:pPr>
      <w:bookmarkStart w:id="3" w:name="_Toc4989"/>
      <w:r>
        <w:rPr>
          <w:rFonts w:ascii="Times New Roman" w:hAnsi="Times New Roman"/>
        </w:rPr>
        <w:t>表2 放射源</w:t>
      </w:r>
      <w:bookmarkEnd w:id="3"/>
    </w:p>
    <w:tbl>
      <w:tblPr>
        <w:tblStyle w:val="23"/>
        <w:tblW w:w="14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170"/>
        <w:gridCol w:w="3150"/>
        <w:gridCol w:w="780"/>
        <w:gridCol w:w="1230"/>
        <w:gridCol w:w="900"/>
        <w:gridCol w:w="2298"/>
        <w:gridCol w:w="2500"/>
        <w:gridCol w:w="1533"/>
      </w:tblGrid>
      <w:tr w14:paraId="543E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Align w:val="center"/>
          </w:tcPr>
          <w:p w14:paraId="600816BD">
            <w:pPr>
              <w:spacing w:line="312" w:lineRule="auto"/>
              <w:jc w:val="center"/>
              <w:rPr>
                <w:rFonts w:ascii="Times New Roman" w:hAnsi="Times New Roman"/>
                <w:szCs w:val="21"/>
              </w:rPr>
            </w:pPr>
            <w:r>
              <w:rPr>
                <w:rFonts w:ascii="Times New Roman" w:hAnsi="Times New Roman"/>
                <w:szCs w:val="21"/>
              </w:rPr>
              <w:t>序号</w:t>
            </w:r>
          </w:p>
        </w:tc>
        <w:tc>
          <w:tcPr>
            <w:tcW w:w="1170" w:type="dxa"/>
            <w:vAlign w:val="center"/>
          </w:tcPr>
          <w:p w14:paraId="0C5A0610">
            <w:pPr>
              <w:spacing w:line="312" w:lineRule="auto"/>
              <w:jc w:val="center"/>
              <w:rPr>
                <w:rFonts w:ascii="Times New Roman" w:hAnsi="Times New Roman"/>
                <w:szCs w:val="21"/>
              </w:rPr>
            </w:pPr>
            <w:r>
              <w:rPr>
                <w:rFonts w:ascii="Times New Roman" w:hAnsi="Times New Roman"/>
                <w:szCs w:val="21"/>
              </w:rPr>
              <w:t>核素名称</w:t>
            </w:r>
          </w:p>
        </w:tc>
        <w:tc>
          <w:tcPr>
            <w:tcW w:w="3150" w:type="dxa"/>
            <w:vAlign w:val="center"/>
          </w:tcPr>
          <w:p w14:paraId="6760F0C2">
            <w:pPr>
              <w:spacing w:line="312" w:lineRule="auto"/>
              <w:jc w:val="center"/>
              <w:rPr>
                <w:rFonts w:ascii="Times New Roman" w:hAnsi="Times New Roman"/>
                <w:szCs w:val="21"/>
              </w:rPr>
            </w:pPr>
            <w:r>
              <w:rPr>
                <w:rFonts w:ascii="Times New Roman" w:hAnsi="Times New Roman"/>
                <w:szCs w:val="21"/>
              </w:rPr>
              <w:t>总活度（Bq）/活度（Bq）×枚数</w:t>
            </w:r>
          </w:p>
        </w:tc>
        <w:tc>
          <w:tcPr>
            <w:tcW w:w="780" w:type="dxa"/>
            <w:vAlign w:val="center"/>
          </w:tcPr>
          <w:p w14:paraId="2CB7DFF4">
            <w:pPr>
              <w:spacing w:line="312" w:lineRule="auto"/>
              <w:jc w:val="center"/>
              <w:rPr>
                <w:rFonts w:ascii="Times New Roman" w:hAnsi="Times New Roman"/>
                <w:szCs w:val="21"/>
              </w:rPr>
            </w:pPr>
            <w:r>
              <w:rPr>
                <w:rFonts w:ascii="Times New Roman" w:hAnsi="Times New Roman"/>
                <w:szCs w:val="21"/>
              </w:rPr>
              <w:t>类别</w:t>
            </w:r>
          </w:p>
        </w:tc>
        <w:tc>
          <w:tcPr>
            <w:tcW w:w="1230" w:type="dxa"/>
            <w:vAlign w:val="center"/>
          </w:tcPr>
          <w:p w14:paraId="25F92410">
            <w:pPr>
              <w:spacing w:line="312" w:lineRule="auto"/>
              <w:jc w:val="center"/>
              <w:rPr>
                <w:rFonts w:ascii="Times New Roman" w:hAnsi="Times New Roman"/>
                <w:szCs w:val="21"/>
              </w:rPr>
            </w:pPr>
            <w:r>
              <w:rPr>
                <w:rFonts w:ascii="Times New Roman" w:hAnsi="Times New Roman"/>
                <w:szCs w:val="21"/>
              </w:rPr>
              <w:t>活动种类</w:t>
            </w:r>
          </w:p>
        </w:tc>
        <w:tc>
          <w:tcPr>
            <w:tcW w:w="900" w:type="dxa"/>
            <w:vAlign w:val="center"/>
          </w:tcPr>
          <w:p w14:paraId="718C154D">
            <w:pPr>
              <w:spacing w:line="312" w:lineRule="auto"/>
              <w:jc w:val="center"/>
              <w:rPr>
                <w:rFonts w:ascii="Times New Roman" w:hAnsi="Times New Roman"/>
                <w:szCs w:val="21"/>
              </w:rPr>
            </w:pPr>
            <w:r>
              <w:rPr>
                <w:rFonts w:ascii="Times New Roman" w:hAnsi="Times New Roman"/>
                <w:szCs w:val="21"/>
              </w:rPr>
              <w:t>用途</w:t>
            </w:r>
          </w:p>
        </w:tc>
        <w:tc>
          <w:tcPr>
            <w:tcW w:w="2298" w:type="dxa"/>
            <w:vAlign w:val="center"/>
          </w:tcPr>
          <w:p w14:paraId="5A734DFF">
            <w:pPr>
              <w:spacing w:line="312" w:lineRule="auto"/>
              <w:jc w:val="center"/>
              <w:rPr>
                <w:rFonts w:ascii="Times New Roman" w:hAnsi="Times New Roman"/>
                <w:szCs w:val="21"/>
              </w:rPr>
            </w:pPr>
            <w:r>
              <w:rPr>
                <w:rFonts w:ascii="Times New Roman" w:hAnsi="Times New Roman"/>
                <w:szCs w:val="21"/>
              </w:rPr>
              <w:t>使用场所</w:t>
            </w:r>
          </w:p>
        </w:tc>
        <w:tc>
          <w:tcPr>
            <w:tcW w:w="2500" w:type="dxa"/>
            <w:vAlign w:val="center"/>
          </w:tcPr>
          <w:p w14:paraId="6BAB6AAB">
            <w:pPr>
              <w:spacing w:line="312" w:lineRule="auto"/>
              <w:jc w:val="center"/>
              <w:rPr>
                <w:rFonts w:ascii="Times New Roman" w:hAnsi="Times New Roman"/>
                <w:szCs w:val="21"/>
              </w:rPr>
            </w:pPr>
            <w:r>
              <w:rPr>
                <w:rFonts w:ascii="Times New Roman" w:hAnsi="Times New Roman"/>
                <w:szCs w:val="21"/>
              </w:rPr>
              <w:t>贮存方式与地点</w:t>
            </w:r>
          </w:p>
        </w:tc>
        <w:tc>
          <w:tcPr>
            <w:tcW w:w="1533" w:type="dxa"/>
            <w:vAlign w:val="center"/>
          </w:tcPr>
          <w:p w14:paraId="1C9D64E4">
            <w:pPr>
              <w:spacing w:line="312" w:lineRule="auto"/>
              <w:jc w:val="center"/>
              <w:rPr>
                <w:rFonts w:ascii="Times New Roman" w:hAnsi="Times New Roman"/>
                <w:szCs w:val="21"/>
              </w:rPr>
            </w:pPr>
            <w:r>
              <w:rPr>
                <w:rFonts w:ascii="Times New Roman" w:hAnsi="Times New Roman"/>
                <w:szCs w:val="21"/>
              </w:rPr>
              <w:t>备注</w:t>
            </w:r>
          </w:p>
        </w:tc>
      </w:tr>
      <w:tr w14:paraId="7751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737" w:type="dxa"/>
            <w:tcBorders>
              <w:bottom w:val="single" w:color="auto" w:sz="4" w:space="0"/>
            </w:tcBorders>
            <w:vAlign w:val="center"/>
          </w:tcPr>
          <w:p w14:paraId="273EDE98">
            <w:pPr>
              <w:spacing w:line="312" w:lineRule="auto"/>
              <w:jc w:val="center"/>
              <w:rPr>
                <w:rFonts w:ascii="Times New Roman" w:hAnsi="Times New Roman"/>
                <w:szCs w:val="21"/>
              </w:rPr>
            </w:pPr>
            <w:r>
              <w:rPr>
                <w:rFonts w:ascii="Times New Roman" w:hAnsi="Times New Roman"/>
                <w:szCs w:val="21"/>
              </w:rPr>
              <w:t>—</w:t>
            </w:r>
          </w:p>
        </w:tc>
        <w:tc>
          <w:tcPr>
            <w:tcW w:w="1170" w:type="dxa"/>
            <w:tcBorders>
              <w:bottom w:val="single" w:color="auto" w:sz="4" w:space="0"/>
            </w:tcBorders>
            <w:vAlign w:val="center"/>
          </w:tcPr>
          <w:p w14:paraId="6F4EAF83">
            <w:pPr>
              <w:spacing w:line="312" w:lineRule="auto"/>
              <w:jc w:val="center"/>
              <w:rPr>
                <w:rFonts w:ascii="Times New Roman" w:hAnsi="Times New Roman"/>
                <w:szCs w:val="21"/>
              </w:rPr>
            </w:pPr>
            <w:r>
              <w:rPr>
                <w:rFonts w:ascii="Times New Roman" w:hAnsi="Times New Roman"/>
                <w:szCs w:val="21"/>
              </w:rPr>
              <w:t>—</w:t>
            </w:r>
          </w:p>
        </w:tc>
        <w:tc>
          <w:tcPr>
            <w:tcW w:w="3150" w:type="dxa"/>
            <w:tcBorders>
              <w:bottom w:val="single" w:color="auto" w:sz="4" w:space="0"/>
            </w:tcBorders>
            <w:vAlign w:val="center"/>
          </w:tcPr>
          <w:p w14:paraId="2A9AB1F7">
            <w:pPr>
              <w:spacing w:line="312" w:lineRule="auto"/>
              <w:jc w:val="center"/>
              <w:rPr>
                <w:rFonts w:ascii="Times New Roman" w:hAnsi="Times New Roman"/>
                <w:szCs w:val="21"/>
              </w:rPr>
            </w:pPr>
            <w:r>
              <w:rPr>
                <w:rFonts w:ascii="Times New Roman" w:hAnsi="Times New Roman"/>
                <w:szCs w:val="21"/>
              </w:rPr>
              <w:t>—</w:t>
            </w:r>
          </w:p>
        </w:tc>
        <w:tc>
          <w:tcPr>
            <w:tcW w:w="780" w:type="dxa"/>
            <w:tcBorders>
              <w:bottom w:val="single" w:color="auto" w:sz="4" w:space="0"/>
            </w:tcBorders>
            <w:vAlign w:val="center"/>
          </w:tcPr>
          <w:p w14:paraId="43584B59">
            <w:pPr>
              <w:spacing w:line="312" w:lineRule="auto"/>
              <w:jc w:val="center"/>
              <w:rPr>
                <w:rFonts w:ascii="Times New Roman" w:hAnsi="Times New Roman"/>
                <w:szCs w:val="21"/>
              </w:rPr>
            </w:pPr>
            <w:r>
              <w:rPr>
                <w:rFonts w:ascii="Times New Roman" w:hAnsi="Times New Roman"/>
                <w:szCs w:val="21"/>
              </w:rPr>
              <w:t>—</w:t>
            </w:r>
          </w:p>
        </w:tc>
        <w:tc>
          <w:tcPr>
            <w:tcW w:w="1230" w:type="dxa"/>
            <w:tcBorders>
              <w:bottom w:val="single" w:color="auto" w:sz="4" w:space="0"/>
            </w:tcBorders>
            <w:vAlign w:val="center"/>
          </w:tcPr>
          <w:p w14:paraId="520EC00F">
            <w:pPr>
              <w:spacing w:line="312" w:lineRule="auto"/>
              <w:jc w:val="center"/>
              <w:rPr>
                <w:rFonts w:ascii="Times New Roman" w:hAnsi="Times New Roman"/>
                <w:szCs w:val="21"/>
              </w:rPr>
            </w:pPr>
            <w:r>
              <w:rPr>
                <w:rFonts w:ascii="Times New Roman" w:hAnsi="Times New Roman"/>
                <w:szCs w:val="21"/>
              </w:rPr>
              <w:t>—</w:t>
            </w:r>
          </w:p>
        </w:tc>
        <w:tc>
          <w:tcPr>
            <w:tcW w:w="900" w:type="dxa"/>
            <w:tcBorders>
              <w:bottom w:val="single" w:color="auto" w:sz="4" w:space="0"/>
            </w:tcBorders>
            <w:vAlign w:val="center"/>
          </w:tcPr>
          <w:p w14:paraId="524D8B35">
            <w:pPr>
              <w:spacing w:line="312" w:lineRule="auto"/>
              <w:jc w:val="center"/>
              <w:rPr>
                <w:rFonts w:ascii="Times New Roman" w:hAnsi="Times New Roman"/>
                <w:szCs w:val="21"/>
              </w:rPr>
            </w:pPr>
            <w:r>
              <w:rPr>
                <w:rFonts w:ascii="Times New Roman" w:hAnsi="Times New Roman"/>
                <w:szCs w:val="21"/>
              </w:rPr>
              <w:t>—</w:t>
            </w:r>
          </w:p>
        </w:tc>
        <w:tc>
          <w:tcPr>
            <w:tcW w:w="2298" w:type="dxa"/>
            <w:tcBorders>
              <w:bottom w:val="single" w:color="auto" w:sz="4" w:space="0"/>
            </w:tcBorders>
            <w:vAlign w:val="center"/>
          </w:tcPr>
          <w:p w14:paraId="4DB8C9FA">
            <w:pPr>
              <w:spacing w:line="312" w:lineRule="auto"/>
              <w:jc w:val="center"/>
              <w:rPr>
                <w:rFonts w:ascii="Times New Roman" w:hAnsi="Times New Roman"/>
                <w:szCs w:val="21"/>
              </w:rPr>
            </w:pPr>
            <w:r>
              <w:rPr>
                <w:rFonts w:ascii="Times New Roman" w:hAnsi="Times New Roman"/>
                <w:szCs w:val="21"/>
              </w:rPr>
              <w:t>—</w:t>
            </w:r>
          </w:p>
        </w:tc>
        <w:tc>
          <w:tcPr>
            <w:tcW w:w="2500" w:type="dxa"/>
            <w:tcBorders>
              <w:bottom w:val="single" w:color="auto" w:sz="4" w:space="0"/>
            </w:tcBorders>
            <w:vAlign w:val="center"/>
          </w:tcPr>
          <w:p w14:paraId="6083F21B">
            <w:pPr>
              <w:spacing w:line="312" w:lineRule="auto"/>
              <w:jc w:val="center"/>
              <w:rPr>
                <w:rFonts w:ascii="Times New Roman" w:hAnsi="Times New Roman"/>
                <w:szCs w:val="21"/>
              </w:rPr>
            </w:pPr>
            <w:r>
              <w:rPr>
                <w:rFonts w:ascii="Times New Roman" w:hAnsi="Times New Roman"/>
                <w:szCs w:val="21"/>
              </w:rPr>
              <w:t>—</w:t>
            </w:r>
          </w:p>
        </w:tc>
        <w:tc>
          <w:tcPr>
            <w:tcW w:w="1533" w:type="dxa"/>
            <w:tcBorders>
              <w:bottom w:val="single" w:color="auto" w:sz="4" w:space="0"/>
            </w:tcBorders>
            <w:vAlign w:val="center"/>
          </w:tcPr>
          <w:p w14:paraId="1D7B506B">
            <w:pPr>
              <w:spacing w:line="312" w:lineRule="auto"/>
              <w:jc w:val="center"/>
              <w:rPr>
                <w:rFonts w:ascii="Times New Roman" w:hAnsi="Times New Roman"/>
                <w:szCs w:val="21"/>
              </w:rPr>
            </w:pPr>
            <w:r>
              <w:rPr>
                <w:rFonts w:ascii="Times New Roman" w:hAnsi="Times New Roman"/>
                <w:szCs w:val="21"/>
              </w:rPr>
              <w:t>—</w:t>
            </w:r>
          </w:p>
        </w:tc>
      </w:tr>
      <w:tr w14:paraId="61EA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37" w:type="dxa"/>
            <w:tcBorders>
              <w:top w:val="single" w:color="auto" w:sz="4" w:space="0"/>
              <w:bottom w:val="single" w:color="auto" w:sz="4" w:space="0"/>
            </w:tcBorders>
            <w:vAlign w:val="center"/>
          </w:tcPr>
          <w:p w14:paraId="6DF175C5">
            <w:pPr>
              <w:spacing w:line="312" w:lineRule="auto"/>
              <w:jc w:val="center"/>
              <w:rPr>
                <w:rFonts w:ascii="Times New Roman" w:hAnsi="Times New Roman"/>
                <w:szCs w:val="21"/>
              </w:rPr>
            </w:pPr>
            <w:r>
              <w:rPr>
                <w:rFonts w:ascii="Times New Roman" w:hAnsi="Times New Roman"/>
                <w:szCs w:val="21"/>
              </w:rPr>
              <w:t>—</w:t>
            </w:r>
          </w:p>
        </w:tc>
        <w:tc>
          <w:tcPr>
            <w:tcW w:w="1170" w:type="dxa"/>
            <w:tcBorders>
              <w:top w:val="single" w:color="auto" w:sz="4" w:space="0"/>
              <w:bottom w:val="single" w:color="auto" w:sz="4" w:space="0"/>
            </w:tcBorders>
            <w:vAlign w:val="center"/>
          </w:tcPr>
          <w:p w14:paraId="5D0A09A3">
            <w:pPr>
              <w:spacing w:line="312" w:lineRule="auto"/>
              <w:jc w:val="center"/>
              <w:rPr>
                <w:rFonts w:ascii="Times New Roman" w:hAnsi="Times New Roman"/>
                <w:szCs w:val="21"/>
              </w:rPr>
            </w:pPr>
            <w:r>
              <w:rPr>
                <w:rFonts w:ascii="Times New Roman" w:hAnsi="Times New Roman"/>
                <w:szCs w:val="21"/>
              </w:rPr>
              <w:t>—</w:t>
            </w:r>
          </w:p>
        </w:tc>
        <w:tc>
          <w:tcPr>
            <w:tcW w:w="3150" w:type="dxa"/>
            <w:tcBorders>
              <w:top w:val="single" w:color="auto" w:sz="4" w:space="0"/>
              <w:bottom w:val="single" w:color="auto" w:sz="4" w:space="0"/>
            </w:tcBorders>
            <w:vAlign w:val="center"/>
          </w:tcPr>
          <w:p w14:paraId="035A5D7A">
            <w:pPr>
              <w:spacing w:line="312" w:lineRule="auto"/>
              <w:jc w:val="center"/>
              <w:rPr>
                <w:rFonts w:ascii="Times New Roman" w:hAnsi="Times New Roman"/>
                <w:szCs w:val="21"/>
              </w:rPr>
            </w:pPr>
            <w:r>
              <w:rPr>
                <w:rFonts w:ascii="Times New Roman" w:hAnsi="Times New Roman"/>
                <w:szCs w:val="21"/>
              </w:rPr>
              <w:t>—</w:t>
            </w:r>
          </w:p>
        </w:tc>
        <w:tc>
          <w:tcPr>
            <w:tcW w:w="780" w:type="dxa"/>
            <w:tcBorders>
              <w:top w:val="single" w:color="auto" w:sz="4" w:space="0"/>
              <w:bottom w:val="single" w:color="auto" w:sz="4" w:space="0"/>
            </w:tcBorders>
            <w:vAlign w:val="center"/>
          </w:tcPr>
          <w:p w14:paraId="773C825D">
            <w:pPr>
              <w:spacing w:line="312" w:lineRule="auto"/>
              <w:jc w:val="center"/>
              <w:rPr>
                <w:rFonts w:ascii="Times New Roman" w:hAnsi="Times New Roman"/>
                <w:szCs w:val="21"/>
              </w:rPr>
            </w:pPr>
            <w:r>
              <w:rPr>
                <w:rFonts w:ascii="Times New Roman" w:hAnsi="Times New Roman"/>
                <w:szCs w:val="21"/>
              </w:rPr>
              <w:t>—</w:t>
            </w:r>
          </w:p>
        </w:tc>
        <w:tc>
          <w:tcPr>
            <w:tcW w:w="1230" w:type="dxa"/>
            <w:tcBorders>
              <w:top w:val="single" w:color="auto" w:sz="4" w:space="0"/>
              <w:bottom w:val="single" w:color="auto" w:sz="4" w:space="0"/>
            </w:tcBorders>
            <w:vAlign w:val="center"/>
          </w:tcPr>
          <w:p w14:paraId="15D33F11">
            <w:pPr>
              <w:spacing w:line="312" w:lineRule="auto"/>
              <w:jc w:val="center"/>
              <w:rPr>
                <w:rFonts w:ascii="Times New Roman" w:hAnsi="Times New Roman"/>
                <w:szCs w:val="21"/>
              </w:rPr>
            </w:pPr>
            <w:r>
              <w:rPr>
                <w:rFonts w:ascii="Times New Roman" w:hAnsi="Times New Roman"/>
                <w:szCs w:val="21"/>
              </w:rPr>
              <w:t>—</w:t>
            </w:r>
          </w:p>
        </w:tc>
        <w:tc>
          <w:tcPr>
            <w:tcW w:w="900" w:type="dxa"/>
            <w:tcBorders>
              <w:top w:val="single" w:color="auto" w:sz="4" w:space="0"/>
              <w:bottom w:val="single" w:color="auto" w:sz="4" w:space="0"/>
            </w:tcBorders>
            <w:vAlign w:val="center"/>
          </w:tcPr>
          <w:p w14:paraId="12E5B26C">
            <w:pPr>
              <w:spacing w:line="312" w:lineRule="auto"/>
              <w:jc w:val="center"/>
              <w:rPr>
                <w:rFonts w:ascii="Times New Roman" w:hAnsi="Times New Roman"/>
                <w:szCs w:val="21"/>
              </w:rPr>
            </w:pPr>
            <w:r>
              <w:rPr>
                <w:rFonts w:ascii="Times New Roman" w:hAnsi="Times New Roman"/>
                <w:szCs w:val="21"/>
              </w:rPr>
              <w:t>—</w:t>
            </w:r>
          </w:p>
        </w:tc>
        <w:tc>
          <w:tcPr>
            <w:tcW w:w="2298" w:type="dxa"/>
            <w:tcBorders>
              <w:top w:val="single" w:color="auto" w:sz="4" w:space="0"/>
              <w:bottom w:val="single" w:color="auto" w:sz="4" w:space="0"/>
            </w:tcBorders>
            <w:vAlign w:val="center"/>
          </w:tcPr>
          <w:p w14:paraId="36D9B463">
            <w:pPr>
              <w:spacing w:line="312" w:lineRule="auto"/>
              <w:jc w:val="center"/>
              <w:rPr>
                <w:rFonts w:ascii="Times New Roman" w:hAnsi="Times New Roman"/>
                <w:szCs w:val="21"/>
              </w:rPr>
            </w:pPr>
            <w:r>
              <w:rPr>
                <w:rFonts w:ascii="Times New Roman" w:hAnsi="Times New Roman"/>
                <w:szCs w:val="21"/>
              </w:rPr>
              <w:t>—</w:t>
            </w:r>
          </w:p>
        </w:tc>
        <w:tc>
          <w:tcPr>
            <w:tcW w:w="2500" w:type="dxa"/>
            <w:tcBorders>
              <w:top w:val="single" w:color="auto" w:sz="4" w:space="0"/>
              <w:bottom w:val="single" w:color="auto" w:sz="4" w:space="0"/>
            </w:tcBorders>
            <w:vAlign w:val="center"/>
          </w:tcPr>
          <w:p w14:paraId="69AF24C3">
            <w:pPr>
              <w:spacing w:line="312" w:lineRule="auto"/>
              <w:jc w:val="center"/>
              <w:rPr>
                <w:rFonts w:ascii="Times New Roman" w:hAnsi="Times New Roman"/>
                <w:szCs w:val="21"/>
              </w:rPr>
            </w:pPr>
            <w:r>
              <w:rPr>
                <w:rFonts w:ascii="Times New Roman" w:hAnsi="Times New Roman"/>
                <w:szCs w:val="21"/>
              </w:rPr>
              <w:t>—</w:t>
            </w:r>
          </w:p>
        </w:tc>
        <w:tc>
          <w:tcPr>
            <w:tcW w:w="1533" w:type="dxa"/>
            <w:tcBorders>
              <w:top w:val="single" w:color="auto" w:sz="4" w:space="0"/>
              <w:bottom w:val="single" w:color="auto" w:sz="4" w:space="0"/>
            </w:tcBorders>
            <w:vAlign w:val="center"/>
          </w:tcPr>
          <w:p w14:paraId="7F92DBD6">
            <w:pPr>
              <w:spacing w:line="312" w:lineRule="auto"/>
              <w:jc w:val="center"/>
              <w:rPr>
                <w:rFonts w:ascii="Times New Roman" w:hAnsi="Times New Roman"/>
                <w:szCs w:val="21"/>
              </w:rPr>
            </w:pPr>
            <w:r>
              <w:rPr>
                <w:rFonts w:ascii="Times New Roman" w:hAnsi="Times New Roman"/>
                <w:szCs w:val="21"/>
              </w:rPr>
              <w:t>—</w:t>
            </w:r>
          </w:p>
        </w:tc>
      </w:tr>
    </w:tbl>
    <w:p w14:paraId="14E6C013">
      <w:pPr>
        <w:adjustRightInd w:val="0"/>
        <w:spacing w:line="360" w:lineRule="atLeast"/>
        <w:jc w:val="left"/>
        <w:rPr>
          <w:rFonts w:ascii="Times New Roman" w:hAnsi="Times New Roman"/>
          <w:kern w:val="0"/>
          <w:sz w:val="18"/>
          <w:szCs w:val="18"/>
        </w:rPr>
      </w:pPr>
      <w:r>
        <w:rPr>
          <w:rFonts w:ascii="Times New Roman" w:hAnsi="Times New Roman"/>
          <w:kern w:val="0"/>
          <w:sz w:val="18"/>
          <w:szCs w:val="18"/>
        </w:rPr>
        <w:t>注：放射源包括放射性中子源，对其要说明是何种核素以及产生的中子流强度（n/s）。</w:t>
      </w:r>
    </w:p>
    <w:p w14:paraId="0D272F7C">
      <w:pPr>
        <w:pStyle w:val="4"/>
        <w:numPr>
          <w:ilvl w:val="2"/>
          <w:numId w:val="0"/>
        </w:numPr>
        <w:rPr>
          <w:rFonts w:ascii="Times New Roman" w:hAnsi="Times New Roman"/>
        </w:rPr>
      </w:pPr>
      <w:bookmarkStart w:id="4" w:name="_Toc10560"/>
      <w:r>
        <w:rPr>
          <w:rFonts w:ascii="Times New Roman" w:hAnsi="Times New Roman"/>
        </w:rPr>
        <w:t>表3 非密封放射性物质</w:t>
      </w:r>
      <w:bookmarkEnd w:id="4"/>
    </w:p>
    <w:tbl>
      <w:tblPr>
        <w:tblStyle w:val="23"/>
        <w:tblW w:w="14345" w:type="dxa"/>
        <w:jc w:val="center"/>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211"/>
        <w:gridCol w:w="1416"/>
        <w:gridCol w:w="884"/>
        <w:gridCol w:w="1566"/>
        <w:gridCol w:w="1417"/>
        <w:gridCol w:w="1571"/>
        <w:gridCol w:w="1112"/>
        <w:gridCol w:w="734"/>
        <w:gridCol w:w="1961"/>
        <w:gridCol w:w="1734"/>
      </w:tblGrid>
      <w:tr w14:paraId="45A9DF7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39" w:type="dxa"/>
            <w:vAlign w:val="center"/>
          </w:tcPr>
          <w:p w14:paraId="650AB270">
            <w:pPr>
              <w:jc w:val="center"/>
              <w:rPr>
                <w:rFonts w:ascii="Times New Roman" w:hAnsi="Times New Roman"/>
                <w:szCs w:val="21"/>
              </w:rPr>
            </w:pPr>
            <w:r>
              <w:rPr>
                <w:rFonts w:ascii="Times New Roman" w:hAnsi="Times New Roman"/>
                <w:szCs w:val="21"/>
              </w:rPr>
              <w:t>序号</w:t>
            </w:r>
          </w:p>
        </w:tc>
        <w:tc>
          <w:tcPr>
            <w:tcW w:w="1211" w:type="dxa"/>
            <w:vAlign w:val="center"/>
          </w:tcPr>
          <w:p w14:paraId="57387A8C">
            <w:pPr>
              <w:jc w:val="center"/>
              <w:rPr>
                <w:rFonts w:ascii="Times New Roman" w:hAnsi="Times New Roman"/>
                <w:szCs w:val="21"/>
              </w:rPr>
            </w:pPr>
            <w:r>
              <w:rPr>
                <w:rFonts w:ascii="Times New Roman" w:hAnsi="Times New Roman"/>
                <w:szCs w:val="21"/>
              </w:rPr>
              <w:t>核素名称</w:t>
            </w:r>
          </w:p>
        </w:tc>
        <w:tc>
          <w:tcPr>
            <w:tcW w:w="1416" w:type="dxa"/>
            <w:vAlign w:val="center"/>
          </w:tcPr>
          <w:p w14:paraId="2C312DBC">
            <w:pPr>
              <w:jc w:val="center"/>
              <w:rPr>
                <w:rFonts w:ascii="Times New Roman" w:hAnsi="Times New Roman"/>
                <w:szCs w:val="21"/>
              </w:rPr>
            </w:pPr>
            <w:r>
              <w:rPr>
                <w:rFonts w:ascii="Times New Roman" w:hAnsi="Times New Roman"/>
                <w:szCs w:val="21"/>
              </w:rPr>
              <w:t>理化性质</w:t>
            </w:r>
          </w:p>
        </w:tc>
        <w:tc>
          <w:tcPr>
            <w:tcW w:w="884" w:type="dxa"/>
            <w:vAlign w:val="center"/>
          </w:tcPr>
          <w:p w14:paraId="1C99F374">
            <w:pPr>
              <w:jc w:val="center"/>
              <w:rPr>
                <w:rFonts w:ascii="Times New Roman" w:hAnsi="Times New Roman"/>
                <w:szCs w:val="21"/>
              </w:rPr>
            </w:pPr>
            <w:r>
              <w:rPr>
                <w:rFonts w:ascii="Times New Roman" w:hAnsi="Times New Roman"/>
                <w:szCs w:val="21"/>
              </w:rPr>
              <w:t>活动</w:t>
            </w:r>
          </w:p>
          <w:p w14:paraId="44FBA507">
            <w:pPr>
              <w:jc w:val="center"/>
              <w:rPr>
                <w:rFonts w:ascii="Times New Roman" w:hAnsi="Times New Roman"/>
                <w:szCs w:val="21"/>
              </w:rPr>
            </w:pPr>
            <w:r>
              <w:rPr>
                <w:rFonts w:ascii="Times New Roman" w:hAnsi="Times New Roman"/>
                <w:szCs w:val="21"/>
              </w:rPr>
              <w:t>种类</w:t>
            </w:r>
          </w:p>
        </w:tc>
        <w:tc>
          <w:tcPr>
            <w:tcW w:w="1566" w:type="dxa"/>
            <w:vAlign w:val="center"/>
          </w:tcPr>
          <w:p w14:paraId="3DB6E621">
            <w:pPr>
              <w:jc w:val="center"/>
              <w:rPr>
                <w:rFonts w:ascii="Times New Roman" w:hAnsi="Times New Roman"/>
                <w:szCs w:val="21"/>
              </w:rPr>
            </w:pPr>
            <w:r>
              <w:rPr>
                <w:rFonts w:ascii="Times New Roman" w:hAnsi="Times New Roman"/>
                <w:szCs w:val="21"/>
              </w:rPr>
              <w:t>实际日最大操作量（Bq）</w:t>
            </w:r>
          </w:p>
        </w:tc>
        <w:tc>
          <w:tcPr>
            <w:tcW w:w="1417" w:type="dxa"/>
            <w:vAlign w:val="center"/>
          </w:tcPr>
          <w:p w14:paraId="7E7A4682">
            <w:pPr>
              <w:jc w:val="center"/>
              <w:rPr>
                <w:rFonts w:ascii="Times New Roman" w:hAnsi="Times New Roman"/>
                <w:szCs w:val="21"/>
              </w:rPr>
            </w:pPr>
            <w:r>
              <w:rPr>
                <w:rFonts w:ascii="Times New Roman" w:hAnsi="Times New Roman"/>
                <w:szCs w:val="21"/>
              </w:rPr>
              <w:t>日等效最大操作量（Bq）</w:t>
            </w:r>
          </w:p>
        </w:tc>
        <w:tc>
          <w:tcPr>
            <w:tcW w:w="1571" w:type="dxa"/>
            <w:vAlign w:val="center"/>
          </w:tcPr>
          <w:p w14:paraId="4E481777">
            <w:pPr>
              <w:jc w:val="center"/>
              <w:rPr>
                <w:rFonts w:ascii="Times New Roman" w:hAnsi="Times New Roman"/>
                <w:szCs w:val="21"/>
              </w:rPr>
            </w:pPr>
            <w:r>
              <w:rPr>
                <w:rFonts w:ascii="Times New Roman" w:hAnsi="Times New Roman"/>
                <w:szCs w:val="21"/>
              </w:rPr>
              <w:t>年最大用量（Bq）</w:t>
            </w:r>
          </w:p>
        </w:tc>
        <w:tc>
          <w:tcPr>
            <w:tcW w:w="1112" w:type="dxa"/>
            <w:vAlign w:val="center"/>
          </w:tcPr>
          <w:p w14:paraId="26720465">
            <w:pPr>
              <w:jc w:val="center"/>
              <w:rPr>
                <w:rFonts w:ascii="Times New Roman" w:hAnsi="Times New Roman"/>
                <w:szCs w:val="21"/>
              </w:rPr>
            </w:pPr>
            <w:r>
              <w:rPr>
                <w:rFonts w:ascii="Times New Roman" w:hAnsi="Times New Roman"/>
                <w:szCs w:val="21"/>
              </w:rPr>
              <w:t>用途</w:t>
            </w:r>
          </w:p>
        </w:tc>
        <w:tc>
          <w:tcPr>
            <w:tcW w:w="734" w:type="dxa"/>
            <w:vAlign w:val="center"/>
          </w:tcPr>
          <w:p w14:paraId="01F75B37">
            <w:pPr>
              <w:jc w:val="center"/>
              <w:rPr>
                <w:rFonts w:ascii="Times New Roman" w:hAnsi="Times New Roman"/>
                <w:szCs w:val="21"/>
              </w:rPr>
            </w:pPr>
            <w:r>
              <w:rPr>
                <w:rFonts w:ascii="Times New Roman" w:hAnsi="Times New Roman"/>
                <w:szCs w:val="21"/>
              </w:rPr>
              <w:t>操作方式</w:t>
            </w:r>
          </w:p>
        </w:tc>
        <w:tc>
          <w:tcPr>
            <w:tcW w:w="1961" w:type="dxa"/>
            <w:vAlign w:val="center"/>
          </w:tcPr>
          <w:p w14:paraId="5CEEA9A9">
            <w:pPr>
              <w:jc w:val="center"/>
              <w:rPr>
                <w:rFonts w:ascii="Times New Roman" w:hAnsi="Times New Roman"/>
                <w:szCs w:val="21"/>
              </w:rPr>
            </w:pPr>
            <w:r>
              <w:rPr>
                <w:rFonts w:ascii="Times New Roman" w:hAnsi="Times New Roman"/>
                <w:szCs w:val="21"/>
              </w:rPr>
              <w:t>使用场所</w:t>
            </w:r>
          </w:p>
        </w:tc>
        <w:tc>
          <w:tcPr>
            <w:tcW w:w="1734" w:type="dxa"/>
            <w:vAlign w:val="center"/>
          </w:tcPr>
          <w:p w14:paraId="5960AC82">
            <w:pPr>
              <w:jc w:val="center"/>
              <w:rPr>
                <w:rFonts w:ascii="Times New Roman" w:hAnsi="Times New Roman"/>
                <w:szCs w:val="21"/>
              </w:rPr>
            </w:pPr>
            <w:r>
              <w:rPr>
                <w:rFonts w:ascii="Times New Roman" w:hAnsi="Times New Roman"/>
                <w:szCs w:val="21"/>
              </w:rPr>
              <w:t>贮存方式与地点</w:t>
            </w:r>
          </w:p>
        </w:tc>
      </w:tr>
      <w:tr w14:paraId="7321DF2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739" w:type="dxa"/>
            <w:tcBorders>
              <w:bottom w:val="single" w:color="auto" w:sz="4" w:space="0"/>
            </w:tcBorders>
            <w:vAlign w:val="center"/>
          </w:tcPr>
          <w:p w14:paraId="272AAE0B">
            <w:pPr>
              <w:spacing w:line="312" w:lineRule="auto"/>
              <w:jc w:val="center"/>
              <w:rPr>
                <w:rFonts w:ascii="Times New Roman" w:hAnsi="Times New Roman"/>
                <w:szCs w:val="21"/>
              </w:rPr>
            </w:pPr>
            <w:r>
              <w:rPr>
                <w:rFonts w:ascii="Times New Roman" w:hAnsi="Times New Roman"/>
                <w:szCs w:val="21"/>
              </w:rPr>
              <w:t>—</w:t>
            </w:r>
          </w:p>
        </w:tc>
        <w:tc>
          <w:tcPr>
            <w:tcW w:w="1211" w:type="dxa"/>
            <w:tcBorders>
              <w:bottom w:val="single" w:color="auto" w:sz="4" w:space="0"/>
            </w:tcBorders>
            <w:vAlign w:val="center"/>
          </w:tcPr>
          <w:p w14:paraId="5A43D494">
            <w:pPr>
              <w:spacing w:line="312" w:lineRule="auto"/>
              <w:jc w:val="center"/>
              <w:rPr>
                <w:rFonts w:ascii="Times New Roman" w:hAnsi="Times New Roman"/>
                <w:szCs w:val="21"/>
              </w:rPr>
            </w:pPr>
            <w:r>
              <w:rPr>
                <w:rFonts w:ascii="Times New Roman" w:hAnsi="Times New Roman"/>
                <w:szCs w:val="21"/>
              </w:rPr>
              <w:t>—</w:t>
            </w:r>
          </w:p>
        </w:tc>
        <w:tc>
          <w:tcPr>
            <w:tcW w:w="1416" w:type="dxa"/>
            <w:tcBorders>
              <w:bottom w:val="single" w:color="auto" w:sz="4" w:space="0"/>
            </w:tcBorders>
            <w:vAlign w:val="center"/>
          </w:tcPr>
          <w:p w14:paraId="08B86703">
            <w:pPr>
              <w:spacing w:line="312" w:lineRule="auto"/>
              <w:jc w:val="center"/>
              <w:rPr>
                <w:rFonts w:ascii="Times New Roman" w:hAnsi="Times New Roman"/>
                <w:szCs w:val="21"/>
              </w:rPr>
            </w:pPr>
            <w:r>
              <w:rPr>
                <w:rFonts w:ascii="Times New Roman" w:hAnsi="Times New Roman"/>
                <w:szCs w:val="21"/>
              </w:rPr>
              <w:t>—</w:t>
            </w:r>
          </w:p>
        </w:tc>
        <w:tc>
          <w:tcPr>
            <w:tcW w:w="884" w:type="dxa"/>
            <w:tcBorders>
              <w:bottom w:val="single" w:color="auto" w:sz="4" w:space="0"/>
            </w:tcBorders>
            <w:vAlign w:val="center"/>
          </w:tcPr>
          <w:p w14:paraId="3A253F59">
            <w:pPr>
              <w:spacing w:line="312" w:lineRule="auto"/>
              <w:jc w:val="center"/>
              <w:rPr>
                <w:rFonts w:ascii="Times New Roman" w:hAnsi="Times New Roman"/>
                <w:szCs w:val="21"/>
              </w:rPr>
            </w:pPr>
            <w:r>
              <w:rPr>
                <w:rFonts w:ascii="Times New Roman" w:hAnsi="Times New Roman"/>
                <w:szCs w:val="21"/>
              </w:rPr>
              <w:t>—</w:t>
            </w:r>
          </w:p>
        </w:tc>
        <w:tc>
          <w:tcPr>
            <w:tcW w:w="1566" w:type="dxa"/>
            <w:tcBorders>
              <w:bottom w:val="single" w:color="auto" w:sz="4" w:space="0"/>
            </w:tcBorders>
            <w:vAlign w:val="center"/>
          </w:tcPr>
          <w:p w14:paraId="27C7552B">
            <w:pPr>
              <w:spacing w:line="312" w:lineRule="auto"/>
              <w:jc w:val="center"/>
              <w:rPr>
                <w:rFonts w:ascii="Times New Roman" w:hAnsi="Times New Roman"/>
                <w:szCs w:val="21"/>
              </w:rPr>
            </w:pPr>
            <w:r>
              <w:rPr>
                <w:rFonts w:ascii="Times New Roman" w:hAnsi="Times New Roman"/>
                <w:szCs w:val="21"/>
              </w:rPr>
              <w:t>—</w:t>
            </w:r>
          </w:p>
        </w:tc>
        <w:tc>
          <w:tcPr>
            <w:tcW w:w="1417" w:type="dxa"/>
            <w:tcBorders>
              <w:bottom w:val="single" w:color="auto" w:sz="4" w:space="0"/>
            </w:tcBorders>
            <w:vAlign w:val="center"/>
          </w:tcPr>
          <w:p w14:paraId="40D2A1D9">
            <w:pPr>
              <w:spacing w:line="312" w:lineRule="auto"/>
              <w:jc w:val="center"/>
              <w:rPr>
                <w:rFonts w:ascii="Times New Roman" w:hAnsi="Times New Roman"/>
                <w:szCs w:val="21"/>
              </w:rPr>
            </w:pPr>
            <w:r>
              <w:rPr>
                <w:rFonts w:ascii="Times New Roman" w:hAnsi="Times New Roman"/>
                <w:szCs w:val="21"/>
              </w:rPr>
              <w:t>—</w:t>
            </w:r>
          </w:p>
        </w:tc>
        <w:tc>
          <w:tcPr>
            <w:tcW w:w="1571" w:type="dxa"/>
            <w:tcBorders>
              <w:bottom w:val="single" w:color="auto" w:sz="4" w:space="0"/>
            </w:tcBorders>
            <w:vAlign w:val="center"/>
          </w:tcPr>
          <w:p w14:paraId="54189DCB">
            <w:pPr>
              <w:jc w:val="center"/>
              <w:rPr>
                <w:rFonts w:ascii="Times New Roman" w:hAnsi="Times New Roman"/>
                <w:szCs w:val="21"/>
              </w:rPr>
            </w:pPr>
            <w:r>
              <w:rPr>
                <w:rFonts w:ascii="Times New Roman" w:hAnsi="Times New Roman"/>
                <w:szCs w:val="21"/>
              </w:rPr>
              <w:t>—</w:t>
            </w:r>
          </w:p>
        </w:tc>
        <w:tc>
          <w:tcPr>
            <w:tcW w:w="1112" w:type="dxa"/>
            <w:tcBorders>
              <w:bottom w:val="single" w:color="auto" w:sz="4" w:space="0"/>
            </w:tcBorders>
            <w:vAlign w:val="center"/>
          </w:tcPr>
          <w:p w14:paraId="6F6B014F">
            <w:pPr>
              <w:spacing w:line="312" w:lineRule="auto"/>
              <w:jc w:val="center"/>
              <w:rPr>
                <w:rFonts w:ascii="Times New Roman" w:hAnsi="Times New Roman"/>
                <w:szCs w:val="21"/>
              </w:rPr>
            </w:pPr>
            <w:r>
              <w:rPr>
                <w:rFonts w:ascii="Times New Roman" w:hAnsi="Times New Roman"/>
                <w:szCs w:val="21"/>
              </w:rPr>
              <w:t>—</w:t>
            </w:r>
          </w:p>
        </w:tc>
        <w:tc>
          <w:tcPr>
            <w:tcW w:w="734" w:type="dxa"/>
            <w:tcBorders>
              <w:bottom w:val="single" w:color="auto" w:sz="4" w:space="0"/>
            </w:tcBorders>
            <w:vAlign w:val="center"/>
          </w:tcPr>
          <w:p w14:paraId="59701B4D">
            <w:pPr>
              <w:spacing w:line="312" w:lineRule="auto"/>
              <w:jc w:val="center"/>
              <w:rPr>
                <w:rFonts w:ascii="Times New Roman" w:hAnsi="Times New Roman"/>
                <w:szCs w:val="21"/>
              </w:rPr>
            </w:pPr>
            <w:r>
              <w:rPr>
                <w:rFonts w:ascii="Times New Roman" w:hAnsi="Times New Roman"/>
                <w:szCs w:val="21"/>
              </w:rPr>
              <w:t>—</w:t>
            </w:r>
          </w:p>
        </w:tc>
        <w:tc>
          <w:tcPr>
            <w:tcW w:w="1961" w:type="dxa"/>
            <w:tcBorders>
              <w:bottom w:val="single" w:color="auto" w:sz="4" w:space="0"/>
            </w:tcBorders>
            <w:vAlign w:val="center"/>
          </w:tcPr>
          <w:p w14:paraId="6EAEF623">
            <w:pPr>
              <w:spacing w:line="312" w:lineRule="auto"/>
              <w:jc w:val="center"/>
              <w:rPr>
                <w:rFonts w:ascii="Times New Roman" w:hAnsi="Times New Roman"/>
                <w:szCs w:val="21"/>
              </w:rPr>
            </w:pPr>
            <w:r>
              <w:rPr>
                <w:rFonts w:ascii="Times New Roman" w:hAnsi="Times New Roman"/>
                <w:szCs w:val="21"/>
              </w:rPr>
              <w:t>—</w:t>
            </w:r>
          </w:p>
        </w:tc>
        <w:tc>
          <w:tcPr>
            <w:tcW w:w="1734" w:type="dxa"/>
            <w:tcBorders>
              <w:bottom w:val="single" w:color="auto" w:sz="4" w:space="0"/>
            </w:tcBorders>
            <w:vAlign w:val="center"/>
          </w:tcPr>
          <w:p w14:paraId="60C0A656">
            <w:pPr>
              <w:spacing w:line="312" w:lineRule="auto"/>
              <w:jc w:val="center"/>
              <w:rPr>
                <w:rFonts w:ascii="Times New Roman" w:hAnsi="Times New Roman"/>
                <w:szCs w:val="21"/>
              </w:rPr>
            </w:pPr>
            <w:r>
              <w:rPr>
                <w:rFonts w:ascii="Times New Roman" w:hAnsi="Times New Roman"/>
                <w:szCs w:val="21"/>
              </w:rPr>
              <w:t>—</w:t>
            </w:r>
          </w:p>
        </w:tc>
      </w:tr>
      <w:tr w14:paraId="41332AB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39" w:type="dxa"/>
            <w:tcBorders>
              <w:top w:val="single" w:color="auto" w:sz="4" w:space="0"/>
              <w:bottom w:val="single" w:color="auto" w:sz="4" w:space="0"/>
            </w:tcBorders>
            <w:vAlign w:val="center"/>
          </w:tcPr>
          <w:p w14:paraId="7D1C2AE4">
            <w:pPr>
              <w:spacing w:line="312" w:lineRule="auto"/>
              <w:jc w:val="center"/>
              <w:rPr>
                <w:rFonts w:ascii="Times New Roman" w:hAnsi="Times New Roman"/>
                <w:szCs w:val="21"/>
              </w:rPr>
            </w:pPr>
            <w:r>
              <w:rPr>
                <w:rFonts w:ascii="Times New Roman" w:hAnsi="Times New Roman"/>
                <w:szCs w:val="21"/>
              </w:rPr>
              <w:t>—</w:t>
            </w:r>
          </w:p>
        </w:tc>
        <w:tc>
          <w:tcPr>
            <w:tcW w:w="1211" w:type="dxa"/>
            <w:tcBorders>
              <w:top w:val="single" w:color="auto" w:sz="4" w:space="0"/>
              <w:bottom w:val="single" w:color="auto" w:sz="4" w:space="0"/>
            </w:tcBorders>
            <w:vAlign w:val="center"/>
          </w:tcPr>
          <w:p w14:paraId="1A3A9D7B">
            <w:pPr>
              <w:spacing w:line="312" w:lineRule="auto"/>
              <w:jc w:val="center"/>
              <w:rPr>
                <w:rFonts w:ascii="Times New Roman" w:hAnsi="Times New Roman"/>
                <w:szCs w:val="21"/>
              </w:rPr>
            </w:pPr>
            <w:r>
              <w:rPr>
                <w:rFonts w:ascii="Times New Roman" w:hAnsi="Times New Roman"/>
                <w:szCs w:val="21"/>
              </w:rPr>
              <w:t>—</w:t>
            </w:r>
          </w:p>
        </w:tc>
        <w:tc>
          <w:tcPr>
            <w:tcW w:w="1416" w:type="dxa"/>
            <w:tcBorders>
              <w:top w:val="single" w:color="auto" w:sz="4" w:space="0"/>
              <w:bottom w:val="single" w:color="auto" w:sz="4" w:space="0"/>
            </w:tcBorders>
            <w:vAlign w:val="center"/>
          </w:tcPr>
          <w:p w14:paraId="704D988A">
            <w:pPr>
              <w:spacing w:line="312" w:lineRule="auto"/>
              <w:jc w:val="center"/>
              <w:rPr>
                <w:rFonts w:ascii="Times New Roman" w:hAnsi="Times New Roman"/>
                <w:szCs w:val="21"/>
                <w:vertAlign w:val="superscript"/>
              </w:rPr>
            </w:pPr>
            <w:r>
              <w:rPr>
                <w:rFonts w:ascii="Times New Roman" w:hAnsi="Times New Roman"/>
                <w:szCs w:val="21"/>
              </w:rPr>
              <w:t>—</w:t>
            </w:r>
          </w:p>
        </w:tc>
        <w:tc>
          <w:tcPr>
            <w:tcW w:w="884" w:type="dxa"/>
            <w:tcBorders>
              <w:top w:val="single" w:color="auto" w:sz="4" w:space="0"/>
              <w:bottom w:val="single" w:color="auto" w:sz="4" w:space="0"/>
            </w:tcBorders>
            <w:vAlign w:val="center"/>
          </w:tcPr>
          <w:p w14:paraId="3A65834B">
            <w:pPr>
              <w:spacing w:line="312" w:lineRule="auto"/>
              <w:jc w:val="center"/>
              <w:rPr>
                <w:rFonts w:ascii="Times New Roman" w:hAnsi="Times New Roman"/>
                <w:szCs w:val="21"/>
              </w:rPr>
            </w:pPr>
            <w:r>
              <w:rPr>
                <w:rFonts w:ascii="Times New Roman" w:hAnsi="Times New Roman"/>
                <w:szCs w:val="21"/>
              </w:rPr>
              <w:t>—</w:t>
            </w:r>
          </w:p>
        </w:tc>
        <w:tc>
          <w:tcPr>
            <w:tcW w:w="1566" w:type="dxa"/>
            <w:tcBorders>
              <w:top w:val="single" w:color="auto" w:sz="4" w:space="0"/>
              <w:bottom w:val="single" w:color="auto" w:sz="4" w:space="0"/>
            </w:tcBorders>
            <w:vAlign w:val="center"/>
          </w:tcPr>
          <w:p w14:paraId="4878C003">
            <w:pPr>
              <w:spacing w:line="312" w:lineRule="auto"/>
              <w:jc w:val="center"/>
              <w:rPr>
                <w:rFonts w:ascii="Times New Roman" w:hAnsi="Times New Roman"/>
                <w:szCs w:val="21"/>
              </w:rPr>
            </w:pPr>
            <w:r>
              <w:rPr>
                <w:rFonts w:ascii="Times New Roman" w:hAnsi="Times New Roman"/>
                <w:szCs w:val="21"/>
              </w:rPr>
              <w:t>—</w:t>
            </w:r>
          </w:p>
        </w:tc>
        <w:tc>
          <w:tcPr>
            <w:tcW w:w="1417" w:type="dxa"/>
            <w:tcBorders>
              <w:top w:val="single" w:color="auto" w:sz="4" w:space="0"/>
              <w:bottom w:val="single" w:color="auto" w:sz="4" w:space="0"/>
            </w:tcBorders>
            <w:vAlign w:val="center"/>
          </w:tcPr>
          <w:p w14:paraId="6F91EBD7">
            <w:pPr>
              <w:spacing w:line="312" w:lineRule="auto"/>
              <w:jc w:val="center"/>
              <w:rPr>
                <w:rFonts w:ascii="Times New Roman" w:hAnsi="Times New Roman"/>
                <w:szCs w:val="21"/>
              </w:rPr>
            </w:pPr>
            <w:r>
              <w:rPr>
                <w:rFonts w:ascii="Times New Roman" w:hAnsi="Times New Roman"/>
                <w:szCs w:val="21"/>
              </w:rPr>
              <w:t>—</w:t>
            </w:r>
          </w:p>
        </w:tc>
        <w:tc>
          <w:tcPr>
            <w:tcW w:w="1571" w:type="dxa"/>
            <w:tcBorders>
              <w:top w:val="single" w:color="auto" w:sz="4" w:space="0"/>
              <w:bottom w:val="single" w:color="auto" w:sz="4" w:space="0"/>
            </w:tcBorders>
            <w:vAlign w:val="center"/>
          </w:tcPr>
          <w:p w14:paraId="5735FD9C">
            <w:pPr>
              <w:spacing w:line="312" w:lineRule="auto"/>
              <w:jc w:val="center"/>
              <w:rPr>
                <w:rFonts w:ascii="Times New Roman" w:hAnsi="Times New Roman"/>
                <w:szCs w:val="21"/>
              </w:rPr>
            </w:pPr>
            <w:r>
              <w:rPr>
                <w:rFonts w:ascii="Times New Roman" w:hAnsi="Times New Roman"/>
                <w:szCs w:val="21"/>
              </w:rPr>
              <w:t>—</w:t>
            </w:r>
          </w:p>
        </w:tc>
        <w:tc>
          <w:tcPr>
            <w:tcW w:w="1112" w:type="dxa"/>
            <w:tcBorders>
              <w:top w:val="single" w:color="auto" w:sz="4" w:space="0"/>
              <w:bottom w:val="single" w:color="auto" w:sz="4" w:space="0"/>
            </w:tcBorders>
            <w:vAlign w:val="center"/>
          </w:tcPr>
          <w:p w14:paraId="4AE491A3">
            <w:pPr>
              <w:jc w:val="center"/>
              <w:rPr>
                <w:rFonts w:ascii="Times New Roman" w:hAnsi="Times New Roman"/>
                <w:szCs w:val="21"/>
              </w:rPr>
            </w:pPr>
            <w:r>
              <w:rPr>
                <w:rFonts w:ascii="Times New Roman" w:hAnsi="Times New Roman"/>
                <w:szCs w:val="21"/>
              </w:rPr>
              <w:t>—</w:t>
            </w:r>
          </w:p>
        </w:tc>
        <w:tc>
          <w:tcPr>
            <w:tcW w:w="734" w:type="dxa"/>
            <w:tcBorders>
              <w:top w:val="single" w:color="auto" w:sz="4" w:space="0"/>
              <w:bottom w:val="single" w:color="auto" w:sz="4" w:space="0"/>
            </w:tcBorders>
            <w:vAlign w:val="center"/>
          </w:tcPr>
          <w:p w14:paraId="057F6AD6">
            <w:pPr>
              <w:spacing w:line="312" w:lineRule="auto"/>
              <w:jc w:val="center"/>
              <w:rPr>
                <w:rFonts w:ascii="Times New Roman" w:hAnsi="Times New Roman"/>
                <w:szCs w:val="21"/>
              </w:rPr>
            </w:pPr>
            <w:r>
              <w:rPr>
                <w:rFonts w:ascii="Times New Roman" w:hAnsi="Times New Roman"/>
                <w:b/>
                <w:bCs/>
                <w:sz w:val="24"/>
              </w:rPr>
              <w:t>—</w:t>
            </w:r>
          </w:p>
        </w:tc>
        <w:tc>
          <w:tcPr>
            <w:tcW w:w="1961" w:type="dxa"/>
            <w:tcBorders>
              <w:top w:val="single" w:color="auto" w:sz="4" w:space="0"/>
              <w:bottom w:val="single" w:color="auto" w:sz="4" w:space="0"/>
            </w:tcBorders>
            <w:vAlign w:val="center"/>
          </w:tcPr>
          <w:p w14:paraId="425BEA43">
            <w:pPr>
              <w:spacing w:line="312" w:lineRule="auto"/>
              <w:jc w:val="center"/>
              <w:rPr>
                <w:rFonts w:ascii="Times New Roman" w:hAnsi="Times New Roman"/>
                <w:szCs w:val="21"/>
              </w:rPr>
            </w:pPr>
            <w:r>
              <w:rPr>
                <w:rFonts w:ascii="Times New Roman" w:hAnsi="Times New Roman"/>
                <w:b/>
                <w:bCs/>
                <w:sz w:val="24"/>
              </w:rPr>
              <w:t>—</w:t>
            </w:r>
          </w:p>
        </w:tc>
        <w:tc>
          <w:tcPr>
            <w:tcW w:w="1734" w:type="dxa"/>
            <w:tcBorders>
              <w:top w:val="single" w:color="auto" w:sz="4" w:space="0"/>
              <w:bottom w:val="single" w:color="auto" w:sz="4" w:space="0"/>
            </w:tcBorders>
            <w:vAlign w:val="center"/>
          </w:tcPr>
          <w:p w14:paraId="2CBECDA1">
            <w:pPr>
              <w:spacing w:line="312" w:lineRule="auto"/>
              <w:jc w:val="center"/>
              <w:rPr>
                <w:rFonts w:ascii="Times New Roman" w:hAnsi="Times New Roman"/>
                <w:szCs w:val="21"/>
              </w:rPr>
            </w:pPr>
            <w:r>
              <w:rPr>
                <w:rFonts w:ascii="Times New Roman" w:hAnsi="Times New Roman"/>
                <w:szCs w:val="21"/>
              </w:rPr>
              <w:t>—</w:t>
            </w:r>
          </w:p>
        </w:tc>
      </w:tr>
      <w:tr w14:paraId="6E05A5B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739" w:type="dxa"/>
            <w:tcBorders>
              <w:top w:val="single" w:color="auto" w:sz="4" w:space="0"/>
              <w:bottom w:val="single" w:color="auto" w:sz="4" w:space="0"/>
            </w:tcBorders>
            <w:vAlign w:val="center"/>
          </w:tcPr>
          <w:p w14:paraId="2DB568A8">
            <w:pPr>
              <w:spacing w:line="312" w:lineRule="auto"/>
              <w:jc w:val="center"/>
              <w:rPr>
                <w:rFonts w:ascii="Times New Roman" w:hAnsi="Times New Roman"/>
                <w:szCs w:val="21"/>
              </w:rPr>
            </w:pPr>
            <w:r>
              <w:rPr>
                <w:rFonts w:ascii="Times New Roman" w:hAnsi="Times New Roman"/>
                <w:szCs w:val="21"/>
              </w:rPr>
              <w:t>—</w:t>
            </w:r>
          </w:p>
        </w:tc>
        <w:tc>
          <w:tcPr>
            <w:tcW w:w="1211" w:type="dxa"/>
            <w:tcBorders>
              <w:top w:val="single" w:color="auto" w:sz="4" w:space="0"/>
              <w:bottom w:val="single" w:color="auto" w:sz="4" w:space="0"/>
            </w:tcBorders>
            <w:vAlign w:val="center"/>
          </w:tcPr>
          <w:p w14:paraId="2F0DD095">
            <w:pPr>
              <w:spacing w:line="312" w:lineRule="auto"/>
              <w:jc w:val="center"/>
              <w:rPr>
                <w:rFonts w:ascii="Times New Roman" w:hAnsi="Times New Roman"/>
                <w:szCs w:val="21"/>
              </w:rPr>
            </w:pPr>
            <w:r>
              <w:rPr>
                <w:rFonts w:ascii="Times New Roman" w:hAnsi="Times New Roman"/>
                <w:szCs w:val="21"/>
              </w:rPr>
              <w:t>—</w:t>
            </w:r>
          </w:p>
        </w:tc>
        <w:tc>
          <w:tcPr>
            <w:tcW w:w="1416" w:type="dxa"/>
            <w:tcBorders>
              <w:top w:val="single" w:color="auto" w:sz="4" w:space="0"/>
              <w:bottom w:val="single" w:color="auto" w:sz="4" w:space="0"/>
            </w:tcBorders>
            <w:vAlign w:val="center"/>
          </w:tcPr>
          <w:p w14:paraId="42588ED1">
            <w:pPr>
              <w:spacing w:line="312" w:lineRule="auto"/>
              <w:jc w:val="center"/>
              <w:rPr>
                <w:rFonts w:ascii="Times New Roman" w:hAnsi="Times New Roman"/>
                <w:szCs w:val="21"/>
              </w:rPr>
            </w:pPr>
            <w:r>
              <w:rPr>
                <w:rFonts w:ascii="Times New Roman" w:hAnsi="Times New Roman"/>
                <w:szCs w:val="21"/>
              </w:rPr>
              <w:t>—</w:t>
            </w:r>
          </w:p>
        </w:tc>
        <w:tc>
          <w:tcPr>
            <w:tcW w:w="884" w:type="dxa"/>
            <w:tcBorders>
              <w:top w:val="single" w:color="auto" w:sz="4" w:space="0"/>
              <w:bottom w:val="single" w:color="auto" w:sz="4" w:space="0"/>
            </w:tcBorders>
            <w:vAlign w:val="center"/>
          </w:tcPr>
          <w:p w14:paraId="31E841E1">
            <w:pPr>
              <w:spacing w:line="312" w:lineRule="auto"/>
              <w:jc w:val="center"/>
              <w:rPr>
                <w:rFonts w:ascii="Times New Roman" w:hAnsi="Times New Roman"/>
                <w:szCs w:val="21"/>
                <w:vertAlign w:val="superscript"/>
              </w:rPr>
            </w:pPr>
            <w:r>
              <w:rPr>
                <w:rFonts w:ascii="Times New Roman" w:hAnsi="Times New Roman"/>
                <w:szCs w:val="21"/>
              </w:rPr>
              <w:t>—</w:t>
            </w:r>
          </w:p>
        </w:tc>
        <w:tc>
          <w:tcPr>
            <w:tcW w:w="1566" w:type="dxa"/>
            <w:tcBorders>
              <w:top w:val="single" w:color="auto" w:sz="4" w:space="0"/>
              <w:bottom w:val="single" w:color="auto" w:sz="4" w:space="0"/>
            </w:tcBorders>
            <w:vAlign w:val="center"/>
          </w:tcPr>
          <w:p w14:paraId="7ACD0E92">
            <w:pPr>
              <w:spacing w:line="312" w:lineRule="auto"/>
              <w:jc w:val="center"/>
              <w:rPr>
                <w:rFonts w:ascii="Times New Roman" w:hAnsi="Times New Roman"/>
                <w:szCs w:val="21"/>
              </w:rPr>
            </w:pPr>
            <w:r>
              <w:rPr>
                <w:rFonts w:ascii="Times New Roman" w:hAnsi="Times New Roman"/>
                <w:szCs w:val="21"/>
              </w:rPr>
              <w:t>—</w:t>
            </w:r>
          </w:p>
        </w:tc>
        <w:tc>
          <w:tcPr>
            <w:tcW w:w="1417" w:type="dxa"/>
            <w:tcBorders>
              <w:top w:val="single" w:color="auto" w:sz="4" w:space="0"/>
              <w:bottom w:val="single" w:color="auto" w:sz="4" w:space="0"/>
            </w:tcBorders>
            <w:vAlign w:val="center"/>
          </w:tcPr>
          <w:p w14:paraId="6E84928C">
            <w:pPr>
              <w:spacing w:line="312" w:lineRule="auto"/>
              <w:jc w:val="center"/>
              <w:rPr>
                <w:rFonts w:ascii="Times New Roman" w:hAnsi="Times New Roman"/>
                <w:szCs w:val="21"/>
              </w:rPr>
            </w:pPr>
            <w:r>
              <w:rPr>
                <w:rFonts w:ascii="Times New Roman" w:hAnsi="Times New Roman"/>
                <w:szCs w:val="21"/>
              </w:rPr>
              <w:t>—</w:t>
            </w:r>
          </w:p>
        </w:tc>
        <w:tc>
          <w:tcPr>
            <w:tcW w:w="1571" w:type="dxa"/>
            <w:tcBorders>
              <w:top w:val="single" w:color="auto" w:sz="4" w:space="0"/>
              <w:bottom w:val="single" w:color="auto" w:sz="4" w:space="0"/>
            </w:tcBorders>
            <w:vAlign w:val="center"/>
          </w:tcPr>
          <w:p w14:paraId="2C8CD775">
            <w:pPr>
              <w:spacing w:line="312" w:lineRule="auto"/>
              <w:jc w:val="center"/>
              <w:rPr>
                <w:rFonts w:ascii="Times New Roman" w:hAnsi="Times New Roman"/>
                <w:szCs w:val="21"/>
              </w:rPr>
            </w:pPr>
            <w:r>
              <w:rPr>
                <w:rFonts w:ascii="Times New Roman" w:hAnsi="Times New Roman"/>
                <w:szCs w:val="21"/>
              </w:rPr>
              <w:t>—</w:t>
            </w:r>
          </w:p>
        </w:tc>
        <w:tc>
          <w:tcPr>
            <w:tcW w:w="1112" w:type="dxa"/>
            <w:tcBorders>
              <w:top w:val="single" w:color="auto" w:sz="4" w:space="0"/>
              <w:bottom w:val="single" w:color="auto" w:sz="4" w:space="0"/>
            </w:tcBorders>
            <w:vAlign w:val="center"/>
          </w:tcPr>
          <w:p w14:paraId="29FE65C1">
            <w:pPr>
              <w:spacing w:line="312" w:lineRule="auto"/>
              <w:jc w:val="center"/>
              <w:rPr>
                <w:rFonts w:ascii="Times New Roman" w:hAnsi="Times New Roman"/>
                <w:szCs w:val="21"/>
              </w:rPr>
            </w:pPr>
            <w:r>
              <w:rPr>
                <w:rFonts w:ascii="Times New Roman" w:hAnsi="Times New Roman"/>
                <w:szCs w:val="21"/>
              </w:rPr>
              <w:t>—</w:t>
            </w:r>
          </w:p>
        </w:tc>
        <w:tc>
          <w:tcPr>
            <w:tcW w:w="734" w:type="dxa"/>
            <w:tcBorders>
              <w:top w:val="single" w:color="auto" w:sz="4" w:space="0"/>
              <w:bottom w:val="single" w:color="auto" w:sz="4" w:space="0"/>
            </w:tcBorders>
            <w:vAlign w:val="center"/>
          </w:tcPr>
          <w:p w14:paraId="40FA72AB">
            <w:pPr>
              <w:jc w:val="center"/>
              <w:rPr>
                <w:rFonts w:ascii="Times New Roman" w:hAnsi="Times New Roman"/>
                <w:szCs w:val="21"/>
              </w:rPr>
            </w:pPr>
            <w:r>
              <w:rPr>
                <w:rFonts w:ascii="Times New Roman" w:hAnsi="Times New Roman"/>
                <w:szCs w:val="21"/>
              </w:rPr>
              <w:t>—</w:t>
            </w:r>
          </w:p>
        </w:tc>
        <w:tc>
          <w:tcPr>
            <w:tcW w:w="1961" w:type="dxa"/>
            <w:tcBorders>
              <w:top w:val="single" w:color="auto" w:sz="4" w:space="0"/>
              <w:bottom w:val="single" w:color="auto" w:sz="4" w:space="0"/>
            </w:tcBorders>
            <w:vAlign w:val="center"/>
          </w:tcPr>
          <w:p w14:paraId="2AA389B4">
            <w:pPr>
              <w:spacing w:line="312" w:lineRule="auto"/>
              <w:jc w:val="center"/>
              <w:rPr>
                <w:rFonts w:ascii="Times New Roman" w:hAnsi="Times New Roman"/>
                <w:szCs w:val="21"/>
              </w:rPr>
            </w:pPr>
            <w:r>
              <w:rPr>
                <w:rFonts w:ascii="Times New Roman" w:hAnsi="Times New Roman"/>
                <w:b/>
                <w:bCs/>
                <w:sz w:val="24"/>
              </w:rPr>
              <w:t>—</w:t>
            </w:r>
          </w:p>
        </w:tc>
        <w:tc>
          <w:tcPr>
            <w:tcW w:w="1734" w:type="dxa"/>
            <w:tcBorders>
              <w:top w:val="single" w:color="auto" w:sz="4" w:space="0"/>
              <w:bottom w:val="single" w:color="auto" w:sz="4" w:space="0"/>
            </w:tcBorders>
            <w:vAlign w:val="center"/>
          </w:tcPr>
          <w:p w14:paraId="7D906DE7">
            <w:pPr>
              <w:spacing w:line="312" w:lineRule="auto"/>
              <w:jc w:val="center"/>
              <w:rPr>
                <w:rFonts w:ascii="Times New Roman" w:hAnsi="Times New Roman"/>
                <w:szCs w:val="21"/>
              </w:rPr>
            </w:pPr>
            <w:r>
              <w:rPr>
                <w:rFonts w:ascii="Times New Roman" w:hAnsi="Times New Roman"/>
                <w:szCs w:val="21"/>
              </w:rPr>
              <w:t>—</w:t>
            </w:r>
          </w:p>
        </w:tc>
      </w:tr>
    </w:tbl>
    <w:p w14:paraId="2FCEE778">
      <w:pPr>
        <w:adjustRightInd w:val="0"/>
        <w:spacing w:line="360" w:lineRule="atLeast"/>
        <w:jc w:val="left"/>
        <w:rPr>
          <w:rFonts w:ascii="Times New Roman" w:hAnsi="Times New Roman"/>
          <w:sz w:val="28"/>
          <w:szCs w:val="28"/>
        </w:rPr>
      </w:pPr>
      <w:r>
        <w:rPr>
          <w:rFonts w:ascii="Times New Roman" w:hAnsi="Times New Roman"/>
          <w:kern w:val="0"/>
          <w:sz w:val="18"/>
          <w:szCs w:val="18"/>
        </w:rPr>
        <w:t>注：日等效最大操作量和操作方式见《电离辐射防护与辐射源安全基本标准》（GB18871-2002）。</w:t>
      </w:r>
    </w:p>
    <w:p w14:paraId="4124B5B7">
      <w:pPr>
        <w:pStyle w:val="4"/>
        <w:numPr>
          <w:ilvl w:val="2"/>
          <w:numId w:val="0"/>
        </w:numPr>
        <w:rPr>
          <w:rFonts w:ascii="Times New Roman" w:hAnsi="Times New Roman"/>
        </w:rPr>
      </w:pPr>
      <w:bookmarkStart w:id="5" w:name="_Toc11059"/>
      <w:r>
        <w:rPr>
          <w:rFonts w:ascii="Times New Roman" w:hAnsi="Times New Roman"/>
        </w:rPr>
        <w:t>表4 射线装置</w:t>
      </w:r>
      <w:bookmarkEnd w:id="5"/>
    </w:p>
    <w:p w14:paraId="2280B4D9">
      <w:pPr>
        <w:numPr>
          <w:ilvl w:val="0"/>
          <w:numId w:val="5"/>
        </w:numPr>
        <w:spacing w:line="360" w:lineRule="auto"/>
        <w:rPr>
          <w:rFonts w:ascii="Times New Roman" w:hAnsi="Times New Roman"/>
          <w:b/>
          <w:bCs/>
          <w:sz w:val="28"/>
          <w:szCs w:val="28"/>
        </w:rPr>
      </w:pPr>
      <w:r>
        <w:rPr>
          <w:rFonts w:ascii="Times New Roman" w:hAnsi="Times New Roman"/>
          <w:b/>
          <w:bCs/>
          <w:sz w:val="28"/>
          <w:szCs w:val="28"/>
        </w:rPr>
        <w:t>加速器，包括医用、工农业、科研、教学等用途的各种类型加速器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086"/>
        <w:gridCol w:w="1171"/>
        <w:gridCol w:w="772"/>
        <w:gridCol w:w="891"/>
        <w:gridCol w:w="1109"/>
        <w:gridCol w:w="1686"/>
        <w:gridCol w:w="2700"/>
        <w:gridCol w:w="1228"/>
        <w:gridCol w:w="1829"/>
        <w:gridCol w:w="733"/>
      </w:tblGrid>
      <w:tr w14:paraId="1A38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20" w:type="dxa"/>
            <w:vAlign w:val="center"/>
          </w:tcPr>
          <w:p w14:paraId="7D5EC868">
            <w:pPr>
              <w:jc w:val="center"/>
              <w:rPr>
                <w:rFonts w:ascii="Times New Roman" w:hAnsi="Times New Roman"/>
                <w:szCs w:val="21"/>
              </w:rPr>
            </w:pPr>
            <w:r>
              <w:rPr>
                <w:rFonts w:ascii="Times New Roman" w:hAnsi="Times New Roman"/>
                <w:szCs w:val="21"/>
              </w:rPr>
              <w:t>序号</w:t>
            </w:r>
          </w:p>
        </w:tc>
        <w:tc>
          <w:tcPr>
            <w:tcW w:w="1086" w:type="dxa"/>
            <w:vAlign w:val="center"/>
          </w:tcPr>
          <w:p w14:paraId="3D58EAF6">
            <w:pPr>
              <w:jc w:val="center"/>
              <w:rPr>
                <w:rFonts w:ascii="Times New Roman" w:hAnsi="Times New Roman"/>
                <w:szCs w:val="21"/>
              </w:rPr>
            </w:pPr>
            <w:r>
              <w:rPr>
                <w:rFonts w:ascii="Times New Roman" w:hAnsi="Times New Roman"/>
                <w:szCs w:val="21"/>
              </w:rPr>
              <w:t>名称</w:t>
            </w:r>
          </w:p>
        </w:tc>
        <w:tc>
          <w:tcPr>
            <w:tcW w:w="1171" w:type="dxa"/>
            <w:vAlign w:val="center"/>
          </w:tcPr>
          <w:p w14:paraId="0630FFEB">
            <w:pPr>
              <w:jc w:val="center"/>
              <w:rPr>
                <w:rFonts w:ascii="Times New Roman" w:hAnsi="Times New Roman"/>
                <w:szCs w:val="21"/>
              </w:rPr>
            </w:pPr>
            <w:r>
              <w:rPr>
                <w:rFonts w:ascii="Times New Roman" w:hAnsi="Times New Roman"/>
                <w:szCs w:val="21"/>
              </w:rPr>
              <w:t>类别</w:t>
            </w:r>
          </w:p>
        </w:tc>
        <w:tc>
          <w:tcPr>
            <w:tcW w:w="772" w:type="dxa"/>
            <w:vAlign w:val="center"/>
          </w:tcPr>
          <w:p w14:paraId="2C5BD0EA">
            <w:pPr>
              <w:jc w:val="center"/>
              <w:rPr>
                <w:rFonts w:ascii="Times New Roman" w:hAnsi="Times New Roman"/>
                <w:szCs w:val="21"/>
              </w:rPr>
            </w:pPr>
            <w:r>
              <w:rPr>
                <w:rFonts w:ascii="Times New Roman" w:hAnsi="Times New Roman"/>
                <w:szCs w:val="21"/>
              </w:rPr>
              <w:t>数量</w:t>
            </w:r>
          </w:p>
        </w:tc>
        <w:tc>
          <w:tcPr>
            <w:tcW w:w="891" w:type="dxa"/>
            <w:vAlign w:val="center"/>
          </w:tcPr>
          <w:p w14:paraId="732E50A2">
            <w:pPr>
              <w:jc w:val="center"/>
              <w:rPr>
                <w:rFonts w:ascii="Times New Roman" w:hAnsi="Times New Roman"/>
                <w:szCs w:val="21"/>
              </w:rPr>
            </w:pPr>
            <w:r>
              <w:rPr>
                <w:rFonts w:ascii="Times New Roman" w:hAnsi="Times New Roman"/>
                <w:szCs w:val="21"/>
              </w:rPr>
              <w:t>型号</w:t>
            </w:r>
          </w:p>
        </w:tc>
        <w:tc>
          <w:tcPr>
            <w:tcW w:w="1109" w:type="dxa"/>
            <w:vAlign w:val="center"/>
          </w:tcPr>
          <w:p w14:paraId="752B4E65">
            <w:pPr>
              <w:jc w:val="center"/>
              <w:rPr>
                <w:rFonts w:ascii="Times New Roman" w:hAnsi="Times New Roman"/>
                <w:szCs w:val="21"/>
              </w:rPr>
            </w:pPr>
            <w:r>
              <w:rPr>
                <w:rFonts w:ascii="Times New Roman" w:hAnsi="Times New Roman"/>
                <w:szCs w:val="21"/>
              </w:rPr>
              <w:t>加速粒子</w:t>
            </w:r>
          </w:p>
        </w:tc>
        <w:tc>
          <w:tcPr>
            <w:tcW w:w="1686" w:type="dxa"/>
            <w:vAlign w:val="center"/>
          </w:tcPr>
          <w:p w14:paraId="45D9D53B">
            <w:pPr>
              <w:jc w:val="center"/>
              <w:rPr>
                <w:rFonts w:ascii="Times New Roman" w:hAnsi="Times New Roman"/>
                <w:szCs w:val="21"/>
              </w:rPr>
            </w:pPr>
            <w:r>
              <w:rPr>
                <w:rFonts w:ascii="Times New Roman" w:hAnsi="Times New Roman"/>
                <w:szCs w:val="21"/>
              </w:rPr>
              <w:t>最大能（MeV）</w:t>
            </w:r>
          </w:p>
        </w:tc>
        <w:tc>
          <w:tcPr>
            <w:tcW w:w="2700" w:type="dxa"/>
            <w:vAlign w:val="center"/>
          </w:tcPr>
          <w:p w14:paraId="6513BA8A">
            <w:pPr>
              <w:jc w:val="center"/>
              <w:rPr>
                <w:rFonts w:ascii="Times New Roman" w:hAnsi="Times New Roman"/>
                <w:szCs w:val="21"/>
              </w:rPr>
            </w:pPr>
            <w:r>
              <w:rPr>
                <w:rFonts w:ascii="Times New Roman" w:hAnsi="Times New Roman"/>
                <w:szCs w:val="21"/>
              </w:rPr>
              <w:t>额定电流（mA</w:t>
            </w:r>
            <w:r>
              <w:rPr>
                <w:rFonts w:hint="eastAsia" w:ascii="Times New Roman" w:hAnsi="Times New Roman"/>
                <w:szCs w:val="21"/>
                <w:lang w:eastAsia="zh-CN"/>
              </w:rPr>
              <w:t>）</w:t>
            </w:r>
            <w:r>
              <w:rPr>
                <w:rFonts w:ascii="Times New Roman" w:hAnsi="Times New Roman"/>
                <w:szCs w:val="21"/>
              </w:rPr>
              <w:t>/剂量（Gy/h）</w:t>
            </w:r>
          </w:p>
        </w:tc>
        <w:tc>
          <w:tcPr>
            <w:tcW w:w="1228" w:type="dxa"/>
            <w:vAlign w:val="center"/>
          </w:tcPr>
          <w:p w14:paraId="7EF6AE0E">
            <w:pPr>
              <w:jc w:val="center"/>
              <w:rPr>
                <w:rFonts w:ascii="Times New Roman" w:hAnsi="Times New Roman"/>
                <w:szCs w:val="21"/>
              </w:rPr>
            </w:pPr>
            <w:r>
              <w:rPr>
                <w:rFonts w:ascii="Times New Roman" w:hAnsi="Times New Roman"/>
                <w:szCs w:val="21"/>
              </w:rPr>
              <w:t>用途</w:t>
            </w:r>
          </w:p>
        </w:tc>
        <w:tc>
          <w:tcPr>
            <w:tcW w:w="1829" w:type="dxa"/>
            <w:vAlign w:val="center"/>
          </w:tcPr>
          <w:p w14:paraId="76C5E663">
            <w:pPr>
              <w:jc w:val="center"/>
              <w:rPr>
                <w:rFonts w:ascii="Times New Roman" w:hAnsi="Times New Roman"/>
                <w:szCs w:val="21"/>
              </w:rPr>
            </w:pPr>
            <w:r>
              <w:rPr>
                <w:rFonts w:ascii="Times New Roman" w:hAnsi="Times New Roman"/>
                <w:szCs w:val="21"/>
              </w:rPr>
              <w:t>工作场所</w:t>
            </w:r>
          </w:p>
        </w:tc>
        <w:tc>
          <w:tcPr>
            <w:tcW w:w="733" w:type="dxa"/>
            <w:vAlign w:val="center"/>
          </w:tcPr>
          <w:p w14:paraId="2ED7CD86">
            <w:pPr>
              <w:jc w:val="center"/>
              <w:rPr>
                <w:rFonts w:ascii="Times New Roman" w:hAnsi="Times New Roman"/>
                <w:szCs w:val="21"/>
              </w:rPr>
            </w:pPr>
            <w:r>
              <w:rPr>
                <w:rFonts w:ascii="Times New Roman" w:hAnsi="Times New Roman"/>
                <w:szCs w:val="21"/>
              </w:rPr>
              <w:t>备注</w:t>
            </w:r>
          </w:p>
        </w:tc>
      </w:tr>
      <w:tr w14:paraId="3CE7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820" w:type="dxa"/>
            <w:vAlign w:val="center"/>
          </w:tcPr>
          <w:p w14:paraId="7C44F990">
            <w:pPr>
              <w:jc w:val="center"/>
              <w:rPr>
                <w:rFonts w:ascii="Times New Roman" w:hAnsi="Times New Roman"/>
                <w:szCs w:val="21"/>
              </w:rPr>
            </w:pPr>
            <w:r>
              <w:rPr>
                <w:rFonts w:ascii="Times New Roman" w:hAnsi="Times New Roman"/>
                <w:szCs w:val="21"/>
              </w:rPr>
              <w:t>—</w:t>
            </w:r>
          </w:p>
        </w:tc>
        <w:tc>
          <w:tcPr>
            <w:tcW w:w="1086" w:type="dxa"/>
            <w:vAlign w:val="center"/>
          </w:tcPr>
          <w:p w14:paraId="79E468CD">
            <w:pPr>
              <w:jc w:val="center"/>
              <w:rPr>
                <w:rFonts w:ascii="Times New Roman" w:hAnsi="Times New Roman"/>
                <w:szCs w:val="21"/>
              </w:rPr>
            </w:pPr>
            <w:r>
              <w:rPr>
                <w:rFonts w:ascii="Times New Roman" w:hAnsi="Times New Roman"/>
                <w:szCs w:val="21"/>
              </w:rPr>
              <w:t>—</w:t>
            </w:r>
          </w:p>
        </w:tc>
        <w:tc>
          <w:tcPr>
            <w:tcW w:w="1171" w:type="dxa"/>
            <w:vAlign w:val="center"/>
          </w:tcPr>
          <w:p w14:paraId="6ECDC2E7">
            <w:pPr>
              <w:jc w:val="center"/>
              <w:rPr>
                <w:rFonts w:ascii="Times New Roman" w:hAnsi="Times New Roman"/>
                <w:szCs w:val="21"/>
              </w:rPr>
            </w:pPr>
            <w:r>
              <w:rPr>
                <w:rFonts w:ascii="Times New Roman" w:hAnsi="Times New Roman"/>
                <w:szCs w:val="21"/>
              </w:rPr>
              <w:t>—</w:t>
            </w:r>
          </w:p>
        </w:tc>
        <w:tc>
          <w:tcPr>
            <w:tcW w:w="772" w:type="dxa"/>
            <w:vAlign w:val="center"/>
          </w:tcPr>
          <w:p w14:paraId="18039481">
            <w:pPr>
              <w:jc w:val="center"/>
              <w:rPr>
                <w:rFonts w:ascii="Times New Roman" w:hAnsi="Times New Roman"/>
                <w:szCs w:val="21"/>
              </w:rPr>
            </w:pPr>
            <w:r>
              <w:rPr>
                <w:rFonts w:ascii="Times New Roman" w:hAnsi="Times New Roman"/>
                <w:szCs w:val="21"/>
              </w:rPr>
              <w:t>—</w:t>
            </w:r>
          </w:p>
        </w:tc>
        <w:tc>
          <w:tcPr>
            <w:tcW w:w="891" w:type="dxa"/>
            <w:vAlign w:val="center"/>
          </w:tcPr>
          <w:p w14:paraId="7D775AB0">
            <w:pPr>
              <w:jc w:val="center"/>
              <w:rPr>
                <w:rFonts w:ascii="Times New Roman" w:hAnsi="Times New Roman"/>
                <w:szCs w:val="21"/>
              </w:rPr>
            </w:pPr>
            <w:r>
              <w:rPr>
                <w:rFonts w:ascii="Times New Roman" w:hAnsi="Times New Roman"/>
                <w:szCs w:val="21"/>
              </w:rPr>
              <w:t>—</w:t>
            </w:r>
          </w:p>
        </w:tc>
        <w:tc>
          <w:tcPr>
            <w:tcW w:w="1109" w:type="dxa"/>
            <w:vAlign w:val="center"/>
          </w:tcPr>
          <w:p w14:paraId="4A628002">
            <w:pPr>
              <w:jc w:val="center"/>
              <w:rPr>
                <w:rFonts w:ascii="Times New Roman" w:hAnsi="Times New Roman"/>
                <w:szCs w:val="21"/>
              </w:rPr>
            </w:pPr>
            <w:r>
              <w:rPr>
                <w:rFonts w:ascii="Times New Roman" w:hAnsi="Times New Roman"/>
                <w:szCs w:val="21"/>
              </w:rPr>
              <w:t>—</w:t>
            </w:r>
          </w:p>
        </w:tc>
        <w:tc>
          <w:tcPr>
            <w:tcW w:w="1686" w:type="dxa"/>
            <w:vAlign w:val="center"/>
          </w:tcPr>
          <w:p w14:paraId="37FB2ABA">
            <w:pPr>
              <w:jc w:val="center"/>
              <w:rPr>
                <w:rFonts w:ascii="Times New Roman" w:hAnsi="Times New Roman"/>
                <w:szCs w:val="21"/>
              </w:rPr>
            </w:pPr>
            <w:r>
              <w:rPr>
                <w:rFonts w:ascii="Times New Roman" w:hAnsi="Times New Roman"/>
                <w:szCs w:val="21"/>
              </w:rPr>
              <w:t>—</w:t>
            </w:r>
          </w:p>
        </w:tc>
        <w:tc>
          <w:tcPr>
            <w:tcW w:w="2700" w:type="dxa"/>
            <w:vAlign w:val="center"/>
          </w:tcPr>
          <w:p w14:paraId="585BDD33">
            <w:pPr>
              <w:jc w:val="center"/>
              <w:rPr>
                <w:rFonts w:ascii="Times New Roman" w:hAnsi="Times New Roman"/>
                <w:szCs w:val="21"/>
              </w:rPr>
            </w:pPr>
            <w:r>
              <w:rPr>
                <w:rFonts w:ascii="Times New Roman" w:hAnsi="Times New Roman"/>
                <w:szCs w:val="21"/>
              </w:rPr>
              <w:t>—</w:t>
            </w:r>
          </w:p>
        </w:tc>
        <w:tc>
          <w:tcPr>
            <w:tcW w:w="1228" w:type="dxa"/>
            <w:vAlign w:val="center"/>
          </w:tcPr>
          <w:p w14:paraId="7C169229">
            <w:pPr>
              <w:jc w:val="center"/>
              <w:rPr>
                <w:rFonts w:ascii="Times New Roman" w:hAnsi="Times New Roman"/>
                <w:szCs w:val="21"/>
              </w:rPr>
            </w:pPr>
            <w:r>
              <w:rPr>
                <w:rFonts w:ascii="Times New Roman" w:hAnsi="Times New Roman"/>
                <w:szCs w:val="21"/>
              </w:rPr>
              <w:t>—</w:t>
            </w:r>
          </w:p>
        </w:tc>
        <w:tc>
          <w:tcPr>
            <w:tcW w:w="1829" w:type="dxa"/>
            <w:vAlign w:val="center"/>
          </w:tcPr>
          <w:p w14:paraId="0C70B454">
            <w:pPr>
              <w:jc w:val="center"/>
              <w:rPr>
                <w:rFonts w:ascii="Times New Roman" w:hAnsi="Times New Roman"/>
                <w:szCs w:val="21"/>
              </w:rPr>
            </w:pPr>
            <w:r>
              <w:rPr>
                <w:rFonts w:ascii="Times New Roman" w:hAnsi="Times New Roman"/>
                <w:szCs w:val="21"/>
              </w:rPr>
              <w:t>—</w:t>
            </w:r>
          </w:p>
        </w:tc>
        <w:tc>
          <w:tcPr>
            <w:tcW w:w="733" w:type="dxa"/>
            <w:vAlign w:val="center"/>
          </w:tcPr>
          <w:p w14:paraId="6013D140">
            <w:pPr>
              <w:jc w:val="center"/>
              <w:rPr>
                <w:rFonts w:ascii="Times New Roman" w:hAnsi="Times New Roman"/>
                <w:szCs w:val="21"/>
              </w:rPr>
            </w:pPr>
            <w:r>
              <w:rPr>
                <w:rFonts w:ascii="Times New Roman" w:hAnsi="Times New Roman"/>
                <w:szCs w:val="21"/>
              </w:rPr>
              <w:t>—</w:t>
            </w:r>
          </w:p>
        </w:tc>
      </w:tr>
      <w:tr w14:paraId="40BA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820" w:type="dxa"/>
            <w:vAlign w:val="center"/>
          </w:tcPr>
          <w:p w14:paraId="12DA25D5">
            <w:pPr>
              <w:jc w:val="center"/>
              <w:rPr>
                <w:rFonts w:ascii="Times New Roman" w:hAnsi="Times New Roman"/>
                <w:szCs w:val="21"/>
              </w:rPr>
            </w:pPr>
            <w:r>
              <w:rPr>
                <w:rFonts w:ascii="Times New Roman" w:hAnsi="Times New Roman"/>
                <w:szCs w:val="21"/>
              </w:rPr>
              <w:t>—</w:t>
            </w:r>
          </w:p>
        </w:tc>
        <w:tc>
          <w:tcPr>
            <w:tcW w:w="1086" w:type="dxa"/>
            <w:vAlign w:val="center"/>
          </w:tcPr>
          <w:p w14:paraId="03FF39AA">
            <w:pPr>
              <w:jc w:val="center"/>
              <w:rPr>
                <w:rFonts w:ascii="Times New Roman" w:hAnsi="Times New Roman"/>
                <w:szCs w:val="21"/>
              </w:rPr>
            </w:pPr>
            <w:r>
              <w:rPr>
                <w:rFonts w:ascii="Times New Roman" w:hAnsi="Times New Roman"/>
                <w:szCs w:val="21"/>
              </w:rPr>
              <w:t>—</w:t>
            </w:r>
          </w:p>
        </w:tc>
        <w:tc>
          <w:tcPr>
            <w:tcW w:w="1171" w:type="dxa"/>
            <w:vAlign w:val="center"/>
          </w:tcPr>
          <w:p w14:paraId="1519B27A">
            <w:pPr>
              <w:jc w:val="center"/>
              <w:rPr>
                <w:rFonts w:ascii="Times New Roman" w:hAnsi="Times New Roman"/>
                <w:szCs w:val="21"/>
              </w:rPr>
            </w:pPr>
            <w:r>
              <w:rPr>
                <w:rFonts w:ascii="Times New Roman" w:hAnsi="Times New Roman"/>
                <w:szCs w:val="21"/>
              </w:rPr>
              <w:t>—</w:t>
            </w:r>
          </w:p>
        </w:tc>
        <w:tc>
          <w:tcPr>
            <w:tcW w:w="772" w:type="dxa"/>
            <w:vAlign w:val="center"/>
          </w:tcPr>
          <w:p w14:paraId="5FBFD66D">
            <w:pPr>
              <w:jc w:val="center"/>
              <w:rPr>
                <w:rFonts w:ascii="Times New Roman" w:hAnsi="Times New Roman"/>
                <w:szCs w:val="21"/>
              </w:rPr>
            </w:pPr>
            <w:r>
              <w:rPr>
                <w:rFonts w:ascii="Times New Roman" w:hAnsi="Times New Roman"/>
                <w:szCs w:val="21"/>
              </w:rPr>
              <w:t>—</w:t>
            </w:r>
          </w:p>
        </w:tc>
        <w:tc>
          <w:tcPr>
            <w:tcW w:w="891" w:type="dxa"/>
            <w:vAlign w:val="center"/>
          </w:tcPr>
          <w:p w14:paraId="3552BDE0">
            <w:pPr>
              <w:jc w:val="center"/>
              <w:rPr>
                <w:rFonts w:ascii="Times New Roman" w:hAnsi="Times New Roman"/>
                <w:szCs w:val="21"/>
              </w:rPr>
            </w:pPr>
            <w:r>
              <w:rPr>
                <w:rFonts w:ascii="Times New Roman" w:hAnsi="Times New Roman"/>
                <w:szCs w:val="21"/>
              </w:rPr>
              <w:t>—</w:t>
            </w:r>
          </w:p>
        </w:tc>
        <w:tc>
          <w:tcPr>
            <w:tcW w:w="1109" w:type="dxa"/>
            <w:vAlign w:val="center"/>
          </w:tcPr>
          <w:p w14:paraId="4758A12D">
            <w:pPr>
              <w:jc w:val="center"/>
              <w:rPr>
                <w:rFonts w:ascii="Times New Roman" w:hAnsi="Times New Roman"/>
                <w:szCs w:val="21"/>
              </w:rPr>
            </w:pPr>
            <w:r>
              <w:rPr>
                <w:rFonts w:ascii="Times New Roman" w:hAnsi="Times New Roman"/>
                <w:szCs w:val="21"/>
              </w:rPr>
              <w:t>—</w:t>
            </w:r>
          </w:p>
        </w:tc>
        <w:tc>
          <w:tcPr>
            <w:tcW w:w="1686" w:type="dxa"/>
            <w:vAlign w:val="center"/>
          </w:tcPr>
          <w:p w14:paraId="7F80B29F">
            <w:pPr>
              <w:jc w:val="center"/>
              <w:rPr>
                <w:rFonts w:ascii="Times New Roman" w:hAnsi="Times New Roman"/>
                <w:szCs w:val="21"/>
              </w:rPr>
            </w:pPr>
            <w:r>
              <w:rPr>
                <w:rFonts w:ascii="Times New Roman" w:hAnsi="Times New Roman"/>
                <w:szCs w:val="21"/>
              </w:rPr>
              <w:t>—</w:t>
            </w:r>
          </w:p>
        </w:tc>
        <w:tc>
          <w:tcPr>
            <w:tcW w:w="2700" w:type="dxa"/>
            <w:vAlign w:val="center"/>
          </w:tcPr>
          <w:p w14:paraId="1B1F444C">
            <w:pPr>
              <w:jc w:val="center"/>
              <w:rPr>
                <w:rFonts w:ascii="Times New Roman" w:hAnsi="Times New Roman"/>
                <w:szCs w:val="21"/>
              </w:rPr>
            </w:pPr>
            <w:r>
              <w:rPr>
                <w:rFonts w:ascii="Times New Roman" w:hAnsi="Times New Roman"/>
                <w:szCs w:val="21"/>
              </w:rPr>
              <w:t>—</w:t>
            </w:r>
          </w:p>
        </w:tc>
        <w:tc>
          <w:tcPr>
            <w:tcW w:w="1228" w:type="dxa"/>
            <w:vAlign w:val="center"/>
          </w:tcPr>
          <w:p w14:paraId="13F3715E">
            <w:pPr>
              <w:jc w:val="center"/>
              <w:rPr>
                <w:rFonts w:ascii="Times New Roman" w:hAnsi="Times New Roman"/>
                <w:szCs w:val="21"/>
              </w:rPr>
            </w:pPr>
            <w:r>
              <w:rPr>
                <w:rFonts w:ascii="Times New Roman" w:hAnsi="Times New Roman"/>
                <w:szCs w:val="21"/>
              </w:rPr>
              <w:t>—</w:t>
            </w:r>
          </w:p>
        </w:tc>
        <w:tc>
          <w:tcPr>
            <w:tcW w:w="1829" w:type="dxa"/>
            <w:vAlign w:val="center"/>
          </w:tcPr>
          <w:p w14:paraId="38976066">
            <w:pPr>
              <w:jc w:val="center"/>
              <w:rPr>
                <w:rFonts w:ascii="Times New Roman" w:hAnsi="Times New Roman"/>
                <w:szCs w:val="21"/>
              </w:rPr>
            </w:pPr>
            <w:r>
              <w:rPr>
                <w:rFonts w:ascii="Times New Roman" w:hAnsi="Times New Roman"/>
                <w:szCs w:val="21"/>
              </w:rPr>
              <w:t>—</w:t>
            </w:r>
          </w:p>
        </w:tc>
        <w:tc>
          <w:tcPr>
            <w:tcW w:w="733" w:type="dxa"/>
            <w:vAlign w:val="center"/>
          </w:tcPr>
          <w:p w14:paraId="170D2F97">
            <w:pPr>
              <w:jc w:val="center"/>
              <w:rPr>
                <w:rFonts w:ascii="Times New Roman" w:hAnsi="Times New Roman"/>
                <w:szCs w:val="21"/>
              </w:rPr>
            </w:pPr>
            <w:r>
              <w:rPr>
                <w:rFonts w:ascii="Times New Roman" w:hAnsi="Times New Roman"/>
                <w:szCs w:val="21"/>
              </w:rPr>
              <w:t>—</w:t>
            </w:r>
          </w:p>
        </w:tc>
      </w:tr>
    </w:tbl>
    <w:p w14:paraId="01520FA6">
      <w:pPr>
        <w:rPr>
          <w:rFonts w:ascii="Times New Roman" w:hAnsi="Times New Roman"/>
          <w:sz w:val="28"/>
          <w:szCs w:val="28"/>
        </w:rPr>
      </w:pPr>
    </w:p>
    <w:p w14:paraId="0448CCC0">
      <w:pPr>
        <w:numPr>
          <w:ilvl w:val="0"/>
          <w:numId w:val="5"/>
        </w:numPr>
        <w:spacing w:line="360" w:lineRule="auto"/>
        <w:rPr>
          <w:rFonts w:ascii="Times New Roman" w:hAnsi="Times New Roman"/>
          <w:b/>
          <w:bCs/>
          <w:sz w:val="28"/>
          <w:szCs w:val="28"/>
        </w:rPr>
      </w:pPr>
      <w:r>
        <w:rPr>
          <w:rFonts w:ascii="Times New Roman" w:hAnsi="Times New Roman"/>
          <w:b/>
          <w:bCs/>
          <w:sz w:val="28"/>
          <w:szCs w:val="28"/>
        </w:rPr>
        <w:t>X射线机，包括工业探伤、医用诊断和治疗、分析等用途</w:t>
      </w:r>
    </w:p>
    <w:tbl>
      <w:tblPr>
        <w:tblStyle w:val="23"/>
        <w:tblW w:w="14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874"/>
        <w:gridCol w:w="1245"/>
        <w:gridCol w:w="885"/>
        <w:gridCol w:w="1515"/>
        <w:gridCol w:w="1831"/>
        <w:gridCol w:w="1949"/>
        <w:gridCol w:w="1368"/>
        <w:gridCol w:w="1800"/>
        <w:gridCol w:w="1281"/>
      </w:tblGrid>
      <w:tr w14:paraId="49F3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blHeader/>
          <w:jc w:val="center"/>
        </w:trPr>
        <w:tc>
          <w:tcPr>
            <w:tcW w:w="666" w:type="dxa"/>
            <w:vAlign w:val="center"/>
          </w:tcPr>
          <w:p w14:paraId="4D2924BC">
            <w:pPr>
              <w:spacing w:line="288" w:lineRule="auto"/>
              <w:jc w:val="center"/>
              <w:rPr>
                <w:rFonts w:ascii="Times New Roman" w:hAnsi="Times New Roman"/>
                <w:szCs w:val="21"/>
              </w:rPr>
            </w:pPr>
            <w:r>
              <w:rPr>
                <w:rFonts w:ascii="Times New Roman" w:hAnsi="Times New Roman"/>
                <w:szCs w:val="21"/>
              </w:rPr>
              <w:t>序号</w:t>
            </w:r>
          </w:p>
        </w:tc>
        <w:tc>
          <w:tcPr>
            <w:tcW w:w="1874" w:type="dxa"/>
            <w:vAlign w:val="center"/>
          </w:tcPr>
          <w:p w14:paraId="09FC114D">
            <w:pPr>
              <w:spacing w:line="288" w:lineRule="auto"/>
              <w:jc w:val="center"/>
              <w:rPr>
                <w:rFonts w:ascii="Times New Roman" w:hAnsi="Times New Roman"/>
                <w:szCs w:val="21"/>
              </w:rPr>
            </w:pPr>
            <w:r>
              <w:rPr>
                <w:rFonts w:ascii="Times New Roman" w:hAnsi="Times New Roman"/>
                <w:szCs w:val="21"/>
              </w:rPr>
              <w:t>名称</w:t>
            </w:r>
          </w:p>
        </w:tc>
        <w:tc>
          <w:tcPr>
            <w:tcW w:w="1245" w:type="dxa"/>
            <w:vAlign w:val="center"/>
          </w:tcPr>
          <w:p w14:paraId="2FD9BB7F">
            <w:pPr>
              <w:spacing w:line="288" w:lineRule="auto"/>
              <w:jc w:val="center"/>
              <w:rPr>
                <w:rFonts w:ascii="Times New Roman" w:hAnsi="Times New Roman"/>
                <w:szCs w:val="21"/>
              </w:rPr>
            </w:pPr>
            <w:r>
              <w:rPr>
                <w:rFonts w:ascii="Times New Roman" w:hAnsi="Times New Roman"/>
                <w:szCs w:val="21"/>
              </w:rPr>
              <w:t>类别</w:t>
            </w:r>
          </w:p>
        </w:tc>
        <w:tc>
          <w:tcPr>
            <w:tcW w:w="885" w:type="dxa"/>
            <w:vAlign w:val="center"/>
          </w:tcPr>
          <w:p w14:paraId="230C88B4">
            <w:pPr>
              <w:spacing w:line="288" w:lineRule="auto"/>
              <w:jc w:val="center"/>
              <w:rPr>
                <w:rFonts w:ascii="Times New Roman" w:hAnsi="Times New Roman"/>
                <w:szCs w:val="21"/>
              </w:rPr>
            </w:pPr>
            <w:r>
              <w:rPr>
                <w:rFonts w:ascii="Times New Roman" w:hAnsi="Times New Roman"/>
                <w:szCs w:val="21"/>
              </w:rPr>
              <w:t>数量</w:t>
            </w:r>
          </w:p>
        </w:tc>
        <w:tc>
          <w:tcPr>
            <w:tcW w:w="1515" w:type="dxa"/>
            <w:vAlign w:val="center"/>
          </w:tcPr>
          <w:p w14:paraId="50F21FA1">
            <w:pPr>
              <w:spacing w:line="288" w:lineRule="auto"/>
              <w:jc w:val="center"/>
              <w:rPr>
                <w:rFonts w:ascii="Times New Roman" w:hAnsi="Times New Roman"/>
                <w:szCs w:val="21"/>
              </w:rPr>
            </w:pPr>
            <w:r>
              <w:rPr>
                <w:rFonts w:ascii="Times New Roman" w:hAnsi="Times New Roman"/>
                <w:szCs w:val="21"/>
              </w:rPr>
              <w:t>型号</w:t>
            </w:r>
          </w:p>
        </w:tc>
        <w:tc>
          <w:tcPr>
            <w:tcW w:w="1831" w:type="dxa"/>
            <w:vAlign w:val="center"/>
          </w:tcPr>
          <w:p w14:paraId="3BD099D1">
            <w:pPr>
              <w:spacing w:line="288" w:lineRule="auto"/>
              <w:jc w:val="center"/>
              <w:rPr>
                <w:rFonts w:ascii="Times New Roman" w:hAnsi="Times New Roman"/>
                <w:szCs w:val="21"/>
              </w:rPr>
            </w:pPr>
            <w:r>
              <w:rPr>
                <w:rFonts w:ascii="Times New Roman" w:hAnsi="Times New Roman"/>
                <w:szCs w:val="21"/>
              </w:rPr>
              <w:t>最大管电压（kV）</w:t>
            </w:r>
          </w:p>
        </w:tc>
        <w:tc>
          <w:tcPr>
            <w:tcW w:w="1949" w:type="dxa"/>
            <w:vAlign w:val="center"/>
          </w:tcPr>
          <w:p w14:paraId="65583827">
            <w:pPr>
              <w:spacing w:line="288" w:lineRule="auto"/>
              <w:jc w:val="center"/>
              <w:rPr>
                <w:rFonts w:ascii="Times New Roman" w:hAnsi="Times New Roman"/>
                <w:szCs w:val="21"/>
              </w:rPr>
            </w:pPr>
            <w:r>
              <w:rPr>
                <w:rFonts w:ascii="Times New Roman" w:hAnsi="Times New Roman"/>
                <w:szCs w:val="21"/>
              </w:rPr>
              <w:t>最大管电流（mA）</w:t>
            </w:r>
          </w:p>
        </w:tc>
        <w:tc>
          <w:tcPr>
            <w:tcW w:w="1368" w:type="dxa"/>
            <w:vAlign w:val="center"/>
          </w:tcPr>
          <w:p w14:paraId="7E958A31">
            <w:pPr>
              <w:spacing w:line="288" w:lineRule="auto"/>
              <w:jc w:val="center"/>
              <w:rPr>
                <w:rFonts w:ascii="Times New Roman" w:hAnsi="Times New Roman"/>
                <w:szCs w:val="21"/>
              </w:rPr>
            </w:pPr>
            <w:r>
              <w:rPr>
                <w:rFonts w:ascii="Times New Roman" w:hAnsi="Times New Roman"/>
                <w:szCs w:val="21"/>
              </w:rPr>
              <w:t>用途</w:t>
            </w:r>
          </w:p>
        </w:tc>
        <w:tc>
          <w:tcPr>
            <w:tcW w:w="1800" w:type="dxa"/>
            <w:vAlign w:val="center"/>
          </w:tcPr>
          <w:p w14:paraId="2ACF33DB">
            <w:pPr>
              <w:spacing w:line="288" w:lineRule="auto"/>
              <w:jc w:val="center"/>
              <w:rPr>
                <w:rFonts w:ascii="Times New Roman" w:hAnsi="Times New Roman"/>
                <w:szCs w:val="21"/>
              </w:rPr>
            </w:pPr>
            <w:r>
              <w:rPr>
                <w:rFonts w:ascii="Times New Roman" w:hAnsi="Times New Roman"/>
                <w:szCs w:val="21"/>
              </w:rPr>
              <w:t>工作场所</w:t>
            </w:r>
          </w:p>
        </w:tc>
        <w:tc>
          <w:tcPr>
            <w:tcW w:w="1281" w:type="dxa"/>
            <w:vAlign w:val="center"/>
          </w:tcPr>
          <w:p w14:paraId="6BFFA4AE">
            <w:pPr>
              <w:spacing w:line="288" w:lineRule="auto"/>
              <w:jc w:val="center"/>
              <w:rPr>
                <w:rFonts w:ascii="Times New Roman" w:hAnsi="Times New Roman"/>
                <w:szCs w:val="21"/>
              </w:rPr>
            </w:pPr>
            <w:r>
              <w:rPr>
                <w:rFonts w:ascii="Times New Roman" w:hAnsi="Times New Roman"/>
                <w:szCs w:val="21"/>
              </w:rPr>
              <w:t>备注</w:t>
            </w:r>
          </w:p>
        </w:tc>
      </w:tr>
      <w:tr w14:paraId="0AB1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66" w:type="dxa"/>
            <w:vAlign w:val="center"/>
          </w:tcPr>
          <w:p w14:paraId="78B434FE">
            <w:pPr>
              <w:spacing w:line="288" w:lineRule="auto"/>
              <w:jc w:val="center"/>
              <w:rPr>
                <w:rFonts w:ascii="Times New Roman" w:hAnsi="Times New Roman"/>
                <w:szCs w:val="21"/>
              </w:rPr>
            </w:pPr>
            <w:r>
              <w:rPr>
                <w:rFonts w:ascii="Times New Roman" w:hAnsi="Times New Roman"/>
                <w:szCs w:val="21"/>
              </w:rPr>
              <w:t>1</w:t>
            </w:r>
          </w:p>
        </w:tc>
        <w:tc>
          <w:tcPr>
            <w:tcW w:w="1874" w:type="dxa"/>
            <w:vAlign w:val="center"/>
          </w:tcPr>
          <w:p w14:paraId="1D14FEBA">
            <w:pPr>
              <w:jc w:val="center"/>
              <w:rPr>
                <w:rFonts w:ascii="Times New Roman" w:hAnsi="Times New Roman"/>
                <w:szCs w:val="21"/>
              </w:rPr>
            </w:pPr>
            <w:r>
              <w:rPr>
                <w:rFonts w:ascii="Times New Roman" w:hAnsi="Times New Roman"/>
                <w:szCs w:val="21"/>
              </w:rPr>
              <w:t>DSA</w:t>
            </w:r>
          </w:p>
        </w:tc>
        <w:tc>
          <w:tcPr>
            <w:tcW w:w="1245" w:type="dxa"/>
            <w:vAlign w:val="center"/>
          </w:tcPr>
          <w:p w14:paraId="122A710E">
            <w:pPr>
              <w:jc w:val="center"/>
              <w:rPr>
                <w:rFonts w:ascii="Times New Roman" w:hAnsi="Times New Roman"/>
                <w:szCs w:val="21"/>
              </w:rPr>
            </w:pPr>
            <w:r>
              <w:rPr>
                <w:rFonts w:ascii="Times New Roman" w:hAnsi="Times New Roman"/>
                <w:szCs w:val="21"/>
              </w:rPr>
              <w:t>Ⅱ类</w:t>
            </w:r>
          </w:p>
        </w:tc>
        <w:tc>
          <w:tcPr>
            <w:tcW w:w="885" w:type="dxa"/>
            <w:vAlign w:val="center"/>
          </w:tcPr>
          <w:p w14:paraId="43B8CEE0">
            <w:pPr>
              <w:jc w:val="center"/>
              <w:rPr>
                <w:rFonts w:ascii="Times New Roman" w:hAnsi="Times New Roman"/>
                <w:szCs w:val="21"/>
              </w:rPr>
            </w:pPr>
            <w:r>
              <w:rPr>
                <w:rFonts w:ascii="Times New Roman" w:hAnsi="Times New Roman"/>
                <w:szCs w:val="21"/>
              </w:rPr>
              <w:t>1 台</w:t>
            </w:r>
          </w:p>
        </w:tc>
        <w:tc>
          <w:tcPr>
            <w:tcW w:w="1515" w:type="dxa"/>
            <w:vAlign w:val="center"/>
          </w:tcPr>
          <w:p w14:paraId="35D42BA3">
            <w:pPr>
              <w:jc w:val="center"/>
              <w:rPr>
                <w:rFonts w:hint="default" w:ascii="Times New Roman" w:hAnsi="Times New Roman" w:eastAsia="宋体"/>
                <w:szCs w:val="21"/>
                <w:lang w:val="en-US" w:eastAsia="zh-CN"/>
              </w:rPr>
            </w:pPr>
            <w:r>
              <w:rPr>
                <w:rFonts w:hint="eastAsia" w:ascii="Times New Roman" w:hAnsi="Times New Roman"/>
                <w:szCs w:val="21"/>
                <w:lang w:val="en-US" w:eastAsia="zh-CN"/>
              </w:rPr>
              <w:t>东软医疗</w:t>
            </w:r>
            <w:r>
              <w:rPr>
                <w:rFonts w:hint="eastAsia" w:ascii="Times New Roman" w:hAnsi="Times New Roman"/>
                <w:szCs w:val="21"/>
              </w:rPr>
              <w:t xml:space="preserve">NeuAngio </w:t>
            </w:r>
            <w:r>
              <w:rPr>
                <w:rFonts w:hint="eastAsia" w:ascii="Times New Roman" w:hAnsi="Times New Roman"/>
                <w:szCs w:val="21"/>
                <w:lang w:val="en-US" w:eastAsia="zh-CN"/>
              </w:rPr>
              <w:t>4</w:t>
            </w:r>
            <w:r>
              <w:rPr>
                <w:rFonts w:hint="eastAsia" w:ascii="Times New Roman" w:hAnsi="Times New Roman"/>
                <w:szCs w:val="21"/>
              </w:rPr>
              <w:t>3C</w:t>
            </w:r>
          </w:p>
        </w:tc>
        <w:tc>
          <w:tcPr>
            <w:tcW w:w="1831" w:type="dxa"/>
            <w:vAlign w:val="center"/>
          </w:tcPr>
          <w:p w14:paraId="518CB0F7">
            <w:pPr>
              <w:jc w:val="center"/>
              <w:rPr>
                <w:rFonts w:ascii="Times New Roman" w:hAnsi="Times New Roman"/>
                <w:szCs w:val="21"/>
              </w:rPr>
            </w:pPr>
            <w:r>
              <w:rPr>
                <w:rFonts w:hint="eastAsia" w:ascii="Times New Roman" w:hAnsi="Times New Roman"/>
                <w:szCs w:val="21"/>
              </w:rPr>
              <w:t>125</w:t>
            </w:r>
          </w:p>
        </w:tc>
        <w:tc>
          <w:tcPr>
            <w:tcW w:w="1949" w:type="dxa"/>
            <w:vAlign w:val="center"/>
          </w:tcPr>
          <w:p w14:paraId="5F33DF56">
            <w:pPr>
              <w:jc w:val="center"/>
              <w:rPr>
                <w:rFonts w:ascii="Times New Roman" w:hAnsi="Times New Roman"/>
                <w:szCs w:val="21"/>
              </w:rPr>
            </w:pPr>
            <w:r>
              <w:rPr>
                <w:rFonts w:hint="eastAsia" w:ascii="Times New Roman" w:hAnsi="Times New Roman"/>
                <w:bCs/>
                <w:kern w:val="0"/>
                <w:szCs w:val="21"/>
                <w:lang w:bidi="ar"/>
              </w:rPr>
              <w:t>1000</w:t>
            </w:r>
          </w:p>
        </w:tc>
        <w:tc>
          <w:tcPr>
            <w:tcW w:w="1368" w:type="dxa"/>
            <w:vAlign w:val="center"/>
          </w:tcPr>
          <w:p w14:paraId="553A3556">
            <w:pPr>
              <w:jc w:val="center"/>
              <w:rPr>
                <w:rFonts w:ascii="Times New Roman" w:hAnsi="Times New Roman"/>
                <w:szCs w:val="21"/>
              </w:rPr>
            </w:pPr>
            <w:r>
              <w:rPr>
                <w:rFonts w:hint="eastAsia" w:ascii="Times New Roman" w:hAnsi="Times New Roman"/>
                <w:szCs w:val="21"/>
              </w:rPr>
              <w:t>介入检查</w:t>
            </w:r>
          </w:p>
        </w:tc>
        <w:tc>
          <w:tcPr>
            <w:tcW w:w="1800" w:type="dxa"/>
            <w:vAlign w:val="center"/>
          </w:tcPr>
          <w:p w14:paraId="1D05405A">
            <w:pPr>
              <w:jc w:val="center"/>
              <w:rPr>
                <w:rFonts w:hint="eastAsia" w:ascii="Times New Roman" w:hAnsi="Times New Roman" w:eastAsia="宋体"/>
                <w:szCs w:val="21"/>
                <w:lang w:eastAsia="zh-CN"/>
              </w:rPr>
            </w:pPr>
            <w:r>
              <w:rPr>
                <w:rFonts w:hint="eastAsia" w:ascii="Times New Roman" w:hAnsi="Times New Roman"/>
                <w:szCs w:val="21"/>
                <w:lang w:eastAsia="zh-CN"/>
              </w:rPr>
              <w:t>2号住院综合楼一楼DSA机房</w:t>
            </w:r>
          </w:p>
        </w:tc>
        <w:tc>
          <w:tcPr>
            <w:tcW w:w="1281" w:type="dxa"/>
            <w:vAlign w:val="center"/>
          </w:tcPr>
          <w:p w14:paraId="1BEC958E">
            <w:pPr>
              <w:jc w:val="center"/>
              <w:rPr>
                <w:rFonts w:ascii="Times New Roman" w:hAnsi="Times New Roman"/>
                <w:szCs w:val="21"/>
              </w:rPr>
            </w:pPr>
            <w:r>
              <w:rPr>
                <w:rFonts w:ascii="Times New Roman" w:hAnsi="Times New Roman"/>
                <w:szCs w:val="21"/>
              </w:rPr>
              <w:t>拟购</w:t>
            </w:r>
          </w:p>
        </w:tc>
      </w:tr>
      <w:tr w14:paraId="0EBC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66" w:type="dxa"/>
            <w:vAlign w:val="center"/>
          </w:tcPr>
          <w:p w14:paraId="5A57512F">
            <w:pPr>
              <w:jc w:val="center"/>
              <w:rPr>
                <w:rFonts w:ascii="Times New Roman" w:hAnsi="Times New Roman"/>
                <w:szCs w:val="21"/>
              </w:rPr>
            </w:pPr>
            <w:r>
              <w:rPr>
                <w:rFonts w:ascii="Times New Roman" w:hAnsi="Times New Roman"/>
                <w:szCs w:val="21"/>
              </w:rPr>
              <w:t>—</w:t>
            </w:r>
          </w:p>
        </w:tc>
        <w:tc>
          <w:tcPr>
            <w:tcW w:w="1874" w:type="dxa"/>
            <w:vAlign w:val="center"/>
          </w:tcPr>
          <w:p w14:paraId="72384B73">
            <w:pPr>
              <w:jc w:val="center"/>
              <w:rPr>
                <w:rFonts w:ascii="Times New Roman" w:hAnsi="Times New Roman"/>
                <w:szCs w:val="21"/>
              </w:rPr>
            </w:pPr>
            <w:r>
              <w:rPr>
                <w:rFonts w:ascii="Times New Roman" w:hAnsi="Times New Roman"/>
                <w:szCs w:val="21"/>
              </w:rPr>
              <w:t>—</w:t>
            </w:r>
          </w:p>
        </w:tc>
        <w:tc>
          <w:tcPr>
            <w:tcW w:w="1245" w:type="dxa"/>
            <w:vAlign w:val="center"/>
          </w:tcPr>
          <w:p w14:paraId="3F91C226">
            <w:pPr>
              <w:jc w:val="center"/>
              <w:rPr>
                <w:rFonts w:ascii="Times New Roman" w:hAnsi="Times New Roman"/>
                <w:kern w:val="0"/>
                <w:szCs w:val="21"/>
              </w:rPr>
            </w:pPr>
            <w:r>
              <w:rPr>
                <w:rFonts w:ascii="Times New Roman" w:hAnsi="Times New Roman"/>
                <w:szCs w:val="21"/>
              </w:rPr>
              <w:t>—</w:t>
            </w:r>
          </w:p>
        </w:tc>
        <w:tc>
          <w:tcPr>
            <w:tcW w:w="885" w:type="dxa"/>
            <w:vAlign w:val="center"/>
          </w:tcPr>
          <w:p w14:paraId="37D2DCBE">
            <w:pPr>
              <w:jc w:val="center"/>
              <w:rPr>
                <w:rFonts w:ascii="Times New Roman" w:hAnsi="Times New Roman"/>
                <w:szCs w:val="21"/>
              </w:rPr>
            </w:pPr>
            <w:r>
              <w:rPr>
                <w:rFonts w:ascii="Times New Roman" w:hAnsi="Times New Roman"/>
                <w:szCs w:val="21"/>
              </w:rPr>
              <w:t>—</w:t>
            </w:r>
          </w:p>
        </w:tc>
        <w:tc>
          <w:tcPr>
            <w:tcW w:w="1515" w:type="dxa"/>
            <w:vAlign w:val="center"/>
          </w:tcPr>
          <w:p w14:paraId="1856C01F">
            <w:pPr>
              <w:jc w:val="center"/>
              <w:rPr>
                <w:rFonts w:ascii="Times New Roman" w:hAnsi="Times New Roman"/>
                <w:szCs w:val="21"/>
              </w:rPr>
            </w:pPr>
            <w:r>
              <w:rPr>
                <w:rFonts w:ascii="Times New Roman" w:hAnsi="Times New Roman"/>
                <w:szCs w:val="21"/>
              </w:rPr>
              <w:t>—</w:t>
            </w:r>
          </w:p>
        </w:tc>
        <w:tc>
          <w:tcPr>
            <w:tcW w:w="1831" w:type="dxa"/>
            <w:vAlign w:val="center"/>
          </w:tcPr>
          <w:p w14:paraId="39669D5B">
            <w:pPr>
              <w:jc w:val="center"/>
              <w:rPr>
                <w:rFonts w:ascii="Times New Roman" w:hAnsi="Times New Roman"/>
                <w:szCs w:val="21"/>
              </w:rPr>
            </w:pPr>
            <w:r>
              <w:rPr>
                <w:rFonts w:ascii="Times New Roman" w:hAnsi="Times New Roman"/>
                <w:szCs w:val="21"/>
              </w:rPr>
              <w:t>—</w:t>
            </w:r>
          </w:p>
        </w:tc>
        <w:tc>
          <w:tcPr>
            <w:tcW w:w="1949" w:type="dxa"/>
            <w:vAlign w:val="center"/>
          </w:tcPr>
          <w:p w14:paraId="0ADDA259">
            <w:pPr>
              <w:jc w:val="center"/>
              <w:rPr>
                <w:rFonts w:ascii="Times New Roman" w:hAnsi="Times New Roman"/>
                <w:szCs w:val="21"/>
              </w:rPr>
            </w:pPr>
            <w:r>
              <w:rPr>
                <w:rFonts w:ascii="Times New Roman" w:hAnsi="Times New Roman"/>
                <w:szCs w:val="21"/>
              </w:rPr>
              <w:t>—</w:t>
            </w:r>
          </w:p>
        </w:tc>
        <w:tc>
          <w:tcPr>
            <w:tcW w:w="1368" w:type="dxa"/>
            <w:vAlign w:val="center"/>
          </w:tcPr>
          <w:p w14:paraId="1E0827A4">
            <w:pPr>
              <w:jc w:val="center"/>
              <w:rPr>
                <w:rFonts w:ascii="Times New Roman" w:hAnsi="Times New Roman"/>
                <w:szCs w:val="21"/>
              </w:rPr>
            </w:pPr>
            <w:r>
              <w:rPr>
                <w:rFonts w:ascii="Times New Roman" w:hAnsi="Times New Roman"/>
                <w:szCs w:val="21"/>
              </w:rPr>
              <w:t>—</w:t>
            </w:r>
          </w:p>
        </w:tc>
        <w:tc>
          <w:tcPr>
            <w:tcW w:w="1800" w:type="dxa"/>
            <w:vAlign w:val="center"/>
          </w:tcPr>
          <w:p w14:paraId="252E6CB2">
            <w:pPr>
              <w:jc w:val="center"/>
              <w:rPr>
                <w:rFonts w:ascii="Times New Roman" w:hAnsi="Times New Roman"/>
                <w:szCs w:val="21"/>
              </w:rPr>
            </w:pPr>
            <w:r>
              <w:rPr>
                <w:rFonts w:ascii="Times New Roman" w:hAnsi="Times New Roman"/>
                <w:szCs w:val="21"/>
              </w:rPr>
              <w:t>—</w:t>
            </w:r>
          </w:p>
        </w:tc>
        <w:tc>
          <w:tcPr>
            <w:tcW w:w="1281" w:type="dxa"/>
            <w:vAlign w:val="center"/>
          </w:tcPr>
          <w:p w14:paraId="70A7030B">
            <w:pPr>
              <w:jc w:val="center"/>
              <w:rPr>
                <w:rFonts w:ascii="Times New Roman" w:hAnsi="Times New Roman"/>
                <w:szCs w:val="21"/>
              </w:rPr>
            </w:pPr>
            <w:r>
              <w:rPr>
                <w:rFonts w:ascii="Times New Roman" w:hAnsi="Times New Roman"/>
                <w:szCs w:val="21"/>
              </w:rPr>
              <w:t>—</w:t>
            </w:r>
          </w:p>
        </w:tc>
      </w:tr>
      <w:tr w14:paraId="3870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66" w:type="dxa"/>
            <w:vAlign w:val="center"/>
          </w:tcPr>
          <w:p w14:paraId="0FFF5776">
            <w:pPr>
              <w:jc w:val="center"/>
              <w:rPr>
                <w:rFonts w:ascii="Times New Roman" w:hAnsi="Times New Roman"/>
                <w:szCs w:val="21"/>
              </w:rPr>
            </w:pPr>
            <w:r>
              <w:rPr>
                <w:rFonts w:ascii="Times New Roman" w:hAnsi="Times New Roman"/>
                <w:szCs w:val="21"/>
              </w:rPr>
              <w:t>—</w:t>
            </w:r>
          </w:p>
        </w:tc>
        <w:tc>
          <w:tcPr>
            <w:tcW w:w="1874" w:type="dxa"/>
            <w:vAlign w:val="center"/>
          </w:tcPr>
          <w:p w14:paraId="456F68D5">
            <w:pPr>
              <w:jc w:val="center"/>
              <w:rPr>
                <w:rFonts w:ascii="Times New Roman" w:hAnsi="Times New Roman"/>
                <w:szCs w:val="21"/>
              </w:rPr>
            </w:pPr>
            <w:r>
              <w:rPr>
                <w:rFonts w:ascii="Times New Roman" w:hAnsi="Times New Roman"/>
                <w:szCs w:val="21"/>
              </w:rPr>
              <w:t>—</w:t>
            </w:r>
          </w:p>
        </w:tc>
        <w:tc>
          <w:tcPr>
            <w:tcW w:w="1245" w:type="dxa"/>
            <w:vAlign w:val="center"/>
          </w:tcPr>
          <w:p w14:paraId="14E97836">
            <w:pPr>
              <w:jc w:val="center"/>
              <w:rPr>
                <w:rFonts w:ascii="Times New Roman" w:hAnsi="Times New Roman"/>
                <w:kern w:val="0"/>
                <w:szCs w:val="21"/>
              </w:rPr>
            </w:pPr>
            <w:r>
              <w:rPr>
                <w:rFonts w:ascii="Times New Roman" w:hAnsi="Times New Roman"/>
                <w:szCs w:val="21"/>
              </w:rPr>
              <w:t>—</w:t>
            </w:r>
          </w:p>
        </w:tc>
        <w:tc>
          <w:tcPr>
            <w:tcW w:w="885" w:type="dxa"/>
            <w:vAlign w:val="center"/>
          </w:tcPr>
          <w:p w14:paraId="68055935">
            <w:pPr>
              <w:jc w:val="center"/>
              <w:rPr>
                <w:rFonts w:ascii="Times New Roman" w:hAnsi="Times New Roman"/>
                <w:szCs w:val="21"/>
              </w:rPr>
            </w:pPr>
            <w:r>
              <w:rPr>
                <w:rFonts w:ascii="Times New Roman" w:hAnsi="Times New Roman"/>
                <w:szCs w:val="21"/>
              </w:rPr>
              <w:t>—</w:t>
            </w:r>
          </w:p>
        </w:tc>
        <w:tc>
          <w:tcPr>
            <w:tcW w:w="1515" w:type="dxa"/>
            <w:vAlign w:val="center"/>
          </w:tcPr>
          <w:p w14:paraId="7FD68D69">
            <w:pPr>
              <w:jc w:val="center"/>
              <w:rPr>
                <w:rFonts w:ascii="Times New Roman" w:hAnsi="Times New Roman"/>
                <w:szCs w:val="21"/>
              </w:rPr>
            </w:pPr>
            <w:r>
              <w:rPr>
                <w:rFonts w:ascii="Times New Roman" w:hAnsi="Times New Roman"/>
                <w:szCs w:val="21"/>
              </w:rPr>
              <w:t>—</w:t>
            </w:r>
          </w:p>
        </w:tc>
        <w:tc>
          <w:tcPr>
            <w:tcW w:w="1831" w:type="dxa"/>
            <w:vAlign w:val="center"/>
          </w:tcPr>
          <w:p w14:paraId="65CABCCB">
            <w:pPr>
              <w:jc w:val="center"/>
              <w:rPr>
                <w:rFonts w:ascii="Times New Roman" w:hAnsi="Times New Roman"/>
                <w:szCs w:val="21"/>
              </w:rPr>
            </w:pPr>
            <w:r>
              <w:rPr>
                <w:rFonts w:ascii="Times New Roman" w:hAnsi="Times New Roman"/>
                <w:szCs w:val="21"/>
              </w:rPr>
              <w:t>—</w:t>
            </w:r>
          </w:p>
        </w:tc>
        <w:tc>
          <w:tcPr>
            <w:tcW w:w="1949" w:type="dxa"/>
            <w:vAlign w:val="center"/>
          </w:tcPr>
          <w:p w14:paraId="651752F4">
            <w:pPr>
              <w:jc w:val="center"/>
              <w:rPr>
                <w:rFonts w:ascii="Times New Roman" w:hAnsi="Times New Roman"/>
                <w:szCs w:val="21"/>
              </w:rPr>
            </w:pPr>
            <w:r>
              <w:rPr>
                <w:rFonts w:ascii="Times New Roman" w:hAnsi="Times New Roman"/>
                <w:szCs w:val="21"/>
              </w:rPr>
              <w:t>—</w:t>
            </w:r>
          </w:p>
        </w:tc>
        <w:tc>
          <w:tcPr>
            <w:tcW w:w="1368" w:type="dxa"/>
            <w:vAlign w:val="center"/>
          </w:tcPr>
          <w:p w14:paraId="6ED85DF9">
            <w:pPr>
              <w:jc w:val="center"/>
              <w:rPr>
                <w:rFonts w:ascii="Times New Roman" w:hAnsi="Times New Roman"/>
                <w:szCs w:val="21"/>
              </w:rPr>
            </w:pPr>
            <w:r>
              <w:rPr>
                <w:rFonts w:ascii="Times New Roman" w:hAnsi="Times New Roman"/>
                <w:szCs w:val="21"/>
              </w:rPr>
              <w:t>—</w:t>
            </w:r>
          </w:p>
        </w:tc>
        <w:tc>
          <w:tcPr>
            <w:tcW w:w="1800" w:type="dxa"/>
            <w:vAlign w:val="center"/>
          </w:tcPr>
          <w:p w14:paraId="14CEC3EA">
            <w:pPr>
              <w:jc w:val="center"/>
              <w:rPr>
                <w:rFonts w:ascii="Times New Roman" w:hAnsi="Times New Roman"/>
                <w:szCs w:val="21"/>
              </w:rPr>
            </w:pPr>
            <w:r>
              <w:rPr>
                <w:rFonts w:ascii="Times New Roman" w:hAnsi="Times New Roman"/>
                <w:szCs w:val="21"/>
              </w:rPr>
              <w:t>—</w:t>
            </w:r>
          </w:p>
        </w:tc>
        <w:tc>
          <w:tcPr>
            <w:tcW w:w="1281" w:type="dxa"/>
            <w:vAlign w:val="center"/>
          </w:tcPr>
          <w:p w14:paraId="7F1F9541">
            <w:pPr>
              <w:jc w:val="center"/>
              <w:rPr>
                <w:rFonts w:ascii="Times New Roman" w:hAnsi="Times New Roman"/>
                <w:szCs w:val="21"/>
              </w:rPr>
            </w:pPr>
            <w:r>
              <w:rPr>
                <w:rFonts w:ascii="Times New Roman" w:hAnsi="Times New Roman"/>
                <w:szCs w:val="21"/>
              </w:rPr>
              <w:t>—</w:t>
            </w:r>
          </w:p>
        </w:tc>
      </w:tr>
      <w:tr w14:paraId="23FE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66" w:type="dxa"/>
            <w:vAlign w:val="center"/>
          </w:tcPr>
          <w:p w14:paraId="38F9488D">
            <w:pPr>
              <w:jc w:val="center"/>
              <w:rPr>
                <w:rFonts w:ascii="Times New Roman" w:hAnsi="Times New Roman"/>
                <w:szCs w:val="21"/>
              </w:rPr>
            </w:pPr>
            <w:r>
              <w:rPr>
                <w:rFonts w:ascii="Times New Roman" w:hAnsi="Times New Roman"/>
                <w:szCs w:val="21"/>
              </w:rPr>
              <w:t>—</w:t>
            </w:r>
          </w:p>
        </w:tc>
        <w:tc>
          <w:tcPr>
            <w:tcW w:w="1874" w:type="dxa"/>
            <w:vAlign w:val="center"/>
          </w:tcPr>
          <w:p w14:paraId="68C0B6F2">
            <w:pPr>
              <w:jc w:val="center"/>
              <w:rPr>
                <w:rFonts w:ascii="Times New Roman" w:hAnsi="Times New Roman"/>
                <w:szCs w:val="21"/>
              </w:rPr>
            </w:pPr>
            <w:r>
              <w:rPr>
                <w:rFonts w:ascii="Times New Roman" w:hAnsi="Times New Roman"/>
                <w:szCs w:val="21"/>
              </w:rPr>
              <w:t>—</w:t>
            </w:r>
          </w:p>
        </w:tc>
        <w:tc>
          <w:tcPr>
            <w:tcW w:w="1245" w:type="dxa"/>
            <w:vAlign w:val="center"/>
          </w:tcPr>
          <w:p w14:paraId="78D6AEA3">
            <w:pPr>
              <w:jc w:val="center"/>
              <w:rPr>
                <w:rFonts w:ascii="Times New Roman" w:hAnsi="Times New Roman"/>
                <w:kern w:val="0"/>
                <w:szCs w:val="21"/>
              </w:rPr>
            </w:pPr>
            <w:r>
              <w:rPr>
                <w:rFonts w:ascii="Times New Roman" w:hAnsi="Times New Roman"/>
                <w:szCs w:val="21"/>
              </w:rPr>
              <w:t>—</w:t>
            </w:r>
          </w:p>
        </w:tc>
        <w:tc>
          <w:tcPr>
            <w:tcW w:w="885" w:type="dxa"/>
            <w:vAlign w:val="center"/>
          </w:tcPr>
          <w:p w14:paraId="296E34F5">
            <w:pPr>
              <w:jc w:val="center"/>
              <w:rPr>
                <w:rFonts w:ascii="Times New Roman" w:hAnsi="Times New Roman"/>
                <w:szCs w:val="21"/>
              </w:rPr>
            </w:pPr>
            <w:r>
              <w:rPr>
                <w:rFonts w:ascii="Times New Roman" w:hAnsi="Times New Roman"/>
                <w:szCs w:val="21"/>
              </w:rPr>
              <w:t>—</w:t>
            </w:r>
          </w:p>
        </w:tc>
        <w:tc>
          <w:tcPr>
            <w:tcW w:w="1515" w:type="dxa"/>
            <w:vAlign w:val="center"/>
          </w:tcPr>
          <w:p w14:paraId="1E8E9058">
            <w:pPr>
              <w:jc w:val="center"/>
              <w:rPr>
                <w:rFonts w:ascii="Times New Roman" w:hAnsi="Times New Roman"/>
                <w:szCs w:val="21"/>
              </w:rPr>
            </w:pPr>
            <w:r>
              <w:rPr>
                <w:rFonts w:ascii="Times New Roman" w:hAnsi="Times New Roman"/>
                <w:szCs w:val="21"/>
              </w:rPr>
              <w:t>—</w:t>
            </w:r>
          </w:p>
        </w:tc>
        <w:tc>
          <w:tcPr>
            <w:tcW w:w="1831" w:type="dxa"/>
            <w:vAlign w:val="center"/>
          </w:tcPr>
          <w:p w14:paraId="387CEC78">
            <w:pPr>
              <w:jc w:val="center"/>
              <w:rPr>
                <w:rFonts w:ascii="Times New Roman" w:hAnsi="Times New Roman"/>
                <w:szCs w:val="21"/>
              </w:rPr>
            </w:pPr>
            <w:r>
              <w:rPr>
                <w:rFonts w:ascii="Times New Roman" w:hAnsi="Times New Roman"/>
                <w:szCs w:val="21"/>
              </w:rPr>
              <w:t>—</w:t>
            </w:r>
          </w:p>
        </w:tc>
        <w:tc>
          <w:tcPr>
            <w:tcW w:w="1949" w:type="dxa"/>
            <w:vAlign w:val="center"/>
          </w:tcPr>
          <w:p w14:paraId="534CF192">
            <w:pPr>
              <w:jc w:val="center"/>
              <w:rPr>
                <w:rFonts w:ascii="Times New Roman" w:hAnsi="Times New Roman"/>
                <w:szCs w:val="21"/>
              </w:rPr>
            </w:pPr>
            <w:r>
              <w:rPr>
                <w:rFonts w:ascii="Times New Roman" w:hAnsi="Times New Roman"/>
                <w:szCs w:val="21"/>
              </w:rPr>
              <w:t>—</w:t>
            </w:r>
          </w:p>
        </w:tc>
        <w:tc>
          <w:tcPr>
            <w:tcW w:w="1368" w:type="dxa"/>
            <w:vAlign w:val="center"/>
          </w:tcPr>
          <w:p w14:paraId="49D77ED5">
            <w:pPr>
              <w:jc w:val="center"/>
              <w:rPr>
                <w:rFonts w:ascii="Times New Roman" w:hAnsi="Times New Roman"/>
                <w:szCs w:val="21"/>
              </w:rPr>
            </w:pPr>
            <w:r>
              <w:rPr>
                <w:rFonts w:ascii="Times New Roman" w:hAnsi="Times New Roman"/>
                <w:szCs w:val="21"/>
              </w:rPr>
              <w:t>—</w:t>
            </w:r>
          </w:p>
        </w:tc>
        <w:tc>
          <w:tcPr>
            <w:tcW w:w="1800" w:type="dxa"/>
            <w:vAlign w:val="center"/>
          </w:tcPr>
          <w:p w14:paraId="7C35B879">
            <w:pPr>
              <w:jc w:val="center"/>
              <w:rPr>
                <w:rFonts w:ascii="Times New Roman" w:hAnsi="Times New Roman"/>
                <w:szCs w:val="21"/>
              </w:rPr>
            </w:pPr>
            <w:r>
              <w:rPr>
                <w:rFonts w:ascii="Times New Roman" w:hAnsi="Times New Roman"/>
                <w:szCs w:val="21"/>
              </w:rPr>
              <w:t>—</w:t>
            </w:r>
          </w:p>
        </w:tc>
        <w:tc>
          <w:tcPr>
            <w:tcW w:w="1281" w:type="dxa"/>
            <w:vAlign w:val="center"/>
          </w:tcPr>
          <w:p w14:paraId="5ACCAE64">
            <w:pPr>
              <w:jc w:val="center"/>
              <w:rPr>
                <w:rFonts w:ascii="Times New Roman" w:hAnsi="Times New Roman"/>
                <w:szCs w:val="21"/>
              </w:rPr>
            </w:pPr>
            <w:r>
              <w:rPr>
                <w:rFonts w:ascii="Times New Roman" w:hAnsi="Times New Roman"/>
                <w:szCs w:val="21"/>
              </w:rPr>
              <w:t>—</w:t>
            </w:r>
          </w:p>
        </w:tc>
      </w:tr>
      <w:tr w14:paraId="3E60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66" w:type="dxa"/>
            <w:vAlign w:val="center"/>
          </w:tcPr>
          <w:p w14:paraId="2C6B50AD">
            <w:pPr>
              <w:jc w:val="center"/>
              <w:rPr>
                <w:rFonts w:ascii="Times New Roman" w:hAnsi="Times New Roman"/>
                <w:szCs w:val="21"/>
              </w:rPr>
            </w:pPr>
            <w:r>
              <w:rPr>
                <w:rFonts w:ascii="Times New Roman" w:hAnsi="Times New Roman"/>
                <w:szCs w:val="21"/>
              </w:rPr>
              <w:t>—</w:t>
            </w:r>
          </w:p>
        </w:tc>
        <w:tc>
          <w:tcPr>
            <w:tcW w:w="1874" w:type="dxa"/>
            <w:vAlign w:val="center"/>
          </w:tcPr>
          <w:p w14:paraId="06A9723B">
            <w:pPr>
              <w:jc w:val="center"/>
              <w:rPr>
                <w:rFonts w:ascii="Times New Roman" w:hAnsi="Times New Roman"/>
                <w:szCs w:val="21"/>
              </w:rPr>
            </w:pPr>
            <w:r>
              <w:rPr>
                <w:rFonts w:ascii="Times New Roman" w:hAnsi="Times New Roman"/>
                <w:szCs w:val="21"/>
              </w:rPr>
              <w:t>—</w:t>
            </w:r>
          </w:p>
        </w:tc>
        <w:tc>
          <w:tcPr>
            <w:tcW w:w="1245" w:type="dxa"/>
            <w:vAlign w:val="center"/>
          </w:tcPr>
          <w:p w14:paraId="7E31CEAE">
            <w:pPr>
              <w:jc w:val="center"/>
              <w:rPr>
                <w:rFonts w:ascii="Times New Roman" w:hAnsi="Times New Roman"/>
                <w:kern w:val="0"/>
                <w:szCs w:val="21"/>
              </w:rPr>
            </w:pPr>
            <w:r>
              <w:rPr>
                <w:rFonts w:ascii="Times New Roman" w:hAnsi="Times New Roman"/>
                <w:szCs w:val="21"/>
              </w:rPr>
              <w:t>—</w:t>
            </w:r>
          </w:p>
        </w:tc>
        <w:tc>
          <w:tcPr>
            <w:tcW w:w="885" w:type="dxa"/>
            <w:vAlign w:val="center"/>
          </w:tcPr>
          <w:p w14:paraId="090FC38A">
            <w:pPr>
              <w:jc w:val="center"/>
              <w:rPr>
                <w:rFonts w:ascii="Times New Roman" w:hAnsi="Times New Roman"/>
                <w:szCs w:val="21"/>
              </w:rPr>
            </w:pPr>
            <w:r>
              <w:rPr>
                <w:rFonts w:ascii="Times New Roman" w:hAnsi="Times New Roman"/>
                <w:szCs w:val="21"/>
              </w:rPr>
              <w:t>—</w:t>
            </w:r>
          </w:p>
        </w:tc>
        <w:tc>
          <w:tcPr>
            <w:tcW w:w="1515" w:type="dxa"/>
            <w:vAlign w:val="center"/>
          </w:tcPr>
          <w:p w14:paraId="266DFAB1">
            <w:pPr>
              <w:jc w:val="center"/>
              <w:rPr>
                <w:rFonts w:ascii="Times New Roman" w:hAnsi="Times New Roman"/>
                <w:szCs w:val="21"/>
              </w:rPr>
            </w:pPr>
            <w:r>
              <w:rPr>
                <w:rFonts w:ascii="Times New Roman" w:hAnsi="Times New Roman"/>
                <w:szCs w:val="21"/>
              </w:rPr>
              <w:t>—</w:t>
            </w:r>
          </w:p>
        </w:tc>
        <w:tc>
          <w:tcPr>
            <w:tcW w:w="1831" w:type="dxa"/>
            <w:vAlign w:val="center"/>
          </w:tcPr>
          <w:p w14:paraId="792FEB34">
            <w:pPr>
              <w:jc w:val="center"/>
              <w:rPr>
                <w:rFonts w:ascii="Times New Roman" w:hAnsi="Times New Roman"/>
                <w:szCs w:val="21"/>
              </w:rPr>
            </w:pPr>
            <w:r>
              <w:rPr>
                <w:rFonts w:ascii="Times New Roman" w:hAnsi="Times New Roman"/>
                <w:szCs w:val="21"/>
              </w:rPr>
              <w:t>—</w:t>
            </w:r>
          </w:p>
        </w:tc>
        <w:tc>
          <w:tcPr>
            <w:tcW w:w="1949" w:type="dxa"/>
            <w:vAlign w:val="center"/>
          </w:tcPr>
          <w:p w14:paraId="6E6A2D0B">
            <w:pPr>
              <w:jc w:val="center"/>
              <w:rPr>
                <w:rFonts w:ascii="Times New Roman" w:hAnsi="Times New Roman"/>
                <w:szCs w:val="21"/>
              </w:rPr>
            </w:pPr>
            <w:r>
              <w:rPr>
                <w:rFonts w:ascii="Times New Roman" w:hAnsi="Times New Roman"/>
                <w:szCs w:val="21"/>
              </w:rPr>
              <w:t>—</w:t>
            </w:r>
          </w:p>
        </w:tc>
        <w:tc>
          <w:tcPr>
            <w:tcW w:w="1368" w:type="dxa"/>
            <w:vAlign w:val="center"/>
          </w:tcPr>
          <w:p w14:paraId="1A063D23">
            <w:pPr>
              <w:jc w:val="center"/>
              <w:rPr>
                <w:rFonts w:ascii="Times New Roman" w:hAnsi="Times New Roman"/>
                <w:szCs w:val="21"/>
              </w:rPr>
            </w:pPr>
            <w:r>
              <w:rPr>
                <w:rFonts w:ascii="Times New Roman" w:hAnsi="Times New Roman"/>
                <w:szCs w:val="21"/>
              </w:rPr>
              <w:t>—</w:t>
            </w:r>
          </w:p>
        </w:tc>
        <w:tc>
          <w:tcPr>
            <w:tcW w:w="1800" w:type="dxa"/>
            <w:vAlign w:val="center"/>
          </w:tcPr>
          <w:p w14:paraId="20D8C151">
            <w:pPr>
              <w:jc w:val="center"/>
              <w:rPr>
                <w:rFonts w:ascii="Times New Roman" w:hAnsi="Times New Roman"/>
                <w:szCs w:val="21"/>
              </w:rPr>
            </w:pPr>
            <w:r>
              <w:rPr>
                <w:rFonts w:ascii="Times New Roman" w:hAnsi="Times New Roman"/>
                <w:szCs w:val="21"/>
              </w:rPr>
              <w:t>—</w:t>
            </w:r>
          </w:p>
        </w:tc>
        <w:tc>
          <w:tcPr>
            <w:tcW w:w="1281" w:type="dxa"/>
            <w:vAlign w:val="center"/>
          </w:tcPr>
          <w:p w14:paraId="0ACACBFA">
            <w:pPr>
              <w:jc w:val="center"/>
              <w:rPr>
                <w:rFonts w:ascii="Times New Roman" w:hAnsi="Times New Roman"/>
                <w:szCs w:val="21"/>
              </w:rPr>
            </w:pPr>
            <w:r>
              <w:rPr>
                <w:rFonts w:ascii="Times New Roman" w:hAnsi="Times New Roman"/>
                <w:szCs w:val="21"/>
              </w:rPr>
              <w:t>—</w:t>
            </w:r>
          </w:p>
        </w:tc>
      </w:tr>
      <w:tr w14:paraId="1C00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66" w:type="dxa"/>
            <w:vAlign w:val="center"/>
          </w:tcPr>
          <w:p w14:paraId="2A97D512">
            <w:pPr>
              <w:jc w:val="center"/>
              <w:rPr>
                <w:rFonts w:ascii="Times New Roman" w:hAnsi="Times New Roman"/>
                <w:szCs w:val="21"/>
              </w:rPr>
            </w:pPr>
            <w:r>
              <w:rPr>
                <w:rFonts w:ascii="Times New Roman" w:hAnsi="Times New Roman"/>
                <w:szCs w:val="21"/>
              </w:rPr>
              <w:t>—</w:t>
            </w:r>
          </w:p>
        </w:tc>
        <w:tc>
          <w:tcPr>
            <w:tcW w:w="1874" w:type="dxa"/>
            <w:vAlign w:val="center"/>
          </w:tcPr>
          <w:p w14:paraId="1E7DD3FE">
            <w:pPr>
              <w:jc w:val="center"/>
              <w:rPr>
                <w:rFonts w:ascii="Times New Roman" w:hAnsi="Times New Roman"/>
                <w:b/>
                <w:bCs/>
                <w:szCs w:val="21"/>
              </w:rPr>
            </w:pPr>
            <w:r>
              <w:rPr>
                <w:rFonts w:ascii="Times New Roman" w:hAnsi="Times New Roman"/>
                <w:szCs w:val="21"/>
              </w:rPr>
              <w:t>—</w:t>
            </w:r>
          </w:p>
        </w:tc>
        <w:tc>
          <w:tcPr>
            <w:tcW w:w="1245" w:type="dxa"/>
            <w:vAlign w:val="center"/>
          </w:tcPr>
          <w:p w14:paraId="17CBABEE">
            <w:pPr>
              <w:jc w:val="center"/>
              <w:rPr>
                <w:rFonts w:ascii="Times New Roman" w:hAnsi="Times New Roman"/>
                <w:b/>
                <w:bCs/>
                <w:kern w:val="0"/>
                <w:szCs w:val="21"/>
              </w:rPr>
            </w:pPr>
            <w:r>
              <w:rPr>
                <w:rFonts w:ascii="Times New Roman" w:hAnsi="Times New Roman"/>
                <w:szCs w:val="21"/>
              </w:rPr>
              <w:t>—</w:t>
            </w:r>
          </w:p>
        </w:tc>
        <w:tc>
          <w:tcPr>
            <w:tcW w:w="885" w:type="dxa"/>
            <w:vAlign w:val="center"/>
          </w:tcPr>
          <w:p w14:paraId="57846F0F">
            <w:pPr>
              <w:jc w:val="center"/>
              <w:rPr>
                <w:rFonts w:ascii="Times New Roman" w:hAnsi="Times New Roman"/>
                <w:b/>
                <w:bCs/>
                <w:szCs w:val="21"/>
              </w:rPr>
            </w:pPr>
            <w:r>
              <w:rPr>
                <w:rFonts w:ascii="Times New Roman" w:hAnsi="Times New Roman"/>
                <w:szCs w:val="21"/>
              </w:rPr>
              <w:t>—</w:t>
            </w:r>
          </w:p>
        </w:tc>
        <w:tc>
          <w:tcPr>
            <w:tcW w:w="1515" w:type="dxa"/>
            <w:vAlign w:val="center"/>
          </w:tcPr>
          <w:p w14:paraId="0ECC87C9">
            <w:pPr>
              <w:jc w:val="center"/>
              <w:rPr>
                <w:rFonts w:ascii="Times New Roman" w:hAnsi="Times New Roman"/>
                <w:b/>
                <w:bCs/>
                <w:szCs w:val="21"/>
              </w:rPr>
            </w:pPr>
            <w:r>
              <w:rPr>
                <w:rFonts w:ascii="Times New Roman" w:hAnsi="Times New Roman"/>
                <w:szCs w:val="21"/>
              </w:rPr>
              <w:t>—</w:t>
            </w:r>
          </w:p>
        </w:tc>
        <w:tc>
          <w:tcPr>
            <w:tcW w:w="1831" w:type="dxa"/>
            <w:vAlign w:val="center"/>
          </w:tcPr>
          <w:p w14:paraId="35CD46AE">
            <w:pPr>
              <w:jc w:val="center"/>
              <w:rPr>
                <w:rFonts w:ascii="Times New Roman" w:hAnsi="Times New Roman"/>
                <w:b/>
                <w:bCs/>
                <w:szCs w:val="21"/>
              </w:rPr>
            </w:pPr>
            <w:r>
              <w:rPr>
                <w:rFonts w:ascii="Times New Roman" w:hAnsi="Times New Roman"/>
                <w:szCs w:val="21"/>
              </w:rPr>
              <w:t>—</w:t>
            </w:r>
          </w:p>
        </w:tc>
        <w:tc>
          <w:tcPr>
            <w:tcW w:w="1949" w:type="dxa"/>
            <w:vAlign w:val="center"/>
          </w:tcPr>
          <w:p w14:paraId="11D07E16">
            <w:pPr>
              <w:jc w:val="center"/>
              <w:rPr>
                <w:rFonts w:ascii="Times New Roman" w:hAnsi="Times New Roman"/>
                <w:b/>
                <w:bCs/>
                <w:szCs w:val="21"/>
              </w:rPr>
            </w:pPr>
            <w:r>
              <w:rPr>
                <w:rFonts w:ascii="Times New Roman" w:hAnsi="Times New Roman"/>
                <w:szCs w:val="21"/>
              </w:rPr>
              <w:t>—</w:t>
            </w:r>
          </w:p>
        </w:tc>
        <w:tc>
          <w:tcPr>
            <w:tcW w:w="1368" w:type="dxa"/>
            <w:vAlign w:val="center"/>
          </w:tcPr>
          <w:p w14:paraId="2D7D92E7">
            <w:pPr>
              <w:jc w:val="center"/>
              <w:rPr>
                <w:rFonts w:ascii="Times New Roman" w:hAnsi="Times New Roman"/>
                <w:b/>
                <w:bCs/>
                <w:szCs w:val="21"/>
              </w:rPr>
            </w:pPr>
            <w:r>
              <w:rPr>
                <w:rFonts w:ascii="Times New Roman" w:hAnsi="Times New Roman"/>
                <w:szCs w:val="21"/>
              </w:rPr>
              <w:t>—</w:t>
            </w:r>
          </w:p>
        </w:tc>
        <w:tc>
          <w:tcPr>
            <w:tcW w:w="1800" w:type="dxa"/>
            <w:vAlign w:val="center"/>
          </w:tcPr>
          <w:p w14:paraId="4B3279C4">
            <w:pPr>
              <w:jc w:val="center"/>
              <w:rPr>
                <w:rFonts w:ascii="Times New Roman" w:hAnsi="Times New Roman"/>
                <w:b/>
                <w:bCs/>
                <w:szCs w:val="21"/>
              </w:rPr>
            </w:pPr>
            <w:r>
              <w:rPr>
                <w:rFonts w:ascii="Times New Roman" w:hAnsi="Times New Roman"/>
                <w:szCs w:val="21"/>
              </w:rPr>
              <w:t>—</w:t>
            </w:r>
          </w:p>
        </w:tc>
        <w:tc>
          <w:tcPr>
            <w:tcW w:w="1281" w:type="dxa"/>
            <w:vAlign w:val="center"/>
          </w:tcPr>
          <w:p w14:paraId="57BF27AA">
            <w:pPr>
              <w:jc w:val="center"/>
              <w:rPr>
                <w:rFonts w:ascii="Times New Roman" w:hAnsi="Times New Roman"/>
                <w:b/>
                <w:bCs/>
                <w:szCs w:val="21"/>
              </w:rPr>
            </w:pPr>
            <w:r>
              <w:rPr>
                <w:rFonts w:ascii="Times New Roman" w:hAnsi="Times New Roman"/>
                <w:szCs w:val="21"/>
              </w:rPr>
              <w:t>—</w:t>
            </w:r>
          </w:p>
        </w:tc>
      </w:tr>
      <w:tr w14:paraId="1286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666" w:type="dxa"/>
            <w:vAlign w:val="center"/>
          </w:tcPr>
          <w:p w14:paraId="3CD5EAA2">
            <w:pPr>
              <w:jc w:val="center"/>
              <w:rPr>
                <w:rFonts w:ascii="Times New Roman" w:hAnsi="Times New Roman"/>
                <w:szCs w:val="21"/>
              </w:rPr>
            </w:pPr>
            <w:r>
              <w:rPr>
                <w:rFonts w:ascii="Times New Roman" w:hAnsi="Times New Roman"/>
                <w:szCs w:val="21"/>
              </w:rPr>
              <w:t>—</w:t>
            </w:r>
          </w:p>
        </w:tc>
        <w:tc>
          <w:tcPr>
            <w:tcW w:w="1874" w:type="dxa"/>
            <w:vAlign w:val="center"/>
          </w:tcPr>
          <w:p w14:paraId="63A667B5">
            <w:pPr>
              <w:jc w:val="center"/>
              <w:rPr>
                <w:rFonts w:ascii="Times New Roman" w:hAnsi="Times New Roman"/>
                <w:b/>
                <w:bCs/>
                <w:szCs w:val="21"/>
              </w:rPr>
            </w:pPr>
            <w:r>
              <w:rPr>
                <w:rFonts w:ascii="Times New Roman" w:hAnsi="Times New Roman"/>
                <w:szCs w:val="21"/>
              </w:rPr>
              <w:t>—</w:t>
            </w:r>
          </w:p>
        </w:tc>
        <w:tc>
          <w:tcPr>
            <w:tcW w:w="1245" w:type="dxa"/>
            <w:vAlign w:val="center"/>
          </w:tcPr>
          <w:p w14:paraId="3F7A1D0A">
            <w:pPr>
              <w:jc w:val="center"/>
              <w:rPr>
                <w:rFonts w:ascii="Times New Roman" w:hAnsi="Times New Roman"/>
                <w:b/>
                <w:bCs/>
                <w:kern w:val="0"/>
                <w:szCs w:val="21"/>
              </w:rPr>
            </w:pPr>
            <w:r>
              <w:rPr>
                <w:rFonts w:ascii="Times New Roman" w:hAnsi="Times New Roman"/>
                <w:szCs w:val="21"/>
              </w:rPr>
              <w:t>—</w:t>
            </w:r>
          </w:p>
        </w:tc>
        <w:tc>
          <w:tcPr>
            <w:tcW w:w="885" w:type="dxa"/>
            <w:vAlign w:val="center"/>
          </w:tcPr>
          <w:p w14:paraId="137A6A3E">
            <w:pPr>
              <w:jc w:val="center"/>
              <w:rPr>
                <w:rFonts w:ascii="Times New Roman" w:hAnsi="Times New Roman"/>
                <w:b/>
                <w:bCs/>
                <w:szCs w:val="21"/>
              </w:rPr>
            </w:pPr>
            <w:r>
              <w:rPr>
                <w:rFonts w:ascii="Times New Roman" w:hAnsi="Times New Roman"/>
                <w:szCs w:val="21"/>
              </w:rPr>
              <w:t>—</w:t>
            </w:r>
          </w:p>
        </w:tc>
        <w:tc>
          <w:tcPr>
            <w:tcW w:w="1515" w:type="dxa"/>
            <w:vAlign w:val="center"/>
          </w:tcPr>
          <w:p w14:paraId="7147B21E">
            <w:pPr>
              <w:jc w:val="center"/>
              <w:rPr>
                <w:rFonts w:ascii="Times New Roman" w:hAnsi="Times New Roman"/>
                <w:b/>
                <w:bCs/>
                <w:szCs w:val="21"/>
              </w:rPr>
            </w:pPr>
            <w:r>
              <w:rPr>
                <w:rFonts w:ascii="Times New Roman" w:hAnsi="Times New Roman"/>
                <w:szCs w:val="21"/>
              </w:rPr>
              <w:t>—</w:t>
            </w:r>
          </w:p>
        </w:tc>
        <w:tc>
          <w:tcPr>
            <w:tcW w:w="1831" w:type="dxa"/>
            <w:vAlign w:val="center"/>
          </w:tcPr>
          <w:p w14:paraId="2A27C811">
            <w:pPr>
              <w:jc w:val="center"/>
              <w:rPr>
                <w:rFonts w:ascii="Times New Roman" w:hAnsi="Times New Roman"/>
                <w:b/>
                <w:bCs/>
                <w:szCs w:val="21"/>
              </w:rPr>
            </w:pPr>
            <w:r>
              <w:rPr>
                <w:rFonts w:ascii="Times New Roman" w:hAnsi="Times New Roman"/>
                <w:szCs w:val="21"/>
              </w:rPr>
              <w:t>—</w:t>
            </w:r>
          </w:p>
        </w:tc>
        <w:tc>
          <w:tcPr>
            <w:tcW w:w="1949" w:type="dxa"/>
            <w:vAlign w:val="center"/>
          </w:tcPr>
          <w:p w14:paraId="32A509FC">
            <w:pPr>
              <w:jc w:val="center"/>
              <w:rPr>
                <w:rFonts w:ascii="Times New Roman" w:hAnsi="Times New Roman"/>
                <w:b/>
                <w:bCs/>
                <w:szCs w:val="21"/>
              </w:rPr>
            </w:pPr>
            <w:r>
              <w:rPr>
                <w:rFonts w:ascii="Times New Roman" w:hAnsi="Times New Roman"/>
                <w:szCs w:val="21"/>
              </w:rPr>
              <w:t>—</w:t>
            </w:r>
          </w:p>
        </w:tc>
        <w:tc>
          <w:tcPr>
            <w:tcW w:w="1368" w:type="dxa"/>
            <w:vAlign w:val="center"/>
          </w:tcPr>
          <w:p w14:paraId="677B91A9">
            <w:pPr>
              <w:jc w:val="center"/>
              <w:rPr>
                <w:rFonts w:ascii="Times New Roman" w:hAnsi="Times New Roman"/>
                <w:b/>
                <w:bCs/>
                <w:szCs w:val="21"/>
              </w:rPr>
            </w:pPr>
            <w:r>
              <w:rPr>
                <w:rFonts w:ascii="Times New Roman" w:hAnsi="Times New Roman"/>
                <w:szCs w:val="21"/>
              </w:rPr>
              <w:t>—</w:t>
            </w:r>
          </w:p>
        </w:tc>
        <w:tc>
          <w:tcPr>
            <w:tcW w:w="1800" w:type="dxa"/>
            <w:vAlign w:val="center"/>
          </w:tcPr>
          <w:p w14:paraId="7BC9DF66">
            <w:pPr>
              <w:jc w:val="center"/>
              <w:rPr>
                <w:rFonts w:ascii="Times New Roman" w:hAnsi="Times New Roman"/>
                <w:b/>
                <w:bCs/>
                <w:szCs w:val="21"/>
              </w:rPr>
            </w:pPr>
            <w:r>
              <w:rPr>
                <w:rFonts w:ascii="Times New Roman" w:hAnsi="Times New Roman"/>
                <w:szCs w:val="21"/>
              </w:rPr>
              <w:t>—</w:t>
            </w:r>
          </w:p>
        </w:tc>
        <w:tc>
          <w:tcPr>
            <w:tcW w:w="1281" w:type="dxa"/>
            <w:vAlign w:val="center"/>
          </w:tcPr>
          <w:p w14:paraId="6D2FECCF">
            <w:pPr>
              <w:jc w:val="center"/>
              <w:rPr>
                <w:rFonts w:ascii="Times New Roman" w:hAnsi="Times New Roman"/>
                <w:b/>
                <w:bCs/>
                <w:szCs w:val="21"/>
              </w:rPr>
            </w:pPr>
            <w:r>
              <w:rPr>
                <w:rFonts w:ascii="Times New Roman" w:hAnsi="Times New Roman"/>
                <w:szCs w:val="21"/>
              </w:rPr>
              <w:t>—</w:t>
            </w:r>
          </w:p>
        </w:tc>
      </w:tr>
    </w:tbl>
    <w:p w14:paraId="0A13DEC6">
      <w:pPr>
        <w:spacing w:line="360" w:lineRule="auto"/>
        <w:rPr>
          <w:rFonts w:ascii="Times New Roman" w:hAnsi="Times New Roman"/>
          <w:b/>
          <w:bCs/>
          <w:sz w:val="28"/>
          <w:szCs w:val="28"/>
        </w:rPr>
      </w:pPr>
      <w:r>
        <w:rPr>
          <w:rFonts w:ascii="Times New Roman" w:hAnsi="Times New Roman"/>
          <w:b/>
          <w:bCs/>
          <w:sz w:val="28"/>
          <w:szCs w:val="28"/>
        </w:rPr>
        <w:t>（三）中子发生器，包括中子管，但不包括放射性中子源</w:t>
      </w:r>
    </w:p>
    <w:tbl>
      <w:tblPr>
        <w:tblStyle w:val="23"/>
        <w:tblW w:w="14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1166"/>
        <w:gridCol w:w="777"/>
        <w:gridCol w:w="757"/>
        <w:gridCol w:w="859"/>
        <w:gridCol w:w="1350"/>
        <w:gridCol w:w="1594"/>
        <w:gridCol w:w="1035"/>
        <w:gridCol w:w="786"/>
        <w:gridCol w:w="658"/>
        <w:gridCol w:w="1432"/>
        <w:gridCol w:w="1446"/>
        <w:gridCol w:w="858"/>
        <w:gridCol w:w="959"/>
      </w:tblGrid>
      <w:tr w14:paraId="2D99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57" w:type="dxa"/>
            <w:vMerge w:val="restart"/>
            <w:vAlign w:val="center"/>
          </w:tcPr>
          <w:p w14:paraId="5E3659EF">
            <w:pPr>
              <w:jc w:val="center"/>
              <w:rPr>
                <w:rFonts w:ascii="Times New Roman" w:hAnsi="Times New Roman"/>
                <w:szCs w:val="21"/>
              </w:rPr>
            </w:pPr>
            <w:r>
              <w:rPr>
                <w:rFonts w:ascii="Times New Roman" w:hAnsi="Times New Roman"/>
                <w:szCs w:val="21"/>
              </w:rPr>
              <w:t>序号</w:t>
            </w:r>
          </w:p>
        </w:tc>
        <w:tc>
          <w:tcPr>
            <w:tcW w:w="1166" w:type="dxa"/>
            <w:vMerge w:val="restart"/>
            <w:vAlign w:val="center"/>
          </w:tcPr>
          <w:p w14:paraId="2648B9F0">
            <w:pPr>
              <w:jc w:val="center"/>
              <w:rPr>
                <w:rFonts w:ascii="Times New Roman" w:hAnsi="Times New Roman"/>
                <w:szCs w:val="21"/>
              </w:rPr>
            </w:pPr>
            <w:r>
              <w:rPr>
                <w:rFonts w:ascii="Times New Roman" w:hAnsi="Times New Roman"/>
                <w:szCs w:val="21"/>
              </w:rPr>
              <w:t>名称</w:t>
            </w:r>
          </w:p>
        </w:tc>
        <w:tc>
          <w:tcPr>
            <w:tcW w:w="777" w:type="dxa"/>
            <w:vMerge w:val="restart"/>
            <w:vAlign w:val="center"/>
          </w:tcPr>
          <w:p w14:paraId="50AAB3A5">
            <w:pPr>
              <w:jc w:val="center"/>
              <w:rPr>
                <w:rFonts w:ascii="Times New Roman" w:hAnsi="Times New Roman"/>
                <w:szCs w:val="21"/>
              </w:rPr>
            </w:pPr>
            <w:r>
              <w:rPr>
                <w:rFonts w:ascii="Times New Roman" w:hAnsi="Times New Roman"/>
                <w:szCs w:val="21"/>
              </w:rPr>
              <w:t>类别</w:t>
            </w:r>
          </w:p>
        </w:tc>
        <w:tc>
          <w:tcPr>
            <w:tcW w:w="757" w:type="dxa"/>
            <w:vMerge w:val="restart"/>
            <w:vAlign w:val="center"/>
          </w:tcPr>
          <w:p w14:paraId="32BA533B">
            <w:pPr>
              <w:jc w:val="center"/>
              <w:rPr>
                <w:rFonts w:ascii="Times New Roman" w:hAnsi="Times New Roman"/>
                <w:szCs w:val="21"/>
              </w:rPr>
            </w:pPr>
            <w:r>
              <w:rPr>
                <w:rFonts w:ascii="Times New Roman" w:hAnsi="Times New Roman"/>
                <w:szCs w:val="21"/>
              </w:rPr>
              <w:t>数量</w:t>
            </w:r>
          </w:p>
        </w:tc>
        <w:tc>
          <w:tcPr>
            <w:tcW w:w="859" w:type="dxa"/>
            <w:vMerge w:val="restart"/>
            <w:vAlign w:val="center"/>
          </w:tcPr>
          <w:p w14:paraId="7FEAB288">
            <w:pPr>
              <w:jc w:val="center"/>
              <w:rPr>
                <w:rFonts w:ascii="Times New Roman" w:hAnsi="Times New Roman"/>
                <w:szCs w:val="21"/>
              </w:rPr>
            </w:pPr>
            <w:r>
              <w:rPr>
                <w:rFonts w:ascii="Times New Roman" w:hAnsi="Times New Roman"/>
                <w:szCs w:val="21"/>
              </w:rPr>
              <w:t>型号</w:t>
            </w:r>
          </w:p>
        </w:tc>
        <w:tc>
          <w:tcPr>
            <w:tcW w:w="1350" w:type="dxa"/>
            <w:vMerge w:val="restart"/>
            <w:vAlign w:val="center"/>
          </w:tcPr>
          <w:p w14:paraId="1CE82F76">
            <w:pPr>
              <w:jc w:val="center"/>
              <w:rPr>
                <w:rFonts w:ascii="Times New Roman" w:hAnsi="Times New Roman"/>
                <w:szCs w:val="21"/>
              </w:rPr>
            </w:pPr>
            <w:r>
              <w:rPr>
                <w:rFonts w:ascii="Times New Roman" w:hAnsi="Times New Roman"/>
                <w:szCs w:val="21"/>
              </w:rPr>
              <w:t>最大管电压（kV）</w:t>
            </w:r>
          </w:p>
        </w:tc>
        <w:tc>
          <w:tcPr>
            <w:tcW w:w="1594" w:type="dxa"/>
            <w:vMerge w:val="restart"/>
            <w:vAlign w:val="center"/>
          </w:tcPr>
          <w:p w14:paraId="7EB1AAFB">
            <w:pPr>
              <w:jc w:val="center"/>
              <w:rPr>
                <w:rFonts w:ascii="Times New Roman" w:hAnsi="Times New Roman"/>
                <w:szCs w:val="21"/>
              </w:rPr>
            </w:pPr>
            <w:r>
              <w:rPr>
                <w:rFonts w:ascii="Times New Roman" w:hAnsi="Times New Roman"/>
                <w:szCs w:val="21"/>
              </w:rPr>
              <w:t>最大靶电流（μA）</w:t>
            </w:r>
          </w:p>
        </w:tc>
        <w:tc>
          <w:tcPr>
            <w:tcW w:w="1035" w:type="dxa"/>
            <w:vMerge w:val="restart"/>
            <w:vAlign w:val="center"/>
          </w:tcPr>
          <w:p w14:paraId="1D86CCDB">
            <w:pPr>
              <w:jc w:val="center"/>
              <w:rPr>
                <w:rFonts w:ascii="Times New Roman" w:hAnsi="Times New Roman"/>
                <w:szCs w:val="21"/>
              </w:rPr>
            </w:pPr>
            <w:r>
              <w:rPr>
                <w:rFonts w:ascii="Times New Roman" w:hAnsi="Times New Roman"/>
                <w:szCs w:val="21"/>
              </w:rPr>
              <w:t>中子强度（n/s）</w:t>
            </w:r>
          </w:p>
        </w:tc>
        <w:tc>
          <w:tcPr>
            <w:tcW w:w="786" w:type="dxa"/>
            <w:vMerge w:val="restart"/>
            <w:vAlign w:val="center"/>
          </w:tcPr>
          <w:p w14:paraId="3A6F5E8A">
            <w:pPr>
              <w:jc w:val="center"/>
              <w:rPr>
                <w:rFonts w:ascii="Times New Roman" w:hAnsi="Times New Roman"/>
                <w:szCs w:val="21"/>
              </w:rPr>
            </w:pPr>
            <w:r>
              <w:rPr>
                <w:rFonts w:ascii="Times New Roman" w:hAnsi="Times New Roman"/>
                <w:szCs w:val="21"/>
              </w:rPr>
              <w:t>用途</w:t>
            </w:r>
          </w:p>
        </w:tc>
        <w:tc>
          <w:tcPr>
            <w:tcW w:w="658" w:type="dxa"/>
            <w:vMerge w:val="restart"/>
            <w:vAlign w:val="center"/>
          </w:tcPr>
          <w:p w14:paraId="383E2A03">
            <w:pPr>
              <w:jc w:val="center"/>
              <w:rPr>
                <w:rFonts w:ascii="Times New Roman" w:hAnsi="Times New Roman"/>
                <w:szCs w:val="21"/>
              </w:rPr>
            </w:pPr>
            <w:r>
              <w:rPr>
                <w:rFonts w:ascii="Times New Roman" w:hAnsi="Times New Roman"/>
                <w:szCs w:val="21"/>
              </w:rPr>
              <w:t>工作场所</w:t>
            </w:r>
          </w:p>
        </w:tc>
        <w:tc>
          <w:tcPr>
            <w:tcW w:w="3736" w:type="dxa"/>
            <w:gridSpan w:val="3"/>
            <w:vAlign w:val="center"/>
          </w:tcPr>
          <w:p w14:paraId="2064AA9F">
            <w:pPr>
              <w:jc w:val="center"/>
              <w:rPr>
                <w:rFonts w:ascii="Times New Roman" w:hAnsi="Times New Roman"/>
                <w:szCs w:val="21"/>
              </w:rPr>
            </w:pPr>
            <w:r>
              <w:rPr>
                <w:rFonts w:ascii="Times New Roman" w:hAnsi="Times New Roman"/>
                <w:szCs w:val="21"/>
              </w:rPr>
              <w:t>氚靶情况</w:t>
            </w:r>
          </w:p>
        </w:tc>
        <w:tc>
          <w:tcPr>
            <w:tcW w:w="959" w:type="dxa"/>
            <w:vMerge w:val="restart"/>
            <w:vAlign w:val="center"/>
          </w:tcPr>
          <w:p w14:paraId="12A33B72">
            <w:pPr>
              <w:jc w:val="center"/>
              <w:rPr>
                <w:rFonts w:ascii="Times New Roman" w:hAnsi="Times New Roman"/>
                <w:szCs w:val="21"/>
              </w:rPr>
            </w:pPr>
            <w:r>
              <w:rPr>
                <w:rFonts w:ascii="Times New Roman" w:hAnsi="Times New Roman"/>
                <w:szCs w:val="21"/>
              </w:rPr>
              <w:t>备注</w:t>
            </w:r>
          </w:p>
        </w:tc>
      </w:tr>
      <w:tr w14:paraId="4CDF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57" w:type="dxa"/>
            <w:vMerge w:val="continue"/>
            <w:vAlign w:val="center"/>
          </w:tcPr>
          <w:p w14:paraId="76F4A48F">
            <w:pPr>
              <w:jc w:val="center"/>
              <w:rPr>
                <w:rFonts w:ascii="Times New Roman" w:hAnsi="Times New Roman"/>
                <w:szCs w:val="21"/>
              </w:rPr>
            </w:pPr>
          </w:p>
        </w:tc>
        <w:tc>
          <w:tcPr>
            <w:tcW w:w="1166" w:type="dxa"/>
            <w:vMerge w:val="continue"/>
            <w:vAlign w:val="center"/>
          </w:tcPr>
          <w:p w14:paraId="1CC75358">
            <w:pPr>
              <w:jc w:val="center"/>
              <w:rPr>
                <w:rFonts w:ascii="Times New Roman" w:hAnsi="Times New Roman"/>
                <w:szCs w:val="21"/>
              </w:rPr>
            </w:pPr>
          </w:p>
        </w:tc>
        <w:tc>
          <w:tcPr>
            <w:tcW w:w="777" w:type="dxa"/>
            <w:vMerge w:val="continue"/>
            <w:vAlign w:val="center"/>
          </w:tcPr>
          <w:p w14:paraId="0CFF4A28">
            <w:pPr>
              <w:jc w:val="center"/>
              <w:rPr>
                <w:rFonts w:ascii="Times New Roman" w:hAnsi="Times New Roman"/>
                <w:szCs w:val="21"/>
              </w:rPr>
            </w:pPr>
          </w:p>
        </w:tc>
        <w:tc>
          <w:tcPr>
            <w:tcW w:w="757" w:type="dxa"/>
            <w:vMerge w:val="continue"/>
            <w:vAlign w:val="center"/>
          </w:tcPr>
          <w:p w14:paraId="6AA241FB">
            <w:pPr>
              <w:jc w:val="center"/>
              <w:rPr>
                <w:rFonts w:ascii="Times New Roman" w:hAnsi="Times New Roman"/>
                <w:szCs w:val="21"/>
              </w:rPr>
            </w:pPr>
          </w:p>
        </w:tc>
        <w:tc>
          <w:tcPr>
            <w:tcW w:w="859" w:type="dxa"/>
            <w:vMerge w:val="continue"/>
            <w:vAlign w:val="center"/>
          </w:tcPr>
          <w:p w14:paraId="2853B6DD">
            <w:pPr>
              <w:jc w:val="center"/>
              <w:rPr>
                <w:rFonts w:ascii="Times New Roman" w:hAnsi="Times New Roman"/>
                <w:szCs w:val="21"/>
              </w:rPr>
            </w:pPr>
          </w:p>
        </w:tc>
        <w:tc>
          <w:tcPr>
            <w:tcW w:w="1350" w:type="dxa"/>
            <w:vMerge w:val="continue"/>
            <w:vAlign w:val="center"/>
          </w:tcPr>
          <w:p w14:paraId="1750F460">
            <w:pPr>
              <w:jc w:val="center"/>
              <w:rPr>
                <w:rFonts w:ascii="Times New Roman" w:hAnsi="Times New Roman"/>
                <w:szCs w:val="21"/>
              </w:rPr>
            </w:pPr>
          </w:p>
        </w:tc>
        <w:tc>
          <w:tcPr>
            <w:tcW w:w="1594" w:type="dxa"/>
            <w:vMerge w:val="continue"/>
            <w:vAlign w:val="center"/>
          </w:tcPr>
          <w:p w14:paraId="57F906CA">
            <w:pPr>
              <w:jc w:val="center"/>
              <w:rPr>
                <w:rFonts w:ascii="Times New Roman" w:hAnsi="Times New Roman"/>
                <w:szCs w:val="21"/>
              </w:rPr>
            </w:pPr>
          </w:p>
        </w:tc>
        <w:tc>
          <w:tcPr>
            <w:tcW w:w="1035" w:type="dxa"/>
            <w:vMerge w:val="continue"/>
            <w:vAlign w:val="center"/>
          </w:tcPr>
          <w:p w14:paraId="684104E2">
            <w:pPr>
              <w:jc w:val="center"/>
              <w:rPr>
                <w:rFonts w:ascii="Times New Roman" w:hAnsi="Times New Roman"/>
                <w:szCs w:val="21"/>
              </w:rPr>
            </w:pPr>
          </w:p>
        </w:tc>
        <w:tc>
          <w:tcPr>
            <w:tcW w:w="786" w:type="dxa"/>
            <w:vMerge w:val="continue"/>
            <w:vAlign w:val="center"/>
          </w:tcPr>
          <w:p w14:paraId="2C4EA517">
            <w:pPr>
              <w:jc w:val="center"/>
              <w:rPr>
                <w:rFonts w:ascii="Times New Roman" w:hAnsi="Times New Roman"/>
                <w:szCs w:val="21"/>
              </w:rPr>
            </w:pPr>
          </w:p>
        </w:tc>
        <w:tc>
          <w:tcPr>
            <w:tcW w:w="658" w:type="dxa"/>
            <w:vMerge w:val="continue"/>
            <w:vAlign w:val="center"/>
          </w:tcPr>
          <w:p w14:paraId="5C666CC1">
            <w:pPr>
              <w:jc w:val="center"/>
              <w:rPr>
                <w:rFonts w:ascii="Times New Roman" w:hAnsi="Times New Roman"/>
                <w:szCs w:val="21"/>
              </w:rPr>
            </w:pPr>
          </w:p>
        </w:tc>
        <w:tc>
          <w:tcPr>
            <w:tcW w:w="1432" w:type="dxa"/>
            <w:vAlign w:val="center"/>
          </w:tcPr>
          <w:p w14:paraId="1F37F845">
            <w:pPr>
              <w:jc w:val="center"/>
              <w:rPr>
                <w:rFonts w:ascii="Times New Roman" w:hAnsi="Times New Roman"/>
                <w:szCs w:val="21"/>
              </w:rPr>
            </w:pPr>
            <w:r>
              <w:rPr>
                <w:rFonts w:ascii="Times New Roman" w:hAnsi="Times New Roman"/>
                <w:szCs w:val="21"/>
              </w:rPr>
              <w:t>活度（Bq）</w:t>
            </w:r>
          </w:p>
        </w:tc>
        <w:tc>
          <w:tcPr>
            <w:tcW w:w="1446" w:type="dxa"/>
            <w:vAlign w:val="center"/>
          </w:tcPr>
          <w:p w14:paraId="4F5DDD46">
            <w:pPr>
              <w:jc w:val="center"/>
              <w:rPr>
                <w:rFonts w:ascii="Times New Roman" w:hAnsi="Times New Roman"/>
                <w:szCs w:val="21"/>
              </w:rPr>
            </w:pPr>
            <w:r>
              <w:rPr>
                <w:rFonts w:ascii="Times New Roman" w:hAnsi="Times New Roman"/>
                <w:szCs w:val="21"/>
              </w:rPr>
              <w:t>贮存方式</w:t>
            </w:r>
          </w:p>
        </w:tc>
        <w:tc>
          <w:tcPr>
            <w:tcW w:w="858" w:type="dxa"/>
            <w:vAlign w:val="center"/>
          </w:tcPr>
          <w:p w14:paraId="4A50F466">
            <w:pPr>
              <w:jc w:val="center"/>
              <w:rPr>
                <w:rFonts w:ascii="Times New Roman" w:hAnsi="Times New Roman"/>
                <w:szCs w:val="21"/>
              </w:rPr>
            </w:pPr>
            <w:r>
              <w:rPr>
                <w:rFonts w:ascii="Times New Roman" w:hAnsi="Times New Roman"/>
                <w:szCs w:val="21"/>
              </w:rPr>
              <w:t>数量</w:t>
            </w:r>
          </w:p>
        </w:tc>
        <w:tc>
          <w:tcPr>
            <w:tcW w:w="959" w:type="dxa"/>
            <w:vMerge w:val="continue"/>
            <w:vAlign w:val="center"/>
          </w:tcPr>
          <w:p w14:paraId="12290FC6">
            <w:pPr>
              <w:jc w:val="center"/>
              <w:rPr>
                <w:rFonts w:ascii="Times New Roman" w:hAnsi="Times New Roman"/>
                <w:szCs w:val="21"/>
              </w:rPr>
            </w:pPr>
          </w:p>
        </w:tc>
      </w:tr>
      <w:tr w14:paraId="0A74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57" w:type="dxa"/>
            <w:vAlign w:val="center"/>
          </w:tcPr>
          <w:p w14:paraId="629AA6F7">
            <w:pPr>
              <w:jc w:val="center"/>
              <w:rPr>
                <w:rFonts w:ascii="Times New Roman" w:hAnsi="Times New Roman"/>
                <w:szCs w:val="21"/>
              </w:rPr>
            </w:pPr>
            <w:r>
              <w:rPr>
                <w:rFonts w:ascii="Times New Roman" w:hAnsi="Times New Roman"/>
                <w:szCs w:val="21"/>
              </w:rPr>
              <w:t>—</w:t>
            </w:r>
          </w:p>
        </w:tc>
        <w:tc>
          <w:tcPr>
            <w:tcW w:w="1166" w:type="dxa"/>
            <w:vAlign w:val="center"/>
          </w:tcPr>
          <w:p w14:paraId="676004AF">
            <w:pPr>
              <w:jc w:val="center"/>
              <w:rPr>
                <w:rFonts w:ascii="Times New Roman" w:hAnsi="Times New Roman"/>
                <w:szCs w:val="21"/>
              </w:rPr>
            </w:pPr>
            <w:r>
              <w:rPr>
                <w:rFonts w:ascii="Times New Roman" w:hAnsi="Times New Roman"/>
                <w:szCs w:val="21"/>
              </w:rPr>
              <w:t>—</w:t>
            </w:r>
          </w:p>
        </w:tc>
        <w:tc>
          <w:tcPr>
            <w:tcW w:w="777" w:type="dxa"/>
            <w:vAlign w:val="center"/>
          </w:tcPr>
          <w:p w14:paraId="683EAF0A">
            <w:pPr>
              <w:jc w:val="center"/>
              <w:rPr>
                <w:rFonts w:ascii="Times New Roman" w:hAnsi="Times New Roman"/>
                <w:szCs w:val="21"/>
              </w:rPr>
            </w:pPr>
            <w:r>
              <w:rPr>
                <w:rFonts w:ascii="Times New Roman" w:hAnsi="Times New Roman"/>
                <w:szCs w:val="21"/>
              </w:rPr>
              <w:t>—</w:t>
            </w:r>
          </w:p>
        </w:tc>
        <w:tc>
          <w:tcPr>
            <w:tcW w:w="757" w:type="dxa"/>
            <w:vAlign w:val="center"/>
          </w:tcPr>
          <w:p w14:paraId="262D266A">
            <w:pPr>
              <w:jc w:val="center"/>
              <w:rPr>
                <w:rFonts w:ascii="Times New Roman" w:hAnsi="Times New Roman"/>
                <w:szCs w:val="21"/>
              </w:rPr>
            </w:pPr>
            <w:r>
              <w:rPr>
                <w:rFonts w:ascii="Times New Roman" w:hAnsi="Times New Roman"/>
                <w:szCs w:val="21"/>
              </w:rPr>
              <w:t>—</w:t>
            </w:r>
          </w:p>
        </w:tc>
        <w:tc>
          <w:tcPr>
            <w:tcW w:w="859" w:type="dxa"/>
            <w:vAlign w:val="center"/>
          </w:tcPr>
          <w:p w14:paraId="46B1868D">
            <w:pPr>
              <w:jc w:val="center"/>
              <w:rPr>
                <w:rFonts w:ascii="Times New Roman" w:hAnsi="Times New Roman"/>
                <w:szCs w:val="21"/>
              </w:rPr>
            </w:pPr>
            <w:r>
              <w:rPr>
                <w:rFonts w:ascii="Times New Roman" w:hAnsi="Times New Roman"/>
                <w:szCs w:val="21"/>
              </w:rPr>
              <w:t>—</w:t>
            </w:r>
          </w:p>
        </w:tc>
        <w:tc>
          <w:tcPr>
            <w:tcW w:w="1350" w:type="dxa"/>
            <w:vAlign w:val="center"/>
          </w:tcPr>
          <w:p w14:paraId="51D91C54">
            <w:pPr>
              <w:jc w:val="center"/>
              <w:rPr>
                <w:rFonts w:ascii="Times New Roman" w:hAnsi="Times New Roman"/>
                <w:szCs w:val="21"/>
              </w:rPr>
            </w:pPr>
            <w:r>
              <w:rPr>
                <w:rFonts w:ascii="Times New Roman" w:hAnsi="Times New Roman"/>
                <w:szCs w:val="21"/>
              </w:rPr>
              <w:t>—</w:t>
            </w:r>
          </w:p>
        </w:tc>
        <w:tc>
          <w:tcPr>
            <w:tcW w:w="1594" w:type="dxa"/>
            <w:vAlign w:val="center"/>
          </w:tcPr>
          <w:p w14:paraId="213797A7">
            <w:pPr>
              <w:jc w:val="center"/>
              <w:rPr>
                <w:rFonts w:ascii="Times New Roman" w:hAnsi="Times New Roman"/>
                <w:szCs w:val="21"/>
              </w:rPr>
            </w:pPr>
            <w:r>
              <w:rPr>
                <w:rFonts w:ascii="Times New Roman" w:hAnsi="Times New Roman"/>
                <w:szCs w:val="21"/>
              </w:rPr>
              <w:t>—</w:t>
            </w:r>
          </w:p>
        </w:tc>
        <w:tc>
          <w:tcPr>
            <w:tcW w:w="1035" w:type="dxa"/>
            <w:vAlign w:val="center"/>
          </w:tcPr>
          <w:p w14:paraId="318CAE39">
            <w:pPr>
              <w:jc w:val="center"/>
              <w:rPr>
                <w:rFonts w:ascii="Times New Roman" w:hAnsi="Times New Roman"/>
                <w:szCs w:val="21"/>
              </w:rPr>
            </w:pPr>
            <w:r>
              <w:rPr>
                <w:rFonts w:ascii="Times New Roman" w:hAnsi="Times New Roman"/>
                <w:szCs w:val="21"/>
              </w:rPr>
              <w:t>—</w:t>
            </w:r>
          </w:p>
        </w:tc>
        <w:tc>
          <w:tcPr>
            <w:tcW w:w="786" w:type="dxa"/>
            <w:vAlign w:val="center"/>
          </w:tcPr>
          <w:p w14:paraId="08C9F243">
            <w:pPr>
              <w:jc w:val="center"/>
              <w:rPr>
                <w:rFonts w:ascii="Times New Roman" w:hAnsi="Times New Roman"/>
                <w:szCs w:val="21"/>
              </w:rPr>
            </w:pPr>
            <w:r>
              <w:rPr>
                <w:rFonts w:ascii="Times New Roman" w:hAnsi="Times New Roman"/>
                <w:szCs w:val="21"/>
              </w:rPr>
              <w:t>—</w:t>
            </w:r>
          </w:p>
        </w:tc>
        <w:tc>
          <w:tcPr>
            <w:tcW w:w="658" w:type="dxa"/>
            <w:vAlign w:val="center"/>
          </w:tcPr>
          <w:p w14:paraId="301D5FB2">
            <w:pPr>
              <w:jc w:val="center"/>
              <w:rPr>
                <w:rFonts w:ascii="Times New Roman" w:hAnsi="Times New Roman"/>
                <w:szCs w:val="21"/>
              </w:rPr>
            </w:pPr>
            <w:r>
              <w:rPr>
                <w:rFonts w:ascii="Times New Roman" w:hAnsi="Times New Roman"/>
                <w:szCs w:val="21"/>
              </w:rPr>
              <w:t>—</w:t>
            </w:r>
          </w:p>
        </w:tc>
        <w:tc>
          <w:tcPr>
            <w:tcW w:w="1432" w:type="dxa"/>
            <w:vAlign w:val="center"/>
          </w:tcPr>
          <w:p w14:paraId="71A58FEB">
            <w:pPr>
              <w:jc w:val="center"/>
              <w:rPr>
                <w:rFonts w:ascii="Times New Roman" w:hAnsi="Times New Roman"/>
                <w:szCs w:val="21"/>
              </w:rPr>
            </w:pPr>
            <w:r>
              <w:rPr>
                <w:rFonts w:ascii="Times New Roman" w:hAnsi="Times New Roman"/>
                <w:szCs w:val="21"/>
              </w:rPr>
              <w:t>—</w:t>
            </w:r>
          </w:p>
        </w:tc>
        <w:tc>
          <w:tcPr>
            <w:tcW w:w="1446" w:type="dxa"/>
            <w:vAlign w:val="center"/>
          </w:tcPr>
          <w:p w14:paraId="3ABCE3FC">
            <w:pPr>
              <w:jc w:val="center"/>
              <w:rPr>
                <w:rFonts w:ascii="Times New Roman" w:hAnsi="Times New Roman"/>
                <w:szCs w:val="21"/>
              </w:rPr>
            </w:pPr>
            <w:r>
              <w:rPr>
                <w:rFonts w:ascii="Times New Roman" w:hAnsi="Times New Roman"/>
                <w:szCs w:val="21"/>
              </w:rPr>
              <w:t>—</w:t>
            </w:r>
          </w:p>
        </w:tc>
        <w:tc>
          <w:tcPr>
            <w:tcW w:w="858" w:type="dxa"/>
            <w:vAlign w:val="center"/>
          </w:tcPr>
          <w:p w14:paraId="3D74BE78">
            <w:pPr>
              <w:jc w:val="center"/>
              <w:rPr>
                <w:rFonts w:ascii="Times New Roman" w:hAnsi="Times New Roman"/>
                <w:szCs w:val="21"/>
              </w:rPr>
            </w:pPr>
            <w:r>
              <w:rPr>
                <w:rFonts w:ascii="Times New Roman" w:hAnsi="Times New Roman"/>
                <w:szCs w:val="21"/>
              </w:rPr>
              <w:t>—</w:t>
            </w:r>
          </w:p>
        </w:tc>
        <w:tc>
          <w:tcPr>
            <w:tcW w:w="959" w:type="dxa"/>
            <w:vAlign w:val="center"/>
          </w:tcPr>
          <w:p w14:paraId="3C5A2F71">
            <w:pPr>
              <w:jc w:val="center"/>
              <w:rPr>
                <w:rFonts w:ascii="Times New Roman" w:hAnsi="Times New Roman"/>
                <w:szCs w:val="21"/>
              </w:rPr>
            </w:pPr>
            <w:r>
              <w:rPr>
                <w:rFonts w:ascii="Times New Roman" w:hAnsi="Times New Roman"/>
                <w:szCs w:val="21"/>
              </w:rPr>
              <w:t>—</w:t>
            </w:r>
          </w:p>
        </w:tc>
      </w:tr>
    </w:tbl>
    <w:p w14:paraId="223DA91E">
      <w:pPr>
        <w:rPr>
          <w:rFonts w:ascii="Times New Roman" w:hAnsi="Times New Roman"/>
          <w:sz w:val="28"/>
          <w:szCs w:val="28"/>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75899EF9">
      <w:pPr>
        <w:pStyle w:val="4"/>
        <w:numPr>
          <w:ilvl w:val="2"/>
          <w:numId w:val="0"/>
        </w:numPr>
        <w:rPr>
          <w:rFonts w:ascii="Times New Roman" w:hAnsi="Times New Roman"/>
        </w:rPr>
      </w:pPr>
      <w:bookmarkStart w:id="6" w:name="_Toc14734"/>
      <w:r>
        <w:rPr>
          <w:rFonts w:ascii="Times New Roman" w:hAnsi="Times New Roman"/>
        </w:rPr>
        <w:t>表5 废弃物（重点是放射性废弃物）</w:t>
      </w:r>
      <w:bookmarkEnd w:id="6"/>
    </w:p>
    <w:tbl>
      <w:tblPr>
        <w:tblStyle w:val="23"/>
        <w:tblW w:w="8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465"/>
        <w:gridCol w:w="705"/>
        <w:gridCol w:w="510"/>
        <w:gridCol w:w="705"/>
        <w:gridCol w:w="1631"/>
        <w:gridCol w:w="859"/>
        <w:gridCol w:w="881"/>
        <w:gridCol w:w="1909"/>
      </w:tblGrid>
      <w:tr w14:paraId="079C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52384709">
            <w:pPr>
              <w:spacing w:before="78" w:beforeLines="25"/>
              <w:jc w:val="center"/>
              <w:rPr>
                <w:rFonts w:ascii="Times New Roman" w:hAnsi="Times New Roman"/>
                <w:szCs w:val="21"/>
              </w:rPr>
            </w:pPr>
            <w:r>
              <w:rPr>
                <w:rFonts w:ascii="Times New Roman" w:hAnsi="Times New Roman"/>
                <w:kern w:val="0"/>
                <w:szCs w:val="21"/>
              </w:rPr>
              <w:t>名称</w:t>
            </w:r>
          </w:p>
        </w:tc>
        <w:tc>
          <w:tcPr>
            <w:tcW w:w="465" w:type="dxa"/>
            <w:tcBorders>
              <w:top w:val="single" w:color="auto" w:sz="4" w:space="0"/>
              <w:left w:val="single" w:color="auto" w:sz="4" w:space="0"/>
              <w:bottom w:val="single" w:color="auto" w:sz="4" w:space="0"/>
              <w:right w:val="single" w:color="auto" w:sz="4" w:space="0"/>
            </w:tcBorders>
            <w:vAlign w:val="center"/>
          </w:tcPr>
          <w:p w14:paraId="5F956EE8">
            <w:pPr>
              <w:spacing w:before="78" w:beforeLines="25"/>
              <w:jc w:val="center"/>
              <w:rPr>
                <w:rFonts w:ascii="Times New Roman" w:hAnsi="Times New Roman"/>
                <w:szCs w:val="21"/>
              </w:rPr>
            </w:pPr>
            <w:r>
              <w:rPr>
                <w:rFonts w:ascii="Times New Roman" w:hAnsi="Times New Roman"/>
                <w:kern w:val="0"/>
                <w:szCs w:val="21"/>
              </w:rPr>
              <w:t>状态</w:t>
            </w:r>
          </w:p>
        </w:tc>
        <w:tc>
          <w:tcPr>
            <w:tcW w:w="705" w:type="dxa"/>
            <w:tcBorders>
              <w:top w:val="single" w:color="auto" w:sz="4" w:space="0"/>
              <w:left w:val="single" w:color="auto" w:sz="4" w:space="0"/>
              <w:bottom w:val="single" w:color="auto" w:sz="4" w:space="0"/>
              <w:right w:val="single" w:color="auto" w:sz="4" w:space="0"/>
            </w:tcBorders>
            <w:vAlign w:val="center"/>
          </w:tcPr>
          <w:p w14:paraId="05EE8D68">
            <w:pPr>
              <w:spacing w:before="78" w:beforeLines="25"/>
              <w:jc w:val="center"/>
              <w:rPr>
                <w:rFonts w:ascii="Times New Roman" w:hAnsi="Times New Roman"/>
                <w:szCs w:val="21"/>
              </w:rPr>
            </w:pPr>
            <w:r>
              <w:rPr>
                <w:rFonts w:ascii="Times New Roman" w:hAnsi="Times New Roman"/>
                <w:kern w:val="0"/>
                <w:szCs w:val="21"/>
              </w:rPr>
              <w:t>核素名称</w:t>
            </w:r>
          </w:p>
        </w:tc>
        <w:tc>
          <w:tcPr>
            <w:tcW w:w="510" w:type="dxa"/>
            <w:tcBorders>
              <w:top w:val="single" w:color="auto" w:sz="4" w:space="0"/>
              <w:left w:val="single" w:color="auto" w:sz="4" w:space="0"/>
              <w:bottom w:val="single" w:color="auto" w:sz="4" w:space="0"/>
              <w:right w:val="single" w:color="auto" w:sz="4" w:space="0"/>
            </w:tcBorders>
            <w:vAlign w:val="center"/>
          </w:tcPr>
          <w:p w14:paraId="2E6FCA2A">
            <w:pPr>
              <w:spacing w:before="78" w:beforeLines="25"/>
              <w:jc w:val="center"/>
              <w:rPr>
                <w:rFonts w:ascii="Times New Roman" w:hAnsi="Times New Roman"/>
                <w:szCs w:val="21"/>
              </w:rPr>
            </w:pPr>
            <w:r>
              <w:rPr>
                <w:rFonts w:ascii="Times New Roman" w:hAnsi="Times New Roman"/>
                <w:kern w:val="0"/>
                <w:szCs w:val="21"/>
              </w:rPr>
              <w:t>活度</w:t>
            </w:r>
          </w:p>
        </w:tc>
        <w:tc>
          <w:tcPr>
            <w:tcW w:w="705" w:type="dxa"/>
            <w:tcBorders>
              <w:top w:val="single" w:color="auto" w:sz="4" w:space="0"/>
              <w:left w:val="single" w:color="auto" w:sz="4" w:space="0"/>
              <w:bottom w:val="single" w:color="auto" w:sz="4" w:space="0"/>
              <w:right w:val="single" w:color="auto" w:sz="4" w:space="0"/>
            </w:tcBorders>
            <w:vAlign w:val="center"/>
          </w:tcPr>
          <w:p w14:paraId="759ADC1E">
            <w:pPr>
              <w:jc w:val="center"/>
              <w:rPr>
                <w:rFonts w:ascii="Times New Roman" w:hAnsi="Times New Roman"/>
                <w:szCs w:val="21"/>
              </w:rPr>
            </w:pPr>
            <w:r>
              <w:rPr>
                <w:rFonts w:ascii="Times New Roman" w:hAnsi="Times New Roman"/>
                <w:kern w:val="0"/>
                <w:szCs w:val="21"/>
              </w:rPr>
              <w:t>月排</w:t>
            </w:r>
          </w:p>
          <w:p w14:paraId="40BF6713">
            <w:pPr>
              <w:jc w:val="center"/>
              <w:rPr>
                <w:rFonts w:ascii="Times New Roman" w:hAnsi="Times New Roman"/>
                <w:szCs w:val="21"/>
              </w:rPr>
            </w:pPr>
            <w:r>
              <w:rPr>
                <w:rFonts w:ascii="Times New Roman" w:hAnsi="Times New Roman"/>
                <w:kern w:val="0"/>
                <w:szCs w:val="21"/>
              </w:rPr>
              <w:t>放量</w:t>
            </w:r>
          </w:p>
        </w:tc>
        <w:tc>
          <w:tcPr>
            <w:tcW w:w="1631" w:type="dxa"/>
            <w:tcBorders>
              <w:top w:val="single" w:color="auto" w:sz="4" w:space="0"/>
              <w:left w:val="single" w:color="auto" w:sz="4" w:space="0"/>
              <w:bottom w:val="single" w:color="auto" w:sz="4" w:space="0"/>
              <w:right w:val="single" w:color="auto" w:sz="4" w:space="0"/>
            </w:tcBorders>
            <w:vAlign w:val="center"/>
          </w:tcPr>
          <w:p w14:paraId="6F1224DF">
            <w:pPr>
              <w:jc w:val="center"/>
              <w:rPr>
                <w:rFonts w:ascii="Times New Roman" w:hAnsi="Times New Roman"/>
                <w:szCs w:val="21"/>
              </w:rPr>
            </w:pPr>
            <w:r>
              <w:rPr>
                <w:rFonts w:ascii="Times New Roman" w:hAnsi="Times New Roman"/>
                <w:kern w:val="0"/>
                <w:szCs w:val="21"/>
              </w:rPr>
              <w:t>年排放总量</w:t>
            </w:r>
          </w:p>
        </w:tc>
        <w:tc>
          <w:tcPr>
            <w:tcW w:w="859" w:type="dxa"/>
            <w:tcBorders>
              <w:top w:val="single" w:color="auto" w:sz="4" w:space="0"/>
              <w:left w:val="single" w:color="auto" w:sz="4" w:space="0"/>
              <w:bottom w:val="single" w:color="auto" w:sz="4" w:space="0"/>
              <w:right w:val="single" w:color="auto" w:sz="4" w:space="0"/>
            </w:tcBorders>
            <w:vAlign w:val="center"/>
          </w:tcPr>
          <w:p w14:paraId="7CB07EA6">
            <w:pPr>
              <w:spacing w:before="78" w:beforeLines="25"/>
              <w:jc w:val="center"/>
              <w:rPr>
                <w:rFonts w:ascii="Times New Roman" w:hAnsi="Times New Roman"/>
                <w:szCs w:val="21"/>
              </w:rPr>
            </w:pPr>
            <w:r>
              <w:rPr>
                <w:rFonts w:ascii="Times New Roman" w:hAnsi="Times New Roman"/>
                <w:kern w:val="0"/>
                <w:szCs w:val="21"/>
              </w:rPr>
              <w:t>排放口浓度</w:t>
            </w:r>
          </w:p>
        </w:tc>
        <w:tc>
          <w:tcPr>
            <w:tcW w:w="881" w:type="dxa"/>
            <w:tcBorders>
              <w:top w:val="single" w:color="auto" w:sz="4" w:space="0"/>
              <w:left w:val="single" w:color="auto" w:sz="4" w:space="0"/>
              <w:bottom w:val="single" w:color="auto" w:sz="4" w:space="0"/>
              <w:right w:val="single" w:color="auto" w:sz="4" w:space="0"/>
            </w:tcBorders>
            <w:vAlign w:val="center"/>
          </w:tcPr>
          <w:p w14:paraId="7D012422">
            <w:pPr>
              <w:jc w:val="center"/>
              <w:rPr>
                <w:rFonts w:ascii="Times New Roman" w:hAnsi="Times New Roman"/>
                <w:szCs w:val="21"/>
              </w:rPr>
            </w:pPr>
            <w:r>
              <w:rPr>
                <w:rFonts w:ascii="Times New Roman" w:hAnsi="Times New Roman"/>
                <w:kern w:val="0"/>
                <w:szCs w:val="21"/>
              </w:rPr>
              <w:t>暂存情况</w:t>
            </w:r>
          </w:p>
        </w:tc>
        <w:tc>
          <w:tcPr>
            <w:tcW w:w="1909" w:type="dxa"/>
            <w:tcBorders>
              <w:top w:val="single" w:color="auto" w:sz="4" w:space="0"/>
              <w:left w:val="single" w:color="auto" w:sz="4" w:space="0"/>
              <w:bottom w:val="single" w:color="auto" w:sz="4" w:space="0"/>
              <w:right w:val="single" w:color="auto" w:sz="4" w:space="0"/>
            </w:tcBorders>
            <w:vAlign w:val="center"/>
          </w:tcPr>
          <w:p w14:paraId="59988AD3">
            <w:pPr>
              <w:jc w:val="center"/>
              <w:rPr>
                <w:rFonts w:ascii="Times New Roman" w:hAnsi="Times New Roman"/>
                <w:szCs w:val="21"/>
              </w:rPr>
            </w:pPr>
            <w:r>
              <w:rPr>
                <w:rFonts w:ascii="Times New Roman" w:hAnsi="Times New Roman"/>
                <w:kern w:val="0"/>
                <w:szCs w:val="21"/>
              </w:rPr>
              <w:t>最终去向</w:t>
            </w:r>
          </w:p>
        </w:tc>
      </w:tr>
      <w:tr w14:paraId="0392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10CD9C9C">
            <w:pPr>
              <w:jc w:val="center"/>
              <w:rPr>
                <w:rFonts w:ascii="Times New Roman" w:hAnsi="Times New Roman"/>
              </w:rPr>
            </w:pPr>
            <w:bookmarkStart w:id="7" w:name="OLE_LINK21" w:colFirst="2" w:colLast="3"/>
            <w:r>
              <w:rPr>
                <w:rFonts w:ascii="Times New Roman" w:hAnsi="Times New Roman"/>
                <w:szCs w:val="21"/>
              </w:rPr>
              <w:t>臭氧</w:t>
            </w:r>
            <w:r>
              <w:rPr>
                <w:rFonts w:hint="eastAsia" w:ascii="Times New Roman" w:hAnsi="Times New Roman"/>
                <w:szCs w:val="21"/>
              </w:rPr>
              <w:t>、氮氧化物</w:t>
            </w:r>
          </w:p>
        </w:tc>
        <w:tc>
          <w:tcPr>
            <w:tcW w:w="465" w:type="dxa"/>
            <w:tcBorders>
              <w:top w:val="single" w:color="auto" w:sz="4" w:space="0"/>
              <w:left w:val="single" w:color="auto" w:sz="4" w:space="0"/>
              <w:bottom w:val="single" w:color="auto" w:sz="4" w:space="0"/>
              <w:right w:val="single" w:color="auto" w:sz="4" w:space="0"/>
            </w:tcBorders>
            <w:vAlign w:val="center"/>
          </w:tcPr>
          <w:p w14:paraId="2E77ADA6">
            <w:pPr>
              <w:jc w:val="center"/>
              <w:rPr>
                <w:rFonts w:ascii="Times New Roman" w:hAnsi="Times New Roman"/>
              </w:rPr>
            </w:pPr>
            <w:r>
              <w:rPr>
                <w:rFonts w:ascii="Times New Roman" w:hAnsi="Times New Roman"/>
                <w:szCs w:val="21"/>
              </w:rPr>
              <w:t>气态</w:t>
            </w:r>
          </w:p>
        </w:tc>
        <w:tc>
          <w:tcPr>
            <w:tcW w:w="705" w:type="dxa"/>
            <w:tcBorders>
              <w:top w:val="single" w:color="auto" w:sz="4" w:space="0"/>
              <w:left w:val="single" w:color="auto" w:sz="4" w:space="0"/>
              <w:bottom w:val="single" w:color="auto" w:sz="4" w:space="0"/>
              <w:right w:val="single" w:color="auto" w:sz="4" w:space="0"/>
            </w:tcBorders>
            <w:vAlign w:val="center"/>
          </w:tcPr>
          <w:p w14:paraId="30E0733E">
            <w:pPr>
              <w:jc w:val="center"/>
              <w:rPr>
                <w:rFonts w:ascii="Times New Roman" w:hAnsi="Times New Roman"/>
              </w:rPr>
            </w:pPr>
            <w:r>
              <w:rPr>
                <w:rFonts w:ascii="Times New Roman" w:hAnsi="Times New Roman"/>
                <w:szCs w:val="21"/>
              </w:rPr>
              <w:t>—</w:t>
            </w:r>
          </w:p>
        </w:tc>
        <w:tc>
          <w:tcPr>
            <w:tcW w:w="510" w:type="dxa"/>
            <w:tcBorders>
              <w:top w:val="single" w:color="auto" w:sz="4" w:space="0"/>
              <w:left w:val="single" w:color="auto" w:sz="4" w:space="0"/>
              <w:bottom w:val="single" w:color="auto" w:sz="4" w:space="0"/>
              <w:right w:val="single" w:color="auto" w:sz="4" w:space="0"/>
            </w:tcBorders>
            <w:vAlign w:val="center"/>
          </w:tcPr>
          <w:p w14:paraId="46D013C7">
            <w:pPr>
              <w:jc w:val="center"/>
              <w:rPr>
                <w:rFonts w:ascii="Times New Roman" w:hAnsi="Times New Roman"/>
              </w:rPr>
            </w:pPr>
            <w:r>
              <w:rPr>
                <w:rFonts w:ascii="Times New Roman" w:hAnsi="Times New Roman"/>
                <w:szCs w:val="21"/>
              </w:rPr>
              <w:t>—</w:t>
            </w:r>
          </w:p>
        </w:tc>
        <w:tc>
          <w:tcPr>
            <w:tcW w:w="705" w:type="dxa"/>
            <w:tcBorders>
              <w:top w:val="single" w:color="auto" w:sz="4" w:space="0"/>
              <w:left w:val="single" w:color="auto" w:sz="4" w:space="0"/>
              <w:bottom w:val="single" w:color="auto" w:sz="4" w:space="0"/>
              <w:right w:val="single" w:color="auto" w:sz="4" w:space="0"/>
            </w:tcBorders>
            <w:vAlign w:val="center"/>
          </w:tcPr>
          <w:p w14:paraId="6FBBBCD6">
            <w:pPr>
              <w:jc w:val="center"/>
              <w:rPr>
                <w:rFonts w:ascii="Times New Roman" w:hAnsi="Times New Roman"/>
              </w:rPr>
            </w:pPr>
            <w:r>
              <w:rPr>
                <w:rFonts w:ascii="Times New Roman" w:hAnsi="Times New Roman"/>
                <w:szCs w:val="21"/>
              </w:rPr>
              <w:t>少量</w:t>
            </w:r>
          </w:p>
        </w:tc>
        <w:tc>
          <w:tcPr>
            <w:tcW w:w="1631" w:type="dxa"/>
            <w:tcBorders>
              <w:top w:val="single" w:color="auto" w:sz="4" w:space="0"/>
              <w:left w:val="single" w:color="auto" w:sz="4" w:space="0"/>
              <w:bottom w:val="single" w:color="auto" w:sz="4" w:space="0"/>
              <w:right w:val="single" w:color="auto" w:sz="4" w:space="0"/>
            </w:tcBorders>
            <w:vAlign w:val="center"/>
          </w:tcPr>
          <w:p w14:paraId="33EB2230">
            <w:pPr>
              <w:jc w:val="center"/>
              <w:rPr>
                <w:rFonts w:ascii="Times New Roman" w:hAnsi="Times New Roman"/>
              </w:rPr>
            </w:pPr>
            <w:bookmarkStart w:id="8" w:name="OLE_LINK22"/>
            <w:r>
              <w:rPr>
                <w:rFonts w:ascii="Times New Roman" w:hAnsi="Times New Roman"/>
                <w:szCs w:val="21"/>
              </w:rPr>
              <w:t>少量</w:t>
            </w:r>
            <w:bookmarkEnd w:id="8"/>
          </w:p>
        </w:tc>
        <w:tc>
          <w:tcPr>
            <w:tcW w:w="859" w:type="dxa"/>
            <w:tcBorders>
              <w:top w:val="single" w:color="auto" w:sz="4" w:space="0"/>
              <w:left w:val="single" w:color="auto" w:sz="4" w:space="0"/>
              <w:bottom w:val="single" w:color="auto" w:sz="4" w:space="0"/>
              <w:right w:val="single" w:color="auto" w:sz="4" w:space="0"/>
            </w:tcBorders>
            <w:shd w:val="clear" w:color="auto" w:fill="auto"/>
            <w:vAlign w:val="center"/>
          </w:tcPr>
          <w:p w14:paraId="0CEE93A8">
            <w:pPr>
              <w:jc w:val="center"/>
              <w:rPr>
                <w:rFonts w:ascii="Times New Roman" w:hAnsi="Times New Roman"/>
              </w:rPr>
            </w:pPr>
            <w:r>
              <w:rPr>
                <w:rFonts w:ascii="Times New Roman" w:hAnsi="Times New Roman"/>
                <w:szCs w:val="21"/>
              </w:rPr>
              <w:t>—</w:t>
            </w:r>
          </w:p>
        </w:tc>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5B11F49A">
            <w:pPr>
              <w:jc w:val="center"/>
              <w:rPr>
                <w:rFonts w:ascii="Times New Roman" w:hAnsi="Times New Roman"/>
              </w:rPr>
            </w:pPr>
            <w:bookmarkStart w:id="9" w:name="OLE_LINK23"/>
            <w:r>
              <w:rPr>
                <w:rFonts w:hint="eastAsia" w:ascii="Times New Roman" w:hAnsi="Times New Roman"/>
                <w:szCs w:val="21"/>
              </w:rPr>
              <w:t>不暂存</w:t>
            </w:r>
            <w:bookmarkEnd w:id="9"/>
          </w:p>
        </w:tc>
        <w:tc>
          <w:tcPr>
            <w:tcW w:w="1909" w:type="dxa"/>
            <w:tcBorders>
              <w:top w:val="single" w:color="auto" w:sz="4" w:space="0"/>
              <w:left w:val="single" w:color="auto" w:sz="4" w:space="0"/>
              <w:bottom w:val="single" w:color="auto" w:sz="4" w:space="0"/>
              <w:right w:val="single" w:color="auto" w:sz="4" w:space="0"/>
            </w:tcBorders>
            <w:vAlign w:val="center"/>
          </w:tcPr>
          <w:p w14:paraId="2F22AF2E">
            <w:pPr>
              <w:rPr>
                <w:rFonts w:ascii="Times New Roman" w:hAnsi="Times New Roman"/>
              </w:rPr>
            </w:pPr>
            <w:r>
              <w:rPr>
                <w:rFonts w:ascii="Times New Roman" w:hAnsi="Times New Roman"/>
                <w:szCs w:val="21"/>
              </w:rPr>
              <w:t>直接排向大气环境</w:t>
            </w:r>
            <w:r>
              <w:rPr>
                <w:rFonts w:hint="eastAsia" w:ascii="Times New Roman" w:hAnsi="Times New Roman"/>
                <w:szCs w:val="21"/>
              </w:rPr>
              <w:t>，常温常压的空气中臭氧分解时间为20-30分钟，可自动分解为氧气。</w:t>
            </w:r>
          </w:p>
        </w:tc>
      </w:tr>
      <w:bookmarkEnd w:id="7"/>
      <w:tr w14:paraId="26A3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4DA5C8A1">
            <w:pPr>
              <w:jc w:val="center"/>
              <w:rPr>
                <w:rFonts w:ascii="Times New Roman" w:hAnsi="Times New Roman"/>
                <w:szCs w:val="21"/>
              </w:rPr>
            </w:pPr>
            <w:r>
              <w:rPr>
                <w:rFonts w:hint="eastAsia" w:ascii="Times New Roman" w:hAnsi="Times New Roman"/>
                <w:szCs w:val="21"/>
              </w:rPr>
              <w:t>医疗废物</w:t>
            </w:r>
          </w:p>
        </w:tc>
        <w:tc>
          <w:tcPr>
            <w:tcW w:w="465" w:type="dxa"/>
            <w:tcBorders>
              <w:top w:val="single" w:color="auto" w:sz="4" w:space="0"/>
              <w:left w:val="single" w:color="auto" w:sz="4" w:space="0"/>
              <w:bottom w:val="single" w:color="auto" w:sz="4" w:space="0"/>
              <w:right w:val="single" w:color="auto" w:sz="4" w:space="0"/>
            </w:tcBorders>
            <w:vAlign w:val="center"/>
          </w:tcPr>
          <w:p w14:paraId="4016442F">
            <w:pPr>
              <w:jc w:val="center"/>
              <w:rPr>
                <w:rFonts w:ascii="Times New Roman" w:hAnsi="Times New Roman"/>
                <w:szCs w:val="21"/>
              </w:rPr>
            </w:pPr>
            <w:bookmarkStart w:id="10" w:name="OLE_LINK20"/>
            <w:r>
              <w:rPr>
                <w:rFonts w:hint="eastAsia" w:ascii="Times New Roman" w:hAnsi="Times New Roman"/>
                <w:szCs w:val="21"/>
              </w:rPr>
              <w:t>固态</w:t>
            </w:r>
            <w:bookmarkEnd w:id="10"/>
          </w:p>
        </w:tc>
        <w:tc>
          <w:tcPr>
            <w:tcW w:w="705" w:type="dxa"/>
            <w:tcBorders>
              <w:top w:val="single" w:color="auto" w:sz="4" w:space="0"/>
              <w:left w:val="single" w:color="auto" w:sz="4" w:space="0"/>
              <w:bottom w:val="single" w:color="auto" w:sz="4" w:space="0"/>
              <w:right w:val="single" w:color="auto" w:sz="4" w:space="0"/>
            </w:tcBorders>
            <w:vAlign w:val="center"/>
          </w:tcPr>
          <w:p w14:paraId="7E3E4CD3">
            <w:pPr>
              <w:jc w:val="center"/>
              <w:rPr>
                <w:rFonts w:ascii="Times New Roman" w:hAnsi="Times New Roman"/>
                <w:szCs w:val="21"/>
              </w:rPr>
            </w:pPr>
            <w:r>
              <w:rPr>
                <w:rFonts w:ascii="Times New Roman" w:hAnsi="Times New Roman"/>
                <w:szCs w:val="21"/>
              </w:rPr>
              <w:t>—</w:t>
            </w:r>
          </w:p>
        </w:tc>
        <w:tc>
          <w:tcPr>
            <w:tcW w:w="510" w:type="dxa"/>
            <w:tcBorders>
              <w:top w:val="single" w:color="auto" w:sz="4" w:space="0"/>
              <w:left w:val="single" w:color="auto" w:sz="4" w:space="0"/>
              <w:bottom w:val="single" w:color="auto" w:sz="4" w:space="0"/>
              <w:right w:val="single" w:color="auto" w:sz="4" w:space="0"/>
            </w:tcBorders>
            <w:vAlign w:val="center"/>
          </w:tcPr>
          <w:p w14:paraId="5CC326BA">
            <w:pPr>
              <w:jc w:val="center"/>
              <w:rPr>
                <w:rFonts w:ascii="Times New Roman" w:hAnsi="Times New Roman"/>
                <w:szCs w:val="21"/>
              </w:rPr>
            </w:pPr>
            <w:r>
              <w:rPr>
                <w:rFonts w:ascii="Times New Roman" w:hAnsi="Times New Roman"/>
                <w:szCs w:val="21"/>
              </w:rPr>
              <w:t>—</w:t>
            </w:r>
          </w:p>
        </w:tc>
        <w:tc>
          <w:tcPr>
            <w:tcW w:w="705" w:type="dxa"/>
            <w:tcBorders>
              <w:top w:val="single" w:color="auto" w:sz="4" w:space="0"/>
              <w:left w:val="single" w:color="auto" w:sz="4" w:space="0"/>
              <w:bottom w:val="single" w:color="auto" w:sz="4" w:space="0"/>
              <w:right w:val="single" w:color="auto" w:sz="4" w:space="0"/>
            </w:tcBorders>
            <w:vAlign w:val="center"/>
          </w:tcPr>
          <w:p w14:paraId="52B63D26">
            <w:pPr>
              <w:jc w:val="center"/>
              <w:rPr>
                <w:rFonts w:ascii="Times New Roman" w:hAnsi="Times New Roman"/>
                <w:szCs w:val="21"/>
              </w:rPr>
            </w:pPr>
            <w:r>
              <w:rPr>
                <w:rFonts w:ascii="Times New Roman" w:hAnsi="Times New Roman"/>
                <w:szCs w:val="21"/>
              </w:rPr>
              <w:t>—</w:t>
            </w:r>
          </w:p>
        </w:tc>
        <w:tc>
          <w:tcPr>
            <w:tcW w:w="1631" w:type="dxa"/>
            <w:tcBorders>
              <w:top w:val="single" w:color="auto" w:sz="4" w:space="0"/>
              <w:left w:val="single" w:color="auto" w:sz="4" w:space="0"/>
              <w:bottom w:val="single" w:color="auto" w:sz="4" w:space="0"/>
              <w:right w:val="single" w:color="auto" w:sz="4" w:space="0"/>
            </w:tcBorders>
            <w:vAlign w:val="center"/>
          </w:tcPr>
          <w:p w14:paraId="6BF58001">
            <w:pPr>
              <w:jc w:val="center"/>
              <w:rPr>
                <w:rFonts w:ascii="Times New Roman" w:hAnsi="Times New Roman"/>
                <w:szCs w:val="21"/>
              </w:rPr>
            </w:pPr>
            <w:r>
              <w:rPr>
                <w:rFonts w:ascii="Times New Roman" w:hAnsi="Times New Roman"/>
                <w:szCs w:val="21"/>
              </w:rPr>
              <w:t>药棉</w:t>
            </w:r>
            <w:r>
              <w:rPr>
                <w:rFonts w:hint="eastAsia" w:ascii="Times New Roman" w:hAnsi="Times New Roman"/>
                <w:szCs w:val="21"/>
                <w:lang w:eastAsia="zh-CN"/>
              </w:rPr>
              <w:t>（</w:t>
            </w:r>
            <w:r>
              <w:rPr>
                <w:rFonts w:hint="eastAsia" w:ascii="Times New Roman" w:hAnsi="Times New Roman"/>
                <w:szCs w:val="21"/>
                <w:lang w:val="en-US" w:eastAsia="zh-CN"/>
              </w:rPr>
              <w:t>8</w:t>
            </w:r>
            <w:r>
              <w:rPr>
                <w:rFonts w:ascii="Times New Roman" w:hAnsi="Times New Roman"/>
                <w:szCs w:val="21"/>
              </w:rPr>
              <w:t>0kg/a</w:t>
            </w:r>
            <w:r>
              <w:rPr>
                <w:rFonts w:hint="eastAsia" w:ascii="Times New Roman" w:hAnsi="Times New Roman"/>
                <w:szCs w:val="21"/>
                <w:lang w:eastAsia="zh-CN"/>
              </w:rPr>
              <w:t>）</w:t>
            </w:r>
            <w:r>
              <w:rPr>
                <w:rFonts w:ascii="Times New Roman" w:hAnsi="Times New Roman"/>
                <w:szCs w:val="21"/>
              </w:rPr>
              <w:t>、纱布</w:t>
            </w:r>
            <w:r>
              <w:rPr>
                <w:rFonts w:hint="eastAsia" w:ascii="Times New Roman" w:hAnsi="Times New Roman"/>
                <w:szCs w:val="21"/>
                <w:lang w:eastAsia="zh-CN"/>
              </w:rPr>
              <w:t>（</w:t>
            </w:r>
            <w:r>
              <w:rPr>
                <w:rFonts w:hint="eastAsia" w:ascii="Times New Roman" w:hAnsi="Times New Roman"/>
                <w:szCs w:val="21"/>
                <w:lang w:val="en-US" w:eastAsia="zh-CN"/>
              </w:rPr>
              <w:t>8</w:t>
            </w:r>
            <w:r>
              <w:rPr>
                <w:rFonts w:ascii="Times New Roman" w:hAnsi="Times New Roman"/>
                <w:szCs w:val="21"/>
              </w:rPr>
              <w:t>0kg/a</w:t>
            </w:r>
            <w:r>
              <w:rPr>
                <w:rFonts w:hint="eastAsia" w:ascii="Times New Roman" w:hAnsi="Times New Roman"/>
                <w:szCs w:val="21"/>
                <w:lang w:eastAsia="zh-CN"/>
              </w:rPr>
              <w:t>）</w:t>
            </w:r>
            <w:r>
              <w:rPr>
                <w:rFonts w:ascii="Times New Roman" w:hAnsi="Times New Roman"/>
                <w:szCs w:val="21"/>
              </w:rPr>
              <w:t>、手套</w:t>
            </w:r>
            <w:r>
              <w:rPr>
                <w:rFonts w:hint="eastAsia" w:ascii="Times New Roman" w:hAnsi="Times New Roman"/>
                <w:szCs w:val="21"/>
                <w:lang w:eastAsia="zh-CN"/>
              </w:rPr>
              <w:t>（</w:t>
            </w:r>
            <w:r>
              <w:rPr>
                <w:rFonts w:hint="eastAsia" w:ascii="Times New Roman" w:hAnsi="Times New Roman"/>
                <w:szCs w:val="21"/>
                <w:lang w:val="en-US" w:eastAsia="zh-CN"/>
              </w:rPr>
              <w:t>8</w:t>
            </w:r>
            <w:r>
              <w:rPr>
                <w:rFonts w:ascii="Times New Roman" w:hAnsi="Times New Roman"/>
                <w:szCs w:val="21"/>
              </w:rPr>
              <w:t>0kg/a</w:t>
            </w:r>
            <w:r>
              <w:rPr>
                <w:rFonts w:hint="eastAsia" w:ascii="Times New Roman" w:hAnsi="Times New Roman"/>
                <w:szCs w:val="21"/>
                <w:lang w:eastAsia="zh-CN"/>
              </w:rPr>
              <w:t>）</w:t>
            </w:r>
            <w:r>
              <w:rPr>
                <w:rFonts w:ascii="Times New Roman" w:hAnsi="Times New Roman"/>
                <w:szCs w:val="21"/>
              </w:rPr>
              <w:t>、</w:t>
            </w:r>
          </w:p>
          <w:p w14:paraId="603B821D">
            <w:pPr>
              <w:jc w:val="center"/>
              <w:rPr>
                <w:rFonts w:hint="eastAsia" w:ascii="Times New Roman" w:hAnsi="Times New Roman" w:eastAsia="宋体"/>
                <w:szCs w:val="21"/>
                <w:lang w:eastAsia="zh-CN"/>
              </w:rPr>
            </w:pPr>
            <w:r>
              <w:rPr>
                <w:rFonts w:ascii="Times New Roman" w:hAnsi="Times New Roman"/>
                <w:szCs w:val="21"/>
              </w:rPr>
              <w:t>和少量废弃造影剂和输液瓶</w:t>
            </w:r>
            <w:r>
              <w:rPr>
                <w:rFonts w:hint="eastAsia" w:ascii="Times New Roman" w:hAnsi="Times New Roman"/>
                <w:szCs w:val="21"/>
                <w:lang w:eastAsia="zh-CN"/>
              </w:rPr>
              <w:t>（</w:t>
            </w:r>
            <w:r>
              <w:rPr>
                <w:rFonts w:hint="eastAsia" w:ascii="Times New Roman" w:hAnsi="Times New Roman"/>
                <w:szCs w:val="21"/>
                <w:lang w:val="en-US" w:eastAsia="zh-CN"/>
              </w:rPr>
              <w:t>10</w:t>
            </w:r>
            <w:r>
              <w:rPr>
                <w:rFonts w:ascii="Times New Roman" w:hAnsi="Times New Roman"/>
                <w:szCs w:val="21"/>
              </w:rPr>
              <w:t>0kg/a</w:t>
            </w:r>
            <w:r>
              <w:rPr>
                <w:rFonts w:hint="eastAsia" w:ascii="Times New Roman" w:hAnsi="Times New Roman"/>
                <w:szCs w:val="21"/>
                <w:lang w:eastAsia="zh-CN"/>
              </w:rPr>
              <w:t>）</w:t>
            </w:r>
          </w:p>
        </w:tc>
        <w:tc>
          <w:tcPr>
            <w:tcW w:w="859" w:type="dxa"/>
            <w:tcBorders>
              <w:top w:val="single" w:color="auto" w:sz="4" w:space="0"/>
              <w:left w:val="single" w:color="auto" w:sz="4" w:space="0"/>
              <w:bottom w:val="single" w:color="auto" w:sz="4" w:space="0"/>
              <w:right w:val="single" w:color="auto" w:sz="4" w:space="0"/>
            </w:tcBorders>
            <w:vAlign w:val="center"/>
          </w:tcPr>
          <w:p w14:paraId="498DD6A3">
            <w:pPr>
              <w:jc w:val="center"/>
              <w:rPr>
                <w:rFonts w:ascii="Times New Roman" w:hAnsi="Times New Roman"/>
                <w:szCs w:val="21"/>
              </w:rPr>
            </w:pPr>
            <w:r>
              <w:rPr>
                <w:rFonts w:ascii="Times New Roman" w:hAnsi="Times New Roman"/>
                <w:szCs w:val="21"/>
              </w:rPr>
              <w:t>—</w:t>
            </w:r>
          </w:p>
        </w:tc>
        <w:tc>
          <w:tcPr>
            <w:tcW w:w="881" w:type="dxa"/>
            <w:tcBorders>
              <w:top w:val="single" w:color="auto" w:sz="4" w:space="0"/>
              <w:left w:val="single" w:color="auto" w:sz="4" w:space="0"/>
              <w:bottom w:val="single" w:color="auto" w:sz="4" w:space="0"/>
              <w:right w:val="single" w:color="auto" w:sz="4" w:space="0"/>
            </w:tcBorders>
            <w:vAlign w:val="center"/>
          </w:tcPr>
          <w:p w14:paraId="04C33CD1">
            <w:pPr>
              <w:jc w:val="center"/>
              <w:rPr>
                <w:rFonts w:ascii="Times New Roman" w:hAnsi="Times New Roman"/>
                <w:szCs w:val="21"/>
              </w:rPr>
            </w:pPr>
            <w:r>
              <w:rPr>
                <w:rFonts w:hint="eastAsia" w:ascii="Times New Roman" w:hAnsi="Times New Roman"/>
                <w:szCs w:val="21"/>
              </w:rPr>
              <w:t>暂存于院区医疗废物暂存间</w:t>
            </w:r>
          </w:p>
        </w:tc>
        <w:tc>
          <w:tcPr>
            <w:tcW w:w="1909" w:type="dxa"/>
            <w:tcBorders>
              <w:top w:val="single" w:color="auto" w:sz="4" w:space="0"/>
              <w:left w:val="single" w:color="auto" w:sz="4" w:space="0"/>
              <w:bottom w:val="single" w:color="auto" w:sz="4" w:space="0"/>
              <w:right w:val="single" w:color="auto" w:sz="4" w:space="0"/>
            </w:tcBorders>
            <w:vAlign w:val="center"/>
          </w:tcPr>
          <w:p w14:paraId="3F336939">
            <w:pPr>
              <w:rPr>
                <w:rFonts w:ascii="Times New Roman" w:hAnsi="Times New Roman"/>
                <w:szCs w:val="21"/>
              </w:rPr>
            </w:pPr>
            <w:r>
              <w:rPr>
                <w:rFonts w:hint="eastAsia" w:ascii="Times New Roman" w:hAnsi="Times New Roman"/>
                <w:szCs w:val="21"/>
              </w:rPr>
              <w:t>采用专用容器收集后按照医疗废物执行转移联单制度，委托有资质单位定期处理。</w:t>
            </w:r>
          </w:p>
        </w:tc>
      </w:tr>
      <w:tr w14:paraId="2989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7A2AEA59">
            <w:pPr>
              <w:jc w:val="center"/>
              <w:rPr>
                <w:rFonts w:ascii="Times New Roman" w:hAnsi="Times New Roman"/>
                <w:szCs w:val="21"/>
              </w:rPr>
            </w:pPr>
            <w:r>
              <w:rPr>
                <w:rFonts w:hint="eastAsia" w:ascii="Times New Roman" w:hAnsi="Times New Roman"/>
                <w:szCs w:val="21"/>
              </w:rPr>
              <w:t>生活垃圾</w:t>
            </w:r>
          </w:p>
        </w:tc>
        <w:tc>
          <w:tcPr>
            <w:tcW w:w="465" w:type="dxa"/>
            <w:tcBorders>
              <w:top w:val="single" w:color="auto" w:sz="4" w:space="0"/>
              <w:left w:val="single" w:color="auto" w:sz="4" w:space="0"/>
              <w:bottom w:val="single" w:color="auto" w:sz="4" w:space="0"/>
              <w:right w:val="single" w:color="auto" w:sz="4" w:space="0"/>
            </w:tcBorders>
            <w:vAlign w:val="center"/>
          </w:tcPr>
          <w:p w14:paraId="0F6B2AE2">
            <w:pPr>
              <w:jc w:val="center"/>
              <w:rPr>
                <w:rFonts w:ascii="Times New Roman" w:hAnsi="Times New Roman"/>
                <w:szCs w:val="21"/>
              </w:rPr>
            </w:pPr>
            <w:r>
              <w:rPr>
                <w:rFonts w:hint="eastAsia" w:ascii="Times New Roman" w:hAnsi="Times New Roman"/>
                <w:szCs w:val="21"/>
              </w:rPr>
              <w:t>固态</w:t>
            </w:r>
          </w:p>
        </w:tc>
        <w:tc>
          <w:tcPr>
            <w:tcW w:w="705" w:type="dxa"/>
            <w:tcBorders>
              <w:top w:val="single" w:color="auto" w:sz="4" w:space="0"/>
              <w:left w:val="single" w:color="auto" w:sz="4" w:space="0"/>
              <w:bottom w:val="single" w:color="auto" w:sz="4" w:space="0"/>
              <w:right w:val="single" w:color="auto" w:sz="4" w:space="0"/>
            </w:tcBorders>
            <w:vAlign w:val="center"/>
          </w:tcPr>
          <w:p w14:paraId="18AABD53">
            <w:pPr>
              <w:jc w:val="center"/>
              <w:rPr>
                <w:rFonts w:ascii="Times New Roman" w:hAnsi="Times New Roman"/>
                <w:szCs w:val="21"/>
              </w:rPr>
            </w:pPr>
            <w:r>
              <w:rPr>
                <w:rFonts w:ascii="Times New Roman" w:hAnsi="Times New Roman"/>
                <w:szCs w:val="21"/>
              </w:rPr>
              <w:t>—</w:t>
            </w:r>
          </w:p>
        </w:tc>
        <w:tc>
          <w:tcPr>
            <w:tcW w:w="510" w:type="dxa"/>
            <w:tcBorders>
              <w:top w:val="single" w:color="auto" w:sz="4" w:space="0"/>
              <w:left w:val="single" w:color="auto" w:sz="4" w:space="0"/>
              <w:bottom w:val="single" w:color="auto" w:sz="4" w:space="0"/>
              <w:right w:val="single" w:color="auto" w:sz="4" w:space="0"/>
            </w:tcBorders>
            <w:vAlign w:val="center"/>
          </w:tcPr>
          <w:p w14:paraId="1FCDF399">
            <w:pPr>
              <w:jc w:val="center"/>
              <w:rPr>
                <w:rFonts w:ascii="Times New Roman" w:hAnsi="Times New Roman"/>
                <w:szCs w:val="21"/>
              </w:rPr>
            </w:pPr>
            <w:r>
              <w:rPr>
                <w:rFonts w:ascii="Times New Roman" w:hAnsi="Times New Roman"/>
                <w:szCs w:val="21"/>
              </w:rPr>
              <w:t>—</w:t>
            </w:r>
          </w:p>
        </w:tc>
        <w:tc>
          <w:tcPr>
            <w:tcW w:w="705" w:type="dxa"/>
            <w:tcBorders>
              <w:top w:val="single" w:color="auto" w:sz="4" w:space="0"/>
              <w:left w:val="single" w:color="auto" w:sz="4" w:space="0"/>
              <w:bottom w:val="single" w:color="auto" w:sz="4" w:space="0"/>
              <w:right w:val="single" w:color="auto" w:sz="4" w:space="0"/>
            </w:tcBorders>
            <w:vAlign w:val="center"/>
          </w:tcPr>
          <w:p w14:paraId="4B4618D2">
            <w:pPr>
              <w:jc w:val="center"/>
              <w:rPr>
                <w:rFonts w:ascii="Times New Roman" w:hAnsi="Times New Roman"/>
                <w:szCs w:val="21"/>
              </w:rPr>
            </w:pPr>
            <w:r>
              <w:rPr>
                <w:rFonts w:ascii="Times New Roman" w:hAnsi="Times New Roman"/>
                <w:szCs w:val="21"/>
              </w:rPr>
              <w:t>少量</w:t>
            </w:r>
          </w:p>
        </w:tc>
        <w:tc>
          <w:tcPr>
            <w:tcW w:w="1631" w:type="dxa"/>
            <w:tcBorders>
              <w:top w:val="single" w:color="auto" w:sz="4" w:space="0"/>
              <w:left w:val="single" w:color="auto" w:sz="4" w:space="0"/>
              <w:bottom w:val="single" w:color="auto" w:sz="4" w:space="0"/>
              <w:right w:val="single" w:color="auto" w:sz="4" w:space="0"/>
            </w:tcBorders>
            <w:vAlign w:val="center"/>
          </w:tcPr>
          <w:p w14:paraId="08D231DB">
            <w:pPr>
              <w:jc w:val="center"/>
              <w:rPr>
                <w:rFonts w:ascii="Times New Roman" w:hAnsi="Times New Roman"/>
                <w:szCs w:val="21"/>
              </w:rPr>
            </w:pPr>
            <w:r>
              <w:rPr>
                <w:rFonts w:ascii="Times New Roman" w:hAnsi="Times New Roman"/>
                <w:szCs w:val="21"/>
              </w:rPr>
              <w:t>少量</w:t>
            </w:r>
          </w:p>
        </w:tc>
        <w:tc>
          <w:tcPr>
            <w:tcW w:w="859" w:type="dxa"/>
            <w:tcBorders>
              <w:top w:val="single" w:color="auto" w:sz="4" w:space="0"/>
              <w:left w:val="single" w:color="auto" w:sz="4" w:space="0"/>
              <w:bottom w:val="single" w:color="auto" w:sz="4" w:space="0"/>
              <w:right w:val="single" w:color="auto" w:sz="4" w:space="0"/>
            </w:tcBorders>
            <w:vAlign w:val="center"/>
          </w:tcPr>
          <w:p w14:paraId="658C7C95">
            <w:pPr>
              <w:jc w:val="center"/>
              <w:rPr>
                <w:rFonts w:ascii="Times New Roman" w:hAnsi="Times New Roman"/>
                <w:szCs w:val="21"/>
              </w:rPr>
            </w:pPr>
            <w:r>
              <w:rPr>
                <w:rFonts w:ascii="Times New Roman" w:hAnsi="Times New Roman"/>
                <w:szCs w:val="21"/>
              </w:rPr>
              <w:t>—</w:t>
            </w:r>
          </w:p>
        </w:tc>
        <w:tc>
          <w:tcPr>
            <w:tcW w:w="881" w:type="dxa"/>
            <w:tcBorders>
              <w:top w:val="single" w:color="auto" w:sz="4" w:space="0"/>
              <w:left w:val="single" w:color="auto" w:sz="4" w:space="0"/>
              <w:bottom w:val="single" w:color="auto" w:sz="4" w:space="0"/>
              <w:right w:val="single" w:color="auto" w:sz="4" w:space="0"/>
            </w:tcBorders>
            <w:vAlign w:val="center"/>
          </w:tcPr>
          <w:p w14:paraId="5893C150">
            <w:pPr>
              <w:jc w:val="center"/>
              <w:rPr>
                <w:rFonts w:ascii="Times New Roman" w:hAnsi="Times New Roman"/>
                <w:szCs w:val="21"/>
              </w:rPr>
            </w:pPr>
            <w:r>
              <w:rPr>
                <w:rFonts w:hint="eastAsia" w:ascii="Times New Roman" w:hAnsi="Times New Roman"/>
                <w:szCs w:val="21"/>
              </w:rPr>
              <w:t>不暂存</w:t>
            </w:r>
          </w:p>
        </w:tc>
        <w:tc>
          <w:tcPr>
            <w:tcW w:w="1909" w:type="dxa"/>
            <w:tcBorders>
              <w:top w:val="single" w:color="auto" w:sz="4" w:space="0"/>
              <w:left w:val="single" w:color="auto" w:sz="4" w:space="0"/>
              <w:bottom w:val="single" w:color="auto" w:sz="4" w:space="0"/>
              <w:right w:val="single" w:color="auto" w:sz="4" w:space="0"/>
            </w:tcBorders>
            <w:vAlign w:val="center"/>
          </w:tcPr>
          <w:p w14:paraId="3AB8A037">
            <w:pPr>
              <w:rPr>
                <w:rFonts w:ascii="Times New Roman" w:hAnsi="Times New Roman"/>
                <w:szCs w:val="21"/>
              </w:rPr>
            </w:pPr>
            <w:r>
              <w:rPr>
                <w:rFonts w:hint="eastAsia" w:ascii="Times New Roman" w:hAnsi="Times New Roman"/>
                <w:szCs w:val="21"/>
                <w:lang w:eastAsia="zh-CN"/>
              </w:rPr>
              <w:t>由</w:t>
            </w:r>
            <w:r>
              <w:rPr>
                <w:rFonts w:hint="eastAsia" w:ascii="Times New Roman" w:hAnsi="Times New Roman"/>
                <w:szCs w:val="21"/>
              </w:rPr>
              <w:t>医院统一收集后</w:t>
            </w:r>
            <w:r>
              <w:rPr>
                <w:rFonts w:hint="eastAsia" w:ascii="Times New Roman" w:hAnsi="Times New Roman"/>
                <w:szCs w:val="21"/>
                <w:lang w:eastAsia="zh-CN"/>
              </w:rPr>
              <w:t>由</w:t>
            </w:r>
            <w:r>
              <w:rPr>
                <w:rFonts w:hint="eastAsia" w:ascii="Times New Roman" w:hAnsi="Times New Roman"/>
                <w:szCs w:val="21"/>
              </w:rPr>
              <w:t>当地环卫部门统一清运。</w:t>
            </w:r>
          </w:p>
        </w:tc>
      </w:tr>
      <w:tr w14:paraId="03AC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3C7F6E48">
            <w:pPr>
              <w:jc w:val="center"/>
              <w:rPr>
                <w:rFonts w:ascii="Times New Roman" w:hAnsi="Times New Roman"/>
                <w:szCs w:val="21"/>
              </w:rPr>
            </w:pPr>
            <w:r>
              <w:rPr>
                <w:rFonts w:hint="eastAsia" w:ascii="Times New Roman" w:hAnsi="Times New Roman"/>
                <w:szCs w:val="21"/>
              </w:rPr>
              <w:t>医疗废水</w:t>
            </w:r>
          </w:p>
        </w:tc>
        <w:tc>
          <w:tcPr>
            <w:tcW w:w="465" w:type="dxa"/>
            <w:tcBorders>
              <w:top w:val="single" w:color="auto" w:sz="4" w:space="0"/>
              <w:left w:val="single" w:color="auto" w:sz="4" w:space="0"/>
              <w:bottom w:val="single" w:color="auto" w:sz="4" w:space="0"/>
              <w:right w:val="single" w:color="auto" w:sz="4" w:space="0"/>
            </w:tcBorders>
            <w:vAlign w:val="center"/>
          </w:tcPr>
          <w:p w14:paraId="71148DD7">
            <w:pPr>
              <w:jc w:val="center"/>
              <w:rPr>
                <w:rFonts w:ascii="Times New Roman" w:hAnsi="Times New Roman"/>
                <w:szCs w:val="21"/>
              </w:rPr>
            </w:pPr>
            <w:r>
              <w:rPr>
                <w:rFonts w:hint="eastAsia" w:ascii="Times New Roman" w:hAnsi="Times New Roman"/>
                <w:szCs w:val="21"/>
              </w:rPr>
              <w:t>液态</w:t>
            </w:r>
          </w:p>
        </w:tc>
        <w:tc>
          <w:tcPr>
            <w:tcW w:w="705" w:type="dxa"/>
            <w:tcBorders>
              <w:top w:val="single" w:color="auto" w:sz="4" w:space="0"/>
              <w:left w:val="single" w:color="auto" w:sz="4" w:space="0"/>
              <w:bottom w:val="single" w:color="auto" w:sz="4" w:space="0"/>
              <w:right w:val="single" w:color="auto" w:sz="4" w:space="0"/>
            </w:tcBorders>
            <w:vAlign w:val="center"/>
          </w:tcPr>
          <w:p w14:paraId="5C884AAC">
            <w:pPr>
              <w:jc w:val="center"/>
              <w:rPr>
                <w:rFonts w:ascii="Times New Roman" w:hAnsi="Times New Roman"/>
                <w:szCs w:val="21"/>
              </w:rPr>
            </w:pPr>
            <w:r>
              <w:rPr>
                <w:rFonts w:ascii="Times New Roman" w:hAnsi="Times New Roman"/>
                <w:szCs w:val="21"/>
              </w:rPr>
              <w:t>—</w:t>
            </w:r>
          </w:p>
        </w:tc>
        <w:tc>
          <w:tcPr>
            <w:tcW w:w="510" w:type="dxa"/>
            <w:tcBorders>
              <w:top w:val="single" w:color="auto" w:sz="4" w:space="0"/>
              <w:left w:val="single" w:color="auto" w:sz="4" w:space="0"/>
              <w:bottom w:val="single" w:color="auto" w:sz="4" w:space="0"/>
              <w:right w:val="single" w:color="auto" w:sz="4" w:space="0"/>
            </w:tcBorders>
            <w:vAlign w:val="center"/>
          </w:tcPr>
          <w:p w14:paraId="551D78BB">
            <w:pPr>
              <w:jc w:val="center"/>
              <w:rPr>
                <w:rFonts w:ascii="Times New Roman" w:hAnsi="Times New Roman"/>
                <w:szCs w:val="21"/>
              </w:rPr>
            </w:pPr>
            <w:r>
              <w:rPr>
                <w:rFonts w:ascii="Times New Roman" w:hAnsi="Times New Roman"/>
                <w:szCs w:val="21"/>
              </w:rPr>
              <w:t>—</w:t>
            </w:r>
          </w:p>
        </w:tc>
        <w:tc>
          <w:tcPr>
            <w:tcW w:w="705" w:type="dxa"/>
            <w:tcBorders>
              <w:top w:val="single" w:color="auto" w:sz="4" w:space="0"/>
              <w:left w:val="single" w:color="auto" w:sz="4" w:space="0"/>
              <w:bottom w:val="single" w:color="auto" w:sz="4" w:space="0"/>
              <w:right w:val="single" w:color="auto" w:sz="4" w:space="0"/>
            </w:tcBorders>
            <w:vAlign w:val="center"/>
          </w:tcPr>
          <w:p w14:paraId="0AA31847">
            <w:pPr>
              <w:jc w:val="center"/>
              <w:rPr>
                <w:rFonts w:ascii="Times New Roman" w:hAnsi="Times New Roman"/>
                <w:szCs w:val="21"/>
              </w:rPr>
            </w:pPr>
            <w:r>
              <w:rPr>
                <w:rFonts w:ascii="Times New Roman" w:hAnsi="Times New Roman"/>
                <w:szCs w:val="21"/>
              </w:rPr>
              <w:t>少量</w:t>
            </w:r>
          </w:p>
        </w:tc>
        <w:tc>
          <w:tcPr>
            <w:tcW w:w="1631" w:type="dxa"/>
            <w:tcBorders>
              <w:top w:val="single" w:color="auto" w:sz="4" w:space="0"/>
              <w:left w:val="single" w:color="auto" w:sz="4" w:space="0"/>
              <w:bottom w:val="single" w:color="auto" w:sz="4" w:space="0"/>
              <w:right w:val="single" w:color="auto" w:sz="4" w:space="0"/>
            </w:tcBorders>
            <w:vAlign w:val="center"/>
          </w:tcPr>
          <w:p w14:paraId="7707A2A4">
            <w:pPr>
              <w:jc w:val="center"/>
              <w:rPr>
                <w:rFonts w:ascii="Times New Roman" w:hAnsi="Times New Roman"/>
                <w:szCs w:val="21"/>
              </w:rPr>
            </w:pPr>
            <w:r>
              <w:rPr>
                <w:rFonts w:ascii="Times New Roman" w:hAnsi="Times New Roman"/>
                <w:szCs w:val="21"/>
              </w:rPr>
              <w:t>少量</w:t>
            </w:r>
          </w:p>
        </w:tc>
        <w:tc>
          <w:tcPr>
            <w:tcW w:w="859" w:type="dxa"/>
            <w:tcBorders>
              <w:top w:val="single" w:color="auto" w:sz="4" w:space="0"/>
              <w:left w:val="single" w:color="auto" w:sz="4" w:space="0"/>
              <w:bottom w:val="single" w:color="auto" w:sz="4" w:space="0"/>
              <w:right w:val="single" w:color="auto" w:sz="4" w:space="0"/>
            </w:tcBorders>
            <w:vAlign w:val="center"/>
          </w:tcPr>
          <w:p w14:paraId="354D670D">
            <w:pPr>
              <w:jc w:val="center"/>
              <w:rPr>
                <w:rFonts w:ascii="Times New Roman" w:hAnsi="Times New Roman"/>
                <w:szCs w:val="21"/>
              </w:rPr>
            </w:pPr>
            <w:r>
              <w:rPr>
                <w:rFonts w:ascii="Times New Roman" w:hAnsi="Times New Roman"/>
                <w:szCs w:val="21"/>
              </w:rPr>
              <w:t>—</w:t>
            </w:r>
          </w:p>
        </w:tc>
        <w:tc>
          <w:tcPr>
            <w:tcW w:w="881" w:type="dxa"/>
            <w:tcBorders>
              <w:top w:val="single" w:color="auto" w:sz="4" w:space="0"/>
              <w:left w:val="single" w:color="auto" w:sz="4" w:space="0"/>
              <w:bottom w:val="single" w:color="auto" w:sz="4" w:space="0"/>
              <w:right w:val="single" w:color="auto" w:sz="4" w:space="0"/>
            </w:tcBorders>
            <w:vAlign w:val="center"/>
          </w:tcPr>
          <w:p w14:paraId="59E19CFA">
            <w:pPr>
              <w:jc w:val="center"/>
              <w:rPr>
                <w:rFonts w:ascii="Times New Roman" w:hAnsi="Times New Roman"/>
                <w:szCs w:val="21"/>
              </w:rPr>
            </w:pPr>
            <w:r>
              <w:rPr>
                <w:rFonts w:hint="eastAsia" w:ascii="Times New Roman" w:hAnsi="Times New Roman"/>
                <w:szCs w:val="21"/>
              </w:rPr>
              <w:t>不暂存</w:t>
            </w:r>
          </w:p>
        </w:tc>
        <w:tc>
          <w:tcPr>
            <w:tcW w:w="1909" w:type="dxa"/>
            <w:tcBorders>
              <w:top w:val="single" w:color="auto" w:sz="4" w:space="0"/>
              <w:left w:val="single" w:color="auto" w:sz="4" w:space="0"/>
              <w:bottom w:val="single" w:color="auto" w:sz="4" w:space="0"/>
              <w:right w:val="single" w:color="auto" w:sz="4" w:space="0"/>
            </w:tcBorders>
            <w:vAlign w:val="center"/>
          </w:tcPr>
          <w:p w14:paraId="54404B3A">
            <w:pPr>
              <w:rPr>
                <w:rFonts w:ascii="Times New Roman" w:hAnsi="Times New Roman"/>
                <w:szCs w:val="21"/>
              </w:rPr>
            </w:pPr>
            <w:r>
              <w:rPr>
                <w:rFonts w:hint="eastAsia" w:ascii="Times New Roman" w:hAnsi="Times New Roman"/>
                <w:szCs w:val="21"/>
              </w:rPr>
              <w:t>经过院区修建的污水处理池处理满足标准后，经市政污水管网进入平昌县第二污水处理厂进行处理达标准后排入巴河。</w:t>
            </w:r>
          </w:p>
        </w:tc>
      </w:tr>
    </w:tbl>
    <w:p w14:paraId="34927EAB">
      <w:pPr>
        <w:spacing w:line="240" w:lineRule="auto"/>
        <w:jc w:val="left"/>
        <w:rPr>
          <w:rFonts w:ascii="Times New Roman" w:hAnsi="Times New Roman"/>
          <w:szCs w:val="21"/>
        </w:rPr>
      </w:pPr>
      <w:r>
        <w:rPr>
          <w:rFonts w:hint="eastAsia" w:ascii="Times New Roman" w:hAnsi="Times New Roman"/>
          <w:sz w:val="18"/>
          <w:szCs w:val="18"/>
        </w:rPr>
        <w:t>注：1.常规废弃物排放浓度，对于液态单位为mg/L，固体为mg/kg，气态为mg/m</w:t>
      </w:r>
      <w:r>
        <w:rPr>
          <w:rFonts w:hint="eastAsia" w:ascii="Times New Roman" w:hAnsi="Times New Roman"/>
          <w:sz w:val="18"/>
          <w:szCs w:val="18"/>
          <w:vertAlign w:val="superscript"/>
        </w:rPr>
        <w:t>3</w:t>
      </w:r>
      <w:r>
        <w:rPr>
          <w:rFonts w:hint="eastAsia" w:ascii="Times New Roman" w:hAnsi="Times New Roman"/>
          <w:sz w:val="18"/>
          <w:szCs w:val="18"/>
        </w:rPr>
        <w:t>，年排放总量为kg。</w:t>
      </w:r>
    </w:p>
    <w:p w14:paraId="1379210A">
      <w:pPr>
        <w:spacing w:line="240" w:lineRule="auto"/>
        <w:ind w:firstLine="360" w:firstLineChars="200"/>
        <w:jc w:val="left"/>
        <w:rPr>
          <w:rFonts w:ascii="Times New Roman" w:hAnsi="Times New Roman"/>
          <w:sz w:val="18"/>
          <w:szCs w:val="18"/>
        </w:rPr>
      </w:pPr>
      <w:r>
        <w:rPr>
          <w:rFonts w:hint="eastAsia" w:ascii="Times New Roman" w:hAnsi="Times New Roman"/>
          <w:sz w:val="18"/>
          <w:szCs w:val="18"/>
        </w:rPr>
        <w:t>2.含有放射性的废物要注明其排放浓度、年排放总量分别用比活度（Bq/L或Bq/kg或Bq/m</w:t>
      </w:r>
      <w:r>
        <w:rPr>
          <w:rFonts w:hint="eastAsia" w:ascii="Times New Roman" w:hAnsi="Times New Roman"/>
          <w:sz w:val="18"/>
          <w:szCs w:val="18"/>
          <w:vertAlign w:val="superscript"/>
        </w:rPr>
        <w:t>3</w:t>
      </w:r>
      <w:r>
        <w:rPr>
          <w:rFonts w:hint="eastAsia" w:ascii="Times New Roman" w:hAnsi="Times New Roman"/>
          <w:sz w:val="18"/>
          <w:szCs w:val="18"/>
        </w:rPr>
        <w:t>）和活度（Bq）。</w:t>
      </w:r>
    </w:p>
    <w:p w14:paraId="30953669">
      <w:pPr>
        <w:rPr>
          <w:rFonts w:ascii="Times New Roman" w:hAnsi="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B3BA3A1">
      <w:pPr>
        <w:pStyle w:val="4"/>
        <w:numPr>
          <w:ilvl w:val="2"/>
          <w:numId w:val="0"/>
        </w:numPr>
        <w:rPr>
          <w:rFonts w:ascii="Times New Roman" w:hAnsi="Times New Roman"/>
        </w:rPr>
      </w:pPr>
      <w:bookmarkStart w:id="11" w:name="_Toc30739"/>
      <w:r>
        <w:rPr>
          <w:rFonts w:ascii="Times New Roman" w:hAnsi="Times New Roman"/>
        </w:rPr>
        <w:t>表6 评价依据</w:t>
      </w:r>
      <w:bookmarkEnd w:id="11"/>
    </w:p>
    <w:tbl>
      <w:tblPr>
        <w:tblStyle w:val="23"/>
        <w:tblW w:w="9180" w:type="dxa"/>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7700"/>
      </w:tblGrid>
      <w:tr w14:paraId="77E4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80" w:type="dxa"/>
            <w:vAlign w:val="center"/>
          </w:tcPr>
          <w:p w14:paraId="71073F62">
            <w:pPr>
              <w:spacing w:line="360" w:lineRule="auto"/>
              <w:jc w:val="center"/>
              <w:rPr>
                <w:rFonts w:ascii="Times New Roman" w:hAnsi="Times New Roman"/>
                <w:sz w:val="24"/>
              </w:rPr>
            </w:pPr>
            <w:r>
              <w:rPr>
                <w:rFonts w:ascii="Times New Roman" w:hAnsi="Times New Roman"/>
                <w:sz w:val="24"/>
              </w:rPr>
              <w:t>法规文件</w:t>
            </w:r>
          </w:p>
        </w:tc>
        <w:tc>
          <w:tcPr>
            <w:tcW w:w="7700" w:type="dxa"/>
          </w:tcPr>
          <w:p w14:paraId="33334F48">
            <w:pPr>
              <w:spacing w:line="360" w:lineRule="auto"/>
              <w:jc w:val="left"/>
              <w:rPr>
                <w:rFonts w:hint="eastAsia" w:ascii="Times New Roman" w:hAnsi="Times New Roman" w:eastAsia="宋体"/>
                <w:kern w:val="0"/>
                <w:sz w:val="24"/>
                <w:lang w:eastAsia="zh-CN"/>
              </w:rPr>
            </w:pPr>
            <w:r>
              <w:rPr>
                <w:rFonts w:ascii="Times New Roman" w:hAnsi="Times New Roman"/>
                <w:kern w:val="0"/>
                <w:sz w:val="24"/>
              </w:rPr>
              <w:t>（</w:t>
            </w:r>
            <w:r>
              <w:rPr>
                <w:rFonts w:hint="eastAsia" w:ascii="Times New Roman" w:hAnsi="Times New Roman"/>
                <w:kern w:val="0"/>
                <w:sz w:val="24"/>
                <w:lang w:val="en-US" w:eastAsia="zh-CN"/>
              </w:rPr>
              <w:t>1</w:t>
            </w:r>
            <w:r>
              <w:rPr>
                <w:rFonts w:ascii="Times New Roman" w:hAnsi="Times New Roman"/>
                <w:kern w:val="0"/>
                <w:sz w:val="24"/>
              </w:rPr>
              <w:t>）</w:t>
            </w:r>
            <w:r>
              <w:rPr>
                <w:rFonts w:hint="eastAsia" w:ascii="Times New Roman" w:hAnsi="Times New Roman"/>
                <w:kern w:val="0"/>
                <w:sz w:val="24"/>
                <w:lang w:eastAsia="zh-CN"/>
              </w:rPr>
              <w:t>《</w:t>
            </w:r>
            <w:r>
              <w:rPr>
                <w:rFonts w:hint="eastAsia" w:ascii="Times New Roman" w:hAnsi="Times New Roman"/>
                <w:kern w:val="0"/>
                <w:sz w:val="24"/>
              </w:rPr>
              <w:t>中华人民共和国生态环境法典</w:t>
            </w:r>
            <w:r>
              <w:rPr>
                <w:rFonts w:hint="eastAsia" w:ascii="Times New Roman" w:hAnsi="Times New Roman"/>
                <w:kern w:val="0"/>
                <w:sz w:val="24"/>
                <w:lang w:eastAsia="zh-CN"/>
              </w:rPr>
              <w:t>》（</w:t>
            </w:r>
            <w:r>
              <w:rPr>
                <w:rFonts w:hint="eastAsia" w:ascii="Times New Roman" w:hAnsi="Times New Roman"/>
                <w:kern w:val="0"/>
                <w:sz w:val="24"/>
              </w:rPr>
              <w:t>2026年3月12日第十四届全国人民代表大会第四次会议通过</w:t>
            </w:r>
            <w:r>
              <w:rPr>
                <w:rFonts w:hint="eastAsia" w:ascii="Times New Roman" w:hAnsi="Times New Roman"/>
                <w:kern w:val="0"/>
                <w:sz w:val="24"/>
                <w:lang w:eastAsia="zh-CN"/>
              </w:rPr>
              <w:t>）；</w:t>
            </w:r>
          </w:p>
          <w:p w14:paraId="0CFE9F66">
            <w:pPr>
              <w:autoSpaceDE w:val="0"/>
              <w:autoSpaceDN w:val="0"/>
              <w:spacing w:line="360" w:lineRule="auto"/>
              <w:jc w:val="left"/>
              <w:rPr>
                <w:rFonts w:ascii="Times New Roman" w:hAnsi="Times New Roman"/>
                <w:sz w:val="24"/>
              </w:rPr>
            </w:pPr>
            <w:r>
              <w:rPr>
                <w:rFonts w:ascii="Times New Roman" w:hAnsi="Times New Roman"/>
                <w:kern w:val="0"/>
                <w:sz w:val="24"/>
              </w:rPr>
              <w:t>（</w:t>
            </w:r>
            <w:r>
              <w:rPr>
                <w:rFonts w:hint="eastAsia" w:ascii="Times New Roman" w:hAnsi="Times New Roman"/>
                <w:kern w:val="0"/>
                <w:sz w:val="24"/>
                <w:lang w:val="en-US" w:eastAsia="zh-CN"/>
              </w:rPr>
              <w:t>2</w:t>
            </w:r>
            <w:r>
              <w:rPr>
                <w:rFonts w:ascii="Times New Roman" w:hAnsi="Times New Roman"/>
                <w:kern w:val="0"/>
                <w:sz w:val="24"/>
              </w:rPr>
              <w:t>）《建设项目环境保护管理条例》</w:t>
            </w:r>
            <w:r>
              <w:rPr>
                <w:rFonts w:ascii="Times New Roman" w:hAnsi="Times New Roman"/>
                <w:sz w:val="24"/>
              </w:rPr>
              <w:t>，国务院令第682号，2017年10月1日实施；</w:t>
            </w:r>
          </w:p>
          <w:p w14:paraId="761B40FD">
            <w:pPr>
              <w:spacing w:line="360" w:lineRule="auto"/>
              <w:rPr>
                <w:rFonts w:ascii="Times New Roman" w:hAnsi="Times New Roman"/>
                <w:sz w:val="24"/>
              </w:rPr>
            </w:pPr>
            <w:r>
              <w:rPr>
                <w:rFonts w:ascii="Times New Roman" w:hAnsi="Times New Roman"/>
                <w:sz w:val="24"/>
              </w:rPr>
              <w:t>（</w:t>
            </w:r>
            <w:r>
              <w:rPr>
                <w:rFonts w:hint="eastAsia" w:ascii="Times New Roman" w:hAnsi="Times New Roman"/>
                <w:sz w:val="24"/>
                <w:lang w:val="en-US" w:eastAsia="zh-CN"/>
              </w:rPr>
              <w:t>3</w:t>
            </w:r>
            <w:r>
              <w:rPr>
                <w:rFonts w:ascii="Times New Roman" w:hAnsi="Times New Roman"/>
                <w:sz w:val="24"/>
              </w:rPr>
              <w:t>）《建设项目环境影响评价分类管理名录（2021年版）》（生态环境部令第16号，2021年1月1日起施行）；</w:t>
            </w:r>
          </w:p>
          <w:p w14:paraId="0AF0E502">
            <w:pPr>
              <w:spacing w:line="360" w:lineRule="auto"/>
              <w:rPr>
                <w:rFonts w:ascii="Times New Roman" w:hAnsi="Times New Roman"/>
                <w:sz w:val="24"/>
              </w:rPr>
            </w:pPr>
            <w:r>
              <w:rPr>
                <w:rFonts w:ascii="Times New Roman" w:hAnsi="Times New Roman"/>
                <w:sz w:val="24"/>
              </w:rPr>
              <w:t>（</w:t>
            </w:r>
            <w:r>
              <w:rPr>
                <w:rFonts w:hint="eastAsia" w:ascii="Times New Roman" w:hAnsi="Times New Roman"/>
                <w:sz w:val="24"/>
                <w:lang w:val="en-US" w:eastAsia="zh-CN"/>
              </w:rPr>
              <w:t>4</w:t>
            </w:r>
            <w:r>
              <w:rPr>
                <w:rFonts w:ascii="Times New Roman" w:hAnsi="Times New Roman"/>
                <w:sz w:val="24"/>
              </w:rPr>
              <w:t>）《四川省辐射污染防治条例》，四川省十二届人大常委会第二十四次会议第二次全体会议审议通过，2016年6月1日起实施；</w:t>
            </w:r>
          </w:p>
          <w:p w14:paraId="3C4DAC9D">
            <w:pPr>
              <w:spacing w:line="360" w:lineRule="auto"/>
              <w:jc w:val="left"/>
              <w:rPr>
                <w:rFonts w:ascii="Times New Roman" w:hAnsi="Times New Roman"/>
                <w:sz w:val="24"/>
              </w:rPr>
            </w:pPr>
            <w:r>
              <w:rPr>
                <w:rFonts w:ascii="Times New Roman" w:hAnsi="Times New Roman"/>
                <w:sz w:val="24"/>
              </w:rPr>
              <w:t>（</w:t>
            </w:r>
            <w:r>
              <w:rPr>
                <w:rFonts w:hint="eastAsia" w:ascii="Times New Roman" w:hAnsi="Times New Roman"/>
                <w:sz w:val="24"/>
                <w:lang w:val="en-US" w:eastAsia="zh-CN"/>
              </w:rPr>
              <w:t>5</w:t>
            </w:r>
            <w:r>
              <w:rPr>
                <w:rFonts w:ascii="Times New Roman" w:hAnsi="Times New Roman"/>
                <w:sz w:val="24"/>
              </w:rPr>
              <w:t>）《放射性同位素与射线装置安全和防护条例》，国务院第449号令，2019年3月</w:t>
            </w:r>
            <w:r>
              <w:rPr>
                <w:rFonts w:hint="eastAsia" w:ascii="Times New Roman" w:hAnsi="Times New Roman"/>
                <w:sz w:val="24"/>
              </w:rPr>
              <w:t>2日实施</w:t>
            </w:r>
            <w:r>
              <w:rPr>
                <w:rFonts w:ascii="Times New Roman" w:hAnsi="Times New Roman"/>
                <w:sz w:val="24"/>
              </w:rPr>
              <w:t>；</w:t>
            </w:r>
          </w:p>
          <w:p w14:paraId="6BF671A3">
            <w:pPr>
              <w:spacing w:line="360" w:lineRule="auto"/>
              <w:jc w:val="left"/>
              <w:rPr>
                <w:rFonts w:ascii="Times New Roman" w:hAnsi="Times New Roman"/>
                <w:sz w:val="24"/>
              </w:rPr>
            </w:pPr>
            <w:r>
              <w:rPr>
                <w:rFonts w:ascii="Times New Roman" w:hAnsi="Times New Roman"/>
                <w:sz w:val="24"/>
              </w:rPr>
              <w:t>（</w:t>
            </w:r>
            <w:r>
              <w:rPr>
                <w:rFonts w:hint="eastAsia" w:ascii="Times New Roman" w:hAnsi="Times New Roman"/>
                <w:sz w:val="24"/>
                <w:lang w:val="en-US" w:eastAsia="zh-CN"/>
              </w:rPr>
              <w:t>6</w:t>
            </w:r>
            <w:r>
              <w:rPr>
                <w:rFonts w:ascii="Times New Roman" w:hAnsi="Times New Roman"/>
                <w:sz w:val="24"/>
              </w:rPr>
              <w:t>）《放射性同位素与射线装置安全和防护管理办法》，原环保部第18号令，2011年5月</w:t>
            </w:r>
            <w:r>
              <w:rPr>
                <w:rFonts w:hint="eastAsia" w:ascii="Times New Roman" w:hAnsi="Times New Roman"/>
                <w:sz w:val="24"/>
              </w:rPr>
              <w:t>1日</w:t>
            </w:r>
            <w:r>
              <w:rPr>
                <w:rFonts w:ascii="Times New Roman" w:hAnsi="Times New Roman"/>
                <w:sz w:val="24"/>
              </w:rPr>
              <w:t>起实施；</w:t>
            </w:r>
          </w:p>
          <w:p w14:paraId="38EF5D34">
            <w:pPr>
              <w:spacing w:line="360" w:lineRule="auto"/>
              <w:jc w:val="left"/>
              <w:rPr>
                <w:rFonts w:ascii="Times New Roman" w:hAnsi="Times New Roman"/>
                <w:sz w:val="24"/>
              </w:rPr>
            </w:pPr>
            <w:r>
              <w:rPr>
                <w:rFonts w:ascii="Times New Roman" w:hAnsi="Times New Roman"/>
                <w:sz w:val="24"/>
              </w:rPr>
              <w:t>（</w:t>
            </w:r>
            <w:r>
              <w:rPr>
                <w:rFonts w:hint="eastAsia" w:ascii="Times New Roman" w:hAnsi="Times New Roman"/>
                <w:sz w:val="24"/>
                <w:lang w:val="en-US" w:eastAsia="zh-CN"/>
              </w:rPr>
              <w:t>7</w:t>
            </w:r>
            <w:r>
              <w:rPr>
                <w:rFonts w:ascii="Times New Roman" w:hAnsi="Times New Roman"/>
                <w:sz w:val="24"/>
              </w:rPr>
              <w:t>）《放射性同位素与射线装置安全许可管理办法》</w:t>
            </w:r>
            <w:r>
              <w:rPr>
                <w:rFonts w:hint="eastAsia" w:ascii="Times New Roman" w:hAnsi="Times New Roman"/>
                <w:sz w:val="24"/>
              </w:rPr>
              <w:t>，生态环境部</w:t>
            </w:r>
            <w:r>
              <w:rPr>
                <w:rFonts w:ascii="Times New Roman" w:hAnsi="Times New Roman"/>
                <w:sz w:val="24"/>
              </w:rPr>
              <w:t>令第20号，2021年1月4日修订；</w:t>
            </w:r>
          </w:p>
          <w:p w14:paraId="0AA1857E">
            <w:pPr>
              <w:spacing w:line="360" w:lineRule="auto"/>
              <w:jc w:val="left"/>
              <w:rPr>
                <w:rFonts w:ascii="Times New Roman" w:hAnsi="Times New Roman"/>
                <w:sz w:val="24"/>
              </w:rPr>
            </w:pPr>
            <w:r>
              <w:rPr>
                <w:rFonts w:ascii="Times New Roman" w:hAnsi="Times New Roman"/>
                <w:sz w:val="24"/>
              </w:rPr>
              <w:t>（</w:t>
            </w:r>
            <w:r>
              <w:rPr>
                <w:rFonts w:hint="eastAsia" w:ascii="Times New Roman" w:hAnsi="Times New Roman"/>
                <w:sz w:val="24"/>
                <w:lang w:val="en-US" w:eastAsia="zh-CN"/>
              </w:rPr>
              <w:t>8</w:t>
            </w:r>
            <w:r>
              <w:rPr>
                <w:rFonts w:ascii="Times New Roman" w:hAnsi="Times New Roman"/>
                <w:sz w:val="24"/>
              </w:rPr>
              <w:t>）《</w:t>
            </w:r>
            <w:r>
              <w:rPr>
                <w:rFonts w:hint="eastAsia" w:ascii="Times New Roman" w:hAnsi="Times New Roman"/>
                <w:sz w:val="24"/>
              </w:rPr>
              <w:t>关于发布《</w:t>
            </w:r>
            <w:r>
              <w:rPr>
                <w:rFonts w:ascii="Times New Roman" w:hAnsi="Times New Roman"/>
                <w:sz w:val="24"/>
              </w:rPr>
              <w:t>射线装置分类</w:t>
            </w:r>
            <w:r>
              <w:rPr>
                <w:rFonts w:hint="eastAsia" w:ascii="Times New Roman" w:hAnsi="Times New Roman"/>
                <w:sz w:val="24"/>
              </w:rPr>
              <w:t>》</w:t>
            </w:r>
            <w:r>
              <w:rPr>
                <w:rFonts w:ascii="Times New Roman" w:hAnsi="Times New Roman"/>
                <w:sz w:val="24"/>
              </w:rPr>
              <w:t>办法</w:t>
            </w:r>
            <w:r>
              <w:rPr>
                <w:rFonts w:hint="eastAsia" w:ascii="Times New Roman" w:hAnsi="Times New Roman"/>
                <w:sz w:val="24"/>
              </w:rPr>
              <w:t>的公告</w:t>
            </w:r>
            <w:r>
              <w:rPr>
                <w:rFonts w:ascii="Times New Roman" w:hAnsi="Times New Roman"/>
                <w:sz w:val="24"/>
              </w:rPr>
              <w:t>》</w:t>
            </w:r>
            <w:r>
              <w:rPr>
                <w:rFonts w:hint="eastAsia" w:ascii="Times New Roman" w:hAnsi="Times New Roman"/>
                <w:sz w:val="24"/>
              </w:rPr>
              <w:t>，</w:t>
            </w:r>
            <w:r>
              <w:rPr>
                <w:rFonts w:ascii="Times New Roman" w:hAnsi="Times New Roman"/>
                <w:sz w:val="24"/>
              </w:rPr>
              <w:t>原环境保护部公告</w:t>
            </w:r>
            <w:r>
              <w:rPr>
                <w:rFonts w:hint="eastAsia" w:ascii="Times New Roman" w:hAnsi="Times New Roman"/>
                <w:sz w:val="24"/>
              </w:rPr>
              <w:t>、国家卫生计生委</w:t>
            </w:r>
            <w:r>
              <w:rPr>
                <w:rFonts w:ascii="Times New Roman" w:hAnsi="Times New Roman"/>
                <w:sz w:val="24"/>
              </w:rPr>
              <w:t>2017年第66号；</w:t>
            </w:r>
          </w:p>
          <w:p w14:paraId="4236BE45">
            <w:pPr>
              <w:spacing w:line="360" w:lineRule="auto"/>
              <w:rPr>
                <w:rFonts w:ascii="Times New Roman" w:hAnsi="Times New Roman"/>
                <w:sz w:val="24"/>
              </w:rPr>
            </w:pPr>
            <w:r>
              <w:rPr>
                <w:rFonts w:ascii="Times New Roman" w:hAnsi="Times New Roman"/>
                <w:bCs/>
                <w:sz w:val="24"/>
              </w:rPr>
              <w:t>（</w:t>
            </w:r>
            <w:r>
              <w:rPr>
                <w:rFonts w:hint="eastAsia" w:ascii="Times New Roman" w:hAnsi="Times New Roman"/>
                <w:bCs/>
                <w:sz w:val="24"/>
                <w:lang w:val="en-US" w:eastAsia="zh-CN"/>
              </w:rPr>
              <w:t>9</w:t>
            </w:r>
            <w:r>
              <w:rPr>
                <w:rFonts w:ascii="Times New Roman" w:hAnsi="Times New Roman"/>
                <w:bCs/>
                <w:sz w:val="24"/>
              </w:rPr>
              <w:t>）《建设项目环境影响评价信息公开机制方案》，</w:t>
            </w:r>
            <w:r>
              <w:rPr>
                <w:rFonts w:ascii="Times New Roman" w:hAnsi="Times New Roman"/>
                <w:sz w:val="24"/>
              </w:rPr>
              <w:t>环发</w:t>
            </w:r>
            <w:r>
              <w:rPr>
                <w:rFonts w:hint="eastAsia" w:ascii="Times New Roman" w:hAnsi="Times New Roman"/>
                <w:sz w:val="24"/>
                <w:lang w:eastAsia="zh-CN"/>
              </w:rPr>
              <w:t>〔</w:t>
            </w:r>
            <w:r>
              <w:rPr>
                <w:rFonts w:ascii="Times New Roman" w:hAnsi="Times New Roman"/>
                <w:sz w:val="24"/>
              </w:rPr>
              <w:t>2015</w:t>
            </w:r>
            <w:r>
              <w:rPr>
                <w:rFonts w:hint="eastAsia" w:ascii="Times New Roman" w:hAnsi="Times New Roman"/>
                <w:sz w:val="24"/>
                <w:lang w:eastAsia="zh-CN"/>
              </w:rPr>
              <w:t>〕</w:t>
            </w:r>
            <w:r>
              <w:rPr>
                <w:rFonts w:ascii="Times New Roman" w:hAnsi="Times New Roman"/>
                <w:sz w:val="24"/>
              </w:rPr>
              <w:t>162号，2015年12月</w:t>
            </w:r>
            <w:r>
              <w:rPr>
                <w:rFonts w:hint="eastAsia" w:ascii="Times New Roman" w:hAnsi="Times New Roman"/>
                <w:sz w:val="24"/>
              </w:rPr>
              <w:t>10日</w:t>
            </w:r>
            <w:r>
              <w:rPr>
                <w:rFonts w:ascii="Times New Roman" w:hAnsi="Times New Roman"/>
                <w:sz w:val="24"/>
              </w:rPr>
              <w:t>实施；</w:t>
            </w:r>
          </w:p>
          <w:p w14:paraId="1A9510F5">
            <w:pPr>
              <w:spacing w:line="360" w:lineRule="auto"/>
              <w:rPr>
                <w:rFonts w:ascii="Times New Roman" w:hAnsi="Times New Roman"/>
                <w:sz w:val="24"/>
              </w:rPr>
            </w:pPr>
            <w:r>
              <w:rPr>
                <w:rFonts w:ascii="Times New Roman" w:hAnsi="Times New Roman"/>
                <w:sz w:val="24"/>
              </w:rPr>
              <w:t>（1</w:t>
            </w:r>
            <w:r>
              <w:rPr>
                <w:rFonts w:hint="eastAsia" w:ascii="Times New Roman" w:hAnsi="Times New Roman"/>
                <w:sz w:val="24"/>
                <w:lang w:val="en-US" w:eastAsia="zh-CN"/>
              </w:rPr>
              <w:t>0</w:t>
            </w:r>
            <w:r>
              <w:rPr>
                <w:rFonts w:ascii="Times New Roman" w:hAnsi="Times New Roman"/>
                <w:sz w:val="24"/>
              </w:rPr>
              <w:t>）《</w:t>
            </w:r>
            <w:r>
              <w:rPr>
                <w:rFonts w:hint="eastAsia" w:ascii="Times New Roman" w:hAnsi="Times New Roman"/>
                <w:sz w:val="24"/>
              </w:rPr>
              <w:t>关于进一步深化环境影响评价改革的通知</w:t>
            </w:r>
            <w:r>
              <w:rPr>
                <w:rFonts w:ascii="Times New Roman" w:hAnsi="Times New Roman"/>
                <w:sz w:val="24"/>
              </w:rPr>
              <w:t>》，</w:t>
            </w:r>
            <w:r>
              <w:rPr>
                <w:rFonts w:hint="eastAsia" w:ascii="Times New Roman" w:hAnsi="Times New Roman"/>
                <w:sz w:val="24"/>
              </w:rPr>
              <w:t>环环评〔2024</w:t>
            </w:r>
            <w:r>
              <w:rPr>
                <w:rFonts w:hint="eastAsia" w:ascii="Times New Roman" w:hAnsi="Times New Roman"/>
                <w:sz w:val="24"/>
                <w:lang w:eastAsia="zh-CN"/>
              </w:rPr>
              <w:t>〕</w:t>
            </w:r>
            <w:r>
              <w:rPr>
                <w:rFonts w:hint="eastAsia" w:ascii="Times New Roman" w:hAnsi="Times New Roman"/>
                <w:sz w:val="24"/>
              </w:rPr>
              <w:t>65号</w:t>
            </w:r>
            <w:r>
              <w:rPr>
                <w:rFonts w:ascii="Times New Roman" w:hAnsi="Times New Roman"/>
                <w:sz w:val="24"/>
              </w:rPr>
              <w:t>，20</w:t>
            </w:r>
            <w:r>
              <w:rPr>
                <w:rFonts w:hint="eastAsia" w:ascii="Times New Roman" w:hAnsi="Times New Roman"/>
                <w:sz w:val="24"/>
                <w:lang w:val="en-US" w:eastAsia="zh-CN"/>
              </w:rPr>
              <w:t>24</w:t>
            </w:r>
            <w:r>
              <w:rPr>
                <w:rFonts w:ascii="Times New Roman" w:hAnsi="Times New Roman"/>
                <w:sz w:val="24"/>
              </w:rPr>
              <w:t>年</w:t>
            </w:r>
            <w:r>
              <w:rPr>
                <w:rFonts w:hint="eastAsia" w:ascii="Times New Roman" w:hAnsi="Times New Roman"/>
                <w:sz w:val="24"/>
                <w:lang w:val="en-US" w:eastAsia="zh-CN"/>
              </w:rPr>
              <w:t>9</w:t>
            </w:r>
            <w:r>
              <w:rPr>
                <w:rFonts w:ascii="Times New Roman" w:hAnsi="Times New Roman"/>
                <w:sz w:val="24"/>
              </w:rPr>
              <w:t>月</w:t>
            </w:r>
            <w:r>
              <w:rPr>
                <w:rFonts w:hint="eastAsia" w:ascii="Times New Roman" w:hAnsi="Times New Roman"/>
                <w:sz w:val="24"/>
                <w:lang w:val="en-US" w:eastAsia="zh-CN"/>
              </w:rPr>
              <w:t>1</w:t>
            </w:r>
            <w:r>
              <w:rPr>
                <w:rFonts w:ascii="Times New Roman" w:hAnsi="Times New Roman"/>
                <w:sz w:val="24"/>
              </w:rPr>
              <w:t>3日；</w:t>
            </w:r>
          </w:p>
          <w:p w14:paraId="0359F46E">
            <w:pPr>
              <w:spacing w:line="360" w:lineRule="auto"/>
              <w:rPr>
                <w:rFonts w:ascii="Times New Roman" w:hAnsi="Times New Roman"/>
                <w:sz w:val="24"/>
              </w:rPr>
            </w:pPr>
            <w:r>
              <w:rPr>
                <w:rFonts w:ascii="Times New Roman" w:hAnsi="Times New Roman"/>
                <w:sz w:val="24"/>
              </w:rPr>
              <w:t>（1</w:t>
            </w:r>
            <w:r>
              <w:rPr>
                <w:rFonts w:hint="eastAsia" w:ascii="Times New Roman" w:hAnsi="Times New Roman"/>
                <w:sz w:val="24"/>
                <w:lang w:val="en-US" w:eastAsia="zh-CN"/>
              </w:rPr>
              <w:t>1</w:t>
            </w:r>
            <w:r>
              <w:rPr>
                <w:rFonts w:ascii="Times New Roman" w:hAnsi="Times New Roman"/>
                <w:sz w:val="24"/>
              </w:rPr>
              <w:t>）《关于核技术利用辐射安全与防护培训和考核有关事项的公告》，生态环境部公告，公告2019年第57号；</w:t>
            </w:r>
          </w:p>
          <w:p w14:paraId="03784754">
            <w:pPr>
              <w:spacing w:line="360" w:lineRule="auto"/>
              <w:jc w:val="left"/>
              <w:rPr>
                <w:rFonts w:ascii="Times New Roman" w:hAnsi="Times New Roman"/>
                <w:sz w:val="24"/>
              </w:rPr>
            </w:pPr>
            <w:r>
              <w:rPr>
                <w:rFonts w:ascii="Times New Roman" w:hAnsi="Times New Roman"/>
                <w:sz w:val="24"/>
              </w:rPr>
              <w:t>（1</w:t>
            </w:r>
            <w:r>
              <w:rPr>
                <w:rFonts w:hint="eastAsia" w:ascii="Times New Roman" w:hAnsi="Times New Roman"/>
                <w:sz w:val="24"/>
                <w:lang w:val="en-US" w:eastAsia="zh-CN"/>
              </w:rPr>
              <w:t>2</w:t>
            </w:r>
            <w:r>
              <w:rPr>
                <w:rFonts w:ascii="Times New Roman" w:hAnsi="Times New Roman"/>
                <w:sz w:val="24"/>
              </w:rPr>
              <w:t>）《关于进一步优化辐射安全考核的公告》（生态环境部公告2021年第9号）</w:t>
            </w:r>
            <w:r>
              <w:rPr>
                <w:rFonts w:hint="eastAsia" w:ascii="Times New Roman" w:hAnsi="Times New Roman"/>
                <w:sz w:val="24"/>
                <w:lang w:eastAsia="zh-CN"/>
              </w:rPr>
              <w:t>；</w:t>
            </w:r>
          </w:p>
        </w:tc>
      </w:tr>
      <w:tr w14:paraId="70E3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1480" w:type="dxa"/>
            <w:vAlign w:val="center"/>
          </w:tcPr>
          <w:p w14:paraId="27107BE3">
            <w:pPr>
              <w:spacing w:line="360" w:lineRule="auto"/>
              <w:jc w:val="center"/>
              <w:rPr>
                <w:rFonts w:ascii="Times New Roman" w:hAnsi="Times New Roman"/>
                <w:sz w:val="24"/>
              </w:rPr>
            </w:pPr>
            <w:r>
              <w:rPr>
                <w:rFonts w:ascii="Times New Roman" w:hAnsi="Times New Roman"/>
                <w:sz w:val="24"/>
              </w:rPr>
              <w:t>技术标准</w:t>
            </w:r>
          </w:p>
        </w:tc>
        <w:tc>
          <w:tcPr>
            <w:tcW w:w="7700" w:type="dxa"/>
          </w:tcPr>
          <w:p w14:paraId="18509363">
            <w:pPr>
              <w:numPr>
                <w:ilvl w:val="0"/>
                <w:numId w:val="6"/>
              </w:numPr>
              <w:spacing w:line="360" w:lineRule="auto"/>
              <w:jc w:val="left"/>
              <w:rPr>
                <w:rFonts w:ascii="Times New Roman" w:hAnsi="Times New Roman"/>
                <w:sz w:val="24"/>
              </w:rPr>
            </w:pPr>
            <w:r>
              <w:rPr>
                <w:rFonts w:ascii="Times New Roman" w:hAnsi="Times New Roman"/>
                <w:sz w:val="24"/>
              </w:rPr>
              <w:t>《辐射环境保护管理导则 核技术利用建设项目</w:t>
            </w:r>
            <w:r>
              <w:rPr>
                <w:rFonts w:hint="eastAsia" w:ascii="Times New Roman" w:hAnsi="Times New Roman"/>
                <w:sz w:val="24"/>
                <w:lang w:val="en-US" w:eastAsia="zh-CN"/>
              </w:rPr>
              <w:t xml:space="preserve"> </w:t>
            </w:r>
            <w:r>
              <w:rPr>
                <w:rFonts w:ascii="Times New Roman" w:hAnsi="Times New Roman"/>
                <w:sz w:val="24"/>
              </w:rPr>
              <w:t>环境影响评价文件的内容与格式》（HJ10.1－2016</w:t>
            </w:r>
            <w:r>
              <w:rPr>
                <w:rFonts w:hint="eastAsia" w:ascii="Times New Roman" w:hAnsi="Times New Roman"/>
                <w:sz w:val="24"/>
                <w:lang w:eastAsia="zh-CN"/>
              </w:rPr>
              <w:t>）</w:t>
            </w:r>
            <w:r>
              <w:rPr>
                <w:rFonts w:ascii="Times New Roman" w:hAnsi="Times New Roman"/>
                <w:sz w:val="24"/>
              </w:rPr>
              <w:t>；</w:t>
            </w:r>
          </w:p>
          <w:p w14:paraId="36B205FF">
            <w:pPr>
              <w:numPr>
                <w:ilvl w:val="0"/>
                <w:numId w:val="6"/>
              </w:numPr>
              <w:spacing w:line="360" w:lineRule="auto"/>
              <w:jc w:val="left"/>
              <w:rPr>
                <w:rFonts w:ascii="Times New Roman" w:hAnsi="Times New Roman"/>
                <w:sz w:val="24"/>
              </w:rPr>
            </w:pPr>
            <w:r>
              <w:rPr>
                <w:rFonts w:ascii="Times New Roman" w:hAnsi="Times New Roman"/>
                <w:sz w:val="24"/>
              </w:rPr>
              <w:t>《电离辐射防护与辐射源安全基本标准》（GB18871-2002）；</w:t>
            </w:r>
          </w:p>
          <w:p w14:paraId="4A7303B1">
            <w:pPr>
              <w:numPr>
                <w:ilvl w:val="0"/>
                <w:numId w:val="6"/>
              </w:numPr>
              <w:spacing w:line="360" w:lineRule="auto"/>
              <w:jc w:val="left"/>
              <w:rPr>
                <w:rFonts w:ascii="Times New Roman" w:hAnsi="Times New Roman"/>
                <w:sz w:val="24"/>
              </w:rPr>
            </w:pPr>
            <w:r>
              <w:rPr>
                <w:rFonts w:ascii="Times New Roman" w:hAnsi="Times New Roman"/>
                <w:sz w:val="24"/>
              </w:rPr>
              <w:t>《环境γ辐射剂量率测量技术规范》（HJ 1157-2021）；</w:t>
            </w:r>
          </w:p>
          <w:p w14:paraId="641606E1">
            <w:pPr>
              <w:numPr>
                <w:ilvl w:val="0"/>
                <w:numId w:val="6"/>
              </w:numPr>
              <w:spacing w:line="360" w:lineRule="auto"/>
              <w:jc w:val="left"/>
              <w:rPr>
                <w:rFonts w:ascii="Times New Roman" w:hAnsi="Times New Roman"/>
                <w:sz w:val="24"/>
              </w:rPr>
            </w:pPr>
            <w:r>
              <w:rPr>
                <w:rFonts w:ascii="Times New Roman" w:hAnsi="Times New Roman"/>
                <w:sz w:val="24"/>
              </w:rPr>
              <w:t>《辐射环境监测技术规范》（HJ 61-2021）；</w:t>
            </w:r>
          </w:p>
          <w:p w14:paraId="5171EDB9">
            <w:pPr>
              <w:numPr>
                <w:ilvl w:val="0"/>
                <w:numId w:val="6"/>
              </w:numPr>
              <w:spacing w:line="360" w:lineRule="auto"/>
              <w:jc w:val="left"/>
              <w:rPr>
                <w:rFonts w:ascii="Times New Roman" w:hAnsi="Times New Roman"/>
                <w:sz w:val="24"/>
              </w:rPr>
            </w:pPr>
            <w:r>
              <w:rPr>
                <w:rFonts w:ascii="Times New Roman" w:hAnsi="Times New Roman"/>
                <w:sz w:val="24"/>
              </w:rPr>
              <w:t>《放射诊断放射防护要求》（GBZ130-2020）；</w:t>
            </w:r>
          </w:p>
          <w:p w14:paraId="6373C221">
            <w:pPr>
              <w:numPr>
                <w:ilvl w:val="0"/>
                <w:numId w:val="6"/>
              </w:numPr>
              <w:spacing w:line="360" w:lineRule="auto"/>
              <w:jc w:val="left"/>
              <w:rPr>
                <w:rFonts w:ascii="Times New Roman" w:hAnsi="Times New Roman"/>
                <w:sz w:val="24"/>
              </w:rPr>
            </w:pPr>
            <w:r>
              <w:rPr>
                <w:rFonts w:ascii="Times New Roman" w:hAnsi="Times New Roman"/>
                <w:sz w:val="24"/>
              </w:rPr>
              <w:t>《电离辐射所致皮肤剂量估算方法》（GBZ/T244-2017）</w:t>
            </w:r>
            <w:r>
              <w:rPr>
                <w:rFonts w:hint="eastAsia" w:ascii="Times New Roman" w:hAnsi="Times New Roman"/>
                <w:sz w:val="24"/>
              </w:rPr>
              <w:t>；</w:t>
            </w:r>
          </w:p>
          <w:p w14:paraId="1A8A7E57">
            <w:pPr>
              <w:numPr>
                <w:ilvl w:val="0"/>
                <w:numId w:val="6"/>
              </w:numPr>
              <w:spacing w:line="360" w:lineRule="auto"/>
              <w:jc w:val="left"/>
              <w:rPr>
                <w:rFonts w:ascii="Times New Roman" w:hAnsi="Times New Roman"/>
                <w:sz w:val="24"/>
              </w:rPr>
            </w:pPr>
            <w:r>
              <w:rPr>
                <w:rFonts w:ascii="Times New Roman" w:hAnsi="Times New Roman"/>
                <w:color w:val="000000"/>
                <w:sz w:val="24"/>
              </w:rPr>
              <w:t>《</w:t>
            </w:r>
            <w:r>
              <w:rPr>
                <w:rFonts w:ascii="Times New Roman" w:hAnsi="Times New Roman"/>
                <w:color w:val="000000"/>
                <w:kern w:val="0"/>
                <w:sz w:val="24"/>
                <w:lang w:bidi="ar"/>
              </w:rPr>
              <w:t>电离辐射所致眼晶状体剂量估算方法</w:t>
            </w:r>
            <w:r>
              <w:rPr>
                <w:rFonts w:ascii="Times New Roman" w:hAnsi="Times New Roman"/>
                <w:color w:val="000000"/>
                <w:sz w:val="24"/>
              </w:rPr>
              <w:t>》（GBZ/T301-2017）</w:t>
            </w:r>
            <w:r>
              <w:rPr>
                <w:rFonts w:ascii="Times New Roman" w:hAnsi="Times New Roman"/>
                <w:sz w:val="24"/>
              </w:rPr>
              <w:t>；</w:t>
            </w:r>
          </w:p>
          <w:p w14:paraId="2910F450">
            <w:pPr>
              <w:numPr>
                <w:ilvl w:val="0"/>
                <w:numId w:val="6"/>
              </w:numPr>
              <w:spacing w:line="360" w:lineRule="auto"/>
              <w:jc w:val="left"/>
              <w:rPr>
                <w:rFonts w:ascii="Times New Roman" w:hAnsi="Times New Roman"/>
                <w:sz w:val="24"/>
              </w:rPr>
            </w:pPr>
            <w:r>
              <w:rPr>
                <w:rFonts w:ascii="Times New Roman" w:hAnsi="Times New Roman"/>
                <w:sz w:val="24"/>
              </w:rPr>
              <w:t>《职业性外照射个人监测规范》（GBZ128-2019）；</w:t>
            </w:r>
          </w:p>
          <w:p w14:paraId="06255826">
            <w:pPr>
              <w:numPr>
                <w:ilvl w:val="0"/>
                <w:numId w:val="6"/>
              </w:numPr>
              <w:spacing w:line="360" w:lineRule="auto"/>
              <w:jc w:val="left"/>
              <w:rPr>
                <w:rFonts w:ascii="Times New Roman" w:hAnsi="Times New Roman"/>
                <w:sz w:val="24"/>
              </w:rPr>
            </w:pPr>
            <w:bookmarkStart w:id="12" w:name="OLE_LINK5"/>
            <w:r>
              <w:rPr>
                <w:rFonts w:ascii="Times New Roman" w:hAnsi="Times New Roman"/>
                <w:sz w:val="24"/>
              </w:rPr>
              <w:t>《</w:t>
            </w:r>
            <w:r>
              <w:fldChar w:fldCharType="begin"/>
            </w:r>
            <w:r>
              <w:instrText xml:space="preserve"> HYPERLINK "http://www.doc88.com/p-7716411777539.html" \t "https://www.so.com/_blank" </w:instrText>
            </w:r>
            <w:r>
              <w:fldChar w:fldCharType="separate"/>
            </w:r>
            <w:r>
              <w:rPr>
                <w:rFonts w:ascii="Times New Roman" w:hAnsi="Times New Roman"/>
                <w:sz w:val="24"/>
              </w:rPr>
              <w:t>放射工作人员健康要求</w:t>
            </w:r>
            <w:r>
              <w:rPr>
                <w:rFonts w:ascii="Times New Roman" w:hAnsi="Times New Roman"/>
                <w:sz w:val="24"/>
              </w:rPr>
              <w:fldChar w:fldCharType="end"/>
            </w:r>
            <w:r>
              <w:rPr>
                <w:rFonts w:hint="eastAsia" w:ascii="Times New Roman" w:hAnsi="Times New Roman"/>
                <w:sz w:val="24"/>
              </w:rPr>
              <w:t>及监护规范</w:t>
            </w:r>
            <w:r>
              <w:rPr>
                <w:rFonts w:ascii="Times New Roman" w:hAnsi="Times New Roman"/>
                <w:sz w:val="24"/>
              </w:rPr>
              <w:t>》（</w:t>
            </w:r>
            <w:r>
              <w:fldChar w:fldCharType="begin"/>
            </w:r>
            <w:r>
              <w:instrText xml:space="preserve"> HYPERLINK "http://www.doc88.com/p-7716411777539.html" \t "https://www.so.com/_blank" </w:instrText>
            </w:r>
            <w:r>
              <w:fldChar w:fldCharType="separate"/>
            </w:r>
            <w:r>
              <w:rPr>
                <w:rFonts w:ascii="Times New Roman" w:hAnsi="Times New Roman"/>
                <w:sz w:val="24"/>
              </w:rPr>
              <w:t>GBZ98-20</w:t>
            </w:r>
            <w:r>
              <w:rPr>
                <w:rFonts w:ascii="Times New Roman" w:hAnsi="Times New Roman"/>
                <w:sz w:val="24"/>
              </w:rPr>
              <w:fldChar w:fldCharType="end"/>
            </w:r>
            <w:r>
              <w:rPr>
                <w:rFonts w:hint="eastAsia" w:ascii="Times New Roman" w:hAnsi="Times New Roman"/>
                <w:sz w:val="24"/>
              </w:rPr>
              <w:t>20</w:t>
            </w:r>
            <w:r>
              <w:rPr>
                <w:rFonts w:ascii="Times New Roman" w:hAnsi="Times New Roman"/>
                <w:sz w:val="24"/>
              </w:rPr>
              <w:t>）</w:t>
            </w:r>
            <w:bookmarkEnd w:id="12"/>
            <w:r>
              <w:rPr>
                <w:rFonts w:ascii="Times New Roman" w:hAnsi="Times New Roman"/>
                <w:sz w:val="24"/>
              </w:rPr>
              <w:t>；</w:t>
            </w:r>
          </w:p>
          <w:p w14:paraId="38F39248">
            <w:pPr>
              <w:numPr>
                <w:ilvl w:val="0"/>
                <w:numId w:val="6"/>
              </w:numPr>
            </w:pPr>
            <w:r>
              <w:rPr>
                <w:rFonts w:ascii="Times New Roman" w:hAnsi="Times New Roman"/>
                <w:sz w:val="24"/>
              </w:rPr>
              <w:t>《职业性外照射急性放射病诊断》（GBZ104-2017）</w:t>
            </w:r>
            <w:r>
              <w:rPr>
                <w:rFonts w:hint="eastAsia" w:ascii="Times New Roman" w:hAnsi="Times New Roman"/>
                <w:sz w:val="24"/>
              </w:rPr>
              <w:t>；</w:t>
            </w:r>
          </w:p>
        </w:tc>
      </w:tr>
      <w:tr w14:paraId="4443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Align w:val="center"/>
          </w:tcPr>
          <w:p w14:paraId="37C7C479">
            <w:pPr>
              <w:spacing w:line="360" w:lineRule="auto"/>
              <w:jc w:val="center"/>
              <w:rPr>
                <w:rFonts w:ascii="Times New Roman" w:hAnsi="Times New Roman"/>
                <w:sz w:val="24"/>
              </w:rPr>
            </w:pPr>
            <w:r>
              <w:rPr>
                <w:rFonts w:ascii="Times New Roman" w:hAnsi="Times New Roman"/>
                <w:sz w:val="24"/>
              </w:rPr>
              <w:t>其他</w:t>
            </w:r>
          </w:p>
        </w:tc>
        <w:tc>
          <w:tcPr>
            <w:tcW w:w="7700" w:type="dxa"/>
          </w:tcPr>
          <w:p w14:paraId="1B92CF5C">
            <w:pPr>
              <w:spacing w:line="360" w:lineRule="auto"/>
              <w:jc w:val="left"/>
              <w:rPr>
                <w:rFonts w:ascii="Times New Roman" w:hAnsi="Times New Roman"/>
                <w:spacing w:val="3"/>
                <w:kern w:val="0"/>
                <w:sz w:val="24"/>
              </w:rPr>
            </w:pPr>
            <w:r>
              <w:rPr>
                <w:rFonts w:ascii="Times New Roman" w:hAnsi="Times New Roman"/>
                <w:spacing w:val="3"/>
                <w:kern w:val="0"/>
                <w:sz w:val="24"/>
              </w:rPr>
              <w:t>参考资料：</w:t>
            </w:r>
          </w:p>
          <w:p w14:paraId="4FD7797F">
            <w:pPr>
              <w:numPr>
                <w:ilvl w:val="0"/>
                <w:numId w:val="7"/>
              </w:numPr>
              <w:spacing w:line="360" w:lineRule="auto"/>
              <w:jc w:val="left"/>
              <w:rPr>
                <w:rFonts w:ascii="Times New Roman" w:hAnsi="Times New Roman"/>
                <w:spacing w:val="3"/>
                <w:kern w:val="0"/>
                <w:sz w:val="24"/>
              </w:rPr>
            </w:pPr>
            <w:r>
              <w:rPr>
                <w:rFonts w:ascii="Times New Roman" w:hAnsi="Times New Roman"/>
                <w:spacing w:val="3"/>
                <w:kern w:val="0"/>
                <w:sz w:val="24"/>
              </w:rPr>
              <w:t>《辐射防护手册》（第一分册—辐射源与屏蔽，原子能出版社，1987）；</w:t>
            </w:r>
          </w:p>
          <w:p w14:paraId="38AD6A0E">
            <w:pPr>
              <w:spacing w:line="360" w:lineRule="auto"/>
              <w:jc w:val="left"/>
              <w:rPr>
                <w:rFonts w:ascii="Times New Roman" w:hAnsi="Times New Roman"/>
                <w:spacing w:val="5"/>
                <w:sz w:val="24"/>
              </w:rPr>
            </w:pPr>
            <w:r>
              <w:rPr>
                <w:rFonts w:ascii="Times New Roman" w:hAnsi="Times New Roman"/>
                <w:spacing w:val="5"/>
                <w:sz w:val="24"/>
              </w:rPr>
              <w:t>（2）《辐射防护手册》</w:t>
            </w:r>
            <w:r>
              <w:rPr>
                <w:rFonts w:hint="eastAsia" w:ascii="Times New Roman" w:hAnsi="Times New Roman"/>
                <w:spacing w:val="5"/>
                <w:sz w:val="24"/>
              </w:rPr>
              <w:t>（</w:t>
            </w:r>
            <w:r>
              <w:rPr>
                <w:rFonts w:ascii="Times New Roman" w:hAnsi="Times New Roman"/>
                <w:spacing w:val="5"/>
                <w:sz w:val="24"/>
              </w:rPr>
              <w:t>第三分册，李德平、潘自强主编</w:t>
            </w:r>
            <w:r>
              <w:rPr>
                <w:rFonts w:hint="eastAsia" w:ascii="Times New Roman" w:hAnsi="Times New Roman"/>
                <w:spacing w:val="5"/>
                <w:sz w:val="24"/>
              </w:rPr>
              <w:t>）</w:t>
            </w:r>
            <w:r>
              <w:rPr>
                <w:rFonts w:ascii="Times New Roman" w:hAnsi="Times New Roman"/>
                <w:spacing w:val="5"/>
                <w:sz w:val="24"/>
              </w:rPr>
              <w:t>；</w:t>
            </w:r>
          </w:p>
          <w:p w14:paraId="6960DF92">
            <w:pPr>
              <w:spacing w:line="360" w:lineRule="auto"/>
              <w:jc w:val="left"/>
              <w:rPr>
                <w:rFonts w:ascii="Times New Roman" w:hAnsi="Times New Roman"/>
                <w:spacing w:val="3"/>
                <w:kern w:val="0"/>
                <w:sz w:val="24"/>
              </w:rPr>
            </w:pPr>
            <w:r>
              <w:rPr>
                <w:rFonts w:ascii="Times New Roman" w:hAnsi="Times New Roman"/>
                <w:spacing w:val="3"/>
                <w:kern w:val="0"/>
                <w:sz w:val="24"/>
              </w:rPr>
              <w:t>（3）《</w:t>
            </w:r>
            <w:r>
              <w:rPr>
                <w:rFonts w:ascii="Times New Roman" w:hAnsi="Times New Roman"/>
                <w:sz w:val="24"/>
              </w:rPr>
              <w:t>核技术利用</w:t>
            </w:r>
            <w:r>
              <w:rPr>
                <w:rFonts w:ascii="Times New Roman" w:hAnsi="Times New Roman"/>
                <w:spacing w:val="3"/>
                <w:kern w:val="0"/>
                <w:sz w:val="24"/>
              </w:rPr>
              <w:t>监督检查技术程序》生态环境部</w:t>
            </w:r>
            <w:r>
              <w:rPr>
                <w:rFonts w:ascii="Times New Roman" w:hAnsi="Times New Roman"/>
                <w:sz w:val="24"/>
              </w:rPr>
              <w:t>（国家核安全局）</w:t>
            </w:r>
            <w:r>
              <w:rPr>
                <w:rFonts w:hint="eastAsia" w:ascii="Times New Roman" w:hAnsi="Times New Roman"/>
                <w:sz w:val="24"/>
              </w:rPr>
              <w:t>（2020年发布版）</w:t>
            </w:r>
            <w:r>
              <w:rPr>
                <w:rFonts w:ascii="Times New Roman" w:hAnsi="Times New Roman"/>
                <w:spacing w:val="3"/>
                <w:kern w:val="0"/>
                <w:sz w:val="24"/>
              </w:rPr>
              <w:t>；</w:t>
            </w:r>
          </w:p>
          <w:p w14:paraId="627E0C6A">
            <w:pPr>
              <w:spacing w:line="360" w:lineRule="auto"/>
              <w:jc w:val="left"/>
              <w:rPr>
                <w:rFonts w:ascii="Times New Roman" w:hAnsi="Times New Roman"/>
                <w:spacing w:val="3"/>
                <w:kern w:val="0"/>
                <w:sz w:val="24"/>
              </w:rPr>
            </w:pPr>
            <w:r>
              <w:rPr>
                <w:rFonts w:ascii="Times New Roman" w:hAnsi="Times New Roman"/>
                <w:spacing w:val="3"/>
                <w:kern w:val="0"/>
                <w:sz w:val="24"/>
              </w:rPr>
              <w:t>（4）</w:t>
            </w:r>
            <w:r>
              <w:rPr>
                <w:rFonts w:hint="eastAsia" w:ascii="Times New Roman" w:hAnsi="Times New Roman"/>
                <w:spacing w:val="3"/>
                <w:kern w:val="0"/>
                <w:sz w:val="24"/>
                <w:lang w:eastAsia="zh-CN"/>
              </w:rPr>
              <w:t>《</w:t>
            </w:r>
            <w:r>
              <w:rPr>
                <w:rFonts w:hint="eastAsia" w:ascii="Times New Roman" w:hAnsi="Times New Roman"/>
                <w:spacing w:val="3"/>
                <w:kern w:val="0"/>
                <w:sz w:val="24"/>
              </w:rPr>
              <w:t>四川省核技术利用单位辐射安全工作指引</w:t>
            </w:r>
            <w:r>
              <w:rPr>
                <w:rFonts w:hint="eastAsia" w:ascii="Times New Roman" w:hAnsi="Times New Roman"/>
                <w:spacing w:val="3"/>
                <w:kern w:val="0"/>
                <w:sz w:val="24"/>
                <w:lang w:eastAsia="zh-CN"/>
              </w:rPr>
              <w:t>》（</w:t>
            </w:r>
            <w:r>
              <w:rPr>
                <w:rFonts w:hint="eastAsia" w:ascii="Times New Roman" w:hAnsi="Times New Roman"/>
                <w:spacing w:val="3"/>
                <w:kern w:val="0"/>
                <w:sz w:val="24"/>
              </w:rPr>
              <w:t>2025年版</w:t>
            </w:r>
            <w:r>
              <w:rPr>
                <w:rFonts w:hint="eastAsia" w:ascii="Times New Roman" w:hAnsi="Times New Roman"/>
                <w:spacing w:val="3"/>
                <w:kern w:val="0"/>
                <w:sz w:val="24"/>
                <w:lang w:eastAsia="zh-CN"/>
              </w:rPr>
              <w:t>）</w:t>
            </w:r>
            <w:r>
              <w:rPr>
                <w:rFonts w:ascii="Times New Roman" w:hAnsi="Times New Roman"/>
                <w:spacing w:val="3"/>
                <w:kern w:val="0"/>
                <w:sz w:val="24"/>
              </w:rPr>
              <w:t>；</w:t>
            </w:r>
          </w:p>
          <w:p w14:paraId="5AFA1FCC">
            <w:pPr>
              <w:spacing w:line="360" w:lineRule="auto"/>
              <w:jc w:val="left"/>
              <w:rPr>
                <w:rFonts w:ascii="Times New Roman" w:hAnsi="Times New Roman"/>
                <w:spacing w:val="3"/>
                <w:kern w:val="0"/>
                <w:sz w:val="24"/>
              </w:rPr>
            </w:pPr>
            <w:r>
              <w:rPr>
                <w:rFonts w:ascii="Times New Roman" w:hAnsi="Times New Roman"/>
                <w:spacing w:val="3"/>
                <w:kern w:val="0"/>
                <w:sz w:val="24"/>
              </w:rPr>
              <w:t>（5）《建设项目竣工环境保护验收暂行办法》（国环规环评</w:t>
            </w:r>
            <w:r>
              <w:rPr>
                <w:rFonts w:hint="eastAsia" w:ascii="Times New Roman" w:hAnsi="Times New Roman"/>
                <w:spacing w:val="3"/>
                <w:kern w:val="0"/>
                <w:sz w:val="24"/>
                <w:lang w:eastAsia="zh-CN"/>
              </w:rPr>
              <w:t>〔</w:t>
            </w:r>
            <w:r>
              <w:rPr>
                <w:rFonts w:ascii="Times New Roman" w:hAnsi="Times New Roman"/>
                <w:spacing w:val="3"/>
                <w:kern w:val="0"/>
                <w:sz w:val="24"/>
              </w:rPr>
              <w:t>2017</w:t>
            </w:r>
            <w:r>
              <w:rPr>
                <w:rFonts w:hint="eastAsia" w:ascii="Times New Roman" w:hAnsi="Times New Roman"/>
                <w:spacing w:val="3"/>
                <w:kern w:val="0"/>
                <w:sz w:val="24"/>
                <w:lang w:eastAsia="zh-CN"/>
              </w:rPr>
              <w:t>〕</w:t>
            </w:r>
            <w:r>
              <w:rPr>
                <w:rFonts w:ascii="Times New Roman" w:hAnsi="Times New Roman"/>
                <w:spacing w:val="3"/>
                <w:kern w:val="0"/>
                <w:sz w:val="24"/>
              </w:rPr>
              <w:t>4号）；</w:t>
            </w:r>
          </w:p>
          <w:p w14:paraId="6142915D">
            <w:pPr>
              <w:spacing w:line="360" w:lineRule="auto"/>
              <w:jc w:val="left"/>
              <w:rPr>
                <w:rFonts w:ascii="Times New Roman" w:hAnsi="Times New Roman"/>
                <w:spacing w:val="3"/>
                <w:kern w:val="0"/>
                <w:sz w:val="24"/>
              </w:rPr>
            </w:pPr>
            <w:r>
              <w:rPr>
                <w:rFonts w:ascii="Times New Roman" w:hAnsi="Times New Roman"/>
                <w:spacing w:val="3"/>
                <w:kern w:val="0"/>
                <w:sz w:val="24"/>
              </w:rPr>
              <w:t>（6）环评委托书；</w:t>
            </w:r>
          </w:p>
          <w:p w14:paraId="090FD943">
            <w:pPr>
              <w:spacing w:line="360" w:lineRule="auto"/>
              <w:jc w:val="left"/>
              <w:rPr>
                <w:rFonts w:ascii="Times New Roman" w:hAnsi="Times New Roman"/>
                <w:spacing w:val="3"/>
                <w:kern w:val="0"/>
                <w:sz w:val="24"/>
              </w:rPr>
            </w:pPr>
            <w:r>
              <w:rPr>
                <w:rFonts w:ascii="Times New Roman" w:hAnsi="Times New Roman"/>
                <w:spacing w:val="3"/>
                <w:kern w:val="0"/>
                <w:sz w:val="24"/>
              </w:rPr>
              <w:t>（</w:t>
            </w:r>
            <w:r>
              <w:rPr>
                <w:rFonts w:hint="eastAsia" w:ascii="Times New Roman" w:hAnsi="Times New Roman"/>
                <w:spacing w:val="3"/>
                <w:kern w:val="0"/>
                <w:sz w:val="24"/>
                <w:lang w:val="en-US" w:eastAsia="zh-CN"/>
              </w:rPr>
              <w:t>7</w:t>
            </w:r>
            <w:r>
              <w:rPr>
                <w:rFonts w:ascii="Times New Roman" w:hAnsi="Times New Roman"/>
                <w:spacing w:val="3"/>
                <w:kern w:val="0"/>
                <w:sz w:val="24"/>
              </w:rPr>
              <w:t>）院方提供的工程设计图纸及相关技术参数资料。</w:t>
            </w:r>
          </w:p>
        </w:tc>
      </w:tr>
    </w:tbl>
    <w:p w14:paraId="24A91951">
      <w:pPr>
        <w:pStyle w:val="4"/>
        <w:numPr>
          <w:ilvl w:val="2"/>
          <w:numId w:val="0"/>
        </w:numPr>
        <w:rPr>
          <w:rFonts w:ascii="Times New Roman" w:hAnsi="Times New Roman"/>
        </w:rPr>
      </w:pPr>
      <w:r>
        <w:rPr>
          <w:rFonts w:ascii="Times New Roman" w:hAnsi="Times New Roman"/>
          <w:sz w:val="28"/>
          <w:szCs w:val="28"/>
        </w:rPr>
        <w:br w:type="page"/>
      </w:r>
      <w:bookmarkStart w:id="13" w:name="_Toc19768"/>
      <w:r>
        <w:rPr>
          <w:rFonts w:ascii="Times New Roman" w:hAnsi="Times New Roman"/>
        </w:rPr>
        <w:t>表7 保护目标与评价标准</w:t>
      </w:r>
      <w:bookmarkEnd w:id="13"/>
    </w:p>
    <w:tbl>
      <w:tblPr>
        <w:tblStyle w:val="23"/>
        <w:tblW w:w="9030"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0"/>
      </w:tblGrid>
      <w:tr w14:paraId="35FB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9030" w:type="dxa"/>
          </w:tcPr>
          <w:p w14:paraId="3DD0F5FC">
            <w:pPr>
              <w:spacing w:line="336" w:lineRule="auto"/>
              <w:jc w:val="left"/>
              <w:rPr>
                <w:rFonts w:ascii="Times New Roman" w:hAnsi="Times New Roman"/>
                <w:b/>
                <w:bCs/>
                <w:sz w:val="28"/>
                <w:szCs w:val="28"/>
              </w:rPr>
            </w:pPr>
            <w:r>
              <w:rPr>
                <w:rFonts w:ascii="Times New Roman" w:hAnsi="Times New Roman"/>
                <w:b/>
                <w:bCs/>
                <w:sz w:val="28"/>
                <w:szCs w:val="28"/>
              </w:rPr>
              <w:t>评价范围</w:t>
            </w:r>
          </w:p>
          <w:p w14:paraId="1419AB52">
            <w:pPr>
              <w:spacing w:line="336" w:lineRule="auto"/>
              <w:ind w:firstLine="480" w:firstLineChars="200"/>
              <w:jc w:val="left"/>
              <w:rPr>
                <w:rFonts w:ascii="Times New Roman" w:hAnsi="Times New Roman"/>
                <w:sz w:val="24"/>
              </w:rPr>
            </w:pPr>
            <w:bookmarkStart w:id="14" w:name="OLE_LINK8"/>
            <w:r>
              <w:rPr>
                <w:rFonts w:ascii="Times New Roman" w:hAnsi="Times New Roman"/>
                <w:sz w:val="24"/>
              </w:rPr>
              <w:t>根据《辐射环境保护管理导则核技术利用建设项目环境影响评价文件的内容和格式》（HJ10.1-2016）中的相关要求，结合项目特点和现场监测的实际情况，确定辐射环境影响评价的范围：以</w:t>
            </w:r>
            <w:r>
              <w:rPr>
                <w:rFonts w:hint="eastAsia" w:ascii="Times New Roman" w:hAnsi="Times New Roman"/>
                <w:sz w:val="24"/>
                <w:lang w:eastAsia="zh-CN"/>
              </w:rPr>
              <w:t>DSA机房</w:t>
            </w:r>
            <w:r>
              <w:rPr>
                <w:rFonts w:ascii="Times New Roman" w:hAnsi="Times New Roman"/>
                <w:sz w:val="24"/>
              </w:rPr>
              <w:t>建筑实体为边界，周围50m范围区域作为评价范围。</w:t>
            </w:r>
            <w:bookmarkEnd w:id="14"/>
          </w:p>
        </w:tc>
      </w:tr>
      <w:tr w14:paraId="0B34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trPr>
        <w:tc>
          <w:tcPr>
            <w:tcW w:w="9030" w:type="dxa"/>
            <w:tcBorders>
              <w:bottom w:val="single" w:color="000000" w:sz="4" w:space="0"/>
            </w:tcBorders>
          </w:tcPr>
          <w:p w14:paraId="69DF7B7D">
            <w:pPr>
              <w:jc w:val="left"/>
              <w:rPr>
                <w:rFonts w:ascii="Times New Roman" w:hAnsi="Times New Roman"/>
                <w:b/>
                <w:bCs/>
                <w:sz w:val="28"/>
                <w:szCs w:val="28"/>
              </w:rPr>
            </w:pPr>
            <w:r>
              <w:rPr>
                <w:rFonts w:ascii="Times New Roman" w:hAnsi="Times New Roman"/>
                <w:b/>
                <w:bCs/>
                <w:sz w:val="28"/>
                <w:szCs w:val="28"/>
              </w:rPr>
              <w:t>保护目标</w:t>
            </w:r>
          </w:p>
          <w:p w14:paraId="0F07864F">
            <w:pPr>
              <w:spacing w:line="360" w:lineRule="auto"/>
              <w:ind w:firstLine="465"/>
              <w:rPr>
                <w:rFonts w:ascii="Times New Roman" w:hAnsi="Times New Roman"/>
                <w:sz w:val="24"/>
              </w:rPr>
            </w:pPr>
            <w:r>
              <w:rPr>
                <w:rFonts w:hint="eastAsia" w:ascii="Times New Roman" w:hAnsi="Times New Roman"/>
                <w:bCs/>
                <w:sz w:val="24"/>
              </w:rPr>
              <w:t>本项目的主要环境影响因素为电离辐射。根据本项目评价范围、医院辐射工作场所布局、总平面布置及外环境特征，本项目50m内环境保护目标见表7-1所示。</w:t>
            </w:r>
          </w:p>
          <w:p w14:paraId="33401305">
            <w:pPr>
              <w:spacing w:line="360" w:lineRule="auto"/>
              <w:jc w:val="center"/>
              <w:rPr>
                <w:rFonts w:hint="default" w:ascii="Times New Roman" w:hAnsi="Times New Roman" w:cs="Times New Roman"/>
                <w:b/>
                <w:bCs/>
                <w:sz w:val="24"/>
                <w:szCs w:val="20"/>
              </w:rPr>
            </w:pPr>
            <w:bookmarkStart w:id="15" w:name="OLE_LINK9"/>
            <w:r>
              <w:rPr>
                <w:rFonts w:hint="default" w:ascii="Times New Roman" w:hAnsi="Times New Roman" w:cs="Times New Roman"/>
                <w:b/>
                <w:bCs/>
                <w:sz w:val="24"/>
                <w:szCs w:val="20"/>
              </w:rPr>
              <w:t>表7-1 本项目环境保护目标一览表</w:t>
            </w:r>
          </w:p>
          <w:tbl>
            <w:tblPr>
              <w:tblStyle w:val="23"/>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918"/>
              <w:gridCol w:w="2869"/>
              <w:gridCol w:w="721"/>
              <w:gridCol w:w="564"/>
              <w:gridCol w:w="580"/>
              <w:gridCol w:w="817"/>
              <w:gridCol w:w="1170"/>
              <w:gridCol w:w="1175"/>
            </w:tblGrid>
            <w:tr w14:paraId="3387BA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restart"/>
                  <w:tcBorders>
                    <w:tl2br w:val="nil"/>
                    <w:tr2bl w:val="nil"/>
                  </w:tcBorders>
                  <w:vAlign w:val="center"/>
                </w:tcPr>
                <w:p w14:paraId="0C36F98E">
                  <w:pPr>
                    <w:spacing w:line="216" w:lineRule="auto"/>
                    <w:jc w:val="center"/>
                    <w:rPr>
                      <w:rFonts w:ascii="Times New Roman" w:hAnsi="Times New Roman"/>
                      <w:b/>
                      <w:bCs/>
                      <w:szCs w:val="21"/>
                    </w:rPr>
                  </w:pPr>
                  <w:r>
                    <w:rPr>
                      <w:rFonts w:ascii="Times New Roman" w:hAnsi="Times New Roman"/>
                      <w:b/>
                      <w:bCs/>
                      <w:szCs w:val="21"/>
                    </w:rPr>
                    <w:t>项目位置</w:t>
                  </w:r>
                </w:p>
              </w:tc>
              <w:tc>
                <w:tcPr>
                  <w:tcW w:w="2869" w:type="dxa"/>
                  <w:vMerge w:val="restart"/>
                  <w:tcBorders>
                    <w:tl2br w:val="nil"/>
                    <w:tr2bl w:val="nil"/>
                  </w:tcBorders>
                  <w:vAlign w:val="center"/>
                </w:tcPr>
                <w:p w14:paraId="7CE1B89E">
                  <w:pPr>
                    <w:spacing w:line="216" w:lineRule="auto"/>
                    <w:jc w:val="center"/>
                    <w:rPr>
                      <w:rFonts w:ascii="Times New Roman" w:hAnsi="Times New Roman"/>
                      <w:b/>
                      <w:bCs/>
                      <w:szCs w:val="21"/>
                    </w:rPr>
                  </w:pPr>
                  <w:r>
                    <w:rPr>
                      <w:rFonts w:ascii="Times New Roman" w:hAnsi="Times New Roman"/>
                      <w:b/>
                      <w:bCs/>
                      <w:szCs w:val="21"/>
                    </w:rPr>
                    <w:t>保护目标</w:t>
                  </w:r>
                </w:p>
              </w:tc>
              <w:tc>
                <w:tcPr>
                  <w:tcW w:w="721" w:type="dxa"/>
                  <w:vMerge w:val="restart"/>
                  <w:tcBorders>
                    <w:tl2br w:val="nil"/>
                    <w:tr2bl w:val="nil"/>
                  </w:tcBorders>
                  <w:vAlign w:val="center"/>
                </w:tcPr>
                <w:p w14:paraId="08868E5B">
                  <w:pPr>
                    <w:spacing w:line="216" w:lineRule="auto"/>
                    <w:jc w:val="center"/>
                    <w:rPr>
                      <w:rFonts w:ascii="Times New Roman" w:hAnsi="Times New Roman"/>
                      <w:b/>
                      <w:bCs/>
                      <w:szCs w:val="21"/>
                    </w:rPr>
                  </w:pPr>
                  <w:r>
                    <w:rPr>
                      <w:rFonts w:ascii="Times New Roman" w:hAnsi="Times New Roman"/>
                      <w:b/>
                      <w:bCs/>
                      <w:szCs w:val="21"/>
                    </w:rPr>
                    <w:t>相对</w:t>
                  </w:r>
                </w:p>
                <w:p w14:paraId="209313A2">
                  <w:pPr>
                    <w:spacing w:line="216" w:lineRule="auto"/>
                    <w:jc w:val="center"/>
                    <w:rPr>
                      <w:rFonts w:ascii="Times New Roman" w:hAnsi="Times New Roman"/>
                      <w:b/>
                      <w:bCs/>
                      <w:szCs w:val="21"/>
                    </w:rPr>
                  </w:pPr>
                  <w:r>
                    <w:rPr>
                      <w:rFonts w:ascii="Times New Roman" w:hAnsi="Times New Roman"/>
                      <w:b/>
                      <w:bCs/>
                      <w:szCs w:val="21"/>
                    </w:rPr>
                    <w:t>方位</w:t>
                  </w:r>
                </w:p>
              </w:tc>
              <w:tc>
                <w:tcPr>
                  <w:tcW w:w="1144" w:type="dxa"/>
                  <w:gridSpan w:val="2"/>
                  <w:tcBorders>
                    <w:tl2br w:val="nil"/>
                    <w:tr2bl w:val="nil"/>
                  </w:tcBorders>
                  <w:vAlign w:val="center"/>
                </w:tcPr>
                <w:p w14:paraId="3F6F2970">
                  <w:pPr>
                    <w:spacing w:line="216" w:lineRule="auto"/>
                    <w:jc w:val="center"/>
                    <w:rPr>
                      <w:rFonts w:hint="eastAsia" w:ascii="Times New Roman" w:hAnsi="Times New Roman" w:eastAsia="宋体"/>
                      <w:b/>
                      <w:bCs/>
                      <w:szCs w:val="21"/>
                      <w:lang w:eastAsia="zh-CN"/>
                    </w:rPr>
                  </w:pPr>
                  <w:r>
                    <w:rPr>
                      <w:rFonts w:ascii="Times New Roman" w:hAnsi="Times New Roman"/>
                      <w:b/>
                      <w:bCs/>
                      <w:szCs w:val="21"/>
                    </w:rPr>
                    <w:t>距辐射源最近距离</w:t>
                  </w:r>
                  <w:r>
                    <w:rPr>
                      <w:rFonts w:hint="eastAsia" w:ascii="Times New Roman" w:hAnsi="Times New Roman"/>
                      <w:b/>
                      <w:bCs/>
                      <w:szCs w:val="21"/>
                      <w:lang w:eastAsia="zh-CN"/>
                    </w:rPr>
                    <w:t>（</w:t>
                  </w:r>
                  <w:r>
                    <w:rPr>
                      <w:rFonts w:ascii="Times New Roman" w:hAnsi="Times New Roman"/>
                      <w:b/>
                      <w:bCs/>
                      <w:szCs w:val="21"/>
                    </w:rPr>
                    <w:t>m</w:t>
                  </w:r>
                  <w:r>
                    <w:rPr>
                      <w:rFonts w:hint="eastAsia" w:ascii="Times New Roman" w:hAnsi="Times New Roman"/>
                      <w:b/>
                      <w:bCs/>
                      <w:szCs w:val="21"/>
                      <w:lang w:eastAsia="zh-CN"/>
                    </w:rPr>
                    <w:t>）</w:t>
                  </w:r>
                </w:p>
              </w:tc>
              <w:tc>
                <w:tcPr>
                  <w:tcW w:w="817" w:type="dxa"/>
                  <w:vMerge w:val="restart"/>
                  <w:tcBorders>
                    <w:tl2br w:val="nil"/>
                    <w:tr2bl w:val="nil"/>
                  </w:tcBorders>
                  <w:vAlign w:val="center"/>
                </w:tcPr>
                <w:p w14:paraId="4A7B538F">
                  <w:pPr>
                    <w:spacing w:line="216" w:lineRule="auto"/>
                    <w:jc w:val="center"/>
                    <w:rPr>
                      <w:rFonts w:ascii="Times New Roman" w:hAnsi="Times New Roman"/>
                      <w:b/>
                      <w:bCs/>
                      <w:szCs w:val="21"/>
                    </w:rPr>
                  </w:pPr>
                  <w:r>
                    <w:rPr>
                      <w:rFonts w:ascii="Times New Roman" w:hAnsi="Times New Roman"/>
                      <w:b/>
                      <w:bCs/>
                      <w:szCs w:val="21"/>
                    </w:rPr>
                    <w:t>人流量/天</w:t>
                  </w:r>
                </w:p>
              </w:tc>
              <w:tc>
                <w:tcPr>
                  <w:tcW w:w="1170" w:type="dxa"/>
                  <w:vMerge w:val="restart"/>
                  <w:tcBorders>
                    <w:tl2br w:val="nil"/>
                    <w:tr2bl w:val="nil"/>
                  </w:tcBorders>
                  <w:vAlign w:val="center"/>
                </w:tcPr>
                <w:p w14:paraId="70D8B8BE">
                  <w:pPr>
                    <w:spacing w:line="216" w:lineRule="auto"/>
                    <w:jc w:val="center"/>
                    <w:rPr>
                      <w:rFonts w:ascii="Times New Roman" w:hAnsi="Times New Roman"/>
                      <w:b/>
                      <w:bCs/>
                      <w:szCs w:val="21"/>
                    </w:rPr>
                  </w:pPr>
                  <w:r>
                    <w:rPr>
                      <w:rFonts w:ascii="Times New Roman" w:hAnsi="Times New Roman"/>
                      <w:b/>
                      <w:bCs/>
                      <w:szCs w:val="21"/>
                    </w:rPr>
                    <w:t>照射类型</w:t>
                  </w:r>
                </w:p>
              </w:tc>
              <w:tc>
                <w:tcPr>
                  <w:tcW w:w="1175" w:type="dxa"/>
                  <w:vMerge w:val="restart"/>
                  <w:tcBorders>
                    <w:tl2br w:val="nil"/>
                    <w:tr2bl w:val="nil"/>
                  </w:tcBorders>
                  <w:vAlign w:val="center"/>
                </w:tcPr>
                <w:p w14:paraId="0FE765A3">
                  <w:pPr>
                    <w:spacing w:line="216" w:lineRule="auto"/>
                    <w:jc w:val="center"/>
                    <w:rPr>
                      <w:rFonts w:ascii="Times New Roman" w:hAnsi="Times New Roman"/>
                      <w:b/>
                      <w:bCs/>
                      <w:szCs w:val="21"/>
                    </w:rPr>
                  </w:pPr>
                  <w:r>
                    <w:rPr>
                      <w:rFonts w:ascii="Times New Roman" w:hAnsi="Times New Roman"/>
                      <w:b/>
                      <w:bCs/>
                      <w:szCs w:val="21"/>
                    </w:rPr>
                    <w:t>剂量约束值</w:t>
                  </w:r>
                </w:p>
                <w:p w14:paraId="21C381EC">
                  <w:pPr>
                    <w:spacing w:line="216" w:lineRule="auto"/>
                    <w:jc w:val="center"/>
                    <w:rPr>
                      <w:rFonts w:ascii="Times New Roman" w:hAnsi="Times New Roman"/>
                      <w:b/>
                      <w:bCs/>
                      <w:szCs w:val="21"/>
                    </w:rPr>
                  </w:pPr>
                  <w:r>
                    <w:rPr>
                      <w:rFonts w:ascii="Times New Roman" w:hAnsi="Times New Roman"/>
                      <w:b/>
                      <w:bCs/>
                      <w:szCs w:val="21"/>
                    </w:rPr>
                    <w:t>（mSv/年）</w:t>
                  </w:r>
                </w:p>
              </w:tc>
            </w:tr>
            <w:tr w14:paraId="0F02E6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0FCE37E0">
                  <w:pPr>
                    <w:spacing w:line="216" w:lineRule="auto"/>
                    <w:jc w:val="center"/>
                  </w:pPr>
                </w:p>
              </w:tc>
              <w:tc>
                <w:tcPr>
                  <w:tcW w:w="2869" w:type="dxa"/>
                  <w:vMerge w:val="continue"/>
                  <w:tcBorders>
                    <w:tl2br w:val="nil"/>
                    <w:tr2bl w:val="nil"/>
                  </w:tcBorders>
                  <w:vAlign w:val="center"/>
                </w:tcPr>
                <w:p w14:paraId="733DDAA6">
                  <w:pPr>
                    <w:spacing w:line="216" w:lineRule="auto"/>
                    <w:jc w:val="center"/>
                  </w:pPr>
                </w:p>
              </w:tc>
              <w:tc>
                <w:tcPr>
                  <w:tcW w:w="721" w:type="dxa"/>
                  <w:vMerge w:val="continue"/>
                  <w:tcBorders>
                    <w:tl2br w:val="nil"/>
                    <w:tr2bl w:val="nil"/>
                  </w:tcBorders>
                  <w:vAlign w:val="center"/>
                </w:tcPr>
                <w:p w14:paraId="732326B4">
                  <w:pPr>
                    <w:spacing w:line="216" w:lineRule="auto"/>
                    <w:jc w:val="center"/>
                  </w:pPr>
                </w:p>
              </w:tc>
              <w:tc>
                <w:tcPr>
                  <w:tcW w:w="564" w:type="dxa"/>
                  <w:tcBorders>
                    <w:tl2br w:val="nil"/>
                    <w:tr2bl w:val="nil"/>
                  </w:tcBorders>
                  <w:vAlign w:val="center"/>
                </w:tcPr>
                <w:p w14:paraId="2530ECFD">
                  <w:pPr>
                    <w:spacing w:line="216" w:lineRule="auto"/>
                    <w:jc w:val="center"/>
                    <w:rPr>
                      <w:rFonts w:ascii="Times New Roman" w:hAnsi="Times New Roman"/>
                      <w:b/>
                      <w:bCs/>
                      <w:szCs w:val="21"/>
                    </w:rPr>
                  </w:pPr>
                  <w:r>
                    <w:rPr>
                      <w:rFonts w:hint="eastAsia" w:ascii="Times New Roman" w:hAnsi="Times New Roman"/>
                      <w:b/>
                      <w:bCs/>
                      <w:szCs w:val="21"/>
                    </w:rPr>
                    <w:t>水平距离</w:t>
                  </w:r>
                </w:p>
              </w:tc>
              <w:tc>
                <w:tcPr>
                  <w:tcW w:w="580" w:type="dxa"/>
                  <w:tcBorders>
                    <w:tl2br w:val="nil"/>
                    <w:tr2bl w:val="nil"/>
                  </w:tcBorders>
                  <w:vAlign w:val="center"/>
                </w:tcPr>
                <w:p w14:paraId="1E0F0ED3">
                  <w:pPr>
                    <w:spacing w:line="216" w:lineRule="auto"/>
                    <w:jc w:val="center"/>
                    <w:rPr>
                      <w:rFonts w:ascii="Times New Roman" w:hAnsi="Times New Roman"/>
                      <w:b/>
                      <w:bCs/>
                      <w:szCs w:val="21"/>
                    </w:rPr>
                  </w:pPr>
                  <w:r>
                    <w:rPr>
                      <w:rFonts w:hint="eastAsia" w:ascii="Times New Roman" w:hAnsi="Times New Roman"/>
                      <w:b/>
                      <w:bCs/>
                      <w:szCs w:val="21"/>
                    </w:rPr>
                    <w:t>垂直距离</w:t>
                  </w:r>
                </w:p>
              </w:tc>
              <w:tc>
                <w:tcPr>
                  <w:tcW w:w="817" w:type="dxa"/>
                  <w:vMerge w:val="continue"/>
                  <w:tcBorders>
                    <w:tl2br w:val="nil"/>
                    <w:tr2bl w:val="nil"/>
                  </w:tcBorders>
                  <w:vAlign w:val="center"/>
                </w:tcPr>
                <w:p w14:paraId="466617BF">
                  <w:pPr>
                    <w:spacing w:line="216" w:lineRule="auto"/>
                    <w:jc w:val="center"/>
                    <w:rPr>
                      <w:rFonts w:ascii="Times New Roman" w:hAnsi="Times New Roman"/>
                      <w:b/>
                      <w:bCs/>
                      <w:szCs w:val="21"/>
                    </w:rPr>
                  </w:pPr>
                </w:p>
              </w:tc>
              <w:tc>
                <w:tcPr>
                  <w:tcW w:w="1170" w:type="dxa"/>
                  <w:vMerge w:val="continue"/>
                  <w:tcBorders>
                    <w:tl2br w:val="nil"/>
                    <w:tr2bl w:val="nil"/>
                  </w:tcBorders>
                  <w:vAlign w:val="center"/>
                </w:tcPr>
                <w:p w14:paraId="543BCD45">
                  <w:pPr>
                    <w:spacing w:line="216" w:lineRule="auto"/>
                    <w:jc w:val="center"/>
                    <w:rPr>
                      <w:rFonts w:ascii="Times New Roman" w:hAnsi="Times New Roman"/>
                      <w:b/>
                      <w:bCs/>
                      <w:szCs w:val="21"/>
                    </w:rPr>
                  </w:pPr>
                </w:p>
              </w:tc>
              <w:tc>
                <w:tcPr>
                  <w:tcW w:w="1175" w:type="dxa"/>
                  <w:vMerge w:val="continue"/>
                  <w:tcBorders>
                    <w:tl2br w:val="nil"/>
                    <w:tr2bl w:val="nil"/>
                  </w:tcBorders>
                  <w:vAlign w:val="center"/>
                </w:tcPr>
                <w:p w14:paraId="2B9FE27D">
                  <w:pPr>
                    <w:spacing w:line="216" w:lineRule="auto"/>
                    <w:jc w:val="center"/>
                    <w:rPr>
                      <w:rFonts w:ascii="Times New Roman" w:hAnsi="Times New Roman"/>
                      <w:b/>
                      <w:bCs/>
                      <w:szCs w:val="21"/>
                    </w:rPr>
                  </w:pPr>
                </w:p>
              </w:tc>
            </w:tr>
            <w:tr w14:paraId="2B5277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restart"/>
                  <w:tcBorders>
                    <w:tl2br w:val="nil"/>
                    <w:tr2bl w:val="nil"/>
                  </w:tcBorders>
                  <w:vAlign w:val="center"/>
                </w:tcPr>
                <w:p w14:paraId="13588F00">
                  <w:pPr>
                    <w:spacing w:line="216" w:lineRule="auto"/>
                    <w:jc w:val="center"/>
                    <w:rPr>
                      <w:rFonts w:ascii="Times New Roman" w:hAnsi="Times New Roman"/>
                      <w:szCs w:val="21"/>
                    </w:rPr>
                  </w:pPr>
                  <w:r>
                    <w:rPr>
                      <w:rFonts w:hint="eastAsia" w:ascii="Times New Roman" w:hAnsi="Times New Roman"/>
                      <w:bCs/>
                      <w:szCs w:val="21"/>
                      <w:lang w:eastAsia="zh-CN"/>
                    </w:rPr>
                    <w:t>DSA机房</w:t>
                  </w:r>
                  <w:r>
                    <w:rPr>
                      <w:rFonts w:hint="eastAsia" w:ascii="Times New Roman" w:hAnsi="Times New Roman"/>
                      <w:bCs/>
                      <w:szCs w:val="21"/>
                    </w:rPr>
                    <w:t>内</w:t>
                  </w:r>
                </w:p>
              </w:tc>
              <w:tc>
                <w:tcPr>
                  <w:tcW w:w="2869" w:type="dxa"/>
                  <w:tcBorders>
                    <w:tl2br w:val="nil"/>
                    <w:tr2bl w:val="nil"/>
                  </w:tcBorders>
                  <w:vAlign w:val="center"/>
                </w:tcPr>
                <w:p w14:paraId="6863BD73">
                  <w:pPr>
                    <w:spacing w:line="216" w:lineRule="auto"/>
                    <w:jc w:val="center"/>
                    <w:rPr>
                      <w:rFonts w:ascii="Times New Roman" w:hAnsi="Times New Roman"/>
                      <w:szCs w:val="21"/>
                    </w:rPr>
                  </w:pPr>
                  <w:r>
                    <w:rPr>
                      <w:rFonts w:hint="eastAsia" w:ascii="Times New Roman" w:hAnsi="Times New Roman"/>
                      <w:szCs w:val="21"/>
                    </w:rPr>
                    <w:t>DSA机房</w:t>
                  </w:r>
                  <w:r>
                    <w:rPr>
                      <w:rFonts w:ascii="Times New Roman" w:hAnsi="Times New Roman"/>
                      <w:szCs w:val="21"/>
                    </w:rPr>
                    <w:t>内的</w:t>
                  </w:r>
                  <w:r>
                    <w:rPr>
                      <w:rFonts w:hint="eastAsia" w:ascii="Times New Roman" w:hAnsi="Times New Roman"/>
                      <w:szCs w:val="21"/>
                    </w:rPr>
                    <w:t>主刀</w:t>
                  </w:r>
                  <w:r>
                    <w:rPr>
                      <w:rFonts w:ascii="Times New Roman" w:hAnsi="Times New Roman"/>
                      <w:szCs w:val="21"/>
                    </w:rPr>
                    <w:t>医生</w:t>
                  </w:r>
                </w:p>
              </w:tc>
              <w:tc>
                <w:tcPr>
                  <w:tcW w:w="721" w:type="dxa"/>
                  <w:tcBorders>
                    <w:tl2br w:val="nil"/>
                    <w:tr2bl w:val="nil"/>
                  </w:tcBorders>
                  <w:vAlign w:val="center"/>
                </w:tcPr>
                <w:p w14:paraId="321F36B9">
                  <w:pPr>
                    <w:spacing w:line="216" w:lineRule="auto"/>
                    <w:jc w:val="center"/>
                    <w:rPr>
                      <w:rFonts w:ascii="Times New Roman" w:hAnsi="Times New Roman"/>
                      <w:szCs w:val="21"/>
                    </w:rPr>
                  </w:pPr>
                  <w:r>
                    <w:rPr>
                      <w:rFonts w:ascii="Times New Roman" w:hAnsi="Times New Roman"/>
                      <w:szCs w:val="21"/>
                    </w:rPr>
                    <w:t>/</w:t>
                  </w:r>
                </w:p>
              </w:tc>
              <w:tc>
                <w:tcPr>
                  <w:tcW w:w="564" w:type="dxa"/>
                  <w:tcBorders>
                    <w:tl2br w:val="nil"/>
                    <w:tr2bl w:val="nil"/>
                  </w:tcBorders>
                  <w:vAlign w:val="center"/>
                </w:tcPr>
                <w:p w14:paraId="6F56E65F">
                  <w:pPr>
                    <w:spacing w:line="216" w:lineRule="auto"/>
                    <w:jc w:val="center"/>
                    <w:rPr>
                      <w:rFonts w:ascii="Times New Roman" w:hAnsi="Times New Roman"/>
                      <w:szCs w:val="21"/>
                    </w:rPr>
                  </w:pPr>
                  <w:r>
                    <w:rPr>
                      <w:rFonts w:hint="eastAsia" w:ascii="Times New Roman" w:hAnsi="Times New Roman"/>
                      <w:szCs w:val="21"/>
                    </w:rPr>
                    <w:t>0.5</w:t>
                  </w:r>
                </w:p>
              </w:tc>
              <w:tc>
                <w:tcPr>
                  <w:tcW w:w="580" w:type="dxa"/>
                  <w:tcBorders>
                    <w:tl2br w:val="nil"/>
                    <w:tr2bl w:val="nil"/>
                  </w:tcBorders>
                  <w:vAlign w:val="center"/>
                </w:tcPr>
                <w:p w14:paraId="79855D34">
                  <w:pPr>
                    <w:spacing w:line="216" w:lineRule="auto"/>
                    <w:jc w:val="center"/>
                    <w:rPr>
                      <w:rFonts w:ascii="Times New Roman" w:hAnsi="Times New Roman"/>
                      <w:szCs w:val="21"/>
                    </w:rPr>
                  </w:pPr>
                  <w:r>
                    <w:rPr>
                      <w:rFonts w:hint="eastAsia" w:ascii="Times New Roman" w:hAnsi="Times New Roman"/>
                      <w:szCs w:val="21"/>
                    </w:rPr>
                    <w:t>0</w:t>
                  </w:r>
                </w:p>
              </w:tc>
              <w:tc>
                <w:tcPr>
                  <w:tcW w:w="817" w:type="dxa"/>
                  <w:vMerge w:val="restart"/>
                  <w:tcBorders>
                    <w:tl2br w:val="nil"/>
                    <w:tr2bl w:val="nil"/>
                  </w:tcBorders>
                  <w:vAlign w:val="center"/>
                </w:tcPr>
                <w:p w14:paraId="4115D822">
                  <w:pPr>
                    <w:spacing w:line="216" w:lineRule="auto"/>
                    <w:jc w:val="center"/>
                    <w:rPr>
                      <w:rFonts w:ascii="Times New Roman" w:hAnsi="Times New Roman"/>
                      <w:szCs w:val="21"/>
                    </w:rPr>
                  </w:pPr>
                  <w:r>
                    <w:rPr>
                      <w:rFonts w:hint="default" w:ascii="Times New Roman" w:hAnsi="Times New Roman" w:cs="Times New Roman"/>
                      <w:szCs w:val="21"/>
                      <w:lang w:val="en-US" w:eastAsia="zh-CN"/>
                    </w:rPr>
                    <w:t>职业人员</w:t>
                  </w:r>
                  <w:r>
                    <w:rPr>
                      <w:rFonts w:hint="eastAsia" w:ascii="Times New Roman" w:hAnsi="Times New Roman" w:cs="Times New Roman"/>
                      <w:szCs w:val="21"/>
                      <w:lang w:val="en-US" w:eastAsia="zh-CN"/>
                    </w:rPr>
                    <w:t>13</w:t>
                  </w:r>
                  <w:r>
                    <w:rPr>
                      <w:rFonts w:hint="default" w:ascii="Times New Roman" w:hAnsi="Times New Roman" w:cs="Times New Roman"/>
                      <w:szCs w:val="21"/>
                      <w:lang w:val="en-US" w:eastAsia="zh-CN"/>
                    </w:rPr>
                    <w:t>人</w:t>
                  </w:r>
                </w:p>
              </w:tc>
              <w:tc>
                <w:tcPr>
                  <w:tcW w:w="1170" w:type="dxa"/>
                  <w:tcBorders>
                    <w:tl2br w:val="nil"/>
                    <w:tr2bl w:val="nil"/>
                  </w:tcBorders>
                  <w:vAlign w:val="center"/>
                </w:tcPr>
                <w:p w14:paraId="3F90E2EE">
                  <w:pPr>
                    <w:spacing w:line="216" w:lineRule="auto"/>
                    <w:jc w:val="center"/>
                    <w:rPr>
                      <w:rFonts w:ascii="Times New Roman" w:hAnsi="Times New Roman"/>
                      <w:szCs w:val="21"/>
                    </w:rPr>
                  </w:pPr>
                  <w:r>
                    <w:rPr>
                      <w:rFonts w:ascii="Times New Roman" w:hAnsi="Times New Roman"/>
                      <w:szCs w:val="21"/>
                    </w:rPr>
                    <w:t>职业照射</w:t>
                  </w:r>
                </w:p>
              </w:tc>
              <w:tc>
                <w:tcPr>
                  <w:tcW w:w="1175" w:type="dxa"/>
                  <w:tcBorders>
                    <w:tl2br w:val="nil"/>
                    <w:tr2bl w:val="nil"/>
                  </w:tcBorders>
                  <w:vAlign w:val="center"/>
                </w:tcPr>
                <w:p w14:paraId="1C1623A0">
                  <w:pPr>
                    <w:spacing w:line="216" w:lineRule="auto"/>
                    <w:jc w:val="center"/>
                    <w:rPr>
                      <w:rFonts w:ascii="Times New Roman" w:hAnsi="Times New Roman"/>
                      <w:szCs w:val="21"/>
                    </w:rPr>
                  </w:pPr>
                  <w:r>
                    <w:rPr>
                      <w:rFonts w:ascii="Times New Roman" w:hAnsi="Times New Roman"/>
                      <w:szCs w:val="21"/>
                    </w:rPr>
                    <w:t>5.0</w:t>
                  </w:r>
                </w:p>
              </w:tc>
            </w:tr>
            <w:tr w14:paraId="65ECBC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11E567AF">
                  <w:pPr>
                    <w:spacing w:line="216" w:lineRule="auto"/>
                    <w:jc w:val="center"/>
                  </w:pPr>
                </w:p>
              </w:tc>
              <w:tc>
                <w:tcPr>
                  <w:tcW w:w="2869" w:type="dxa"/>
                  <w:tcBorders>
                    <w:tl2br w:val="nil"/>
                    <w:tr2bl w:val="nil"/>
                  </w:tcBorders>
                  <w:vAlign w:val="center"/>
                </w:tcPr>
                <w:p w14:paraId="55184474">
                  <w:pPr>
                    <w:spacing w:line="216" w:lineRule="auto"/>
                    <w:jc w:val="center"/>
                    <w:rPr>
                      <w:rFonts w:ascii="Times New Roman" w:hAnsi="Times New Roman"/>
                      <w:szCs w:val="21"/>
                    </w:rPr>
                  </w:pPr>
                  <w:r>
                    <w:rPr>
                      <w:rFonts w:hint="eastAsia" w:ascii="Times New Roman" w:hAnsi="Times New Roman"/>
                      <w:szCs w:val="21"/>
                    </w:rPr>
                    <w:t>DSA机房</w:t>
                  </w:r>
                  <w:r>
                    <w:rPr>
                      <w:rFonts w:ascii="Times New Roman" w:hAnsi="Times New Roman"/>
                      <w:szCs w:val="21"/>
                    </w:rPr>
                    <w:t>内的</w:t>
                  </w:r>
                  <w:r>
                    <w:rPr>
                      <w:rFonts w:hint="eastAsia" w:ascii="Times New Roman" w:hAnsi="Times New Roman"/>
                      <w:szCs w:val="21"/>
                    </w:rPr>
                    <w:t>助手</w:t>
                  </w:r>
                  <w:r>
                    <w:rPr>
                      <w:rFonts w:ascii="Times New Roman" w:hAnsi="Times New Roman"/>
                      <w:szCs w:val="21"/>
                    </w:rPr>
                    <w:t>医生</w:t>
                  </w:r>
                </w:p>
              </w:tc>
              <w:tc>
                <w:tcPr>
                  <w:tcW w:w="721" w:type="dxa"/>
                  <w:tcBorders>
                    <w:tl2br w:val="nil"/>
                    <w:tr2bl w:val="nil"/>
                  </w:tcBorders>
                  <w:vAlign w:val="center"/>
                </w:tcPr>
                <w:p w14:paraId="5E8D280E">
                  <w:pPr>
                    <w:spacing w:line="216" w:lineRule="auto"/>
                    <w:jc w:val="center"/>
                    <w:rPr>
                      <w:rFonts w:ascii="Times New Roman" w:hAnsi="Times New Roman"/>
                      <w:szCs w:val="21"/>
                    </w:rPr>
                  </w:pPr>
                  <w:r>
                    <w:rPr>
                      <w:rFonts w:ascii="Times New Roman" w:hAnsi="Times New Roman"/>
                      <w:szCs w:val="21"/>
                    </w:rPr>
                    <w:t>/</w:t>
                  </w:r>
                </w:p>
              </w:tc>
              <w:tc>
                <w:tcPr>
                  <w:tcW w:w="564" w:type="dxa"/>
                  <w:tcBorders>
                    <w:tl2br w:val="nil"/>
                    <w:tr2bl w:val="nil"/>
                  </w:tcBorders>
                  <w:vAlign w:val="center"/>
                </w:tcPr>
                <w:p w14:paraId="4A2C9FD3">
                  <w:pPr>
                    <w:spacing w:line="216" w:lineRule="auto"/>
                    <w:jc w:val="center"/>
                    <w:rPr>
                      <w:rFonts w:hint="eastAsia" w:ascii="Times New Roman" w:hAnsi="Times New Roman" w:eastAsia="宋体"/>
                      <w:szCs w:val="21"/>
                      <w:lang w:eastAsia="zh-CN"/>
                    </w:rPr>
                  </w:pPr>
                  <w:r>
                    <w:rPr>
                      <w:rFonts w:hint="eastAsia" w:ascii="Times New Roman" w:hAnsi="Times New Roman"/>
                      <w:szCs w:val="21"/>
                      <w:lang w:eastAsia="zh-CN"/>
                    </w:rPr>
                    <w:t>0.9</w:t>
                  </w:r>
                </w:p>
              </w:tc>
              <w:tc>
                <w:tcPr>
                  <w:tcW w:w="580" w:type="dxa"/>
                  <w:tcBorders>
                    <w:tl2br w:val="nil"/>
                    <w:tr2bl w:val="nil"/>
                  </w:tcBorders>
                  <w:vAlign w:val="center"/>
                </w:tcPr>
                <w:p w14:paraId="0DC33DC8">
                  <w:pPr>
                    <w:spacing w:line="216" w:lineRule="auto"/>
                    <w:jc w:val="center"/>
                    <w:rPr>
                      <w:rFonts w:ascii="Times New Roman" w:hAnsi="Times New Roman"/>
                      <w:szCs w:val="21"/>
                    </w:rPr>
                  </w:pPr>
                  <w:r>
                    <w:rPr>
                      <w:rFonts w:hint="eastAsia" w:ascii="Times New Roman" w:hAnsi="Times New Roman"/>
                      <w:szCs w:val="21"/>
                    </w:rPr>
                    <w:t>0</w:t>
                  </w:r>
                </w:p>
              </w:tc>
              <w:tc>
                <w:tcPr>
                  <w:tcW w:w="817" w:type="dxa"/>
                  <w:vMerge w:val="continue"/>
                  <w:tcBorders>
                    <w:tl2br w:val="nil"/>
                    <w:tr2bl w:val="nil"/>
                  </w:tcBorders>
                  <w:vAlign w:val="center"/>
                </w:tcPr>
                <w:p w14:paraId="6EB219F0">
                  <w:pPr>
                    <w:spacing w:line="216" w:lineRule="auto"/>
                    <w:jc w:val="center"/>
                    <w:rPr>
                      <w:rFonts w:ascii="Times New Roman" w:hAnsi="Times New Roman"/>
                      <w:szCs w:val="21"/>
                    </w:rPr>
                  </w:pPr>
                </w:p>
              </w:tc>
              <w:tc>
                <w:tcPr>
                  <w:tcW w:w="1170" w:type="dxa"/>
                  <w:tcBorders>
                    <w:tl2br w:val="nil"/>
                    <w:tr2bl w:val="nil"/>
                  </w:tcBorders>
                  <w:vAlign w:val="center"/>
                </w:tcPr>
                <w:p w14:paraId="656B27A0">
                  <w:pPr>
                    <w:spacing w:line="216" w:lineRule="auto"/>
                    <w:jc w:val="center"/>
                    <w:rPr>
                      <w:rFonts w:ascii="Times New Roman" w:hAnsi="Times New Roman"/>
                      <w:szCs w:val="21"/>
                    </w:rPr>
                  </w:pPr>
                  <w:r>
                    <w:rPr>
                      <w:rFonts w:ascii="Times New Roman" w:hAnsi="Times New Roman"/>
                      <w:szCs w:val="21"/>
                    </w:rPr>
                    <w:t>职业照射</w:t>
                  </w:r>
                </w:p>
              </w:tc>
              <w:tc>
                <w:tcPr>
                  <w:tcW w:w="1175" w:type="dxa"/>
                  <w:tcBorders>
                    <w:tl2br w:val="nil"/>
                    <w:tr2bl w:val="nil"/>
                  </w:tcBorders>
                  <w:vAlign w:val="center"/>
                </w:tcPr>
                <w:p w14:paraId="1D36D21C">
                  <w:pPr>
                    <w:spacing w:line="216" w:lineRule="auto"/>
                    <w:jc w:val="center"/>
                    <w:rPr>
                      <w:rFonts w:ascii="Times New Roman" w:hAnsi="Times New Roman"/>
                      <w:szCs w:val="21"/>
                    </w:rPr>
                  </w:pPr>
                  <w:r>
                    <w:rPr>
                      <w:rFonts w:hint="eastAsia" w:ascii="Times New Roman" w:hAnsi="Times New Roman"/>
                      <w:szCs w:val="21"/>
                    </w:rPr>
                    <w:t>5.0</w:t>
                  </w:r>
                </w:p>
              </w:tc>
            </w:tr>
            <w:tr w14:paraId="0A89CC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5673020F">
                  <w:pPr>
                    <w:spacing w:line="216" w:lineRule="auto"/>
                    <w:jc w:val="center"/>
                    <w:rPr>
                      <w:rFonts w:ascii="Times New Roman" w:hAnsi="Times New Roman"/>
                      <w:szCs w:val="21"/>
                    </w:rPr>
                  </w:pPr>
                </w:p>
              </w:tc>
              <w:tc>
                <w:tcPr>
                  <w:tcW w:w="2869" w:type="dxa"/>
                  <w:tcBorders>
                    <w:tl2br w:val="nil"/>
                    <w:tr2bl w:val="nil"/>
                  </w:tcBorders>
                  <w:vAlign w:val="center"/>
                </w:tcPr>
                <w:p w14:paraId="77CE1FA4">
                  <w:pPr>
                    <w:spacing w:line="216" w:lineRule="auto"/>
                    <w:jc w:val="center"/>
                    <w:rPr>
                      <w:rFonts w:ascii="Times New Roman" w:hAnsi="Times New Roman"/>
                      <w:szCs w:val="21"/>
                    </w:rPr>
                  </w:pPr>
                  <w:r>
                    <w:rPr>
                      <w:rFonts w:hint="eastAsia" w:ascii="Times New Roman" w:hAnsi="Times New Roman"/>
                      <w:szCs w:val="21"/>
                    </w:rPr>
                    <w:t>DSA机房</w:t>
                  </w:r>
                  <w:r>
                    <w:rPr>
                      <w:rFonts w:ascii="Times New Roman" w:hAnsi="Times New Roman"/>
                      <w:szCs w:val="21"/>
                    </w:rPr>
                    <w:t>内的护士</w:t>
                  </w:r>
                </w:p>
              </w:tc>
              <w:tc>
                <w:tcPr>
                  <w:tcW w:w="721" w:type="dxa"/>
                  <w:tcBorders>
                    <w:tl2br w:val="nil"/>
                    <w:tr2bl w:val="nil"/>
                  </w:tcBorders>
                  <w:vAlign w:val="center"/>
                </w:tcPr>
                <w:p w14:paraId="076AFF19">
                  <w:pPr>
                    <w:spacing w:line="216" w:lineRule="auto"/>
                    <w:jc w:val="center"/>
                    <w:rPr>
                      <w:rFonts w:ascii="Times New Roman" w:hAnsi="Times New Roman"/>
                      <w:szCs w:val="21"/>
                    </w:rPr>
                  </w:pPr>
                  <w:r>
                    <w:rPr>
                      <w:rFonts w:ascii="Times New Roman" w:hAnsi="Times New Roman"/>
                      <w:szCs w:val="21"/>
                    </w:rPr>
                    <w:t>/</w:t>
                  </w:r>
                </w:p>
              </w:tc>
              <w:tc>
                <w:tcPr>
                  <w:tcW w:w="564" w:type="dxa"/>
                  <w:tcBorders>
                    <w:tl2br w:val="nil"/>
                    <w:tr2bl w:val="nil"/>
                  </w:tcBorders>
                  <w:vAlign w:val="center"/>
                </w:tcPr>
                <w:p w14:paraId="05B2A2E0">
                  <w:pPr>
                    <w:spacing w:line="216" w:lineRule="auto"/>
                    <w:jc w:val="center"/>
                    <w:rPr>
                      <w:rFonts w:ascii="Times New Roman" w:hAnsi="Times New Roman"/>
                      <w:szCs w:val="21"/>
                    </w:rPr>
                  </w:pPr>
                  <w:r>
                    <w:rPr>
                      <w:rFonts w:hint="eastAsia" w:ascii="Times New Roman" w:hAnsi="Times New Roman"/>
                      <w:szCs w:val="21"/>
                    </w:rPr>
                    <w:t>1.3</w:t>
                  </w:r>
                </w:p>
              </w:tc>
              <w:tc>
                <w:tcPr>
                  <w:tcW w:w="580" w:type="dxa"/>
                  <w:tcBorders>
                    <w:tl2br w:val="nil"/>
                    <w:tr2bl w:val="nil"/>
                  </w:tcBorders>
                  <w:vAlign w:val="center"/>
                </w:tcPr>
                <w:p w14:paraId="396C8CA5">
                  <w:pPr>
                    <w:spacing w:line="216" w:lineRule="auto"/>
                    <w:jc w:val="center"/>
                    <w:rPr>
                      <w:rFonts w:ascii="Times New Roman" w:hAnsi="Times New Roman"/>
                      <w:szCs w:val="21"/>
                    </w:rPr>
                  </w:pPr>
                  <w:r>
                    <w:rPr>
                      <w:rFonts w:hint="eastAsia" w:ascii="Times New Roman" w:hAnsi="Times New Roman"/>
                      <w:szCs w:val="21"/>
                    </w:rPr>
                    <w:t>0</w:t>
                  </w:r>
                </w:p>
              </w:tc>
              <w:tc>
                <w:tcPr>
                  <w:tcW w:w="817" w:type="dxa"/>
                  <w:vMerge w:val="continue"/>
                  <w:tcBorders>
                    <w:tl2br w:val="nil"/>
                    <w:tr2bl w:val="nil"/>
                  </w:tcBorders>
                  <w:vAlign w:val="center"/>
                </w:tcPr>
                <w:p w14:paraId="74872AC9">
                  <w:pPr>
                    <w:spacing w:line="216" w:lineRule="auto"/>
                    <w:jc w:val="center"/>
                    <w:rPr>
                      <w:rFonts w:ascii="Times New Roman" w:hAnsi="Times New Roman"/>
                      <w:szCs w:val="21"/>
                    </w:rPr>
                  </w:pPr>
                </w:p>
              </w:tc>
              <w:tc>
                <w:tcPr>
                  <w:tcW w:w="1170" w:type="dxa"/>
                  <w:tcBorders>
                    <w:tl2br w:val="nil"/>
                    <w:tr2bl w:val="nil"/>
                  </w:tcBorders>
                  <w:vAlign w:val="center"/>
                </w:tcPr>
                <w:p w14:paraId="193B65B9">
                  <w:pPr>
                    <w:spacing w:line="216" w:lineRule="auto"/>
                    <w:jc w:val="center"/>
                    <w:rPr>
                      <w:rFonts w:ascii="Times New Roman" w:hAnsi="Times New Roman"/>
                      <w:szCs w:val="21"/>
                    </w:rPr>
                  </w:pPr>
                  <w:r>
                    <w:rPr>
                      <w:rFonts w:ascii="Times New Roman" w:hAnsi="Times New Roman"/>
                      <w:szCs w:val="21"/>
                    </w:rPr>
                    <w:t>职业照射</w:t>
                  </w:r>
                </w:p>
              </w:tc>
              <w:tc>
                <w:tcPr>
                  <w:tcW w:w="1175" w:type="dxa"/>
                  <w:tcBorders>
                    <w:tl2br w:val="nil"/>
                    <w:tr2bl w:val="nil"/>
                  </w:tcBorders>
                  <w:vAlign w:val="center"/>
                </w:tcPr>
                <w:p w14:paraId="3145C1EB">
                  <w:pPr>
                    <w:spacing w:line="216" w:lineRule="auto"/>
                    <w:jc w:val="center"/>
                    <w:rPr>
                      <w:rFonts w:ascii="Times New Roman" w:hAnsi="Times New Roman"/>
                      <w:szCs w:val="21"/>
                    </w:rPr>
                  </w:pPr>
                  <w:r>
                    <w:rPr>
                      <w:rFonts w:hint="eastAsia" w:ascii="Times New Roman" w:hAnsi="Times New Roman"/>
                      <w:szCs w:val="21"/>
                    </w:rPr>
                    <w:t>5.0</w:t>
                  </w:r>
                </w:p>
              </w:tc>
            </w:tr>
            <w:tr w14:paraId="3EDADA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restart"/>
                  <w:tcBorders>
                    <w:tl2br w:val="nil"/>
                    <w:tr2bl w:val="nil"/>
                  </w:tcBorders>
                  <w:vAlign w:val="center"/>
                </w:tcPr>
                <w:p w14:paraId="2C226DA8">
                  <w:pPr>
                    <w:spacing w:line="216" w:lineRule="auto"/>
                    <w:jc w:val="center"/>
                    <w:rPr>
                      <w:rFonts w:ascii="Times New Roman" w:hAnsi="Times New Roman"/>
                      <w:bCs/>
                      <w:szCs w:val="21"/>
                    </w:rPr>
                  </w:pPr>
                  <w:bookmarkStart w:id="16" w:name="OLE_LINK26" w:colFirst="2" w:colLast="3"/>
                  <w:r>
                    <w:rPr>
                      <w:rFonts w:hint="eastAsia" w:ascii="Times New Roman" w:hAnsi="Times New Roman"/>
                      <w:bCs/>
                      <w:szCs w:val="21"/>
                      <w:lang w:eastAsia="zh-CN"/>
                    </w:rPr>
                    <w:t>DSA机房</w:t>
                  </w:r>
                  <w:r>
                    <w:rPr>
                      <w:rFonts w:ascii="Times New Roman" w:hAnsi="Times New Roman"/>
                      <w:bCs/>
                      <w:szCs w:val="21"/>
                    </w:rPr>
                    <w:t>周围</w:t>
                  </w:r>
                </w:p>
              </w:tc>
              <w:tc>
                <w:tcPr>
                  <w:tcW w:w="2869" w:type="dxa"/>
                  <w:tcBorders>
                    <w:tl2br w:val="nil"/>
                    <w:tr2bl w:val="nil"/>
                  </w:tcBorders>
                  <w:vAlign w:val="center"/>
                </w:tcPr>
                <w:p w14:paraId="7B7E7DF0">
                  <w:pPr>
                    <w:spacing w:line="216" w:lineRule="auto"/>
                    <w:jc w:val="center"/>
                    <w:rPr>
                      <w:rFonts w:ascii="Times New Roman" w:hAnsi="Times New Roman"/>
                      <w:szCs w:val="21"/>
                    </w:rPr>
                  </w:pPr>
                  <w:r>
                    <w:rPr>
                      <w:rFonts w:ascii="Times New Roman" w:hAnsi="Times New Roman"/>
                      <w:szCs w:val="21"/>
                    </w:rPr>
                    <w:t>控制室内的工作人员</w:t>
                  </w:r>
                </w:p>
              </w:tc>
              <w:tc>
                <w:tcPr>
                  <w:tcW w:w="721" w:type="dxa"/>
                  <w:tcBorders>
                    <w:tl2br w:val="nil"/>
                    <w:tr2bl w:val="nil"/>
                  </w:tcBorders>
                  <w:vAlign w:val="center"/>
                </w:tcPr>
                <w:p w14:paraId="649ED46A">
                  <w:pPr>
                    <w:spacing w:line="216" w:lineRule="auto"/>
                    <w:jc w:val="center"/>
                    <w:rPr>
                      <w:rFonts w:ascii="Times New Roman" w:hAnsi="Times New Roman"/>
                      <w:szCs w:val="21"/>
                    </w:rPr>
                  </w:pPr>
                  <w:r>
                    <w:rPr>
                      <w:rFonts w:hint="eastAsia" w:ascii="Times New Roman" w:hAnsi="Times New Roman"/>
                      <w:szCs w:val="21"/>
                      <w:lang w:val="en-US" w:eastAsia="zh-CN"/>
                    </w:rPr>
                    <w:t>南</w:t>
                  </w:r>
                  <w:r>
                    <w:rPr>
                      <w:rFonts w:hint="eastAsia" w:ascii="Times New Roman" w:hAnsi="Times New Roman"/>
                      <w:szCs w:val="21"/>
                    </w:rPr>
                    <w:t>侧</w:t>
                  </w:r>
                </w:p>
              </w:tc>
              <w:tc>
                <w:tcPr>
                  <w:tcW w:w="564" w:type="dxa"/>
                  <w:tcBorders>
                    <w:tl2br w:val="nil"/>
                    <w:tr2bl w:val="nil"/>
                  </w:tcBorders>
                  <w:vAlign w:val="center"/>
                </w:tcPr>
                <w:p w14:paraId="22560912">
                  <w:pPr>
                    <w:spacing w:line="216" w:lineRule="auto"/>
                    <w:jc w:val="center"/>
                    <w:rPr>
                      <w:rFonts w:hint="eastAsia" w:ascii="Times New Roman" w:hAnsi="Times New Roman" w:eastAsia="宋体"/>
                      <w:szCs w:val="21"/>
                      <w:lang w:eastAsia="zh-CN"/>
                    </w:rPr>
                  </w:pPr>
                  <w:r>
                    <w:rPr>
                      <w:rFonts w:hint="eastAsia" w:ascii="Times New Roman" w:hAnsi="Times New Roman"/>
                      <w:szCs w:val="21"/>
                      <w:lang w:val="en-US" w:eastAsia="zh-CN"/>
                    </w:rPr>
                    <w:t>6</w:t>
                  </w:r>
                  <w:r>
                    <w:rPr>
                      <w:rFonts w:hint="eastAsia" w:ascii="Times New Roman" w:hAnsi="Times New Roman"/>
                      <w:szCs w:val="21"/>
                    </w:rPr>
                    <w:t>.</w:t>
                  </w:r>
                  <w:r>
                    <w:rPr>
                      <w:rFonts w:hint="eastAsia" w:ascii="Times New Roman" w:hAnsi="Times New Roman"/>
                      <w:szCs w:val="21"/>
                      <w:lang w:val="en-US" w:eastAsia="zh-CN"/>
                    </w:rPr>
                    <w:t>6</w:t>
                  </w:r>
                </w:p>
              </w:tc>
              <w:tc>
                <w:tcPr>
                  <w:tcW w:w="580" w:type="dxa"/>
                  <w:tcBorders>
                    <w:tl2br w:val="nil"/>
                    <w:tr2bl w:val="nil"/>
                  </w:tcBorders>
                  <w:vAlign w:val="center"/>
                </w:tcPr>
                <w:p w14:paraId="09DCC840">
                  <w:pPr>
                    <w:spacing w:line="216" w:lineRule="auto"/>
                    <w:jc w:val="center"/>
                    <w:rPr>
                      <w:rFonts w:ascii="Times New Roman" w:hAnsi="Times New Roman"/>
                      <w:szCs w:val="21"/>
                    </w:rPr>
                  </w:pPr>
                  <w:r>
                    <w:rPr>
                      <w:rFonts w:hint="eastAsia" w:ascii="Times New Roman" w:hAnsi="Times New Roman"/>
                      <w:szCs w:val="21"/>
                    </w:rPr>
                    <w:t>0</w:t>
                  </w:r>
                </w:p>
              </w:tc>
              <w:tc>
                <w:tcPr>
                  <w:tcW w:w="817" w:type="dxa"/>
                  <w:tcBorders>
                    <w:tl2br w:val="nil"/>
                    <w:tr2bl w:val="nil"/>
                  </w:tcBorders>
                  <w:vAlign w:val="center"/>
                </w:tcPr>
                <w:p w14:paraId="16035598">
                  <w:pPr>
                    <w:spacing w:line="216" w:lineRule="auto"/>
                    <w:jc w:val="center"/>
                    <w:rPr>
                      <w:rFonts w:hint="eastAsia" w:ascii="Times New Roman" w:hAnsi="Times New Roman" w:eastAsia="宋体"/>
                      <w:szCs w:val="21"/>
                      <w:lang w:val="en-US" w:eastAsia="zh-CN"/>
                    </w:rPr>
                  </w:pPr>
                  <w:r>
                    <w:rPr>
                      <w:rFonts w:hint="eastAsia" w:ascii="Times New Roman" w:hAnsi="Times New Roman"/>
                      <w:szCs w:val="21"/>
                      <w:lang w:val="en-US" w:eastAsia="zh-CN"/>
                    </w:rPr>
                    <w:t>1</w:t>
                  </w:r>
                </w:p>
              </w:tc>
              <w:tc>
                <w:tcPr>
                  <w:tcW w:w="1170" w:type="dxa"/>
                  <w:tcBorders>
                    <w:tl2br w:val="nil"/>
                    <w:tr2bl w:val="nil"/>
                  </w:tcBorders>
                  <w:vAlign w:val="center"/>
                </w:tcPr>
                <w:p w14:paraId="075142E6">
                  <w:pPr>
                    <w:spacing w:line="216" w:lineRule="auto"/>
                    <w:jc w:val="center"/>
                    <w:rPr>
                      <w:rFonts w:ascii="Times New Roman" w:hAnsi="Times New Roman"/>
                      <w:szCs w:val="21"/>
                    </w:rPr>
                  </w:pPr>
                  <w:r>
                    <w:rPr>
                      <w:rFonts w:ascii="Times New Roman" w:hAnsi="Times New Roman"/>
                      <w:szCs w:val="21"/>
                    </w:rPr>
                    <w:t>职业照射</w:t>
                  </w:r>
                </w:p>
              </w:tc>
              <w:tc>
                <w:tcPr>
                  <w:tcW w:w="1175" w:type="dxa"/>
                  <w:tcBorders>
                    <w:tl2br w:val="nil"/>
                    <w:tr2bl w:val="nil"/>
                  </w:tcBorders>
                  <w:vAlign w:val="center"/>
                </w:tcPr>
                <w:p w14:paraId="69673BA2">
                  <w:pPr>
                    <w:spacing w:line="216" w:lineRule="auto"/>
                    <w:jc w:val="center"/>
                    <w:rPr>
                      <w:rFonts w:ascii="Times New Roman" w:hAnsi="Times New Roman"/>
                      <w:szCs w:val="21"/>
                    </w:rPr>
                  </w:pPr>
                  <w:r>
                    <w:rPr>
                      <w:rFonts w:ascii="Times New Roman" w:hAnsi="Times New Roman"/>
                      <w:szCs w:val="21"/>
                    </w:rPr>
                    <w:t>5.0</w:t>
                  </w:r>
                </w:p>
              </w:tc>
            </w:tr>
            <w:bookmarkEnd w:id="16"/>
            <w:tr w14:paraId="022E6D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2C6E0464">
                  <w:pPr>
                    <w:spacing w:line="216" w:lineRule="auto"/>
                    <w:jc w:val="center"/>
                    <w:rPr>
                      <w:rFonts w:ascii="Times New Roman" w:hAnsi="Times New Roman"/>
                      <w:bCs/>
                      <w:szCs w:val="21"/>
                    </w:rPr>
                  </w:pPr>
                </w:p>
              </w:tc>
              <w:tc>
                <w:tcPr>
                  <w:tcW w:w="2869" w:type="dxa"/>
                  <w:tcBorders>
                    <w:tl2br w:val="nil"/>
                    <w:tr2bl w:val="nil"/>
                  </w:tcBorders>
                  <w:vAlign w:val="center"/>
                </w:tcPr>
                <w:p w14:paraId="0C488D9A">
                  <w:pPr>
                    <w:spacing w:line="216" w:lineRule="auto"/>
                    <w:jc w:val="center"/>
                    <w:rPr>
                      <w:rFonts w:ascii="Times New Roman" w:hAnsi="Times New Roman"/>
                      <w:szCs w:val="21"/>
                    </w:rPr>
                  </w:pPr>
                  <w:r>
                    <w:rPr>
                      <w:rFonts w:hint="eastAsia" w:ascii="Times New Roman" w:hAnsi="Times New Roman"/>
                      <w:szCs w:val="21"/>
                    </w:rPr>
                    <w:t>患者通道</w:t>
                  </w:r>
                </w:p>
              </w:tc>
              <w:tc>
                <w:tcPr>
                  <w:tcW w:w="721" w:type="dxa"/>
                  <w:tcBorders>
                    <w:tl2br w:val="nil"/>
                    <w:tr2bl w:val="nil"/>
                  </w:tcBorders>
                  <w:vAlign w:val="center"/>
                </w:tcPr>
                <w:p w14:paraId="29073C7B">
                  <w:pPr>
                    <w:spacing w:line="216" w:lineRule="auto"/>
                    <w:jc w:val="center"/>
                    <w:rPr>
                      <w:rFonts w:ascii="Times New Roman" w:hAnsi="Times New Roman"/>
                      <w:szCs w:val="21"/>
                    </w:rPr>
                  </w:pPr>
                  <w:r>
                    <w:rPr>
                      <w:rFonts w:hint="eastAsia" w:ascii="Times New Roman" w:hAnsi="Times New Roman"/>
                      <w:szCs w:val="21"/>
                      <w:lang w:val="en-US" w:eastAsia="zh-CN"/>
                    </w:rPr>
                    <w:t>西</w:t>
                  </w:r>
                  <w:r>
                    <w:rPr>
                      <w:rFonts w:hint="eastAsia" w:ascii="Times New Roman" w:hAnsi="Times New Roman"/>
                      <w:szCs w:val="21"/>
                    </w:rPr>
                    <w:t>侧</w:t>
                  </w:r>
                </w:p>
              </w:tc>
              <w:tc>
                <w:tcPr>
                  <w:tcW w:w="564" w:type="dxa"/>
                  <w:tcBorders>
                    <w:tl2br w:val="nil"/>
                    <w:tr2bl w:val="nil"/>
                  </w:tcBorders>
                  <w:vAlign w:val="center"/>
                </w:tcPr>
                <w:p w14:paraId="13DFB043">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45</w:t>
                  </w:r>
                </w:p>
              </w:tc>
              <w:tc>
                <w:tcPr>
                  <w:tcW w:w="580" w:type="dxa"/>
                  <w:tcBorders>
                    <w:tl2br w:val="nil"/>
                    <w:tr2bl w:val="nil"/>
                  </w:tcBorders>
                  <w:vAlign w:val="center"/>
                </w:tcPr>
                <w:p w14:paraId="2142D77F">
                  <w:pPr>
                    <w:spacing w:line="216" w:lineRule="auto"/>
                    <w:jc w:val="center"/>
                    <w:rPr>
                      <w:rFonts w:ascii="Times New Roman" w:hAnsi="Times New Roman"/>
                      <w:szCs w:val="21"/>
                    </w:rPr>
                  </w:pPr>
                  <w:r>
                    <w:rPr>
                      <w:rFonts w:hint="eastAsia" w:ascii="Times New Roman" w:hAnsi="Times New Roman"/>
                      <w:szCs w:val="21"/>
                    </w:rPr>
                    <w:t>0</w:t>
                  </w:r>
                </w:p>
              </w:tc>
              <w:tc>
                <w:tcPr>
                  <w:tcW w:w="817" w:type="dxa"/>
                  <w:tcBorders>
                    <w:tl2br w:val="nil"/>
                    <w:tr2bl w:val="nil"/>
                  </w:tcBorders>
                  <w:vAlign w:val="center"/>
                </w:tcPr>
                <w:p w14:paraId="4D4DD878">
                  <w:pPr>
                    <w:spacing w:line="216" w:lineRule="auto"/>
                    <w:jc w:val="center"/>
                    <w:rPr>
                      <w:rFonts w:ascii="Times New Roman" w:hAnsi="Times New Roman"/>
                      <w:szCs w:val="21"/>
                    </w:rPr>
                  </w:pPr>
                  <w:r>
                    <w:rPr>
                      <w:rFonts w:hint="eastAsia" w:ascii="Times New Roman" w:hAnsi="Times New Roman"/>
                      <w:szCs w:val="21"/>
                    </w:rPr>
                    <w:t>约20</w:t>
                  </w:r>
                </w:p>
              </w:tc>
              <w:tc>
                <w:tcPr>
                  <w:tcW w:w="1170" w:type="dxa"/>
                  <w:tcBorders>
                    <w:tl2br w:val="nil"/>
                    <w:tr2bl w:val="nil"/>
                  </w:tcBorders>
                  <w:vAlign w:val="center"/>
                </w:tcPr>
                <w:p w14:paraId="66525F7B">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vAlign w:val="center"/>
                </w:tcPr>
                <w:p w14:paraId="44747F10">
                  <w:pPr>
                    <w:spacing w:line="216" w:lineRule="auto"/>
                    <w:jc w:val="center"/>
                    <w:rPr>
                      <w:rFonts w:ascii="Times New Roman" w:hAnsi="Times New Roman"/>
                      <w:szCs w:val="21"/>
                    </w:rPr>
                  </w:pPr>
                  <w:bookmarkStart w:id="17" w:name="OLE_LINK40"/>
                  <w:r>
                    <w:rPr>
                      <w:rFonts w:ascii="Times New Roman" w:hAnsi="Times New Roman"/>
                      <w:szCs w:val="21"/>
                    </w:rPr>
                    <w:t>0.1</w:t>
                  </w:r>
                  <w:bookmarkEnd w:id="17"/>
                </w:p>
              </w:tc>
            </w:tr>
            <w:tr w14:paraId="69BBE6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7708D7B0">
                  <w:pPr>
                    <w:spacing w:line="216" w:lineRule="auto"/>
                    <w:jc w:val="center"/>
                    <w:rPr>
                      <w:rFonts w:ascii="Times New Roman" w:hAnsi="Times New Roman"/>
                      <w:bCs/>
                      <w:szCs w:val="21"/>
                    </w:rPr>
                  </w:pPr>
                </w:p>
              </w:tc>
              <w:tc>
                <w:tcPr>
                  <w:tcW w:w="2869" w:type="dxa"/>
                  <w:tcBorders>
                    <w:tl2br w:val="nil"/>
                    <w:tr2bl w:val="nil"/>
                  </w:tcBorders>
                  <w:vAlign w:val="center"/>
                </w:tcPr>
                <w:p w14:paraId="0931DC0F">
                  <w:pPr>
                    <w:spacing w:line="216" w:lineRule="auto"/>
                    <w:jc w:val="center"/>
                    <w:rPr>
                      <w:rFonts w:hint="default" w:ascii="Times New Roman" w:hAnsi="Times New Roman"/>
                      <w:szCs w:val="21"/>
                      <w:lang w:val="en-US" w:eastAsia="zh-CN"/>
                    </w:rPr>
                  </w:pPr>
                  <w:r>
                    <w:rPr>
                      <w:rFonts w:hint="eastAsia" w:ascii="Times New Roman" w:hAnsi="Times New Roman"/>
                      <w:szCs w:val="21"/>
                      <w:lang w:val="en-US" w:eastAsia="zh-CN"/>
                    </w:rPr>
                    <w:t>病人准备间</w:t>
                  </w:r>
                </w:p>
              </w:tc>
              <w:tc>
                <w:tcPr>
                  <w:tcW w:w="721" w:type="dxa"/>
                  <w:tcBorders>
                    <w:tl2br w:val="nil"/>
                    <w:tr2bl w:val="nil"/>
                  </w:tcBorders>
                  <w:vAlign w:val="center"/>
                </w:tcPr>
                <w:p w14:paraId="0C6B6C52">
                  <w:pPr>
                    <w:spacing w:line="216" w:lineRule="auto"/>
                    <w:jc w:val="center"/>
                    <w:rPr>
                      <w:rFonts w:hint="eastAsia" w:ascii="Times New Roman" w:hAnsi="Times New Roman"/>
                      <w:szCs w:val="21"/>
                      <w:lang w:val="en-US" w:eastAsia="zh-CN"/>
                    </w:rPr>
                  </w:pPr>
                  <w:r>
                    <w:rPr>
                      <w:rFonts w:hint="eastAsia" w:ascii="Times New Roman" w:hAnsi="Times New Roman"/>
                      <w:szCs w:val="21"/>
                      <w:lang w:val="en-US" w:eastAsia="zh-CN"/>
                    </w:rPr>
                    <w:t>北</w:t>
                  </w:r>
                  <w:r>
                    <w:rPr>
                      <w:rFonts w:hint="eastAsia" w:ascii="Times New Roman" w:hAnsi="Times New Roman"/>
                      <w:szCs w:val="21"/>
                    </w:rPr>
                    <w:t>侧</w:t>
                  </w:r>
                </w:p>
              </w:tc>
              <w:tc>
                <w:tcPr>
                  <w:tcW w:w="564" w:type="dxa"/>
                  <w:tcBorders>
                    <w:tl2br w:val="nil"/>
                    <w:tr2bl w:val="nil"/>
                  </w:tcBorders>
                  <w:vAlign w:val="center"/>
                </w:tcPr>
                <w:p w14:paraId="40C6CD87">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5.6</w:t>
                  </w:r>
                </w:p>
              </w:tc>
              <w:tc>
                <w:tcPr>
                  <w:tcW w:w="580" w:type="dxa"/>
                  <w:tcBorders>
                    <w:tl2br w:val="nil"/>
                    <w:tr2bl w:val="nil"/>
                  </w:tcBorders>
                  <w:vAlign w:val="center"/>
                </w:tcPr>
                <w:p w14:paraId="131CC455">
                  <w:pPr>
                    <w:spacing w:line="216" w:lineRule="auto"/>
                    <w:jc w:val="center"/>
                    <w:rPr>
                      <w:rFonts w:hint="eastAsia" w:ascii="Times New Roman" w:hAnsi="Times New Roman" w:eastAsia="宋体"/>
                      <w:szCs w:val="21"/>
                      <w:lang w:val="en-US" w:eastAsia="zh-CN"/>
                    </w:rPr>
                  </w:pPr>
                  <w:r>
                    <w:rPr>
                      <w:rFonts w:hint="eastAsia" w:ascii="Times New Roman" w:hAnsi="Times New Roman"/>
                      <w:szCs w:val="21"/>
                      <w:lang w:val="en-US" w:eastAsia="zh-CN"/>
                    </w:rPr>
                    <w:t>0</w:t>
                  </w:r>
                </w:p>
              </w:tc>
              <w:tc>
                <w:tcPr>
                  <w:tcW w:w="817" w:type="dxa"/>
                  <w:tcBorders>
                    <w:tl2br w:val="nil"/>
                    <w:tr2bl w:val="nil"/>
                  </w:tcBorders>
                  <w:vAlign w:val="center"/>
                </w:tcPr>
                <w:p w14:paraId="28E5B354">
                  <w:pPr>
                    <w:spacing w:line="216" w:lineRule="auto"/>
                    <w:jc w:val="center"/>
                    <w:rPr>
                      <w:rFonts w:hint="eastAsia" w:ascii="Times New Roman" w:hAnsi="Times New Roman" w:eastAsia="宋体"/>
                      <w:szCs w:val="21"/>
                      <w:lang w:eastAsia="zh-CN"/>
                    </w:rPr>
                  </w:pPr>
                  <w:r>
                    <w:rPr>
                      <w:rFonts w:hint="eastAsia" w:ascii="Times New Roman" w:hAnsi="Times New Roman"/>
                      <w:szCs w:val="21"/>
                    </w:rPr>
                    <w:t>约</w:t>
                  </w:r>
                  <w:r>
                    <w:rPr>
                      <w:rFonts w:hint="eastAsia" w:ascii="Times New Roman" w:hAnsi="Times New Roman"/>
                      <w:szCs w:val="21"/>
                      <w:lang w:val="en-US" w:eastAsia="zh-CN"/>
                    </w:rPr>
                    <w:t>5</w:t>
                  </w:r>
                </w:p>
              </w:tc>
              <w:tc>
                <w:tcPr>
                  <w:tcW w:w="1170" w:type="dxa"/>
                  <w:tcBorders>
                    <w:tl2br w:val="nil"/>
                    <w:tr2bl w:val="nil"/>
                  </w:tcBorders>
                  <w:vAlign w:val="center"/>
                </w:tcPr>
                <w:p w14:paraId="6ABCB9B4">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vAlign w:val="center"/>
                </w:tcPr>
                <w:p w14:paraId="165BCE95">
                  <w:pPr>
                    <w:spacing w:line="216" w:lineRule="auto"/>
                    <w:jc w:val="center"/>
                    <w:rPr>
                      <w:rFonts w:ascii="Times New Roman" w:hAnsi="Times New Roman"/>
                      <w:szCs w:val="21"/>
                    </w:rPr>
                  </w:pPr>
                  <w:r>
                    <w:rPr>
                      <w:rFonts w:ascii="Times New Roman" w:hAnsi="Times New Roman"/>
                      <w:szCs w:val="21"/>
                    </w:rPr>
                    <w:t>0.1</w:t>
                  </w:r>
                </w:p>
              </w:tc>
            </w:tr>
            <w:tr w14:paraId="584768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77C06CEE">
                  <w:pPr>
                    <w:spacing w:line="216" w:lineRule="auto"/>
                    <w:jc w:val="center"/>
                    <w:rPr>
                      <w:rFonts w:ascii="Times New Roman" w:hAnsi="Times New Roman"/>
                      <w:bCs/>
                      <w:szCs w:val="21"/>
                    </w:rPr>
                  </w:pPr>
                </w:p>
              </w:tc>
              <w:tc>
                <w:tcPr>
                  <w:tcW w:w="2869" w:type="dxa"/>
                  <w:tcBorders>
                    <w:tl2br w:val="nil"/>
                    <w:tr2bl w:val="nil"/>
                  </w:tcBorders>
                  <w:vAlign w:val="center"/>
                </w:tcPr>
                <w:p w14:paraId="4D11AF73">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污物暂存间</w:t>
                  </w:r>
                </w:p>
              </w:tc>
              <w:tc>
                <w:tcPr>
                  <w:tcW w:w="721" w:type="dxa"/>
                  <w:tcBorders>
                    <w:tl2br w:val="nil"/>
                    <w:tr2bl w:val="nil"/>
                  </w:tcBorders>
                  <w:vAlign w:val="center"/>
                </w:tcPr>
                <w:p w14:paraId="52105426">
                  <w:pPr>
                    <w:spacing w:line="216" w:lineRule="auto"/>
                    <w:jc w:val="center"/>
                    <w:rPr>
                      <w:rFonts w:ascii="Times New Roman" w:hAnsi="Times New Roman"/>
                      <w:szCs w:val="21"/>
                    </w:rPr>
                  </w:pPr>
                  <w:bookmarkStart w:id="18" w:name="OLE_LINK35"/>
                  <w:r>
                    <w:rPr>
                      <w:rFonts w:hint="eastAsia" w:ascii="Times New Roman" w:hAnsi="Times New Roman"/>
                      <w:szCs w:val="21"/>
                      <w:lang w:val="en-US" w:eastAsia="zh-CN"/>
                    </w:rPr>
                    <w:t>北</w:t>
                  </w:r>
                  <w:r>
                    <w:rPr>
                      <w:rFonts w:hint="eastAsia" w:ascii="Times New Roman" w:hAnsi="Times New Roman"/>
                      <w:szCs w:val="21"/>
                    </w:rPr>
                    <w:t>侧</w:t>
                  </w:r>
                  <w:bookmarkEnd w:id="18"/>
                </w:p>
              </w:tc>
              <w:tc>
                <w:tcPr>
                  <w:tcW w:w="564" w:type="dxa"/>
                  <w:tcBorders>
                    <w:tl2br w:val="nil"/>
                    <w:tr2bl w:val="nil"/>
                  </w:tcBorders>
                  <w:vAlign w:val="center"/>
                </w:tcPr>
                <w:p w14:paraId="2E57A6E6">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5.8</w:t>
                  </w:r>
                </w:p>
              </w:tc>
              <w:tc>
                <w:tcPr>
                  <w:tcW w:w="580" w:type="dxa"/>
                  <w:tcBorders>
                    <w:tl2br w:val="nil"/>
                    <w:tr2bl w:val="nil"/>
                  </w:tcBorders>
                  <w:vAlign w:val="center"/>
                </w:tcPr>
                <w:p w14:paraId="2757982B">
                  <w:pPr>
                    <w:spacing w:line="216" w:lineRule="auto"/>
                    <w:jc w:val="center"/>
                    <w:rPr>
                      <w:rFonts w:ascii="Times New Roman" w:hAnsi="Times New Roman"/>
                      <w:szCs w:val="21"/>
                    </w:rPr>
                  </w:pPr>
                  <w:r>
                    <w:rPr>
                      <w:rFonts w:hint="eastAsia" w:ascii="Times New Roman" w:hAnsi="Times New Roman"/>
                      <w:szCs w:val="21"/>
                    </w:rPr>
                    <w:t>0</w:t>
                  </w:r>
                </w:p>
              </w:tc>
              <w:tc>
                <w:tcPr>
                  <w:tcW w:w="817" w:type="dxa"/>
                  <w:tcBorders>
                    <w:tl2br w:val="nil"/>
                    <w:tr2bl w:val="nil"/>
                  </w:tcBorders>
                  <w:vAlign w:val="center"/>
                </w:tcPr>
                <w:p w14:paraId="2E15B35D">
                  <w:pPr>
                    <w:spacing w:line="216" w:lineRule="auto"/>
                    <w:jc w:val="center"/>
                    <w:rPr>
                      <w:rFonts w:ascii="Times New Roman" w:hAnsi="Times New Roman"/>
                      <w:szCs w:val="21"/>
                    </w:rPr>
                  </w:pPr>
                  <w:r>
                    <w:rPr>
                      <w:rFonts w:hint="eastAsia" w:ascii="Times New Roman" w:hAnsi="Times New Roman"/>
                      <w:szCs w:val="21"/>
                    </w:rPr>
                    <w:t>约2</w:t>
                  </w:r>
                </w:p>
              </w:tc>
              <w:tc>
                <w:tcPr>
                  <w:tcW w:w="1170" w:type="dxa"/>
                  <w:tcBorders>
                    <w:tl2br w:val="nil"/>
                    <w:tr2bl w:val="nil"/>
                  </w:tcBorders>
                  <w:vAlign w:val="center"/>
                </w:tcPr>
                <w:p w14:paraId="7A16A06B">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vAlign w:val="center"/>
                </w:tcPr>
                <w:p w14:paraId="7729C731">
                  <w:pPr>
                    <w:spacing w:line="216" w:lineRule="auto"/>
                    <w:jc w:val="center"/>
                    <w:rPr>
                      <w:rFonts w:ascii="Times New Roman" w:hAnsi="Times New Roman"/>
                      <w:szCs w:val="21"/>
                    </w:rPr>
                  </w:pPr>
                  <w:r>
                    <w:rPr>
                      <w:rFonts w:ascii="Times New Roman" w:hAnsi="Times New Roman"/>
                      <w:szCs w:val="21"/>
                    </w:rPr>
                    <w:t>0.1</w:t>
                  </w:r>
                </w:p>
              </w:tc>
            </w:tr>
            <w:tr w14:paraId="179434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11F1C2F8">
                  <w:pPr>
                    <w:spacing w:line="216" w:lineRule="auto"/>
                    <w:jc w:val="center"/>
                    <w:rPr>
                      <w:rFonts w:ascii="Times New Roman" w:hAnsi="Times New Roman"/>
                      <w:bCs/>
                      <w:szCs w:val="21"/>
                    </w:rPr>
                  </w:pPr>
                </w:p>
              </w:tc>
              <w:tc>
                <w:tcPr>
                  <w:tcW w:w="2869" w:type="dxa"/>
                  <w:tcBorders>
                    <w:tl2br w:val="nil"/>
                    <w:tr2bl w:val="nil"/>
                  </w:tcBorders>
                  <w:vAlign w:val="center"/>
                </w:tcPr>
                <w:p w14:paraId="0E3A03A5">
                  <w:pPr>
                    <w:spacing w:line="216" w:lineRule="auto"/>
                    <w:jc w:val="center"/>
                    <w:rPr>
                      <w:rFonts w:hint="default" w:ascii="Times New Roman" w:hAnsi="Times New Roman"/>
                      <w:szCs w:val="21"/>
                      <w:lang w:val="en-US" w:eastAsia="zh-CN"/>
                    </w:rPr>
                  </w:pPr>
                  <w:r>
                    <w:rPr>
                      <w:rFonts w:hint="eastAsia" w:ascii="Times New Roman" w:hAnsi="Times New Roman"/>
                      <w:szCs w:val="21"/>
                      <w:lang w:val="en-US" w:eastAsia="zh-CN"/>
                    </w:rPr>
                    <w:t>设备间</w:t>
                  </w:r>
                </w:p>
              </w:tc>
              <w:tc>
                <w:tcPr>
                  <w:tcW w:w="721" w:type="dxa"/>
                  <w:tcBorders>
                    <w:tl2br w:val="nil"/>
                    <w:tr2bl w:val="nil"/>
                  </w:tcBorders>
                  <w:vAlign w:val="center"/>
                </w:tcPr>
                <w:p w14:paraId="13DBFDC0">
                  <w:pPr>
                    <w:spacing w:line="216" w:lineRule="auto"/>
                    <w:jc w:val="center"/>
                    <w:rPr>
                      <w:rFonts w:hint="eastAsia" w:ascii="Times New Roman" w:hAnsi="Times New Roman"/>
                      <w:szCs w:val="21"/>
                      <w:lang w:val="en-US" w:eastAsia="zh-CN"/>
                    </w:rPr>
                  </w:pPr>
                  <w:r>
                    <w:rPr>
                      <w:rFonts w:hint="eastAsia" w:ascii="Times New Roman" w:hAnsi="Times New Roman"/>
                      <w:szCs w:val="21"/>
                      <w:lang w:val="en-US" w:eastAsia="zh-CN"/>
                    </w:rPr>
                    <w:t>北</w:t>
                  </w:r>
                  <w:r>
                    <w:rPr>
                      <w:rFonts w:hint="eastAsia" w:ascii="Times New Roman" w:hAnsi="Times New Roman"/>
                      <w:szCs w:val="21"/>
                    </w:rPr>
                    <w:t>侧</w:t>
                  </w:r>
                </w:p>
              </w:tc>
              <w:tc>
                <w:tcPr>
                  <w:tcW w:w="564" w:type="dxa"/>
                  <w:tcBorders>
                    <w:tl2br w:val="nil"/>
                    <w:tr2bl w:val="nil"/>
                  </w:tcBorders>
                  <w:vAlign w:val="center"/>
                </w:tcPr>
                <w:p w14:paraId="4F06B05D">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5.4</w:t>
                  </w:r>
                </w:p>
              </w:tc>
              <w:tc>
                <w:tcPr>
                  <w:tcW w:w="580" w:type="dxa"/>
                  <w:tcBorders>
                    <w:tl2br w:val="nil"/>
                    <w:tr2bl w:val="nil"/>
                  </w:tcBorders>
                  <w:vAlign w:val="center"/>
                </w:tcPr>
                <w:p w14:paraId="76328408">
                  <w:pPr>
                    <w:spacing w:line="216" w:lineRule="auto"/>
                    <w:jc w:val="center"/>
                    <w:rPr>
                      <w:rFonts w:hint="eastAsia" w:ascii="Times New Roman" w:hAnsi="Times New Roman"/>
                      <w:szCs w:val="21"/>
                    </w:rPr>
                  </w:pPr>
                  <w:r>
                    <w:rPr>
                      <w:rFonts w:hint="eastAsia" w:ascii="Times New Roman" w:hAnsi="Times New Roman"/>
                      <w:szCs w:val="21"/>
                    </w:rPr>
                    <w:t>0</w:t>
                  </w:r>
                </w:p>
              </w:tc>
              <w:tc>
                <w:tcPr>
                  <w:tcW w:w="817" w:type="dxa"/>
                  <w:tcBorders>
                    <w:tl2br w:val="nil"/>
                    <w:tr2bl w:val="nil"/>
                  </w:tcBorders>
                  <w:vAlign w:val="center"/>
                </w:tcPr>
                <w:p w14:paraId="2471933C">
                  <w:pPr>
                    <w:spacing w:line="216" w:lineRule="auto"/>
                    <w:jc w:val="center"/>
                    <w:rPr>
                      <w:rFonts w:hint="eastAsia" w:ascii="Times New Roman" w:hAnsi="Times New Roman" w:eastAsia="宋体"/>
                      <w:szCs w:val="21"/>
                      <w:lang w:val="en-US" w:eastAsia="zh-CN"/>
                    </w:rPr>
                  </w:pPr>
                  <w:r>
                    <w:rPr>
                      <w:rFonts w:hint="eastAsia" w:ascii="Times New Roman" w:hAnsi="Times New Roman"/>
                      <w:szCs w:val="21"/>
                      <w:lang w:val="en-US" w:eastAsia="zh-CN"/>
                    </w:rPr>
                    <w:t>1</w:t>
                  </w:r>
                </w:p>
              </w:tc>
              <w:tc>
                <w:tcPr>
                  <w:tcW w:w="1170" w:type="dxa"/>
                  <w:tcBorders>
                    <w:tl2br w:val="nil"/>
                    <w:tr2bl w:val="nil"/>
                  </w:tcBorders>
                  <w:vAlign w:val="center"/>
                </w:tcPr>
                <w:p w14:paraId="4781AFA6">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vAlign w:val="center"/>
                </w:tcPr>
                <w:p w14:paraId="201B4DBC">
                  <w:pPr>
                    <w:spacing w:line="216" w:lineRule="auto"/>
                    <w:jc w:val="center"/>
                    <w:rPr>
                      <w:rFonts w:ascii="Times New Roman" w:hAnsi="Times New Roman"/>
                      <w:szCs w:val="21"/>
                    </w:rPr>
                  </w:pPr>
                  <w:r>
                    <w:rPr>
                      <w:rFonts w:ascii="Times New Roman" w:hAnsi="Times New Roman"/>
                      <w:szCs w:val="21"/>
                    </w:rPr>
                    <w:t>0.1</w:t>
                  </w:r>
                </w:p>
              </w:tc>
            </w:tr>
            <w:tr w14:paraId="785D42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2D5C4107">
                  <w:pPr>
                    <w:spacing w:line="216" w:lineRule="auto"/>
                    <w:jc w:val="center"/>
                    <w:rPr>
                      <w:rFonts w:ascii="Times New Roman" w:hAnsi="Times New Roman"/>
                      <w:bCs/>
                      <w:szCs w:val="21"/>
                    </w:rPr>
                  </w:pPr>
                </w:p>
              </w:tc>
              <w:tc>
                <w:tcPr>
                  <w:tcW w:w="2869" w:type="dxa"/>
                  <w:tcBorders>
                    <w:tl2br w:val="nil"/>
                    <w:tr2bl w:val="nil"/>
                  </w:tcBorders>
                  <w:vAlign w:val="center"/>
                </w:tcPr>
                <w:p w14:paraId="3204AA64">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发血窗口</w:t>
                  </w:r>
                </w:p>
              </w:tc>
              <w:tc>
                <w:tcPr>
                  <w:tcW w:w="721" w:type="dxa"/>
                  <w:tcBorders>
                    <w:tl2br w:val="nil"/>
                    <w:tr2bl w:val="nil"/>
                  </w:tcBorders>
                  <w:vAlign w:val="center"/>
                </w:tcPr>
                <w:p w14:paraId="604FEE58">
                  <w:pPr>
                    <w:spacing w:line="216" w:lineRule="auto"/>
                    <w:jc w:val="center"/>
                    <w:rPr>
                      <w:rFonts w:ascii="Times New Roman" w:hAnsi="Times New Roman"/>
                      <w:szCs w:val="21"/>
                    </w:rPr>
                  </w:pPr>
                  <w:r>
                    <w:rPr>
                      <w:rFonts w:hint="eastAsia" w:ascii="Times New Roman" w:hAnsi="Times New Roman"/>
                      <w:szCs w:val="21"/>
                    </w:rPr>
                    <w:t>楼上</w:t>
                  </w:r>
                </w:p>
              </w:tc>
              <w:tc>
                <w:tcPr>
                  <w:tcW w:w="564" w:type="dxa"/>
                  <w:tcBorders>
                    <w:tl2br w:val="nil"/>
                    <w:tr2bl w:val="nil"/>
                  </w:tcBorders>
                  <w:vAlign w:val="center"/>
                </w:tcPr>
                <w:p w14:paraId="294091CD">
                  <w:pPr>
                    <w:spacing w:line="216" w:lineRule="auto"/>
                    <w:jc w:val="center"/>
                    <w:rPr>
                      <w:rFonts w:ascii="Times New Roman" w:hAnsi="Times New Roman"/>
                      <w:szCs w:val="21"/>
                    </w:rPr>
                  </w:pPr>
                  <w:r>
                    <w:rPr>
                      <w:rFonts w:hint="eastAsia" w:ascii="Times New Roman" w:hAnsi="Times New Roman"/>
                      <w:szCs w:val="21"/>
                    </w:rPr>
                    <w:t>0</w:t>
                  </w:r>
                </w:p>
              </w:tc>
              <w:tc>
                <w:tcPr>
                  <w:tcW w:w="580" w:type="dxa"/>
                  <w:tcBorders>
                    <w:tl2br w:val="nil"/>
                    <w:tr2bl w:val="nil"/>
                  </w:tcBorders>
                  <w:vAlign w:val="center"/>
                </w:tcPr>
                <w:p w14:paraId="499921E9">
                  <w:pPr>
                    <w:spacing w:line="216" w:lineRule="auto"/>
                    <w:jc w:val="center"/>
                    <w:rPr>
                      <w:rFonts w:ascii="Times New Roman" w:hAnsi="Times New Roman"/>
                      <w:szCs w:val="21"/>
                    </w:rPr>
                  </w:pPr>
                  <w:r>
                    <w:rPr>
                      <w:rFonts w:hint="eastAsia" w:ascii="Times New Roman" w:hAnsi="Times New Roman"/>
                      <w:szCs w:val="21"/>
                    </w:rPr>
                    <w:t>4.8</w:t>
                  </w:r>
                </w:p>
              </w:tc>
              <w:tc>
                <w:tcPr>
                  <w:tcW w:w="817" w:type="dxa"/>
                  <w:tcBorders>
                    <w:tl2br w:val="nil"/>
                    <w:tr2bl w:val="nil"/>
                  </w:tcBorders>
                  <w:vAlign w:val="center"/>
                </w:tcPr>
                <w:p w14:paraId="37D4109F">
                  <w:pPr>
                    <w:spacing w:line="216" w:lineRule="auto"/>
                    <w:jc w:val="center"/>
                    <w:rPr>
                      <w:rFonts w:ascii="Times New Roman" w:hAnsi="Times New Roman"/>
                      <w:szCs w:val="21"/>
                    </w:rPr>
                  </w:pPr>
                  <w:r>
                    <w:rPr>
                      <w:rFonts w:hint="eastAsia" w:ascii="Times New Roman" w:hAnsi="Times New Roman"/>
                      <w:szCs w:val="21"/>
                    </w:rPr>
                    <w:t>约</w:t>
                  </w:r>
                  <w:r>
                    <w:rPr>
                      <w:rFonts w:hint="eastAsia" w:ascii="Times New Roman" w:hAnsi="Times New Roman"/>
                      <w:szCs w:val="21"/>
                      <w:lang w:val="en-US" w:eastAsia="zh-CN"/>
                    </w:rPr>
                    <w:t>2</w:t>
                  </w:r>
                  <w:r>
                    <w:rPr>
                      <w:rFonts w:hint="eastAsia" w:ascii="Times New Roman" w:hAnsi="Times New Roman"/>
                      <w:szCs w:val="21"/>
                    </w:rPr>
                    <w:t>0</w:t>
                  </w:r>
                </w:p>
              </w:tc>
              <w:tc>
                <w:tcPr>
                  <w:tcW w:w="1170" w:type="dxa"/>
                  <w:tcBorders>
                    <w:tl2br w:val="nil"/>
                    <w:tr2bl w:val="nil"/>
                  </w:tcBorders>
                  <w:vAlign w:val="center"/>
                </w:tcPr>
                <w:p w14:paraId="5721FE69">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vAlign w:val="center"/>
                </w:tcPr>
                <w:p w14:paraId="4392BDEA">
                  <w:pPr>
                    <w:spacing w:line="216" w:lineRule="auto"/>
                    <w:jc w:val="center"/>
                    <w:rPr>
                      <w:rFonts w:ascii="Times New Roman" w:hAnsi="Times New Roman"/>
                      <w:szCs w:val="21"/>
                    </w:rPr>
                  </w:pPr>
                  <w:r>
                    <w:rPr>
                      <w:rFonts w:ascii="Times New Roman" w:hAnsi="Times New Roman"/>
                      <w:szCs w:val="21"/>
                    </w:rPr>
                    <w:t>0.1</w:t>
                  </w:r>
                </w:p>
              </w:tc>
            </w:tr>
            <w:tr w14:paraId="5DB518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51" w:hRule="atLeast"/>
                <w:jc w:val="center"/>
              </w:trPr>
              <w:tc>
                <w:tcPr>
                  <w:tcW w:w="918" w:type="dxa"/>
                  <w:vMerge w:val="restart"/>
                  <w:tcBorders>
                    <w:tl2br w:val="nil"/>
                    <w:tr2bl w:val="nil"/>
                  </w:tcBorders>
                  <w:vAlign w:val="center"/>
                </w:tcPr>
                <w:p w14:paraId="51666F3C">
                  <w:pPr>
                    <w:spacing w:line="216" w:lineRule="auto"/>
                    <w:jc w:val="center"/>
                    <w:rPr>
                      <w:rFonts w:hint="eastAsia" w:ascii="Times New Roman" w:hAnsi="Times New Roman"/>
                      <w:szCs w:val="21"/>
                    </w:rPr>
                  </w:pPr>
                  <w:r>
                    <w:rPr>
                      <w:rFonts w:ascii="Times New Roman" w:hAnsi="Times New Roman"/>
                      <w:b/>
                      <w:bCs/>
                      <w:szCs w:val="21"/>
                    </w:rPr>
                    <w:t>项目位置</w:t>
                  </w:r>
                </w:p>
              </w:tc>
              <w:tc>
                <w:tcPr>
                  <w:tcW w:w="2869" w:type="dxa"/>
                  <w:vMerge w:val="restart"/>
                  <w:tcBorders>
                    <w:tl2br w:val="nil"/>
                    <w:tr2bl w:val="nil"/>
                  </w:tcBorders>
                  <w:shd w:val="clear" w:color="auto" w:fill="auto"/>
                  <w:vAlign w:val="center"/>
                </w:tcPr>
                <w:p w14:paraId="02B4897A">
                  <w:pPr>
                    <w:spacing w:line="216" w:lineRule="auto"/>
                    <w:jc w:val="center"/>
                    <w:rPr>
                      <w:rFonts w:hint="eastAsia" w:ascii="Times New Roman" w:hAnsi="Times New Roman"/>
                      <w:szCs w:val="21"/>
                      <w:lang w:val="en-US" w:eastAsia="zh-CN"/>
                    </w:rPr>
                  </w:pPr>
                  <w:r>
                    <w:rPr>
                      <w:rFonts w:ascii="Times New Roman" w:hAnsi="Times New Roman"/>
                      <w:b/>
                      <w:bCs/>
                      <w:szCs w:val="21"/>
                    </w:rPr>
                    <w:t>保护目标</w:t>
                  </w:r>
                </w:p>
              </w:tc>
              <w:tc>
                <w:tcPr>
                  <w:tcW w:w="721" w:type="dxa"/>
                  <w:vMerge w:val="restart"/>
                  <w:tcBorders>
                    <w:tl2br w:val="nil"/>
                    <w:tr2bl w:val="nil"/>
                  </w:tcBorders>
                  <w:shd w:val="clear" w:color="auto" w:fill="auto"/>
                  <w:vAlign w:val="center"/>
                </w:tcPr>
                <w:p w14:paraId="4BAD23AE">
                  <w:pPr>
                    <w:spacing w:line="216" w:lineRule="auto"/>
                    <w:jc w:val="center"/>
                    <w:rPr>
                      <w:rFonts w:ascii="Times New Roman" w:hAnsi="Times New Roman"/>
                      <w:b/>
                      <w:bCs/>
                      <w:szCs w:val="21"/>
                    </w:rPr>
                  </w:pPr>
                  <w:r>
                    <w:rPr>
                      <w:rFonts w:ascii="Times New Roman" w:hAnsi="Times New Roman"/>
                      <w:b/>
                      <w:bCs/>
                      <w:szCs w:val="21"/>
                    </w:rPr>
                    <w:t>相对</w:t>
                  </w:r>
                </w:p>
                <w:p w14:paraId="59A6E281">
                  <w:pPr>
                    <w:spacing w:line="216" w:lineRule="auto"/>
                    <w:jc w:val="center"/>
                    <w:rPr>
                      <w:rFonts w:hint="eastAsia" w:ascii="Times New Roman" w:hAnsi="Times New Roman"/>
                      <w:szCs w:val="21"/>
                    </w:rPr>
                  </w:pPr>
                  <w:r>
                    <w:rPr>
                      <w:rFonts w:ascii="Times New Roman" w:hAnsi="Times New Roman"/>
                      <w:b/>
                      <w:bCs/>
                      <w:szCs w:val="21"/>
                    </w:rPr>
                    <w:t>方位</w:t>
                  </w:r>
                </w:p>
              </w:tc>
              <w:tc>
                <w:tcPr>
                  <w:tcW w:w="1144" w:type="dxa"/>
                  <w:gridSpan w:val="2"/>
                  <w:tcBorders>
                    <w:tl2br w:val="nil"/>
                    <w:tr2bl w:val="nil"/>
                  </w:tcBorders>
                  <w:shd w:val="clear" w:color="auto" w:fill="auto"/>
                  <w:vAlign w:val="center"/>
                </w:tcPr>
                <w:p w14:paraId="28B3D169">
                  <w:pPr>
                    <w:spacing w:line="216" w:lineRule="auto"/>
                    <w:jc w:val="center"/>
                    <w:rPr>
                      <w:rFonts w:hint="eastAsia" w:ascii="Times New Roman" w:hAnsi="Times New Roman" w:eastAsia="宋体"/>
                      <w:szCs w:val="21"/>
                      <w:lang w:eastAsia="zh-CN"/>
                    </w:rPr>
                  </w:pPr>
                  <w:r>
                    <w:rPr>
                      <w:rFonts w:hint="eastAsia" w:ascii="Times New Roman" w:hAnsi="Times New Roman"/>
                      <w:b/>
                      <w:bCs/>
                      <w:szCs w:val="21"/>
                    </w:rPr>
                    <w:t>机房</w:t>
                  </w:r>
                  <w:r>
                    <w:rPr>
                      <w:rFonts w:ascii="Times New Roman" w:hAnsi="Times New Roman"/>
                      <w:b/>
                      <w:bCs/>
                      <w:szCs w:val="21"/>
                    </w:rPr>
                    <w:t>最近距离</w:t>
                  </w:r>
                  <w:r>
                    <w:rPr>
                      <w:rFonts w:hint="eastAsia" w:ascii="Times New Roman" w:hAnsi="Times New Roman"/>
                      <w:b/>
                      <w:bCs/>
                      <w:szCs w:val="21"/>
                      <w:lang w:eastAsia="zh-CN"/>
                    </w:rPr>
                    <w:t>（</w:t>
                  </w:r>
                  <w:r>
                    <w:rPr>
                      <w:rFonts w:ascii="Times New Roman" w:hAnsi="Times New Roman"/>
                      <w:b/>
                      <w:bCs/>
                      <w:szCs w:val="21"/>
                    </w:rPr>
                    <w:t>m</w:t>
                  </w:r>
                  <w:r>
                    <w:rPr>
                      <w:rFonts w:hint="eastAsia" w:ascii="Times New Roman" w:hAnsi="Times New Roman"/>
                      <w:b/>
                      <w:bCs/>
                      <w:szCs w:val="21"/>
                      <w:lang w:eastAsia="zh-CN"/>
                    </w:rPr>
                    <w:t>）</w:t>
                  </w:r>
                </w:p>
              </w:tc>
              <w:tc>
                <w:tcPr>
                  <w:tcW w:w="817" w:type="dxa"/>
                  <w:vMerge w:val="restart"/>
                  <w:tcBorders>
                    <w:tl2br w:val="nil"/>
                    <w:tr2bl w:val="nil"/>
                  </w:tcBorders>
                  <w:shd w:val="clear" w:color="auto" w:fill="auto"/>
                  <w:vAlign w:val="center"/>
                </w:tcPr>
                <w:p w14:paraId="48A5364A">
                  <w:pPr>
                    <w:spacing w:line="216" w:lineRule="auto"/>
                    <w:jc w:val="center"/>
                    <w:rPr>
                      <w:rFonts w:hint="eastAsia" w:ascii="Times New Roman" w:hAnsi="Times New Roman"/>
                      <w:szCs w:val="21"/>
                    </w:rPr>
                  </w:pPr>
                  <w:r>
                    <w:rPr>
                      <w:rFonts w:ascii="Times New Roman" w:hAnsi="Times New Roman"/>
                      <w:b/>
                      <w:bCs/>
                      <w:szCs w:val="21"/>
                    </w:rPr>
                    <w:t>人流量/天</w:t>
                  </w:r>
                </w:p>
              </w:tc>
              <w:tc>
                <w:tcPr>
                  <w:tcW w:w="1170" w:type="dxa"/>
                  <w:vMerge w:val="restart"/>
                  <w:tcBorders>
                    <w:tl2br w:val="nil"/>
                    <w:tr2bl w:val="nil"/>
                  </w:tcBorders>
                  <w:shd w:val="clear" w:color="auto" w:fill="auto"/>
                  <w:vAlign w:val="center"/>
                </w:tcPr>
                <w:p w14:paraId="4956912A">
                  <w:pPr>
                    <w:spacing w:line="216" w:lineRule="auto"/>
                    <w:jc w:val="center"/>
                    <w:rPr>
                      <w:rFonts w:ascii="Times New Roman" w:hAnsi="Times New Roman"/>
                      <w:szCs w:val="21"/>
                    </w:rPr>
                  </w:pPr>
                  <w:r>
                    <w:rPr>
                      <w:rFonts w:ascii="Times New Roman" w:hAnsi="Times New Roman"/>
                      <w:b/>
                      <w:bCs/>
                      <w:szCs w:val="21"/>
                    </w:rPr>
                    <w:t>照射类型</w:t>
                  </w:r>
                </w:p>
              </w:tc>
              <w:tc>
                <w:tcPr>
                  <w:tcW w:w="1175" w:type="dxa"/>
                  <w:vMerge w:val="restart"/>
                  <w:tcBorders>
                    <w:tl2br w:val="nil"/>
                    <w:tr2bl w:val="nil"/>
                  </w:tcBorders>
                  <w:shd w:val="clear" w:color="auto" w:fill="auto"/>
                  <w:vAlign w:val="center"/>
                </w:tcPr>
                <w:p w14:paraId="19E167EE">
                  <w:pPr>
                    <w:spacing w:line="216" w:lineRule="auto"/>
                    <w:jc w:val="center"/>
                    <w:rPr>
                      <w:rFonts w:ascii="Times New Roman" w:hAnsi="Times New Roman"/>
                      <w:b/>
                      <w:bCs/>
                      <w:szCs w:val="21"/>
                    </w:rPr>
                  </w:pPr>
                  <w:r>
                    <w:rPr>
                      <w:rFonts w:ascii="Times New Roman" w:hAnsi="Times New Roman"/>
                      <w:b/>
                      <w:bCs/>
                      <w:szCs w:val="21"/>
                    </w:rPr>
                    <w:t>剂量约束值</w:t>
                  </w:r>
                </w:p>
                <w:p w14:paraId="6ECA0082">
                  <w:pPr>
                    <w:spacing w:line="216" w:lineRule="auto"/>
                    <w:jc w:val="center"/>
                    <w:rPr>
                      <w:rFonts w:ascii="Times New Roman" w:hAnsi="Times New Roman"/>
                      <w:szCs w:val="21"/>
                    </w:rPr>
                  </w:pPr>
                  <w:r>
                    <w:rPr>
                      <w:rFonts w:ascii="Times New Roman" w:hAnsi="Times New Roman"/>
                      <w:b/>
                      <w:bCs/>
                      <w:szCs w:val="21"/>
                    </w:rPr>
                    <w:t>（mSv/年）</w:t>
                  </w:r>
                </w:p>
              </w:tc>
            </w:tr>
            <w:tr w14:paraId="1043C8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51" w:hRule="atLeast"/>
                <w:jc w:val="center"/>
              </w:trPr>
              <w:tc>
                <w:tcPr>
                  <w:tcW w:w="918" w:type="dxa"/>
                  <w:vMerge w:val="continue"/>
                  <w:tcBorders>
                    <w:tl2br w:val="nil"/>
                    <w:tr2bl w:val="nil"/>
                  </w:tcBorders>
                  <w:vAlign w:val="center"/>
                </w:tcPr>
                <w:p w14:paraId="741AED2C">
                  <w:pPr>
                    <w:spacing w:line="216" w:lineRule="auto"/>
                    <w:jc w:val="center"/>
                  </w:pPr>
                </w:p>
              </w:tc>
              <w:tc>
                <w:tcPr>
                  <w:tcW w:w="2869" w:type="dxa"/>
                  <w:vMerge w:val="continue"/>
                  <w:tcBorders>
                    <w:tl2br w:val="nil"/>
                    <w:tr2bl w:val="nil"/>
                  </w:tcBorders>
                  <w:shd w:val="clear" w:color="auto" w:fill="auto"/>
                  <w:vAlign w:val="center"/>
                </w:tcPr>
                <w:p w14:paraId="1BECC521">
                  <w:pPr>
                    <w:spacing w:line="216" w:lineRule="auto"/>
                    <w:jc w:val="center"/>
                  </w:pPr>
                </w:p>
              </w:tc>
              <w:tc>
                <w:tcPr>
                  <w:tcW w:w="721" w:type="dxa"/>
                  <w:vMerge w:val="continue"/>
                  <w:tcBorders>
                    <w:tl2br w:val="nil"/>
                    <w:tr2bl w:val="nil"/>
                  </w:tcBorders>
                  <w:shd w:val="clear" w:color="auto" w:fill="auto"/>
                  <w:vAlign w:val="center"/>
                </w:tcPr>
                <w:p w14:paraId="3E8F5E8D">
                  <w:pPr>
                    <w:spacing w:line="216" w:lineRule="auto"/>
                    <w:jc w:val="center"/>
                  </w:pPr>
                </w:p>
              </w:tc>
              <w:tc>
                <w:tcPr>
                  <w:tcW w:w="564" w:type="dxa"/>
                  <w:tcBorders>
                    <w:tl2br w:val="nil"/>
                    <w:tr2bl w:val="nil"/>
                  </w:tcBorders>
                  <w:shd w:val="clear" w:color="auto" w:fill="auto"/>
                  <w:vAlign w:val="center"/>
                </w:tcPr>
                <w:p w14:paraId="21C55779">
                  <w:pPr>
                    <w:spacing w:line="216" w:lineRule="auto"/>
                    <w:jc w:val="center"/>
                    <w:rPr>
                      <w:rFonts w:hint="eastAsia" w:ascii="Times New Roman" w:hAnsi="Times New Roman"/>
                      <w:szCs w:val="21"/>
                    </w:rPr>
                  </w:pPr>
                  <w:r>
                    <w:rPr>
                      <w:rFonts w:hint="eastAsia" w:ascii="Times New Roman" w:hAnsi="Times New Roman"/>
                      <w:b/>
                      <w:bCs/>
                      <w:szCs w:val="21"/>
                    </w:rPr>
                    <w:t>水平距离</w:t>
                  </w:r>
                </w:p>
              </w:tc>
              <w:tc>
                <w:tcPr>
                  <w:tcW w:w="580" w:type="dxa"/>
                  <w:tcBorders>
                    <w:tl2br w:val="nil"/>
                    <w:tr2bl w:val="nil"/>
                  </w:tcBorders>
                  <w:shd w:val="clear" w:color="auto" w:fill="auto"/>
                  <w:vAlign w:val="center"/>
                </w:tcPr>
                <w:p w14:paraId="01168657">
                  <w:pPr>
                    <w:spacing w:line="216" w:lineRule="auto"/>
                    <w:jc w:val="center"/>
                    <w:rPr>
                      <w:rFonts w:hint="eastAsia" w:ascii="Times New Roman" w:hAnsi="Times New Roman"/>
                      <w:szCs w:val="21"/>
                    </w:rPr>
                  </w:pPr>
                  <w:r>
                    <w:rPr>
                      <w:rFonts w:hint="eastAsia" w:ascii="Times New Roman" w:hAnsi="Times New Roman"/>
                      <w:b/>
                      <w:bCs/>
                      <w:szCs w:val="21"/>
                    </w:rPr>
                    <w:t>垂直距离</w:t>
                  </w:r>
                </w:p>
              </w:tc>
              <w:tc>
                <w:tcPr>
                  <w:tcW w:w="817" w:type="dxa"/>
                  <w:vMerge w:val="continue"/>
                  <w:tcBorders>
                    <w:tl2br w:val="nil"/>
                    <w:tr2bl w:val="nil"/>
                  </w:tcBorders>
                  <w:shd w:val="clear" w:color="auto" w:fill="auto"/>
                  <w:vAlign w:val="center"/>
                </w:tcPr>
                <w:p w14:paraId="4A392CBA">
                  <w:pPr>
                    <w:spacing w:line="216" w:lineRule="auto"/>
                    <w:jc w:val="center"/>
                    <w:rPr>
                      <w:rFonts w:hint="eastAsia" w:ascii="Times New Roman" w:hAnsi="Times New Roman"/>
                      <w:szCs w:val="21"/>
                    </w:rPr>
                  </w:pPr>
                </w:p>
              </w:tc>
              <w:tc>
                <w:tcPr>
                  <w:tcW w:w="1170" w:type="dxa"/>
                  <w:vMerge w:val="continue"/>
                  <w:tcBorders>
                    <w:tl2br w:val="nil"/>
                    <w:tr2bl w:val="nil"/>
                  </w:tcBorders>
                  <w:shd w:val="clear" w:color="auto" w:fill="auto"/>
                  <w:vAlign w:val="center"/>
                </w:tcPr>
                <w:p w14:paraId="574EDFF8">
                  <w:pPr>
                    <w:spacing w:line="216" w:lineRule="auto"/>
                    <w:jc w:val="center"/>
                    <w:rPr>
                      <w:rFonts w:hint="eastAsia" w:ascii="Times New Roman" w:hAnsi="Times New Roman"/>
                      <w:szCs w:val="21"/>
                    </w:rPr>
                  </w:pPr>
                </w:p>
              </w:tc>
              <w:tc>
                <w:tcPr>
                  <w:tcW w:w="1175" w:type="dxa"/>
                  <w:vMerge w:val="continue"/>
                  <w:tcBorders>
                    <w:tl2br w:val="nil"/>
                    <w:tr2bl w:val="nil"/>
                  </w:tcBorders>
                  <w:shd w:val="clear" w:color="auto" w:fill="auto"/>
                  <w:vAlign w:val="center"/>
                </w:tcPr>
                <w:p w14:paraId="11AED3A6">
                  <w:pPr>
                    <w:spacing w:line="216" w:lineRule="auto"/>
                    <w:jc w:val="center"/>
                    <w:rPr>
                      <w:rFonts w:hint="eastAsia" w:ascii="Times New Roman" w:hAnsi="Times New Roman"/>
                      <w:szCs w:val="21"/>
                    </w:rPr>
                  </w:pPr>
                </w:p>
              </w:tc>
            </w:tr>
            <w:tr w14:paraId="49C05F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tcBorders>
                    <w:tl2br w:val="nil"/>
                    <w:tr2bl w:val="nil"/>
                  </w:tcBorders>
                  <w:vAlign w:val="center"/>
                </w:tcPr>
                <w:p w14:paraId="4651F01E">
                  <w:pPr>
                    <w:spacing w:line="216" w:lineRule="auto"/>
                    <w:jc w:val="center"/>
                    <w:rPr>
                      <w:rFonts w:ascii="Times New Roman" w:hAnsi="Times New Roman"/>
                      <w:szCs w:val="21"/>
                    </w:rPr>
                  </w:pPr>
                  <w:r>
                    <w:rPr>
                      <w:rFonts w:hint="eastAsia" w:ascii="Times New Roman" w:hAnsi="Times New Roman"/>
                      <w:szCs w:val="21"/>
                    </w:rPr>
                    <w:t>其他区域</w:t>
                  </w:r>
                </w:p>
              </w:tc>
              <w:tc>
                <w:tcPr>
                  <w:tcW w:w="2869" w:type="dxa"/>
                  <w:tcBorders>
                    <w:tl2br w:val="nil"/>
                    <w:tr2bl w:val="nil"/>
                  </w:tcBorders>
                  <w:shd w:val="clear" w:color="auto" w:fill="auto"/>
                  <w:vAlign w:val="center"/>
                </w:tcPr>
                <w:p w14:paraId="4EB433DD">
                  <w:pPr>
                    <w:spacing w:line="216" w:lineRule="auto"/>
                    <w:jc w:val="center"/>
                    <w:rPr>
                      <w:rFonts w:hint="eastAsia" w:ascii="Times New Roman" w:hAnsi="Times New Roman" w:eastAsia="宋体"/>
                      <w:szCs w:val="21"/>
                      <w:lang w:eastAsia="zh-CN"/>
                    </w:rPr>
                  </w:pPr>
                  <w:r>
                    <w:rPr>
                      <w:rFonts w:hint="eastAsia" w:ascii="Times New Roman" w:hAnsi="Times New Roman"/>
                      <w:szCs w:val="21"/>
                      <w:lang w:val="en-US" w:eastAsia="zh-CN"/>
                    </w:rPr>
                    <w:t>项目所在</w:t>
                  </w:r>
                  <w:r>
                    <w:rPr>
                      <w:rFonts w:hint="eastAsia" w:ascii="Times New Roman" w:hAnsi="Times New Roman"/>
                      <w:szCs w:val="21"/>
                      <w:lang w:eastAsia="zh-CN"/>
                    </w:rPr>
                    <w:t>2号住院综合楼</w:t>
                  </w:r>
                </w:p>
              </w:tc>
              <w:tc>
                <w:tcPr>
                  <w:tcW w:w="721" w:type="dxa"/>
                  <w:tcBorders>
                    <w:tl2br w:val="nil"/>
                    <w:tr2bl w:val="nil"/>
                  </w:tcBorders>
                  <w:shd w:val="clear" w:color="auto" w:fill="auto"/>
                  <w:vAlign w:val="center"/>
                </w:tcPr>
                <w:p w14:paraId="0BCF7FE2">
                  <w:pPr>
                    <w:spacing w:line="216" w:lineRule="auto"/>
                    <w:jc w:val="center"/>
                    <w:rPr>
                      <w:rFonts w:ascii="Times New Roman" w:hAnsi="Times New Roman"/>
                      <w:szCs w:val="21"/>
                    </w:rPr>
                  </w:pPr>
                  <w:r>
                    <w:rPr>
                      <w:rFonts w:hint="eastAsia" w:ascii="Times New Roman" w:hAnsi="Times New Roman"/>
                      <w:szCs w:val="21"/>
                    </w:rPr>
                    <w:t>周围</w:t>
                  </w:r>
                </w:p>
              </w:tc>
              <w:tc>
                <w:tcPr>
                  <w:tcW w:w="564" w:type="dxa"/>
                  <w:tcBorders>
                    <w:tl2br w:val="nil"/>
                    <w:tr2bl w:val="nil"/>
                  </w:tcBorders>
                  <w:shd w:val="clear" w:color="auto" w:fill="auto"/>
                  <w:vAlign w:val="center"/>
                </w:tcPr>
                <w:p w14:paraId="6CECF7E6">
                  <w:pPr>
                    <w:spacing w:line="216" w:lineRule="auto"/>
                    <w:jc w:val="center"/>
                    <w:rPr>
                      <w:rFonts w:ascii="Times New Roman" w:hAnsi="Times New Roman"/>
                      <w:szCs w:val="21"/>
                    </w:rPr>
                  </w:pPr>
                  <w:r>
                    <w:rPr>
                      <w:rFonts w:hint="eastAsia" w:ascii="Times New Roman" w:hAnsi="Times New Roman"/>
                      <w:szCs w:val="21"/>
                      <w:lang w:val="en-US" w:eastAsia="zh-CN"/>
                    </w:rPr>
                    <w:t>0</w:t>
                  </w:r>
                  <w:r>
                    <w:rPr>
                      <w:rFonts w:hint="eastAsia" w:ascii="Times New Roman" w:hAnsi="Times New Roman"/>
                      <w:szCs w:val="21"/>
                    </w:rPr>
                    <w:t>-50</w:t>
                  </w:r>
                </w:p>
              </w:tc>
              <w:tc>
                <w:tcPr>
                  <w:tcW w:w="580" w:type="dxa"/>
                  <w:tcBorders>
                    <w:tl2br w:val="nil"/>
                    <w:tr2bl w:val="nil"/>
                  </w:tcBorders>
                  <w:shd w:val="clear" w:color="auto" w:fill="auto"/>
                  <w:vAlign w:val="center"/>
                </w:tcPr>
                <w:p w14:paraId="64314A53">
                  <w:pPr>
                    <w:spacing w:line="216" w:lineRule="auto"/>
                    <w:jc w:val="center"/>
                    <w:rPr>
                      <w:rFonts w:ascii="Times New Roman" w:hAnsi="Times New Roman"/>
                      <w:szCs w:val="21"/>
                    </w:rPr>
                  </w:pPr>
                  <w:r>
                    <w:rPr>
                      <w:rFonts w:hint="eastAsia" w:ascii="Times New Roman" w:hAnsi="Times New Roman"/>
                      <w:szCs w:val="21"/>
                      <w:lang w:val="en-US" w:eastAsia="zh-CN"/>
                    </w:rPr>
                    <w:t>0</w:t>
                  </w:r>
                  <w:r>
                    <w:rPr>
                      <w:rFonts w:hint="eastAsia" w:ascii="Times New Roman" w:hAnsi="Times New Roman"/>
                      <w:szCs w:val="21"/>
                    </w:rPr>
                    <w:t>-50</w:t>
                  </w:r>
                </w:p>
              </w:tc>
              <w:tc>
                <w:tcPr>
                  <w:tcW w:w="817" w:type="dxa"/>
                  <w:tcBorders>
                    <w:tl2br w:val="nil"/>
                    <w:tr2bl w:val="nil"/>
                  </w:tcBorders>
                  <w:shd w:val="clear" w:color="auto" w:fill="auto"/>
                  <w:vAlign w:val="center"/>
                </w:tcPr>
                <w:p w14:paraId="572F7E7B">
                  <w:pPr>
                    <w:spacing w:line="216" w:lineRule="auto"/>
                    <w:jc w:val="center"/>
                    <w:rPr>
                      <w:rFonts w:ascii="Times New Roman" w:hAnsi="Times New Roman"/>
                      <w:szCs w:val="21"/>
                    </w:rPr>
                  </w:pPr>
                  <w:r>
                    <w:rPr>
                      <w:rFonts w:hint="eastAsia" w:ascii="Times New Roman" w:hAnsi="Times New Roman"/>
                      <w:szCs w:val="21"/>
                    </w:rPr>
                    <w:t>约</w:t>
                  </w:r>
                  <w:r>
                    <w:rPr>
                      <w:rFonts w:hint="eastAsia" w:ascii="Times New Roman" w:hAnsi="Times New Roman"/>
                      <w:szCs w:val="21"/>
                      <w:lang w:val="en-US" w:eastAsia="zh-CN"/>
                    </w:rPr>
                    <w:t>10</w:t>
                  </w:r>
                  <w:r>
                    <w:rPr>
                      <w:rFonts w:hint="eastAsia" w:ascii="Times New Roman" w:hAnsi="Times New Roman"/>
                      <w:szCs w:val="21"/>
                    </w:rPr>
                    <w:t>00</w:t>
                  </w:r>
                </w:p>
              </w:tc>
              <w:tc>
                <w:tcPr>
                  <w:tcW w:w="1170" w:type="dxa"/>
                  <w:tcBorders>
                    <w:tl2br w:val="nil"/>
                    <w:tr2bl w:val="nil"/>
                  </w:tcBorders>
                  <w:shd w:val="clear" w:color="auto" w:fill="auto"/>
                  <w:vAlign w:val="center"/>
                </w:tcPr>
                <w:p w14:paraId="02142BBA">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shd w:val="clear" w:color="auto" w:fill="auto"/>
                  <w:vAlign w:val="center"/>
                </w:tcPr>
                <w:p w14:paraId="3CBA7157">
                  <w:pPr>
                    <w:spacing w:line="216" w:lineRule="auto"/>
                    <w:jc w:val="center"/>
                    <w:rPr>
                      <w:rFonts w:ascii="Times New Roman" w:hAnsi="Times New Roman"/>
                      <w:szCs w:val="21"/>
                    </w:rPr>
                  </w:pPr>
                  <w:r>
                    <w:rPr>
                      <w:rFonts w:ascii="Times New Roman" w:hAnsi="Times New Roman"/>
                      <w:szCs w:val="21"/>
                    </w:rPr>
                    <w:t>0.1</w:t>
                  </w:r>
                </w:p>
              </w:tc>
            </w:tr>
            <w:tr w14:paraId="328012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restart"/>
                  <w:tcBorders>
                    <w:tl2br w:val="nil"/>
                    <w:tr2bl w:val="nil"/>
                  </w:tcBorders>
                  <w:vAlign w:val="center"/>
                </w:tcPr>
                <w:p w14:paraId="31F191D7">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本项目四周</w:t>
                  </w:r>
                </w:p>
              </w:tc>
              <w:tc>
                <w:tcPr>
                  <w:tcW w:w="2869" w:type="dxa"/>
                  <w:tcBorders>
                    <w:tl2br w:val="nil"/>
                    <w:tr2bl w:val="nil"/>
                  </w:tcBorders>
                  <w:shd w:val="clear" w:color="auto" w:fill="auto"/>
                  <w:vAlign w:val="center"/>
                </w:tcPr>
                <w:p w14:paraId="400B16FA">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居民楼1</w:t>
                  </w:r>
                </w:p>
              </w:tc>
              <w:tc>
                <w:tcPr>
                  <w:tcW w:w="721" w:type="dxa"/>
                  <w:tcBorders>
                    <w:tl2br w:val="nil"/>
                    <w:tr2bl w:val="nil"/>
                  </w:tcBorders>
                  <w:shd w:val="clear" w:color="auto" w:fill="auto"/>
                  <w:vAlign w:val="center"/>
                </w:tcPr>
                <w:p w14:paraId="4CBD9F1C">
                  <w:pPr>
                    <w:spacing w:line="216" w:lineRule="auto"/>
                    <w:jc w:val="center"/>
                    <w:rPr>
                      <w:rFonts w:ascii="Times New Roman" w:hAnsi="Times New Roman"/>
                      <w:szCs w:val="21"/>
                    </w:rPr>
                  </w:pPr>
                  <w:r>
                    <w:rPr>
                      <w:rFonts w:hint="eastAsia" w:ascii="Times New Roman" w:hAnsi="Times New Roman"/>
                      <w:szCs w:val="21"/>
                      <w:lang w:val="en-US" w:eastAsia="zh-CN"/>
                    </w:rPr>
                    <w:t>东</w:t>
                  </w:r>
                  <w:r>
                    <w:rPr>
                      <w:rFonts w:hint="eastAsia" w:ascii="Times New Roman" w:hAnsi="Times New Roman"/>
                      <w:szCs w:val="21"/>
                    </w:rPr>
                    <w:t>南侧</w:t>
                  </w:r>
                </w:p>
              </w:tc>
              <w:tc>
                <w:tcPr>
                  <w:tcW w:w="564" w:type="dxa"/>
                  <w:tcBorders>
                    <w:tl2br w:val="nil"/>
                    <w:tr2bl w:val="nil"/>
                  </w:tcBorders>
                  <w:shd w:val="clear" w:color="auto" w:fill="auto"/>
                  <w:vAlign w:val="center"/>
                </w:tcPr>
                <w:p w14:paraId="09210B56">
                  <w:pPr>
                    <w:spacing w:line="216" w:lineRule="auto"/>
                    <w:jc w:val="center"/>
                    <w:rPr>
                      <w:rFonts w:ascii="Times New Roman" w:hAnsi="Times New Roman"/>
                      <w:szCs w:val="21"/>
                    </w:rPr>
                  </w:pPr>
                  <w:r>
                    <w:rPr>
                      <w:rFonts w:hint="eastAsia" w:ascii="Times New Roman" w:hAnsi="Times New Roman"/>
                      <w:szCs w:val="21"/>
                      <w:lang w:val="en-US" w:eastAsia="zh-CN"/>
                    </w:rPr>
                    <w:t>31</w:t>
                  </w:r>
                  <w:r>
                    <w:rPr>
                      <w:rFonts w:hint="eastAsia" w:ascii="Times New Roman" w:hAnsi="Times New Roman"/>
                      <w:szCs w:val="21"/>
                    </w:rPr>
                    <w:t>-50</w:t>
                  </w:r>
                </w:p>
              </w:tc>
              <w:tc>
                <w:tcPr>
                  <w:tcW w:w="580" w:type="dxa"/>
                  <w:tcBorders>
                    <w:tl2br w:val="nil"/>
                    <w:tr2bl w:val="nil"/>
                  </w:tcBorders>
                  <w:shd w:val="clear" w:color="auto" w:fill="auto"/>
                  <w:vAlign w:val="center"/>
                </w:tcPr>
                <w:p w14:paraId="76F51620">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17</w:t>
                  </w:r>
                </w:p>
              </w:tc>
              <w:tc>
                <w:tcPr>
                  <w:tcW w:w="817" w:type="dxa"/>
                  <w:tcBorders>
                    <w:tl2br w:val="nil"/>
                    <w:tr2bl w:val="nil"/>
                  </w:tcBorders>
                  <w:shd w:val="clear" w:color="auto" w:fill="auto"/>
                  <w:vAlign w:val="center"/>
                </w:tcPr>
                <w:p w14:paraId="248BC41A">
                  <w:pPr>
                    <w:spacing w:line="216" w:lineRule="auto"/>
                    <w:jc w:val="center"/>
                    <w:rPr>
                      <w:rFonts w:ascii="Times New Roman" w:hAnsi="Times New Roman"/>
                      <w:szCs w:val="21"/>
                    </w:rPr>
                  </w:pPr>
                  <w:r>
                    <w:rPr>
                      <w:rFonts w:hint="eastAsia" w:ascii="Times New Roman" w:hAnsi="Times New Roman"/>
                      <w:szCs w:val="21"/>
                    </w:rPr>
                    <w:t>约</w:t>
                  </w:r>
                  <w:r>
                    <w:rPr>
                      <w:rFonts w:hint="eastAsia" w:ascii="Times New Roman" w:hAnsi="Times New Roman"/>
                      <w:szCs w:val="21"/>
                      <w:lang w:val="en-US" w:eastAsia="zh-CN"/>
                    </w:rPr>
                    <w:t>3</w:t>
                  </w:r>
                  <w:r>
                    <w:rPr>
                      <w:rFonts w:hint="eastAsia" w:ascii="Times New Roman" w:hAnsi="Times New Roman"/>
                      <w:szCs w:val="21"/>
                    </w:rPr>
                    <w:t>00</w:t>
                  </w:r>
                </w:p>
              </w:tc>
              <w:tc>
                <w:tcPr>
                  <w:tcW w:w="1170" w:type="dxa"/>
                  <w:tcBorders>
                    <w:tl2br w:val="nil"/>
                    <w:tr2bl w:val="nil"/>
                  </w:tcBorders>
                  <w:shd w:val="clear" w:color="auto" w:fill="auto"/>
                  <w:vAlign w:val="center"/>
                </w:tcPr>
                <w:p w14:paraId="02E31E25">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shd w:val="clear" w:color="auto" w:fill="auto"/>
                  <w:vAlign w:val="center"/>
                </w:tcPr>
                <w:p w14:paraId="6027521A">
                  <w:pPr>
                    <w:spacing w:line="216" w:lineRule="auto"/>
                    <w:jc w:val="center"/>
                    <w:rPr>
                      <w:rFonts w:ascii="Times New Roman" w:hAnsi="Times New Roman"/>
                      <w:szCs w:val="21"/>
                    </w:rPr>
                  </w:pPr>
                  <w:r>
                    <w:rPr>
                      <w:rFonts w:ascii="Times New Roman" w:hAnsi="Times New Roman"/>
                      <w:szCs w:val="21"/>
                    </w:rPr>
                    <w:t>0.1</w:t>
                  </w:r>
                </w:p>
              </w:tc>
            </w:tr>
            <w:tr w14:paraId="4B4BA9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2C7D467C">
                  <w:pPr>
                    <w:spacing w:line="216" w:lineRule="auto"/>
                    <w:jc w:val="center"/>
                  </w:pPr>
                </w:p>
              </w:tc>
              <w:tc>
                <w:tcPr>
                  <w:tcW w:w="2869" w:type="dxa"/>
                  <w:tcBorders>
                    <w:tl2br w:val="nil"/>
                    <w:tr2bl w:val="nil"/>
                  </w:tcBorders>
                  <w:shd w:val="clear" w:color="auto" w:fill="auto"/>
                  <w:vAlign w:val="center"/>
                </w:tcPr>
                <w:p w14:paraId="63D0CBA7">
                  <w:pPr>
                    <w:spacing w:line="216" w:lineRule="auto"/>
                    <w:jc w:val="center"/>
                    <w:rPr>
                      <w:rFonts w:hint="default" w:ascii="Times New Roman" w:hAnsi="Times New Roman"/>
                      <w:szCs w:val="21"/>
                      <w:lang w:val="en-US"/>
                    </w:rPr>
                  </w:pPr>
                  <w:r>
                    <w:rPr>
                      <w:rFonts w:hint="eastAsia" w:ascii="Times New Roman" w:hAnsi="Times New Roman"/>
                      <w:szCs w:val="21"/>
                      <w:lang w:val="en-US" w:eastAsia="zh-CN"/>
                    </w:rPr>
                    <w:t>居民楼2</w:t>
                  </w:r>
                </w:p>
              </w:tc>
              <w:tc>
                <w:tcPr>
                  <w:tcW w:w="721" w:type="dxa"/>
                  <w:tcBorders>
                    <w:tl2br w:val="nil"/>
                    <w:tr2bl w:val="nil"/>
                  </w:tcBorders>
                  <w:shd w:val="clear" w:color="auto" w:fill="auto"/>
                  <w:vAlign w:val="center"/>
                </w:tcPr>
                <w:p w14:paraId="626AE071">
                  <w:pPr>
                    <w:spacing w:line="216" w:lineRule="auto"/>
                    <w:jc w:val="center"/>
                    <w:rPr>
                      <w:rFonts w:ascii="Times New Roman" w:hAnsi="Times New Roman"/>
                      <w:szCs w:val="21"/>
                    </w:rPr>
                  </w:pPr>
                  <w:r>
                    <w:rPr>
                      <w:rFonts w:hint="eastAsia" w:ascii="Times New Roman" w:hAnsi="Times New Roman"/>
                      <w:szCs w:val="21"/>
                      <w:lang w:val="en-US" w:eastAsia="zh-CN"/>
                    </w:rPr>
                    <w:t>东</w:t>
                  </w:r>
                  <w:r>
                    <w:rPr>
                      <w:rFonts w:hint="eastAsia" w:ascii="Times New Roman" w:hAnsi="Times New Roman"/>
                      <w:szCs w:val="21"/>
                    </w:rPr>
                    <w:t>侧</w:t>
                  </w:r>
                </w:p>
              </w:tc>
              <w:tc>
                <w:tcPr>
                  <w:tcW w:w="564" w:type="dxa"/>
                  <w:tcBorders>
                    <w:tl2br w:val="nil"/>
                    <w:tr2bl w:val="nil"/>
                  </w:tcBorders>
                  <w:shd w:val="clear" w:color="auto" w:fill="auto"/>
                  <w:vAlign w:val="center"/>
                </w:tcPr>
                <w:p w14:paraId="258A5341">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46</w:t>
                  </w:r>
                  <w:r>
                    <w:rPr>
                      <w:rFonts w:hint="eastAsia" w:ascii="Times New Roman" w:hAnsi="Times New Roman"/>
                      <w:szCs w:val="21"/>
                    </w:rPr>
                    <w:t>-</w:t>
                  </w:r>
                  <w:r>
                    <w:rPr>
                      <w:rFonts w:hint="eastAsia" w:ascii="Times New Roman" w:hAnsi="Times New Roman"/>
                      <w:szCs w:val="21"/>
                      <w:lang w:val="en-US" w:eastAsia="zh-CN"/>
                    </w:rPr>
                    <w:t>50</w:t>
                  </w:r>
                </w:p>
              </w:tc>
              <w:tc>
                <w:tcPr>
                  <w:tcW w:w="580" w:type="dxa"/>
                  <w:tcBorders>
                    <w:tl2br w:val="nil"/>
                    <w:tr2bl w:val="nil"/>
                  </w:tcBorders>
                  <w:shd w:val="clear" w:color="auto" w:fill="auto"/>
                  <w:vAlign w:val="center"/>
                </w:tcPr>
                <w:p w14:paraId="705AB6AD">
                  <w:pPr>
                    <w:spacing w:line="216" w:lineRule="auto"/>
                    <w:jc w:val="center"/>
                    <w:rPr>
                      <w:rFonts w:hint="default" w:ascii="Times New Roman" w:hAnsi="Times New Roman"/>
                      <w:szCs w:val="21"/>
                      <w:lang w:val="en-US"/>
                    </w:rPr>
                  </w:pPr>
                  <w:r>
                    <w:rPr>
                      <w:rFonts w:hint="eastAsia" w:ascii="Times New Roman" w:hAnsi="Times New Roman"/>
                      <w:szCs w:val="21"/>
                      <w:lang w:val="en-US" w:eastAsia="zh-CN"/>
                    </w:rPr>
                    <w:t>18</w:t>
                  </w:r>
                </w:p>
              </w:tc>
              <w:tc>
                <w:tcPr>
                  <w:tcW w:w="817" w:type="dxa"/>
                  <w:tcBorders>
                    <w:tl2br w:val="nil"/>
                    <w:tr2bl w:val="nil"/>
                  </w:tcBorders>
                  <w:shd w:val="clear" w:color="auto" w:fill="auto"/>
                  <w:vAlign w:val="center"/>
                </w:tcPr>
                <w:p w14:paraId="35763BB9">
                  <w:pPr>
                    <w:spacing w:line="216" w:lineRule="auto"/>
                    <w:jc w:val="center"/>
                    <w:rPr>
                      <w:rFonts w:ascii="Times New Roman" w:hAnsi="Times New Roman"/>
                      <w:szCs w:val="21"/>
                    </w:rPr>
                  </w:pPr>
                  <w:r>
                    <w:rPr>
                      <w:rFonts w:hint="eastAsia" w:ascii="Times New Roman" w:hAnsi="Times New Roman"/>
                      <w:szCs w:val="21"/>
                    </w:rPr>
                    <w:t>约</w:t>
                  </w:r>
                  <w:r>
                    <w:rPr>
                      <w:rFonts w:hint="eastAsia" w:ascii="Times New Roman" w:hAnsi="Times New Roman"/>
                      <w:szCs w:val="21"/>
                      <w:lang w:val="en-US" w:eastAsia="zh-CN"/>
                    </w:rPr>
                    <w:t>2</w:t>
                  </w:r>
                  <w:r>
                    <w:rPr>
                      <w:rFonts w:hint="eastAsia" w:ascii="Times New Roman" w:hAnsi="Times New Roman"/>
                      <w:szCs w:val="21"/>
                    </w:rPr>
                    <w:t>00</w:t>
                  </w:r>
                </w:p>
              </w:tc>
              <w:tc>
                <w:tcPr>
                  <w:tcW w:w="1170" w:type="dxa"/>
                  <w:tcBorders>
                    <w:tl2br w:val="nil"/>
                    <w:tr2bl w:val="nil"/>
                  </w:tcBorders>
                  <w:shd w:val="clear" w:color="auto" w:fill="auto"/>
                  <w:vAlign w:val="center"/>
                </w:tcPr>
                <w:p w14:paraId="403357DE">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shd w:val="clear" w:color="auto" w:fill="auto"/>
                  <w:vAlign w:val="center"/>
                </w:tcPr>
                <w:p w14:paraId="4D1C8A05">
                  <w:pPr>
                    <w:spacing w:line="216" w:lineRule="auto"/>
                    <w:jc w:val="center"/>
                    <w:rPr>
                      <w:rFonts w:ascii="Times New Roman" w:hAnsi="Times New Roman"/>
                      <w:szCs w:val="21"/>
                    </w:rPr>
                  </w:pPr>
                  <w:r>
                    <w:rPr>
                      <w:rFonts w:ascii="Times New Roman" w:hAnsi="Times New Roman"/>
                      <w:szCs w:val="21"/>
                    </w:rPr>
                    <w:t>0.1</w:t>
                  </w:r>
                </w:p>
              </w:tc>
            </w:tr>
            <w:tr w14:paraId="088E89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39D2AB1B">
                  <w:pPr>
                    <w:spacing w:line="216" w:lineRule="auto"/>
                    <w:jc w:val="center"/>
                    <w:rPr>
                      <w:rFonts w:ascii="Times New Roman" w:hAnsi="Times New Roman"/>
                      <w:szCs w:val="21"/>
                    </w:rPr>
                  </w:pPr>
                </w:p>
              </w:tc>
              <w:tc>
                <w:tcPr>
                  <w:tcW w:w="2869" w:type="dxa"/>
                  <w:tcBorders>
                    <w:tl2br w:val="nil"/>
                    <w:tr2bl w:val="nil"/>
                  </w:tcBorders>
                  <w:shd w:val="clear" w:color="auto" w:fill="auto"/>
                  <w:vAlign w:val="center"/>
                </w:tcPr>
                <w:p w14:paraId="4C156273">
                  <w:pPr>
                    <w:spacing w:line="216" w:lineRule="auto"/>
                    <w:jc w:val="center"/>
                    <w:rPr>
                      <w:rFonts w:hint="default" w:ascii="Times New Roman" w:hAnsi="Times New Roman"/>
                      <w:szCs w:val="21"/>
                      <w:lang w:val="en-US"/>
                    </w:rPr>
                  </w:pPr>
                  <w:r>
                    <w:rPr>
                      <w:rFonts w:hint="eastAsia" w:ascii="Times New Roman" w:hAnsi="Times New Roman"/>
                      <w:szCs w:val="21"/>
                      <w:lang w:val="en-US" w:eastAsia="zh-CN"/>
                    </w:rPr>
                    <w:t>居民楼3</w:t>
                  </w:r>
                </w:p>
              </w:tc>
              <w:tc>
                <w:tcPr>
                  <w:tcW w:w="721" w:type="dxa"/>
                  <w:tcBorders>
                    <w:tl2br w:val="nil"/>
                    <w:tr2bl w:val="nil"/>
                  </w:tcBorders>
                  <w:shd w:val="clear" w:color="auto" w:fill="auto"/>
                  <w:vAlign w:val="center"/>
                </w:tcPr>
                <w:p w14:paraId="10BD5245">
                  <w:pPr>
                    <w:spacing w:line="216" w:lineRule="auto"/>
                    <w:jc w:val="center"/>
                    <w:rPr>
                      <w:rFonts w:ascii="Times New Roman" w:hAnsi="Times New Roman"/>
                      <w:szCs w:val="21"/>
                    </w:rPr>
                  </w:pPr>
                  <w:r>
                    <w:rPr>
                      <w:rFonts w:hint="eastAsia" w:ascii="Times New Roman" w:hAnsi="Times New Roman"/>
                      <w:szCs w:val="21"/>
                      <w:lang w:val="en-US" w:eastAsia="zh-CN"/>
                    </w:rPr>
                    <w:t>东</w:t>
                  </w:r>
                  <w:r>
                    <w:rPr>
                      <w:rFonts w:hint="eastAsia" w:ascii="Times New Roman" w:hAnsi="Times New Roman"/>
                      <w:szCs w:val="21"/>
                    </w:rPr>
                    <w:t>侧</w:t>
                  </w:r>
                </w:p>
              </w:tc>
              <w:tc>
                <w:tcPr>
                  <w:tcW w:w="564" w:type="dxa"/>
                  <w:tcBorders>
                    <w:tl2br w:val="nil"/>
                    <w:tr2bl w:val="nil"/>
                  </w:tcBorders>
                  <w:shd w:val="clear" w:color="auto" w:fill="auto"/>
                  <w:vAlign w:val="center"/>
                </w:tcPr>
                <w:p w14:paraId="4F9EF1AA">
                  <w:pPr>
                    <w:spacing w:line="216" w:lineRule="auto"/>
                    <w:jc w:val="center"/>
                    <w:rPr>
                      <w:rFonts w:hint="default" w:ascii="Times New Roman" w:hAnsi="Times New Roman"/>
                      <w:szCs w:val="21"/>
                      <w:lang w:val="en-US"/>
                    </w:rPr>
                  </w:pPr>
                  <w:r>
                    <w:rPr>
                      <w:rFonts w:hint="eastAsia" w:ascii="Times New Roman" w:hAnsi="Times New Roman"/>
                      <w:szCs w:val="21"/>
                      <w:lang w:val="en-US" w:eastAsia="zh-CN"/>
                    </w:rPr>
                    <w:t>27</w:t>
                  </w:r>
                  <w:r>
                    <w:rPr>
                      <w:rFonts w:hint="eastAsia" w:ascii="Times New Roman" w:hAnsi="Times New Roman"/>
                      <w:szCs w:val="21"/>
                    </w:rPr>
                    <w:t>-</w:t>
                  </w:r>
                  <w:r>
                    <w:rPr>
                      <w:rFonts w:hint="eastAsia" w:ascii="Times New Roman" w:hAnsi="Times New Roman"/>
                      <w:szCs w:val="21"/>
                      <w:lang w:val="en-US" w:eastAsia="zh-CN"/>
                    </w:rPr>
                    <w:t>50</w:t>
                  </w:r>
                </w:p>
              </w:tc>
              <w:tc>
                <w:tcPr>
                  <w:tcW w:w="580" w:type="dxa"/>
                  <w:tcBorders>
                    <w:tl2br w:val="nil"/>
                    <w:tr2bl w:val="nil"/>
                  </w:tcBorders>
                  <w:shd w:val="clear" w:color="auto" w:fill="auto"/>
                  <w:vAlign w:val="center"/>
                </w:tcPr>
                <w:p w14:paraId="2C130118">
                  <w:pPr>
                    <w:spacing w:line="216" w:lineRule="auto"/>
                    <w:jc w:val="center"/>
                    <w:rPr>
                      <w:rFonts w:hint="default" w:ascii="Times New Roman" w:hAnsi="Times New Roman"/>
                      <w:szCs w:val="21"/>
                      <w:lang w:val="en-US"/>
                    </w:rPr>
                  </w:pPr>
                  <w:r>
                    <w:rPr>
                      <w:rFonts w:hint="eastAsia" w:ascii="Times New Roman" w:hAnsi="Times New Roman"/>
                      <w:szCs w:val="21"/>
                      <w:lang w:val="en-US" w:eastAsia="zh-CN"/>
                    </w:rPr>
                    <w:t>12</w:t>
                  </w:r>
                </w:p>
              </w:tc>
              <w:tc>
                <w:tcPr>
                  <w:tcW w:w="817" w:type="dxa"/>
                  <w:tcBorders>
                    <w:tl2br w:val="nil"/>
                    <w:tr2bl w:val="nil"/>
                  </w:tcBorders>
                  <w:shd w:val="clear" w:color="auto" w:fill="auto"/>
                  <w:vAlign w:val="center"/>
                </w:tcPr>
                <w:p w14:paraId="1414BA5D">
                  <w:pPr>
                    <w:spacing w:line="216" w:lineRule="auto"/>
                    <w:jc w:val="center"/>
                    <w:rPr>
                      <w:rFonts w:ascii="Times New Roman" w:hAnsi="Times New Roman"/>
                      <w:szCs w:val="21"/>
                    </w:rPr>
                  </w:pPr>
                  <w:r>
                    <w:rPr>
                      <w:rFonts w:hint="eastAsia" w:ascii="Times New Roman" w:hAnsi="Times New Roman"/>
                      <w:szCs w:val="21"/>
                    </w:rPr>
                    <w:t>约</w:t>
                  </w:r>
                  <w:r>
                    <w:rPr>
                      <w:rFonts w:hint="eastAsia" w:ascii="Times New Roman" w:hAnsi="Times New Roman"/>
                      <w:szCs w:val="21"/>
                      <w:lang w:val="en-US" w:eastAsia="zh-CN"/>
                    </w:rPr>
                    <w:t>2</w:t>
                  </w:r>
                  <w:r>
                    <w:rPr>
                      <w:rFonts w:hint="eastAsia" w:ascii="Times New Roman" w:hAnsi="Times New Roman"/>
                      <w:szCs w:val="21"/>
                    </w:rPr>
                    <w:t>00</w:t>
                  </w:r>
                </w:p>
              </w:tc>
              <w:tc>
                <w:tcPr>
                  <w:tcW w:w="1170" w:type="dxa"/>
                  <w:tcBorders>
                    <w:tl2br w:val="nil"/>
                    <w:tr2bl w:val="nil"/>
                  </w:tcBorders>
                  <w:shd w:val="clear" w:color="auto" w:fill="auto"/>
                  <w:vAlign w:val="center"/>
                </w:tcPr>
                <w:p w14:paraId="5251321F">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shd w:val="clear" w:color="auto" w:fill="auto"/>
                  <w:vAlign w:val="center"/>
                </w:tcPr>
                <w:p w14:paraId="42E0345D">
                  <w:pPr>
                    <w:spacing w:line="216" w:lineRule="auto"/>
                    <w:jc w:val="center"/>
                    <w:rPr>
                      <w:rFonts w:ascii="Times New Roman" w:hAnsi="Times New Roman"/>
                      <w:szCs w:val="21"/>
                    </w:rPr>
                  </w:pPr>
                  <w:r>
                    <w:rPr>
                      <w:rFonts w:ascii="Times New Roman" w:hAnsi="Times New Roman"/>
                      <w:szCs w:val="21"/>
                    </w:rPr>
                    <w:t>0.1</w:t>
                  </w:r>
                </w:p>
              </w:tc>
            </w:tr>
            <w:tr w14:paraId="5EF25B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07C59D54">
                  <w:pPr>
                    <w:spacing w:line="216" w:lineRule="auto"/>
                    <w:jc w:val="center"/>
                    <w:rPr>
                      <w:rFonts w:ascii="Times New Roman" w:hAnsi="Times New Roman"/>
                      <w:szCs w:val="21"/>
                    </w:rPr>
                  </w:pPr>
                </w:p>
              </w:tc>
              <w:tc>
                <w:tcPr>
                  <w:tcW w:w="2869" w:type="dxa"/>
                  <w:tcBorders>
                    <w:tl2br w:val="nil"/>
                    <w:tr2bl w:val="nil"/>
                  </w:tcBorders>
                  <w:shd w:val="clear" w:color="auto" w:fill="auto"/>
                  <w:vAlign w:val="center"/>
                </w:tcPr>
                <w:p w14:paraId="309E6A0D">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居民楼4</w:t>
                  </w:r>
                </w:p>
              </w:tc>
              <w:tc>
                <w:tcPr>
                  <w:tcW w:w="721" w:type="dxa"/>
                  <w:tcBorders>
                    <w:tl2br w:val="nil"/>
                    <w:tr2bl w:val="nil"/>
                  </w:tcBorders>
                  <w:shd w:val="clear" w:color="auto" w:fill="auto"/>
                  <w:vAlign w:val="center"/>
                </w:tcPr>
                <w:p w14:paraId="0F2DE005">
                  <w:pPr>
                    <w:spacing w:line="216" w:lineRule="auto"/>
                    <w:jc w:val="center"/>
                    <w:rPr>
                      <w:rFonts w:ascii="Times New Roman" w:hAnsi="Times New Roman"/>
                      <w:szCs w:val="21"/>
                    </w:rPr>
                  </w:pPr>
                  <w:r>
                    <w:rPr>
                      <w:rFonts w:hint="eastAsia" w:ascii="Times New Roman" w:hAnsi="Times New Roman"/>
                      <w:szCs w:val="21"/>
                      <w:lang w:val="en-US" w:eastAsia="zh-CN"/>
                    </w:rPr>
                    <w:t>北</w:t>
                  </w:r>
                  <w:r>
                    <w:rPr>
                      <w:rFonts w:hint="eastAsia" w:ascii="Times New Roman" w:hAnsi="Times New Roman"/>
                      <w:szCs w:val="21"/>
                    </w:rPr>
                    <w:t>侧</w:t>
                  </w:r>
                </w:p>
              </w:tc>
              <w:tc>
                <w:tcPr>
                  <w:tcW w:w="564" w:type="dxa"/>
                  <w:tcBorders>
                    <w:tl2br w:val="nil"/>
                    <w:tr2bl w:val="nil"/>
                  </w:tcBorders>
                  <w:shd w:val="clear" w:color="auto" w:fill="auto"/>
                  <w:vAlign w:val="center"/>
                </w:tcPr>
                <w:p w14:paraId="155F1793">
                  <w:pPr>
                    <w:spacing w:line="216" w:lineRule="auto"/>
                    <w:jc w:val="center"/>
                    <w:rPr>
                      <w:rFonts w:ascii="Times New Roman" w:hAnsi="Times New Roman"/>
                      <w:szCs w:val="21"/>
                    </w:rPr>
                  </w:pPr>
                  <w:r>
                    <w:rPr>
                      <w:rFonts w:hint="eastAsia" w:ascii="Times New Roman" w:hAnsi="Times New Roman"/>
                      <w:szCs w:val="21"/>
                      <w:lang w:val="en-US" w:eastAsia="zh-CN"/>
                    </w:rPr>
                    <w:t>32</w:t>
                  </w:r>
                  <w:r>
                    <w:rPr>
                      <w:rFonts w:hint="eastAsia" w:ascii="Times New Roman" w:hAnsi="Times New Roman"/>
                      <w:szCs w:val="21"/>
                    </w:rPr>
                    <w:t>-50</w:t>
                  </w:r>
                </w:p>
              </w:tc>
              <w:tc>
                <w:tcPr>
                  <w:tcW w:w="580" w:type="dxa"/>
                  <w:tcBorders>
                    <w:tl2br w:val="nil"/>
                    <w:tr2bl w:val="nil"/>
                  </w:tcBorders>
                  <w:shd w:val="clear" w:color="auto" w:fill="auto"/>
                  <w:vAlign w:val="center"/>
                </w:tcPr>
                <w:p w14:paraId="0DA466C9">
                  <w:pPr>
                    <w:spacing w:line="216" w:lineRule="auto"/>
                    <w:jc w:val="center"/>
                    <w:rPr>
                      <w:rFonts w:hint="default" w:ascii="Times New Roman" w:hAnsi="Times New Roman"/>
                      <w:szCs w:val="21"/>
                      <w:lang w:val="en-US"/>
                    </w:rPr>
                  </w:pPr>
                  <w:r>
                    <w:rPr>
                      <w:rFonts w:hint="eastAsia" w:ascii="Times New Roman" w:hAnsi="Times New Roman"/>
                      <w:szCs w:val="21"/>
                      <w:lang w:val="en-US" w:eastAsia="zh-CN"/>
                    </w:rPr>
                    <w:t>10</w:t>
                  </w:r>
                </w:p>
              </w:tc>
              <w:tc>
                <w:tcPr>
                  <w:tcW w:w="817" w:type="dxa"/>
                  <w:tcBorders>
                    <w:tl2br w:val="nil"/>
                    <w:tr2bl w:val="nil"/>
                  </w:tcBorders>
                  <w:shd w:val="clear" w:color="auto" w:fill="auto"/>
                  <w:vAlign w:val="center"/>
                </w:tcPr>
                <w:p w14:paraId="6B4D0F87">
                  <w:pPr>
                    <w:spacing w:line="216" w:lineRule="auto"/>
                    <w:jc w:val="center"/>
                    <w:rPr>
                      <w:rFonts w:ascii="Times New Roman" w:hAnsi="Times New Roman"/>
                      <w:szCs w:val="21"/>
                    </w:rPr>
                  </w:pPr>
                  <w:r>
                    <w:rPr>
                      <w:rFonts w:hint="eastAsia" w:ascii="Times New Roman" w:hAnsi="Times New Roman"/>
                      <w:szCs w:val="21"/>
                    </w:rPr>
                    <w:t>约</w:t>
                  </w:r>
                  <w:r>
                    <w:rPr>
                      <w:rFonts w:hint="eastAsia" w:ascii="Times New Roman" w:hAnsi="Times New Roman"/>
                      <w:szCs w:val="21"/>
                      <w:lang w:val="en-US" w:eastAsia="zh-CN"/>
                    </w:rPr>
                    <w:t>2</w:t>
                  </w:r>
                  <w:r>
                    <w:rPr>
                      <w:rFonts w:hint="eastAsia" w:ascii="Times New Roman" w:hAnsi="Times New Roman"/>
                      <w:szCs w:val="21"/>
                    </w:rPr>
                    <w:t>00</w:t>
                  </w:r>
                </w:p>
              </w:tc>
              <w:tc>
                <w:tcPr>
                  <w:tcW w:w="1170" w:type="dxa"/>
                  <w:tcBorders>
                    <w:tl2br w:val="nil"/>
                    <w:tr2bl w:val="nil"/>
                  </w:tcBorders>
                  <w:shd w:val="clear" w:color="auto" w:fill="auto"/>
                  <w:vAlign w:val="center"/>
                </w:tcPr>
                <w:p w14:paraId="38877B69">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shd w:val="clear" w:color="auto" w:fill="auto"/>
                  <w:vAlign w:val="center"/>
                </w:tcPr>
                <w:p w14:paraId="45BDA6C4">
                  <w:pPr>
                    <w:spacing w:line="216" w:lineRule="auto"/>
                    <w:jc w:val="center"/>
                    <w:rPr>
                      <w:rFonts w:ascii="Times New Roman" w:hAnsi="Times New Roman"/>
                      <w:szCs w:val="21"/>
                    </w:rPr>
                  </w:pPr>
                  <w:r>
                    <w:rPr>
                      <w:rFonts w:ascii="Times New Roman" w:hAnsi="Times New Roman"/>
                      <w:szCs w:val="21"/>
                    </w:rPr>
                    <w:t>0.1</w:t>
                  </w:r>
                </w:p>
              </w:tc>
            </w:tr>
            <w:tr w14:paraId="38499B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7A3C7198">
                  <w:pPr>
                    <w:spacing w:line="216" w:lineRule="auto"/>
                    <w:jc w:val="center"/>
                    <w:rPr>
                      <w:rFonts w:ascii="Times New Roman" w:hAnsi="Times New Roman"/>
                      <w:szCs w:val="21"/>
                    </w:rPr>
                  </w:pPr>
                </w:p>
              </w:tc>
              <w:tc>
                <w:tcPr>
                  <w:tcW w:w="2869" w:type="dxa"/>
                  <w:tcBorders>
                    <w:tl2br w:val="nil"/>
                    <w:tr2bl w:val="nil"/>
                  </w:tcBorders>
                  <w:shd w:val="clear" w:color="auto" w:fill="auto"/>
                  <w:vAlign w:val="center"/>
                </w:tcPr>
                <w:p w14:paraId="60C7AD5F">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1号住院楼</w:t>
                  </w:r>
                </w:p>
              </w:tc>
              <w:tc>
                <w:tcPr>
                  <w:tcW w:w="721" w:type="dxa"/>
                  <w:tcBorders>
                    <w:tl2br w:val="nil"/>
                    <w:tr2bl w:val="nil"/>
                  </w:tcBorders>
                  <w:shd w:val="clear" w:color="auto" w:fill="auto"/>
                  <w:vAlign w:val="center"/>
                </w:tcPr>
                <w:p w14:paraId="089223B7">
                  <w:pPr>
                    <w:spacing w:line="216" w:lineRule="auto"/>
                    <w:jc w:val="center"/>
                    <w:rPr>
                      <w:rFonts w:ascii="Times New Roman" w:hAnsi="Times New Roman"/>
                      <w:szCs w:val="21"/>
                    </w:rPr>
                  </w:pPr>
                  <w:r>
                    <w:rPr>
                      <w:rFonts w:hint="eastAsia" w:ascii="Times New Roman" w:hAnsi="Times New Roman"/>
                      <w:szCs w:val="21"/>
                      <w:lang w:val="en-US" w:eastAsia="zh-CN"/>
                    </w:rPr>
                    <w:t>西北</w:t>
                  </w:r>
                  <w:r>
                    <w:rPr>
                      <w:rFonts w:hint="eastAsia" w:ascii="Times New Roman" w:hAnsi="Times New Roman"/>
                      <w:szCs w:val="21"/>
                    </w:rPr>
                    <w:t>侧</w:t>
                  </w:r>
                </w:p>
              </w:tc>
              <w:tc>
                <w:tcPr>
                  <w:tcW w:w="564" w:type="dxa"/>
                  <w:tcBorders>
                    <w:tl2br w:val="nil"/>
                    <w:tr2bl w:val="nil"/>
                  </w:tcBorders>
                  <w:shd w:val="clear" w:color="auto" w:fill="auto"/>
                  <w:vAlign w:val="center"/>
                </w:tcPr>
                <w:p w14:paraId="44E030AE">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45</w:t>
                  </w:r>
                  <w:r>
                    <w:rPr>
                      <w:rFonts w:hint="eastAsia" w:ascii="Times New Roman" w:hAnsi="Times New Roman"/>
                      <w:szCs w:val="21"/>
                    </w:rPr>
                    <w:t>-</w:t>
                  </w:r>
                  <w:r>
                    <w:rPr>
                      <w:rFonts w:hint="eastAsia" w:ascii="Times New Roman" w:hAnsi="Times New Roman"/>
                      <w:szCs w:val="21"/>
                      <w:lang w:val="en-US" w:eastAsia="zh-CN"/>
                    </w:rPr>
                    <w:t>50</w:t>
                  </w:r>
                </w:p>
              </w:tc>
              <w:tc>
                <w:tcPr>
                  <w:tcW w:w="580" w:type="dxa"/>
                  <w:tcBorders>
                    <w:tl2br w:val="nil"/>
                    <w:tr2bl w:val="nil"/>
                  </w:tcBorders>
                  <w:shd w:val="clear" w:color="auto" w:fill="auto"/>
                  <w:vAlign w:val="center"/>
                </w:tcPr>
                <w:p w14:paraId="586A65CC">
                  <w:pPr>
                    <w:spacing w:line="216" w:lineRule="auto"/>
                    <w:jc w:val="center"/>
                    <w:rPr>
                      <w:rFonts w:ascii="Times New Roman" w:hAnsi="Times New Roman"/>
                      <w:szCs w:val="21"/>
                    </w:rPr>
                  </w:pPr>
                  <w:r>
                    <w:rPr>
                      <w:rFonts w:hint="eastAsia" w:ascii="Times New Roman" w:hAnsi="Times New Roman"/>
                      <w:szCs w:val="21"/>
                      <w:lang w:val="en-US" w:eastAsia="zh-CN"/>
                    </w:rPr>
                    <w:t>0</w:t>
                  </w:r>
                </w:p>
              </w:tc>
              <w:tc>
                <w:tcPr>
                  <w:tcW w:w="817" w:type="dxa"/>
                  <w:tcBorders>
                    <w:tl2br w:val="nil"/>
                    <w:tr2bl w:val="nil"/>
                  </w:tcBorders>
                  <w:shd w:val="clear" w:color="auto" w:fill="auto"/>
                  <w:vAlign w:val="center"/>
                </w:tcPr>
                <w:p w14:paraId="79E590B4">
                  <w:pPr>
                    <w:spacing w:line="216" w:lineRule="auto"/>
                    <w:jc w:val="center"/>
                    <w:rPr>
                      <w:rFonts w:ascii="Times New Roman" w:hAnsi="Times New Roman"/>
                      <w:szCs w:val="21"/>
                    </w:rPr>
                  </w:pPr>
                  <w:r>
                    <w:rPr>
                      <w:rFonts w:hint="eastAsia" w:ascii="Times New Roman" w:hAnsi="Times New Roman"/>
                      <w:szCs w:val="21"/>
                    </w:rPr>
                    <w:t>约</w:t>
                  </w:r>
                  <w:r>
                    <w:rPr>
                      <w:rFonts w:hint="eastAsia" w:ascii="Times New Roman" w:hAnsi="Times New Roman"/>
                      <w:szCs w:val="21"/>
                      <w:lang w:val="en-US" w:eastAsia="zh-CN"/>
                    </w:rPr>
                    <w:t>5</w:t>
                  </w:r>
                  <w:r>
                    <w:rPr>
                      <w:rFonts w:hint="eastAsia" w:ascii="Times New Roman" w:hAnsi="Times New Roman"/>
                      <w:szCs w:val="21"/>
                    </w:rPr>
                    <w:t>00</w:t>
                  </w:r>
                </w:p>
              </w:tc>
              <w:tc>
                <w:tcPr>
                  <w:tcW w:w="1170" w:type="dxa"/>
                  <w:tcBorders>
                    <w:tl2br w:val="nil"/>
                    <w:tr2bl w:val="nil"/>
                  </w:tcBorders>
                  <w:shd w:val="clear" w:color="auto" w:fill="auto"/>
                  <w:vAlign w:val="center"/>
                </w:tcPr>
                <w:p w14:paraId="7CF1076A">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shd w:val="clear" w:color="auto" w:fill="auto"/>
                  <w:vAlign w:val="center"/>
                </w:tcPr>
                <w:p w14:paraId="15804889">
                  <w:pPr>
                    <w:spacing w:line="216" w:lineRule="auto"/>
                    <w:jc w:val="center"/>
                    <w:rPr>
                      <w:rFonts w:ascii="Times New Roman" w:hAnsi="Times New Roman"/>
                      <w:szCs w:val="21"/>
                    </w:rPr>
                  </w:pPr>
                  <w:r>
                    <w:rPr>
                      <w:rFonts w:ascii="Times New Roman" w:hAnsi="Times New Roman"/>
                      <w:szCs w:val="21"/>
                    </w:rPr>
                    <w:t>0.1</w:t>
                  </w:r>
                </w:p>
              </w:tc>
            </w:tr>
            <w:tr w14:paraId="1ED65E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18" w:type="dxa"/>
                  <w:vMerge w:val="continue"/>
                  <w:tcBorders>
                    <w:tl2br w:val="nil"/>
                    <w:tr2bl w:val="nil"/>
                  </w:tcBorders>
                  <w:vAlign w:val="center"/>
                </w:tcPr>
                <w:p w14:paraId="08C5D5FA">
                  <w:pPr>
                    <w:spacing w:line="216" w:lineRule="auto"/>
                    <w:jc w:val="center"/>
                    <w:rPr>
                      <w:rFonts w:ascii="Times New Roman" w:hAnsi="Times New Roman"/>
                      <w:szCs w:val="21"/>
                    </w:rPr>
                  </w:pPr>
                </w:p>
              </w:tc>
              <w:tc>
                <w:tcPr>
                  <w:tcW w:w="2869" w:type="dxa"/>
                  <w:tcBorders>
                    <w:tl2br w:val="nil"/>
                    <w:tr2bl w:val="nil"/>
                  </w:tcBorders>
                  <w:shd w:val="clear" w:color="auto" w:fill="auto"/>
                  <w:vAlign w:val="center"/>
                </w:tcPr>
                <w:p w14:paraId="235DBE47">
                  <w:pPr>
                    <w:spacing w:line="216"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医院家属楼</w:t>
                  </w:r>
                </w:p>
              </w:tc>
              <w:tc>
                <w:tcPr>
                  <w:tcW w:w="721" w:type="dxa"/>
                  <w:tcBorders>
                    <w:tl2br w:val="nil"/>
                    <w:tr2bl w:val="nil"/>
                  </w:tcBorders>
                  <w:shd w:val="clear" w:color="auto" w:fill="auto"/>
                  <w:vAlign w:val="center"/>
                </w:tcPr>
                <w:p w14:paraId="511A85A1">
                  <w:pPr>
                    <w:spacing w:line="216" w:lineRule="auto"/>
                    <w:jc w:val="center"/>
                    <w:rPr>
                      <w:rFonts w:hint="eastAsia" w:ascii="Times New Roman" w:hAnsi="Times New Roman"/>
                      <w:szCs w:val="21"/>
                    </w:rPr>
                  </w:pPr>
                  <w:r>
                    <w:rPr>
                      <w:rFonts w:hint="eastAsia" w:ascii="Times New Roman" w:hAnsi="Times New Roman"/>
                      <w:szCs w:val="21"/>
                      <w:lang w:val="en-US" w:eastAsia="zh-CN"/>
                    </w:rPr>
                    <w:t>西南</w:t>
                  </w:r>
                  <w:r>
                    <w:rPr>
                      <w:rFonts w:hint="eastAsia" w:ascii="Times New Roman" w:hAnsi="Times New Roman"/>
                      <w:szCs w:val="21"/>
                    </w:rPr>
                    <w:t>侧</w:t>
                  </w:r>
                </w:p>
              </w:tc>
              <w:tc>
                <w:tcPr>
                  <w:tcW w:w="564" w:type="dxa"/>
                  <w:tcBorders>
                    <w:tl2br w:val="nil"/>
                    <w:tr2bl w:val="nil"/>
                  </w:tcBorders>
                  <w:shd w:val="clear" w:color="auto" w:fill="auto"/>
                  <w:vAlign w:val="center"/>
                </w:tcPr>
                <w:p w14:paraId="2E4440A0">
                  <w:pPr>
                    <w:spacing w:line="216" w:lineRule="auto"/>
                    <w:jc w:val="center"/>
                    <w:rPr>
                      <w:rFonts w:hint="default" w:ascii="Times New Roman" w:hAnsi="Times New Roman"/>
                      <w:szCs w:val="21"/>
                      <w:lang w:val="en-US"/>
                    </w:rPr>
                  </w:pPr>
                  <w:r>
                    <w:rPr>
                      <w:rFonts w:hint="eastAsia" w:ascii="Times New Roman" w:hAnsi="Times New Roman"/>
                      <w:szCs w:val="21"/>
                      <w:lang w:val="en-US" w:eastAsia="zh-CN"/>
                    </w:rPr>
                    <w:t>33</w:t>
                  </w:r>
                  <w:r>
                    <w:rPr>
                      <w:rFonts w:hint="eastAsia" w:ascii="Times New Roman" w:hAnsi="Times New Roman"/>
                      <w:szCs w:val="21"/>
                    </w:rPr>
                    <w:t>-</w:t>
                  </w:r>
                  <w:r>
                    <w:rPr>
                      <w:rFonts w:hint="eastAsia" w:ascii="Times New Roman" w:hAnsi="Times New Roman"/>
                      <w:szCs w:val="21"/>
                      <w:lang w:val="en-US" w:eastAsia="zh-CN"/>
                    </w:rPr>
                    <w:t>50</w:t>
                  </w:r>
                </w:p>
              </w:tc>
              <w:tc>
                <w:tcPr>
                  <w:tcW w:w="580" w:type="dxa"/>
                  <w:tcBorders>
                    <w:tl2br w:val="nil"/>
                    <w:tr2bl w:val="nil"/>
                  </w:tcBorders>
                  <w:shd w:val="clear" w:color="auto" w:fill="auto"/>
                  <w:vAlign w:val="center"/>
                </w:tcPr>
                <w:p w14:paraId="24EC7087">
                  <w:pPr>
                    <w:spacing w:line="216" w:lineRule="auto"/>
                    <w:jc w:val="center"/>
                    <w:rPr>
                      <w:rFonts w:hint="default" w:ascii="Times New Roman" w:hAnsi="Times New Roman"/>
                      <w:szCs w:val="21"/>
                      <w:lang w:val="en-US" w:eastAsia="zh-CN"/>
                    </w:rPr>
                  </w:pPr>
                  <w:r>
                    <w:rPr>
                      <w:rFonts w:hint="eastAsia" w:ascii="Times New Roman" w:hAnsi="Times New Roman"/>
                      <w:szCs w:val="21"/>
                      <w:lang w:val="en-US" w:eastAsia="zh-CN"/>
                    </w:rPr>
                    <w:t>0</w:t>
                  </w:r>
                </w:p>
              </w:tc>
              <w:tc>
                <w:tcPr>
                  <w:tcW w:w="817" w:type="dxa"/>
                  <w:tcBorders>
                    <w:tl2br w:val="nil"/>
                    <w:tr2bl w:val="nil"/>
                  </w:tcBorders>
                  <w:shd w:val="clear" w:color="auto" w:fill="auto"/>
                  <w:vAlign w:val="center"/>
                </w:tcPr>
                <w:p w14:paraId="19537049">
                  <w:pPr>
                    <w:spacing w:line="216" w:lineRule="auto"/>
                    <w:jc w:val="center"/>
                    <w:rPr>
                      <w:rFonts w:hint="eastAsia" w:ascii="Times New Roman" w:hAnsi="Times New Roman"/>
                      <w:szCs w:val="21"/>
                    </w:rPr>
                  </w:pPr>
                  <w:r>
                    <w:rPr>
                      <w:rFonts w:hint="eastAsia" w:ascii="Times New Roman" w:hAnsi="Times New Roman"/>
                      <w:szCs w:val="21"/>
                    </w:rPr>
                    <w:t>约</w:t>
                  </w:r>
                  <w:r>
                    <w:rPr>
                      <w:rFonts w:hint="eastAsia" w:ascii="Times New Roman" w:hAnsi="Times New Roman"/>
                      <w:szCs w:val="21"/>
                      <w:lang w:val="en-US" w:eastAsia="zh-CN"/>
                    </w:rPr>
                    <w:t>2</w:t>
                  </w:r>
                  <w:r>
                    <w:rPr>
                      <w:rFonts w:hint="eastAsia" w:ascii="Times New Roman" w:hAnsi="Times New Roman"/>
                      <w:szCs w:val="21"/>
                    </w:rPr>
                    <w:t>00</w:t>
                  </w:r>
                </w:p>
              </w:tc>
              <w:tc>
                <w:tcPr>
                  <w:tcW w:w="1170" w:type="dxa"/>
                  <w:tcBorders>
                    <w:tl2br w:val="nil"/>
                    <w:tr2bl w:val="nil"/>
                  </w:tcBorders>
                  <w:shd w:val="clear" w:color="auto" w:fill="auto"/>
                  <w:vAlign w:val="center"/>
                </w:tcPr>
                <w:p w14:paraId="05A8500F">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shd w:val="clear" w:color="auto" w:fill="auto"/>
                  <w:vAlign w:val="center"/>
                </w:tcPr>
                <w:p w14:paraId="2834599D">
                  <w:pPr>
                    <w:spacing w:line="216" w:lineRule="auto"/>
                    <w:jc w:val="center"/>
                    <w:rPr>
                      <w:rFonts w:ascii="Times New Roman" w:hAnsi="Times New Roman"/>
                      <w:szCs w:val="21"/>
                    </w:rPr>
                  </w:pPr>
                  <w:r>
                    <w:rPr>
                      <w:rFonts w:ascii="Times New Roman" w:hAnsi="Times New Roman"/>
                      <w:szCs w:val="21"/>
                    </w:rPr>
                    <w:t>0.1</w:t>
                  </w:r>
                </w:p>
              </w:tc>
            </w:tr>
            <w:tr w14:paraId="2439FF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18" w:type="dxa"/>
                  <w:vMerge w:val="continue"/>
                  <w:tcBorders>
                    <w:tl2br w:val="nil"/>
                    <w:tr2bl w:val="nil"/>
                  </w:tcBorders>
                  <w:vAlign w:val="center"/>
                </w:tcPr>
                <w:p w14:paraId="00085262">
                  <w:pPr>
                    <w:spacing w:line="216" w:lineRule="auto"/>
                    <w:jc w:val="center"/>
                    <w:rPr>
                      <w:rFonts w:ascii="Times New Roman" w:hAnsi="Times New Roman"/>
                      <w:szCs w:val="21"/>
                    </w:rPr>
                  </w:pPr>
                </w:p>
              </w:tc>
              <w:tc>
                <w:tcPr>
                  <w:tcW w:w="2869" w:type="dxa"/>
                  <w:tcBorders>
                    <w:tl2br w:val="nil"/>
                    <w:tr2bl w:val="nil"/>
                  </w:tcBorders>
                  <w:shd w:val="clear" w:color="auto" w:fill="auto"/>
                  <w:vAlign w:val="center"/>
                </w:tcPr>
                <w:p w14:paraId="25A12F09">
                  <w:pPr>
                    <w:spacing w:line="216" w:lineRule="auto"/>
                    <w:jc w:val="center"/>
                    <w:rPr>
                      <w:rFonts w:hint="default" w:ascii="Times New Roman" w:hAnsi="Times New Roman"/>
                      <w:szCs w:val="21"/>
                      <w:lang w:val="en-US" w:eastAsia="zh-CN"/>
                    </w:rPr>
                  </w:pPr>
                  <w:r>
                    <w:rPr>
                      <w:rFonts w:hint="eastAsia" w:ascii="Times New Roman" w:hAnsi="Times New Roman"/>
                      <w:szCs w:val="21"/>
                      <w:lang w:val="en-US" w:eastAsia="zh-CN"/>
                    </w:rPr>
                    <w:t>院区道路</w:t>
                  </w:r>
                </w:p>
              </w:tc>
              <w:tc>
                <w:tcPr>
                  <w:tcW w:w="721" w:type="dxa"/>
                  <w:tcBorders>
                    <w:tl2br w:val="nil"/>
                    <w:tr2bl w:val="nil"/>
                  </w:tcBorders>
                  <w:shd w:val="clear" w:color="auto" w:fill="auto"/>
                  <w:vAlign w:val="center"/>
                </w:tcPr>
                <w:p w14:paraId="56A2F04A">
                  <w:pPr>
                    <w:spacing w:line="216" w:lineRule="auto"/>
                    <w:jc w:val="center"/>
                    <w:rPr>
                      <w:rFonts w:hint="default" w:ascii="Times New Roman" w:hAnsi="Times New Roman"/>
                      <w:szCs w:val="21"/>
                      <w:lang w:val="en-US" w:eastAsia="zh-CN"/>
                    </w:rPr>
                  </w:pPr>
                  <w:r>
                    <w:rPr>
                      <w:rFonts w:hint="eastAsia" w:ascii="Times New Roman" w:hAnsi="Times New Roman"/>
                      <w:szCs w:val="21"/>
                      <w:lang w:val="en-US" w:eastAsia="zh-CN"/>
                    </w:rPr>
                    <w:t>东侧</w:t>
                  </w:r>
                </w:p>
              </w:tc>
              <w:tc>
                <w:tcPr>
                  <w:tcW w:w="564" w:type="dxa"/>
                  <w:tcBorders>
                    <w:tl2br w:val="nil"/>
                    <w:tr2bl w:val="nil"/>
                  </w:tcBorders>
                  <w:shd w:val="clear" w:color="auto" w:fill="auto"/>
                  <w:vAlign w:val="center"/>
                </w:tcPr>
                <w:p w14:paraId="083FE1B5">
                  <w:pPr>
                    <w:spacing w:line="216" w:lineRule="auto"/>
                    <w:jc w:val="center"/>
                    <w:rPr>
                      <w:rFonts w:hint="default" w:ascii="Times New Roman" w:hAnsi="Times New Roman"/>
                      <w:szCs w:val="21"/>
                      <w:lang w:val="en-US" w:eastAsia="zh-CN"/>
                    </w:rPr>
                  </w:pPr>
                  <w:r>
                    <w:rPr>
                      <w:rFonts w:hint="eastAsia" w:ascii="Times New Roman" w:hAnsi="Times New Roman"/>
                      <w:szCs w:val="21"/>
                      <w:lang w:val="en-US" w:eastAsia="zh-CN"/>
                    </w:rPr>
                    <w:t>5-10</w:t>
                  </w:r>
                </w:p>
              </w:tc>
              <w:tc>
                <w:tcPr>
                  <w:tcW w:w="580" w:type="dxa"/>
                  <w:tcBorders>
                    <w:tl2br w:val="nil"/>
                    <w:tr2bl w:val="nil"/>
                  </w:tcBorders>
                  <w:shd w:val="clear" w:color="auto" w:fill="auto"/>
                  <w:vAlign w:val="center"/>
                </w:tcPr>
                <w:p w14:paraId="5A7CB3DC">
                  <w:pPr>
                    <w:spacing w:line="216" w:lineRule="auto"/>
                    <w:jc w:val="center"/>
                    <w:rPr>
                      <w:rFonts w:hint="default" w:ascii="Times New Roman" w:hAnsi="Times New Roman"/>
                      <w:szCs w:val="21"/>
                      <w:lang w:val="en-US" w:eastAsia="zh-CN"/>
                    </w:rPr>
                  </w:pPr>
                  <w:r>
                    <w:rPr>
                      <w:rFonts w:hint="eastAsia" w:ascii="Times New Roman" w:hAnsi="Times New Roman"/>
                      <w:szCs w:val="21"/>
                      <w:lang w:val="en-US" w:eastAsia="zh-CN"/>
                    </w:rPr>
                    <w:t>3</w:t>
                  </w:r>
                </w:p>
              </w:tc>
              <w:tc>
                <w:tcPr>
                  <w:tcW w:w="817" w:type="dxa"/>
                  <w:tcBorders>
                    <w:tl2br w:val="nil"/>
                    <w:tr2bl w:val="nil"/>
                  </w:tcBorders>
                  <w:shd w:val="clear" w:color="auto" w:fill="auto"/>
                  <w:vAlign w:val="center"/>
                </w:tcPr>
                <w:p w14:paraId="739B10D7">
                  <w:pPr>
                    <w:spacing w:line="216" w:lineRule="auto"/>
                    <w:jc w:val="center"/>
                    <w:rPr>
                      <w:rFonts w:hint="eastAsia" w:ascii="Times New Roman" w:hAnsi="Times New Roman"/>
                      <w:szCs w:val="21"/>
                    </w:rPr>
                  </w:pPr>
                  <w:r>
                    <w:rPr>
                      <w:rFonts w:hint="eastAsia" w:ascii="Times New Roman" w:hAnsi="Times New Roman"/>
                      <w:szCs w:val="21"/>
                    </w:rPr>
                    <w:t>约</w:t>
                  </w:r>
                  <w:r>
                    <w:rPr>
                      <w:rFonts w:hint="eastAsia" w:ascii="Times New Roman" w:hAnsi="Times New Roman"/>
                      <w:szCs w:val="21"/>
                      <w:lang w:val="en-US" w:eastAsia="zh-CN"/>
                    </w:rPr>
                    <w:t>2</w:t>
                  </w:r>
                  <w:r>
                    <w:rPr>
                      <w:rFonts w:hint="eastAsia" w:ascii="Times New Roman" w:hAnsi="Times New Roman"/>
                      <w:szCs w:val="21"/>
                    </w:rPr>
                    <w:t>00</w:t>
                  </w:r>
                </w:p>
              </w:tc>
              <w:tc>
                <w:tcPr>
                  <w:tcW w:w="1170" w:type="dxa"/>
                  <w:tcBorders>
                    <w:tl2br w:val="nil"/>
                    <w:tr2bl w:val="nil"/>
                  </w:tcBorders>
                  <w:shd w:val="clear" w:color="auto" w:fill="auto"/>
                  <w:vAlign w:val="center"/>
                </w:tcPr>
                <w:p w14:paraId="73368DB0">
                  <w:pPr>
                    <w:spacing w:line="216" w:lineRule="auto"/>
                    <w:jc w:val="center"/>
                    <w:rPr>
                      <w:rFonts w:ascii="Times New Roman" w:hAnsi="Times New Roman"/>
                      <w:szCs w:val="21"/>
                    </w:rPr>
                  </w:pPr>
                  <w:r>
                    <w:rPr>
                      <w:rFonts w:ascii="Times New Roman" w:hAnsi="Times New Roman"/>
                      <w:szCs w:val="21"/>
                    </w:rPr>
                    <w:t>公众照射</w:t>
                  </w:r>
                </w:p>
              </w:tc>
              <w:tc>
                <w:tcPr>
                  <w:tcW w:w="1175" w:type="dxa"/>
                  <w:tcBorders>
                    <w:tl2br w:val="nil"/>
                    <w:tr2bl w:val="nil"/>
                  </w:tcBorders>
                  <w:shd w:val="clear" w:color="auto" w:fill="auto"/>
                  <w:vAlign w:val="center"/>
                </w:tcPr>
                <w:p w14:paraId="0FA0520C">
                  <w:pPr>
                    <w:spacing w:line="216" w:lineRule="auto"/>
                    <w:jc w:val="center"/>
                    <w:rPr>
                      <w:rFonts w:ascii="Times New Roman" w:hAnsi="Times New Roman"/>
                      <w:szCs w:val="21"/>
                    </w:rPr>
                  </w:pPr>
                  <w:r>
                    <w:rPr>
                      <w:rFonts w:ascii="Times New Roman" w:hAnsi="Times New Roman"/>
                      <w:szCs w:val="21"/>
                    </w:rPr>
                    <w:t>0.1</w:t>
                  </w:r>
                </w:p>
              </w:tc>
            </w:tr>
          </w:tbl>
          <w:p w14:paraId="5CC74590">
            <w:pPr>
              <w:spacing w:line="360" w:lineRule="auto"/>
              <w:ind w:firstLine="480" w:firstLineChars="200"/>
              <w:jc w:val="both"/>
              <w:rPr>
                <w:rFonts w:hint="default" w:ascii="Times New Roman" w:hAnsi="Times New Roman" w:cs="Times New Roman"/>
                <w:b w:val="0"/>
                <w:bCs w:val="0"/>
                <w:sz w:val="24"/>
                <w:szCs w:val="20"/>
              </w:rPr>
            </w:pPr>
            <w:r>
              <w:rPr>
                <w:rFonts w:hint="default" w:ascii="Times New Roman" w:hAnsi="Times New Roman" w:cs="Times New Roman"/>
                <w:b w:val="0"/>
                <w:bCs w:val="0"/>
                <w:sz w:val="24"/>
                <w:szCs w:val="20"/>
                <w:lang w:val="en-US" w:eastAsia="zh-CN"/>
              </w:rPr>
              <w:t>现有辐射源为Ⅱ</w:t>
            </w:r>
            <w:r>
              <w:rPr>
                <w:rFonts w:hint="eastAsia" w:ascii="Times New Roman" w:hAnsi="Times New Roman" w:cs="Times New Roman"/>
                <w:b w:val="0"/>
                <w:bCs w:val="0"/>
                <w:sz w:val="24"/>
                <w:szCs w:val="20"/>
                <w:lang w:val="en-US" w:eastAsia="zh-CN"/>
              </w:rPr>
              <w:t>、</w:t>
            </w:r>
            <w:r>
              <w:rPr>
                <w:rFonts w:hint="default" w:ascii="Times New Roman" w:hAnsi="Times New Roman" w:cs="Times New Roman"/>
                <w:b w:val="0"/>
                <w:bCs w:val="0"/>
                <w:sz w:val="24"/>
                <w:szCs w:val="20"/>
                <w:lang w:val="en-US" w:eastAsia="zh-CN"/>
              </w:rPr>
              <w:t>Ⅲ类辐射装置，根据现有监测报告，其工作人员辐射剂量</w:t>
            </w:r>
            <w:r>
              <w:rPr>
                <w:rFonts w:hint="eastAsia" w:ascii="Times New Roman" w:hAnsi="Times New Roman" w:cs="Times New Roman"/>
                <w:b w:val="0"/>
                <w:bCs w:val="0"/>
                <w:sz w:val="24"/>
                <w:szCs w:val="20"/>
                <w:lang w:val="en-US" w:eastAsia="zh-CN"/>
              </w:rPr>
              <w:t>最大为5.25×10</w:t>
            </w:r>
            <w:r>
              <w:rPr>
                <w:rFonts w:hint="eastAsia" w:ascii="Times New Roman" w:hAnsi="Times New Roman" w:cs="Times New Roman"/>
                <w:b w:val="0"/>
                <w:bCs w:val="0"/>
                <w:sz w:val="24"/>
                <w:szCs w:val="20"/>
                <w:vertAlign w:val="superscript"/>
                <w:lang w:val="en-US" w:eastAsia="zh-CN"/>
              </w:rPr>
              <w:t>-3</w:t>
            </w:r>
            <w:r>
              <w:rPr>
                <w:rFonts w:hint="eastAsia" w:ascii="Times New Roman" w:hAnsi="Times New Roman" w:cs="Times New Roman"/>
                <w:b w:val="0"/>
                <w:bCs w:val="0"/>
                <w:sz w:val="24"/>
                <w:szCs w:val="20"/>
                <w:vertAlign w:val="baseline"/>
                <w:lang w:val="en-US" w:eastAsia="zh-CN"/>
              </w:rPr>
              <w:t>mSv/年，公众</w:t>
            </w:r>
            <w:r>
              <w:rPr>
                <w:rFonts w:hint="default" w:ascii="Times New Roman" w:hAnsi="Times New Roman" w:cs="Times New Roman"/>
                <w:b w:val="0"/>
                <w:bCs w:val="0"/>
                <w:sz w:val="24"/>
                <w:szCs w:val="20"/>
                <w:lang w:val="en-US" w:eastAsia="zh-CN"/>
              </w:rPr>
              <w:t>辐射剂量</w:t>
            </w:r>
            <w:r>
              <w:rPr>
                <w:rFonts w:hint="eastAsia" w:ascii="Times New Roman" w:hAnsi="Times New Roman" w:cs="Times New Roman"/>
                <w:b w:val="0"/>
                <w:bCs w:val="0"/>
                <w:sz w:val="24"/>
                <w:szCs w:val="20"/>
                <w:lang w:val="en-US" w:eastAsia="zh-CN"/>
              </w:rPr>
              <w:t>最大为1.31×10</w:t>
            </w:r>
            <w:r>
              <w:rPr>
                <w:rFonts w:hint="eastAsia" w:ascii="Times New Roman" w:hAnsi="Times New Roman" w:cs="Times New Roman"/>
                <w:b w:val="0"/>
                <w:bCs w:val="0"/>
                <w:sz w:val="24"/>
                <w:szCs w:val="20"/>
                <w:vertAlign w:val="superscript"/>
                <w:lang w:val="en-US" w:eastAsia="zh-CN"/>
              </w:rPr>
              <w:t>-3</w:t>
            </w:r>
            <w:r>
              <w:rPr>
                <w:rFonts w:hint="eastAsia" w:ascii="Times New Roman" w:hAnsi="Times New Roman" w:cs="Times New Roman"/>
                <w:b w:val="0"/>
                <w:bCs w:val="0"/>
                <w:sz w:val="24"/>
                <w:szCs w:val="20"/>
                <w:vertAlign w:val="baseline"/>
                <w:lang w:val="en-US" w:eastAsia="zh-CN"/>
              </w:rPr>
              <w:t>mSv/年</w:t>
            </w:r>
            <w:r>
              <w:rPr>
                <w:rFonts w:hint="default" w:ascii="Times New Roman" w:hAnsi="Times New Roman" w:cs="Times New Roman"/>
                <w:b w:val="0"/>
                <w:bCs w:val="0"/>
                <w:sz w:val="24"/>
                <w:szCs w:val="20"/>
                <w:lang w:val="en-US" w:eastAsia="zh-CN"/>
              </w:rPr>
              <w:t>影响较小</w:t>
            </w:r>
            <w:r>
              <w:rPr>
                <w:rFonts w:hint="eastAsia" w:ascii="Times New Roman" w:hAnsi="Times New Roman" w:cs="Times New Roman"/>
                <w:b w:val="0"/>
                <w:bCs w:val="0"/>
                <w:sz w:val="24"/>
                <w:szCs w:val="20"/>
                <w:lang w:val="en-US" w:eastAsia="zh-CN"/>
              </w:rPr>
              <w:t>（见附件6）</w:t>
            </w:r>
            <w:r>
              <w:rPr>
                <w:rFonts w:hint="default" w:ascii="Times New Roman" w:hAnsi="Times New Roman" w:cs="Times New Roman"/>
                <w:b w:val="0"/>
                <w:bCs w:val="0"/>
                <w:sz w:val="24"/>
                <w:szCs w:val="20"/>
                <w:lang w:val="en-US" w:eastAsia="zh-CN"/>
              </w:rPr>
              <w:t>，由此得出现有辐射源对本项目环境保护目标影响</w:t>
            </w:r>
            <w:r>
              <w:rPr>
                <w:rFonts w:hint="eastAsia" w:ascii="Times New Roman" w:hAnsi="Times New Roman" w:cs="Times New Roman"/>
                <w:b w:val="0"/>
                <w:bCs w:val="0"/>
                <w:sz w:val="24"/>
                <w:szCs w:val="20"/>
                <w:lang w:val="en-US" w:eastAsia="zh-CN"/>
              </w:rPr>
              <w:t>较小</w:t>
            </w:r>
            <w:r>
              <w:rPr>
                <w:rFonts w:hint="default" w:ascii="Times New Roman" w:hAnsi="Times New Roman" w:cs="Times New Roman"/>
                <w:b w:val="0"/>
                <w:bCs w:val="0"/>
                <w:sz w:val="24"/>
                <w:szCs w:val="20"/>
                <w:lang w:val="en-US" w:eastAsia="zh-CN"/>
              </w:rPr>
              <w:t>。</w:t>
            </w:r>
          </w:p>
          <w:bookmarkEnd w:id="15"/>
          <w:p w14:paraId="4F7FE99C">
            <w:pPr>
              <w:spacing w:line="360" w:lineRule="auto"/>
              <w:rPr>
                <w:rFonts w:ascii="Times New Roman" w:hAnsi="Times New Roman"/>
                <w:sz w:val="24"/>
              </w:rPr>
            </w:pPr>
          </w:p>
        </w:tc>
      </w:tr>
      <w:tr w14:paraId="6040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030" w:type="dxa"/>
            <w:tcBorders>
              <w:top w:val="single" w:color="000000" w:sz="4" w:space="0"/>
            </w:tcBorders>
          </w:tcPr>
          <w:p w14:paraId="3DA637C8">
            <w:pPr>
              <w:jc w:val="left"/>
              <w:rPr>
                <w:rFonts w:ascii="Times New Roman" w:hAnsi="Times New Roman"/>
                <w:b/>
                <w:bCs/>
                <w:sz w:val="30"/>
                <w:szCs w:val="30"/>
              </w:rPr>
            </w:pPr>
            <w:r>
              <w:rPr>
                <w:rFonts w:ascii="Times New Roman" w:hAnsi="Times New Roman"/>
                <w:b/>
                <w:bCs/>
                <w:sz w:val="28"/>
                <w:szCs w:val="28"/>
              </w:rPr>
              <w:t>评价标准</w:t>
            </w:r>
          </w:p>
          <w:p w14:paraId="5C0EFB65">
            <w:pPr>
              <w:numPr>
                <w:ilvl w:val="0"/>
                <w:numId w:val="8"/>
              </w:numPr>
              <w:spacing w:line="336" w:lineRule="auto"/>
              <w:jc w:val="left"/>
              <w:rPr>
                <w:rFonts w:ascii="Times New Roman" w:hAnsi="Times New Roman"/>
                <w:b/>
                <w:bCs/>
                <w:sz w:val="28"/>
                <w:szCs w:val="28"/>
              </w:rPr>
            </w:pPr>
            <w:r>
              <w:rPr>
                <w:rFonts w:ascii="Times New Roman" w:hAnsi="Times New Roman"/>
                <w:b/>
                <w:bCs/>
                <w:sz w:val="28"/>
                <w:szCs w:val="28"/>
              </w:rPr>
              <w:t>环境质量标准</w:t>
            </w:r>
          </w:p>
          <w:p w14:paraId="755B5282">
            <w:pPr>
              <w:numPr>
                <w:ilvl w:val="0"/>
                <w:numId w:val="9"/>
              </w:numPr>
              <w:spacing w:line="336" w:lineRule="auto"/>
              <w:ind w:firstLine="480" w:firstLineChars="200"/>
              <w:rPr>
                <w:rFonts w:ascii="Times New Roman" w:hAnsi="Times New Roman"/>
                <w:sz w:val="24"/>
              </w:rPr>
            </w:pPr>
            <w:r>
              <w:rPr>
                <w:rFonts w:ascii="Times New Roman" w:hAnsi="Times New Roman"/>
                <w:sz w:val="24"/>
              </w:rPr>
              <w:t>大气：《环境空气质量标准》（GB3095-20</w:t>
            </w:r>
            <w:r>
              <w:rPr>
                <w:rFonts w:hint="eastAsia"/>
                <w:sz w:val="24"/>
                <w:lang w:val="en-US" w:eastAsia="zh-CN"/>
              </w:rPr>
              <w:t>26</w:t>
            </w:r>
            <w:r>
              <w:rPr>
                <w:rFonts w:ascii="Times New Roman" w:hAnsi="Times New Roman"/>
                <w:sz w:val="24"/>
              </w:rPr>
              <w:t>）</w:t>
            </w:r>
            <w:r>
              <w:rPr>
                <w:rFonts w:hint="eastAsia"/>
                <w:sz w:val="24"/>
                <w:lang w:val="en-US" w:eastAsia="zh-CN"/>
              </w:rPr>
              <w:t>过渡阶段浓度限值</w:t>
            </w:r>
            <w:r>
              <w:rPr>
                <w:rFonts w:ascii="Times New Roman" w:hAnsi="Times New Roman"/>
                <w:sz w:val="24"/>
              </w:rPr>
              <w:t>二级标准。</w:t>
            </w:r>
          </w:p>
          <w:p w14:paraId="08DCE9A0">
            <w:pPr>
              <w:numPr>
                <w:ilvl w:val="0"/>
                <w:numId w:val="9"/>
              </w:numPr>
              <w:spacing w:line="336" w:lineRule="auto"/>
              <w:ind w:firstLine="480" w:firstLineChars="200"/>
              <w:rPr>
                <w:rFonts w:ascii="Times New Roman" w:hAnsi="Times New Roman"/>
                <w:sz w:val="24"/>
              </w:rPr>
            </w:pPr>
            <w:r>
              <w:rPr>
                <w:rFonts w:ascii="Times New Roman" w:hAnsi="Times New Roman"/>
                <w:sz w:val="24"/>
              </w:rPr>
              <w:t>地表水：《地表水环境质量标准》（GB3838-2002）</w:t>
            </w:r>
            <w:r>
              <w:rPr>
                <w:rFonts w:ascii="Times New Roman" w:hAnsi="Times New Roman"/>
                <w:smallCaps/>
                <w:sz w:val="24"/>
              </w:rPr>
              <w:t>Ⅲ类标准</w:t>
            </w:r>
            <w:r>
              <w:rPr>
                <w:rFonts w:ascii="Times New Roman" w:hAnsi="Times New Roman"/>
                <w:sz w:val="24"/>
              </w:rPr>
              <w:t>。</w:t>
            </w:r>
          </w:p>
          <w:p w14:paraId="6EF041E1">
            <w:pPr>
              <w:numPr>
                <w:ilvl w:val="0"/>
                <w:numId w:val="9"/>
              </w:numPr>
              <w:spacing w:line="336" w:lineRule="auto"/>
              <w:ind w:firstLine="480" w:firstLineChars="200"/>
              <w:rPr>
                <w:rFonts w:ascii="Times New Roman" w:hAnsi="Times New Roman"/>
                <w:sz w:val="24"/>
              </w:rPr>
            </w:pPr>
            <w:r>
              <w:rPr>
                <w:rFonts w:ascii="Times New Roman" w:hAnsi="Times New Roman"/>
                <w:sz w:val="24"/>
              </w:rPr>
              <w:t>声环境：《声环境质量标准》（GB3096-2008）2类标准。</w:t>
            </w:r>
          </w:p>
          <w:p w14:paraId="39043DF3">
            <w:pPr>
              <w:spacing w:line="336" w:lineRule="auto"/>
              <w:jc w:val="left"/>
              <w:rPr>
                <w:rFonts w:ascii="Times New Roman" w:hAnsi="Times New Roman"/>
                <w:b/>
                <w:bCs/>
                <w:sz w:val="28"/>
                <w:szCs w:val="28"/>
              </w:rPr>
            </w:pPr>
            <w:r>
              <w:rPr>
                <w:rFonts w:ascii="Times New Roman" w:hAnsi="Times New Roman"/>
                <w:b/>
                <w:bCs/>
                <w:sz w:val="28"/>
                <w:szCs w:val="28"/>
              </w:rPr>
              <w:t>二、污染物排放标准</w:t>
            </w:r>
          </w:p>
          <w:p w14:paraId="64C6799A">
            <w:pPr>
              <w:spacing w:line="336" w:lineRule="auto"/>
              <w:ind w:firstLine="480" w:firstLineChars="200"/>
              <w:rPr>
                <w:rFonts w:ascii="Times New Roman" w:hAnsi="Times New Roman"/>
                <w:sz w:val="24"/>
              </w:rPr>
            </w:pPr>
            <w:r>
              <w:rPr>
                <w:rFonts w:ascii="Times New Roman" w:hAnsi="Times New Roman"/>
                <w:sz w:val="24"/>
              </w:rPr>
              <w:t>（1）废气：《大气污染物综合排放标准》（GB16297-1996）二级标准。</w:t>
            </w:r>
          </w:p>
          <w:p w14:paraId="68A58280">
            <w:pPr>
              <w:spacing w:line="360" w:lineRule="auto"/>
              <w:ind w:firstLine="480" w:firstLineChars="200"/>
              <w:rPr>
                <w:rFonts w:ascii="Times New Roman" w:hAnsi="Times New Roman"/>
                <w:sz w:val="24"/>
              </w:rPr>
            </w:pPr>
            <w:r>
              <w:rPr>
                <w:rFonts w:ascii="Times New Roman" w:hAnsi="Times New Roman"/>
                <w:sz w:val="24"/>
              </w:rPr>
              <w:t>（</w:t>
            </w:r>
            <w:r>
              <w:rPr>
                <w:rFonts w:hint="eastAsia" w:ascii="Times New Roman" w:hAnsi="Times New Roman"/>
                <w:sz w:val="24"/>
                <w:lang w:val="en-US" w:eastAsia="zh-CN"/>
              </w:rPr>
              <w:t>2</w:t>
            </w:r>
            <w:r>
              <w:rPr>
                <w:rFonts w:ascii="Times New Roman" w:hAnsi="Times New Roman"/>
                <w:sz w:val="24"/>
              </w:rPr>
              <w:t>）医疗废水排放执行《医疗机构水污染物排放标准》（GB18466-2005）表2中的预处理排放标准。</w:t>
            </w:r>
          </w:p>
          <w:p w14:paraId="368FD96D">
            <w:pPr>
              <w:spacing w:line="360" w:lineRule="auto"/>
              <w:ind w:firstLine="480" w:firstLineChars="200"/>
              <w:rPr>
                <w:rFonts w:ascii="Times New Roman" w:hAnsi="Times New Roman"/>
                <w:sz w:val="24"/>
              </w:rPr>
            </w:pPr>
            <w:r>
              <w:rPr>
                <w:rFonts w:ascii="Times New Roman" w:hAnsi="Times New Roman"/>
                <w:sz w:val="24"/>
              </w:rPr>
              <w:t>（</w:t>
            </w:r>
            <w:r>
              <w:rPr>
                <w:rFonts w:hint="eastAsia" w:ascii="Times New Roman" w:hAnsi="Times New Roman"/>
                <w:sz w:val="24"/>
                <w:lang w:val="en-US" w:eastAsia="zh-CN"/>
              </w:rPr>
              <w:t>3</w:t>
            </w:r>
            <w:r>
              <w:rPr>
                <w:rFonts w:ascii="Times New Roman" w:hAnsi="Times New Roman"/>
                <w:sz w:val="24"/>
              </w:rPr>
              <w:t>）噪声：</w:t>
            </w:r>
            <w:r>
              <w:rPr>
                <w:rFonts w:ascii="Times New Roman" w:hAnsi="Times New Roman"/>
                <w:sz w:val="24"/>
              </w:rPr>
              <w:fldChar w:fldCharType="begin"/>
            </w:r>
            <w:r>
              <w:rPr>
                <w:rFonts w:ascii="Times New Roman" w:hAnsi="Times New Roman"/>
                <w:sz w:val="24"/>
              </w:rPr>
              <w:instrText xml:space="preserve"> = 1 \* GB3 \* MERGEFORMAT </w:instrText>
            </w:r>
            <w:r>
              <w:rPr>
                <w:rFonts w:ascii="Times New Roman" w:hAnsi="Times New Roman"/>
                <w:sz w:val="24"/>
              </w:rPr>
              <w:fldChar w:fldCharType="separate"/>
            </w:r>
            <w:r>
              <w:rPr>
                <w:rFonts w:ascii="Times New Roman" w:hAnsi="Times New Roman"/>
                <w:sz w:val="24"/>
              </w:rPr>
              <w:t>①</w:t>
            </w:r>
            <w:r>
              <w:rPr>
                <w:rFonts w:ascii="Times New Roman" w:hAnsi="Times New Roman"/>
                <w:sz w:val="24"/>
              </w:rPr>
              <w:fldChar w:fldCharType="end"/>
            </w:r>
            <w:r>
              <w:rPr>
                <w:rFonts w:ascii="Times New Roman" w:hAnsi="Times New Roman"/>
                <w:sz w:val="24"/>
              </w:rPr>
              <w:t>施工期：《建筑施工场界环境噪声排放标准》（GB15023-20</w:t>
            </w:r>
            <w:r>
              <w:rPr>
                <w:rFonts w:hint="eastAsia" w:ascii="Times New Roman" w:hAnsi="Times New Roman"/>
                <w:sz w:val="24"/>
                <w:lang w:val="en-US" w:eastAsia="zh-CN"/>
              </w:rPr>
              <w:t>25</w:t>
            </w:r>
            <w:r>
              <w:rPr>
                <w:rFonts w:ascii="Times New Roman" w:hAnsi="Times New Roman"/>
                <w:sz w:val="24"/>
              </w:rPr>
              <w:t>）标准；</w:t>
            </w:r>
            <w:r>
              <w:rPr>
                <w:rFonts w:ascii="Times New Roman" w:hAnsi="Times New Roman"/>
                <w:sz w:val="24"/>
              </w:rPr>
              <w:fldChar w:fldCharType="begin"/>
            </w:r>
            <w:r>
              <w:rPr>
                <w:rFonts w:ascii="Times New Roman" w:hAnsi="Times New Roman"/>
                <w:sz w:val="24"/>
              </w:rPr>
              <w:instrText xml:space="preserve"> = 2 \* GB3 \* MERGEFORMAT </w:instrText>
            </w:r>
            <w:r>
              <w:rPr>
                <w:rFonts w:ascii="Times New Roman" w:hAnsi="Times New Roman"/>
                <w:sz w:val="24"/>
              </w:rPr>
              <w:fldChar w:fldCharType="separate"/>
            </w:r>
            <w:r>
              <w:rPr>
                <w:rFonts w:ascii="Times New Roman" w:hAnsi="Times New Roman"/>
                <w:sz w:val="24"/>
              </w:rPr>
              <w:t>②</w:t>
            </w:r>
            <w:r>
              <w:rPr>
                <w:rFonts w:ascii="Times New Roman" w:hAnsi="Times New Roman"/>
                <w:sz w:val="24"/>
              </w:rPr>
              <w:fldChar w:fldCharType="end"/>
            </w:r>
            <w:r>
              <w:rPr>
                <w:rFonts w:ascii="Times New Roman" w:hAnsi="Times New Roman"/>
                <w:sz w:val="24"/>
              </w:rPr>
              <w:t>运营期：《工业企业厂界环境噪声排放标准》（GB12348-2008）2类标准。</w:t>
            </w:r>
          </w:p>
          <w:p w14:paraId="5E2E3A13">
            <w:pPr>
              <w:spacing w:line="360" w:lineRule="auto"/>
              <w:ind w:firstLine="480" w:firstLineChars="200"/>
              <w:rPr>
                <w:rFonts w:ascii="Times New Roman" w:hAnsi="Times New Roman"/>
                <w:sz w:val="24"/>
              </w:rPr>
            </w:pPr>
            <w:r>
              <w:rPr>
                <w:rFonts w:ascii="Times New Roman" w:hAnsi="Times New Roman"/>
                <w:sz w:val="24"/>
              </w:rPr>
              <w:t>（</w:t>
            </w:r>
            <w:r>
              <w:rPr>
                <w:rFonts w:hint="eastAsia" w:ascii="Times New Roman" w:hAnsi="Times New Roman"/>
                <w:sz w:val="24"/>
                <w:lang w:val="en-US" w:eastAsia="zh-CN"/>
              </w:rPr>
              <w:t>4</w:t>
            </w:r>
            <w:r>
              <w:rPr>
                <w:rFonts w:ascii="Times New Roman" w:hAnsi="Times New Roman"/>
                <w:sz w:val="24"/>
              </w:rPr>
              <w:t>）</w:t>
            </w:r>
            <w:r>
              <w:rPr>
                <w:rFonts w:ascii="Times New Roman" w:hAnsi="Times New Roman"/>
                <w:color w:val="auto"/>
                <w:sz w:val="24"/>
              </w:rPr>
              <w:t>一般固废：</w:t>
            </w:r>
            <w:r>
              <w:rPr>
                <w:rFonts w:hint="eastAsia" w:ascii="Times New Roman" w:hAnsi="Times New Roman"/>
                <w:color w:val="auto"/>
                <w:sz w:val="24"/>
                <w:lang w:val="en-US" w:eastAsia="zh-CN"/>
              </w:rPr>
              <w:t>参照执行</w:t>
            </w:r>
            <w:r>
              <w:rPr>
                <w:rFonts w:ascii="Times New Roman" w:hAnsi="Times New Roman"/>
                <w:color w:val="auto"/>
                <w:sz w:val="24"/>
              </w:rPr>
              <w:t>《一般工业固体废物贮存和填埋污染控制标准》（GB18599-2020）</w:t>
            </w:r>
            <w:r>
              <w:rPr>
                <w:rFonts w:hint="eastAsia" w:ascii="Times New Roman" w:hAnsi="Times New Roman"/>
                <w:color w:val="auto"/>
                <w:sz w:val="24"/>
                <w:lang w:eastAsia="zh-CN"/>
              </w:rPr>
              <w:t>；</w:t>
            </w:r>
            <w:r>
              <w:rPr>
                <w:rFonts w:hint="eastAsia" w:ascii="Times New Roman" w:hAnsi="Times New Roman"/>
                <w:sz w:val="24"/>
              </w:rPr>
              <w:t>营运期医疗固废</w:t>
            </w:r>
            <w:r>
              <w:rPr>
                <w:rFonts w:ascii="Times New Roman" w:hAnsi="Times New Roman"/>
                <w:sz w:val="24"/>
              </w:rPr>
              <w:t>执行《医疗废物处理处置污染控制标准》（GB39707-2020）、还应满足《危险废物贮存污染控制标准》（GB 18597-2023）相关要求</w:t>
            </w:r>
            <w:r>
              <w:rPr>
                <w:rFonts w:hint="eastAsia" w:ascii="Times New Roman" w:hAnsi="Times New Roman"/>
                <w:sz w:val="24"/>
                <w:lang w:eastAsia="zh-CN"/>
              </w:rPr>
              <w:t>。</w:t>
            </w:r>
          </w:p>
          <w:p w14:paraId="0518BA47">
            <w:pPr>
              <w:spacing w:line="336" w:lineRule="auto"/>
              <w:jc w:val="left"/>
              <w:rPr>
                <w:rFonts w:ascii="Times New Roman" w:hAnsi="Times New Roman"/>
                <w:b/>
                <w:bCs/>
                <w:sz w:val="28"/>
                <w:szCs w:val="28"/>
              </w:rPr>
            </w:pPr>
            <w:r>
              <w:rPr>
                <w:rFonts w:ascii="Times New Roman" w:hAnsi="Times New Roman"/>
                <w:b/>
                <w:bCs/>
                <w:sz w:val="28"/>
                <w:szCs w:val="28"/>
              </w:rPr>
              <w:t>三、电离辐射剂量限值和剂量约束值</w:t>
            </w:r>
          </w:p>
          <w:p w14:paraId="3B6EBAFF">
            <w:pPr>
              <w:spacing w:line="360" w:lineRule="auto"/>
              <w:ind w:firstLine="480" w:firstLineChars="200"/>
              <w:rPr>
                <w:rFonts w:ascii="Times New Roman" w:hAnsi="Times New Roman"/>
                <w:bCs/>
                <w:sz w:val="24"/>
              </w:rPr>
            </w:pPr>
            <w:r>
              <w:rPr>
                <w:rFonts w:ascii="Times New Roman" w:hAnsi="Times New Roman"/>
                <w:bCs/>
                <w:sz w:val="24"/>
              </w:rPr>
              <w:t>电离辐射执行《电离辐射防护与辐射源安全基本标准》（GB18871-2002）。</w:t>
            </w:r>
          </w:p>
          <w:p w14:paraId="3D074172">
            <w:pPr>
              <w:spacing w:line="360" w:lineRule="auto"/>
              <w:ind w:firstLine="480" w:firstLineChars="200"/>
              <w:rPr>
                <w:rFonts w:ascii="Times New Roman" w:hAnsi="Times New Roman"/>
                <w:bCs/>
                <w:sz w:val="24"/>
              </w:rPr>
            </w:pPr>
            <w:r>
              <w:rPr>
                <w:rFonts w:ascii="Times New Roman" w:hAnsi="Times New Roman"/>
                <w:bCs/>
                <w:sz w:val="24"/>
              </w:rPr>
              <w:t>职业照射：根据《电离辐射防护与辐射源安全基本标准》（GB18871-2002）第4.3.2.1条的规定，对任何工作人员，由来自各项获准实践的综合照射所致的个人总有效剂量不超过由审管部门决定的连续5年的年平均有效剂量（但不可作任何追溯平均）20mSv。四肢（手和足）或皮肤的年当量剂量不超过500mSv。</w:t>
            </w:r>
            <w:r>
              <w:rPr>
                <w:rFonts w:hint="eastAsia" w:ascii="Times New Roman" w:hAnsi="Times New Roman"/>
                <w:sz w:val="24"/>
              </w:rPr>
              <w:t>眼晶状体的年当量剂量不超过150</w:t>
            </w:r>
            <w:r>
              <w:rPr>
                <w:rFonts w:ascii="Times New Roman" w:hAnsi="Times New Roman"/>
                <w:sz w:val="24"/>
              </w:rPr>
              <w:t>mSv</w:t>
            </w:r>
            <w:r>
              <w:rPr>
                <w:rFonts w:hint="eastAsia" w:ascii="Times New Roman" w:hAnsi="Times New Roman"/>
                <w:sz w:val="24"/>
              </w:rPr>
              <w:t>。</w:t>
            </w:r>
          </w:p>
          <w:p w14:paraId="768F6816">
            <w:pPr>
              <w:spacing w:line="360" w:lineRule="auto"/>
              <w:ind w:firstLine="480" w:firstLineChars="200"/>
              <w:rPr>
                <w:rFonts w:ascii="Times New Roman" w:hAnsi="Times New Roman"/>
                <w:sz w:val="24"/>
              </w:rPr>
            </w:pPr>
            <w:r>
              <w:rPr>
                <w:rFonts w:hint="eastAsia" w:ascii="Times New Roman" w:hAnsi="Times New Roman"/>
                <w:sz w:val="24"/>
              </w:rPr>
              <w:t>结合医院原有核技术利用项目，医院评价</w:t>
            </w:r>
            <w:r>
              <w:rPr>
                <w:rFonts w:ascii="Times New Roman" w:hAnsi="Times New Roman"/>
                <w:sz w:val="24"/>
              </w:rPr>
              <w:t>取上述标准中规定的职业照射年有效剂量限值的1/4（即5mSv/a）作为职业人员年剂量约束值；取四肢（手和足）或皮肤年当量剂量的1/4（即125mSv/a）作为职业人员四肢（手和足）或皮肤年当量剂量约束值</w:t>
            </w:r>
            <w:r>
              <w:rPr>
                <w:rFonts w:hint="eastAsia" w:ascii="Times New Roman" w:hAnsi="Times New Roman"/>
                <w:sz w:val="24"/>
              </w:rPr>
              <w:t>。取眼晶状体</w:t>
            </w:r>
            <w:r>
              <w:rPr>
                <w:rFonts w:ascii="Times New Roman" w:hAnsi="Times New Roman"/>
                <w:sz w:val="24"/>
              </w:rPr>
              <w:t>年当量剂量的1/4（即</w:t>
            </w:r>
            <w:r>
              <w:rPr>
                <w:rFonts w:hint="eastAsia" w:ascii="Times New Roman" w:hAnsi="Times New Roman"/>
                <w:sz w:val="24"/>
              </w:rPr>
              <w:t>37.5</w:t>
            </w:r>
            <w:r>
              <w:rPr>
                <w:rFonts w:ascii="Times New Roman" w:hAnsi="Times New Roman"/>
                <w:sz w:val="24"/>
              </w:rPr>
              <w:t>mSv/a）作为职业人员</w:t>
            </w:r>
            <w:r>
              <w:rPr>
                <w:rFonts w:hint="eastAsia" w:ascii="Times New Roman" w:hAnsi="Times New Roman"/>
                <w:sz w:val="24"/>
              </w:rPr>
              <w:t>眼晶状体</w:t>
            </w:r>
            <w:r>
              <w:rPr>
                <w:rFonts w:ascii="Times New Roman" w:hAnsi="Times New Roman"/>
                <w:sz w:val="24"/>
              </w:rPr>
              <w:t>年当量剂量约束值</w:t>
            </w:r>
            <w:r>
              <w:rPr>
                <w:rFonts w:hint="eastAsia" w:ascii="Times New Roman" w:hAnsi="Times New Roman"/>
                <w:sz w:val="24"/>
              </w:rPr>
              <w:t>。</w:t>
            </w:r>
          </w:p>
          <w:p w14:paraId="494A1115">
            <w:pPr>
              <w:spacing w:line="360" w:lineRule="auto"/>
              <w:ind w:firstLine="480" w:firstLineChars="200"/>
              <w:rPr>
                <w:rFonts w:ascii="Times New Roman" w:hAnsi="Times New Roman"/>
                <w:bCs/>
                <w:sz w:val="24"/>
              </w:rPr>
            </w:pPr>
            <w:r>
              <w:rPr>
                <w:rFonts w:ascii="Times New Roman" w:hAnsi="Times New Roman"/>
                <w:bCs/>
                <w:sz w:val="24"/>
              </w:rPr>
              <w:t>公众照射：第B1.2.1条的规定，实践使公众中有关关键人群组的成员所受到的平均剂量估计值不应超过年有效剂量1mSv。</w:t>
            </w:r>
          </w:p>
          <w:p w14:paraId="6B8FC001">
            <w:pPr>
              <w:spacing w:line="360" w:lineRule="auto"/>
              <w:ind w:firstLine="480" w:firstLineChars="200"/>
              <w:rPr>
                <w:rFonts w:ascii="Times New Roman" w:hAnsi="Times New Roman"/>
                <w:sz w:val="24"/>
              </w:rPr>
            </w:pPr>
            <w:r>
              <w:rPr>
                <w:rFonts w:hint="eastAsia" w:ascii="Times New Roman" w:hAnsi="Times New Roman"/>
                <w:sz w:val="24"/>
              </w:rPr>
              <w:t>结合医院原有核技术利用项目，医院评价</w:t>
            </w:r>
            <w:r>
              <w:rPr>
                <w:rFonts w:ascii="Times New Roman" w:hAnsi="Times New Roman"/>
                <w:sz w:val="24"/>
              </w:rPr>
              <w:t>取上述标准中规定的公众年有效剂量限值的1/10（即0.1mSv/a）作为公众的年剂量约束值。</w:t>
            </w:r>
          </w:p>
          <w:p w14:paraId="219A05E7">
            <w:pPr>
              <w:spacing w:line="336" w:lineRule="auto"/>
              <w:rPr>
                <w:rFonts w:ascii="Times New Roman" w:hAnsi="Times New Roman"/>
                <w:b/>
                <w:sz w:val="28"/>
                <w:szCs w:val="28"/>
              </w:rPr>
            </w:pPr>
            <w:r>
              <w:rPr>
                <w:rFonts w:ascii="Times New Roman" w:hAnsi="Times New Roman"/>
                <w:b/>
                <w:sz w:val="28"/>
                <w:szCs w:val="28"/>
              </w:rPr>
              <w:t xml:space="preserve">四、辐射工作场所边界周围剂量率控制水平  </w:t>
            </w:r>
          </w:p>
          <w:p w14:paraId="27798993">
            <w:pPr>
              <w:pStyle w:val="4"/>
              <w:keepNext w:val="0"/>
              <w:keepLines w:val="0"/>
              <w:numPr>
                <w:ilvl w:val="0"/>
                <w:numId w:val="0"/>
              </w:numPr>
              <w:autoSpaceDE w:val="0"/>
              <w:autoSpaceDN w:val="0"/>
              <w:spacing w:line="360" w:lineRule="auto"/>
              <w:ind w:firstLine="480" w:firstLineChars="200"/>
              <w:rPr>
                <w:rFonts w:ascii="Times New Roman" w:hAnsi="Times New Roman"/>
                <w:b w:val="0"/>
                <w:sz w:val="24"/>
              </w:rPr>
            </w:pPr>
            <w:r>
              <w:rPr>
                <w:rFonts w:hint="eastAsia" w:ascii="Times New Roman" w:hAnsi="Times New Roman"/>
                <w:b w:val="0"/>
                <w:sz w:val="24"/>
              </w:rPr>
              <w:t>根据</w:t>
            </w:r>
            <w:r>
              <w:rPr>
                <w:rFonts w:ascii="Times New Roman" w:hAnsi="Times New Roman"/>
                <w:b w:val="0"/>
                <w:sz w:val="24"/>
              </w:rPr>
              <w:t>《放射诊断放射防护要求》（GBZ130-2020）有关规定，本项目医用射线装置使用场所在距离机房屏蔽体外表面30cm外，周围辐射剂量率应满足：控制目标值不大于2.5µSv/h。</w:t>
            </w:r>
          </w:p>
          <w:p w14:paraId="46E5134C">
            <w:pPr>
              <w:pStyle w:val="11"/>
              <w:jc w:val="center"/>
              <w:rPr>
                <w:rFonts w:hint="default" w:ascii="Times New Roman" w:hAnsi="Times New Roman" w:cs="Times New Roman"/>
                <w:b/>
                <w:bCs/>
                <w:lang w:val="en-US" w:eastAsia="zh-CN"/>
              </w:rPr>
            </w:pPr>
            <w:r>
              <w:rPr>
                <w:rFonts w:hint="default" w:ascii="Times New Roman" w:hAnsi="Times New Roman" w:cs="Times New Roman"/>
                <w:b/>
                <w:bCs/>
                <w:lang w:val="en-US" w:eastAsia="zh-CN"/>
              </w:rPr>
              <w:t>表7-2 X射线设备机房（照射室）使用面积、单边长度的要求</w:t>
            </w:r>
          </w:p>
          <w:tbl>
            <w:tblPr>
              <w:tblStyle w:val="2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169"/>
              <w:gridCol w:w="3078"/>
              <w:gridCol w:w="2567"/>
            </w:tblGrid>
            <w:tr w14:paraId="4E043C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65" w:type="dxa"/>
                  <w:tcBorders>
                    <w:tl2br w:val="nil"/>
                    <w:tr2bl w:val="nil"/>
                  </w:tcBorders>
                  <w:vAlign w:val="center"/>
                </w:tcPr>
                <w:p w14:paraId="023B0D54">
                  <w:pPr>
                    <w:jc w:val="center"/>
                    <w:rPr>
                      <w:rFonts w:hint="default" w:ascii="Times New Roman" w:hAnsi="Times New Roman" w:eastAsia="宋体" w:cs="Times New Roman"/>
                      <w:b/>
                      <w:bCs/>
                      <w:szCs w:val="21"/>
                      <w:vertAlign w:val="baseline"/>
                      <w:lang w:val="en-US" w:eastAsia="zh-CN"/>
                    </w:rPr>
                  </w:pPr>
                  <w:r>
                    <w:rPr>
                      <w:rFonts w:hint="default" w:ascii="Times New Roman" w:hAnsi="Times New Roman" w:eastAsia="宋体" w:cs="Times New Roman"/>
                      <w:b/>
                      <w:bCs/>
                      <w:szCs w:val="21"/>
                      <w:vertAlign w:val="baseline"/>
                      <w:lang w:val="en-US" w:eastAsia="zh-CN"/>
                    </w:rPr>
                    <w:t>机房类型</w:t>
                  </w:r>
                </w:p>
              </w:tc>
              <w:tc>
                <w:tcPr>
                  <w:tcW w:w="3075" w:type="dxa"/>
                  <w:tcBorders>
                    <w:tl2br w:val="nil"/>
                    <w:tr2bl w:val="nil"/>
                  </w:tcBorders>
                  <w:vAlign w:val="center"/>
                </w:tcPr>
                <w:p w14:paraId="74FD04F9">
                  <w:pPr>
                    <w:jc w:val="center"/>
                    <w:rPr>
                      <w:rFonts w:hint="default" w:ascii="Times New Roman" w:hAnsi="Times New Roman" w:eastAsia="宋体" w:cs="Times New Roman"/>
                      <w:b/>
                      <w:bCs/>
                      <w:szCs w:val="21"/>
                      <w:vertAlign w:val="baseline"/>
                      <w:lang w:val="en-US" w:eastAsia="zh-CN"/>
                    </w:rPr>
                  </w:pPr>
                  <w:r>
                    <w:rPr>
                      <w:rFonts w:hint="default" w:ascii="Times New Roman" w:hAnsi="Times New Roman" w:eastAsia="宋体" w:cs="Times New Roman"/>
                      <w:b/>
                      <w:bCs/>
                      <w:szCs w:val="21"/>
                      <w:vertAlign w:val="baseline"/>
                      <w:lang w:val="en-US" w:eastAsia="zh-CN"/>
                    </w:rPr>
                    <w:t>机房内最小有效使用面积（m</w:t>
                  </w:r>
                  <w:r>
                    <w:rPr>
                      <w:rFonts w:hint="default" w:ascii="Times New Roman" w:hAnsi="Times New Roman" w:eastAsia="宋体" w:cs="Times New Roman"/>
                      <w:b/>
                      <w:bCs/>
                      <w:szCs w:val="21"/>
                      <w:vertAlign w:val="superscript"/>
                      <w:lang w:val="en-US" w:eastAsia="zh-CN"/>
                    </w:rPr>
                    <w:t>2</w:t>
                  </w:r>
                  <w:r>
                    <w:rPr>
                      <w:rFonts w:hint="default" w:ascii="Times New Roman" w:hAnsi="Times New Roman" w:eastAsia="宋体" w:cs="Times New Roman"/>
                      <w:b/>
                      <w:bCs/>
                      <w:szCs w:val="21"/>
                      <w:vertAlign w:val="baseline"/>
                      <w:lang w:val="en-US" w:eastAsia="zh-CN"/>
                    </w:rPr>
                    <w:t>）</w:t>
                  </w:r>
                </w:p>
              </w:tc>
              <w:tc>
                <w:tcPr>
                  <w:tcW w:w="2564" w:type="dxa"/>
                  <w:tcBorders>
                    <w:tl2br w:val="nil"/>
                    <w:tr2bl w:val="nil"/>
                  </w:tcBorders>
                  <w:vAlign w:val="center"/>
                </w:tcPr>
                <w:p w14:paraId="09A0C571">
                  <w:pPr>
                    <w:jc w:val="center"/>
                    <w:rPr>
                      <w:rFonts w:hint="default" w:ascii="Times New Roman" w:hAnsi="Times New Roman" w:eastAsia="宋体" w:cs="Times New Roman"/>
                      <w:b/>
                      <w:bCs/>
                      <w:szCs w:val="21"/>
                      <w:vertAlign w:val="baseline"/>
                      <w:lang w:val="en-US" w:eastAsia="zh-CN"/>
                    </w:rPr>
                  </w:pPr>
                  <w:r>
                    <w:rPr>
                      <w:rFonts w:hint="default" w:ascii="Times New Roman" w:hAnsi="Times New Roman" w:eastAsia="宋体" w:cs="Times New Roman"/>
                      <w:b/>
                      <w:bCs/>
                      <w:szCs w:val="21"/>
                      <w:vertAlign w:val="baseline"/>
                      <w:lang w:val="en-US" w:eastAsia="zh-CN"/>
                    </w:rPr>
                    <w:t>机房内最小单边长度</w:t>
                  </w:r>
                  <w:r>
                    <w:rPr>
                      <w:rFonts w:hint="eastAsia" w:ascii="Times New Roman" w:hAnsi="Times New Roman" w:eastAsia="宋体" w:cs="Times New Roman"/>
                      <w:b/>
                      <w:bCs/>
                      <w:szCs w:val="21"/>
                      <w:vertAlign w:val="baseline"/>
                      <w:lang w:val="en-US" w:eastAsia="zh-CN"/>
                    </w:rPr>
                    <w:t>（</w:t>
                  </w:r>
                  <w:r>
                    <w:rPr>
                      <w:rFonts w:hint="default" w:ascii="Times New Roman" w:hAnsi="Times New Roman" w:eastAsia="宋体" w:cs="Times New Roman"/>
                      <w:b/>
                      <w:bCs/>
                      <w:szCs w:val="21"/>
                      <w:vertAlign w:val="baseline"/>
                      <w:lang w:val="en-US" w:eastAsia="zh-CN"/>
                    </w:rPr>
                    <w:t>m</w:t>
                  </w:r>
                  <w:r>
                    <w:rPr>
                      <w:rFonts w:hint="eastAsia" w:ascii="Times New Roman" w:hAnsi="Times New Roman" w:eastAsia="宋体" w:cs="Times New Roman"/>
                      <w:b/>
                      <w:bCs/>
                      <w:szCs w:val="21"/>
                      <w:vertAlign w:val="baseline"/>
                      <w:lang w:val="en-US" w:eastAsia="zh-CN"/>
                    </w:rPr>
                    <w:t>）</w:t>
                  </w:r>
                </w:p>
              </w:tc>
            </w:tr>
            <w:tr w14:paraId="3CD88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65" w:type="dxa"/>
                  <w:tcBorders>
                    <w:tl2br w:val="nil"/>
                    <w:tr2bl w:val="nil"/>
                  </w:tcBorders>
                  <w:vAlign w:val="center"/>
                </w:tcPr>
                <w:p w14:paraId="23C42B10">
                  <w:pPr>
                    <w:jc w:val="center"/>
                    <w:rPr>
                      <w:rFonts w:hint="default" w:ascii="Times New Roman" w:hAnsi="Times New Roman" w:eastAsia="宋体" w:cs="Times New Roman"/>
                      <w:szCs w:val="21"/>
                      <w:vertAlign w:val="baseline"/>
                      <w:lang w:val="en-US" w:eastAsia="zh-CN"/>
                    </w:rPr>
                  </w:pPr>
                  <w:r>
                    <w:rPr>
                      <w:rFonts w:hint="default" w:ascii="Times New Roman" w:hAnsi="Times New Roman" w:eastAsia="宋体" w:cs="Times New Roman"/>
                      <w:szCs w:val="21"/>
                      <w:vertAlign w:val="baseline"/>
                      <w:lang w:val="en-US" w:eastAsia="zh-CN"/>
                    </w:rPr>
                    <w:t>单管头X射线设备</w:t>
                  </w:r>
                  <w:r>
                    <w:rPr>
                      <w:rFonts w:hint="eastAsia" w:ascii="Times New Roman" w:hAnsi="Times New Roman" w:eastAsia="宋体" w:cs="Times New Roman"/>
                      <w:szCs w:val="21"/>
                      <w:vertAlign w:val="baseline"/>
                      <w:lang w:val="en-US" w:eastAsia="zh-CN"/>
                    </w:rPr>
                    <w:t>（</w:t>
                  </w:r>
                  <w:r>
                    <w:rPr>
                      <w:rFonts w:hint="default" w:ascii="Times New Roman" w:hAnsi="Times New Roman" w:eastAsia="宋体" w:cs="Times New Roman"/>
                      <w:szCs w:val="21"/>
                      <w:vertAlign w:val="baseline"/>
                      <w:lang w:val="en-US" w:eastAsia="zh-CN"/>
                    </w:rPr>
                    <w:t>含C形臂，乳腺CBCT</w:t>
                  </w:r>
                  <w:r>
                    <w:rPr>
                      <w:rFonts w:hint="eastAsia" w:ascii="Times New Roman" w:hAnsi="Times New Roman" w:eastAsia="宋体" w:cs="Times New Roman"/>
                      <w:szCs w:val="21"/>
                      <w:vertAlign w:val="baseline"/>
                      <w:lang w:val="en-US" w:eastAsia="zh-CN"/>
                    </w:rPr>
                    <w:t>）</w:t>
                  </w:r>
                </w:p>
              </w:tc>
              <w:tc>
                <w:tcPr>
                  <w:tcW w:w="3075" w:type="dxa"/>
                  <w:tcBorders>
                    <w:tl2br w:val="nil"/>
                    <w:tr2bl w:val="nil"/>
                  </w:tcBorders>
                  <w:vAlign w:val="center"/>
                </w:tcPr>
                <w:p w14:paraId="4FDE33E4">
                  <w:pPr>
                    <w:jc w:val="center"/>
                    <w:rPr>
                      <w:rFonts w:hint="default" w:ascii="Times New Roman" w:hAnsi="Times New Roman" w:eastAsia="宋体" w:cs="Times New Roman"/>
                      <w:szCs w:val="21"/>
                      <w:vertAlign w:val="baseline"/>
                      <w:lang w:val="en-US" w:eastAsia="zh-CN"/>
                    </w:rPr>
                  </w:pPr>
                  <w:r>
                    <w:rPr>
                      <w:rFonts w:hint="eastAsia" w:ascii="Times New Roman" w:hAnsi="Times New Roman" w:eastAsia="宋体" w:cs="Times New Roman"/>
                      <w:szCs w:val="21"/>
                      <w:vertAlign w:val="baseline"/>
                      <w:lang w:val="en-US" w:eastAsia="zh-CN"/>
                    </w:rPr>
                    <w:t>20</w:t>
                  </w:r>
                </w:p>
              </w:tc>
              <w:tc>
                <w:tcPr>
                  <w:tcW w:w="2564" w:type="dxa"/>
                  <w:tcBorders>
                    <w:tl2br w:val="nil"/>
                    <w:tr2bl w:val="nil"/>
                  </w:tcBorders>
                  <w:vAlign w:val="center"/>
                </w:tcPr>
                <w:p w14:paraId="78C3C1E6">
                  <w:pPr>
                    <w:jc w:val="center"/>
                    <w:rPr>
                      <w:rFonts w:hint="default" w:ascii="Times New Roman" w:hAnsi="Times New Roman" w:eastAsia="宋体" w:cs="Times New Roman"/>
                      <w:szCs w:val="21"/>
                      <w:vertAlign w:val="baseline"/>
                      <w:lang w:val="en-US" w:eastAsia="zh-CN"/>
                    </w:rPr>
                  </w:pPr>
                  <w:r>
                    <w:rPr>
                      <w:rFonts w:hint="eastAsia" w:ascii="Times New Roman" w:hAnsi="Times New Roman" w:eastAsia="宋体" w:cs="Times New Roman"/>
                      <w:szCs w:val="21"/>
                      <w:vertAlign w:val="baseline"/>
                      <w:lang w:val="en-US" w:eastAsia="zh-CN"/>
                    </w:rPr>
                    <w:t>3.5</w:t>
                  </w:r>
                </w:p>
              </w:tc>
            </w:tr>
          </w:tbl>
          <w:p w14:paraId="2650180C">
            <w:pPr>
              <w:spacing w:line="360" w:lineRule="auto"/>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备注：本项目DSA属于单管头X射线机。</w:t>
            </w:r>
          </w:p>
          <w:p w14:paraId="778626BB">
            <w:pPr>
              <w:pStyle w:val="11"/>
              <w:spacing w:line="360" w:lineRule="auto"/>
              <w:rPr>
                <w:rFonts w:hint="eastAsia"/>
                <w:sz w:val="24"/>
                <w:lang w:val="en-US" w:eastAsia="zh-CN"/>
              </w:rPr>
            </w:pPr>
            <w:r>
              <w:rPr>
                <w:rFonts w:hint="default"/>
                <w:sz w:val="24"/>
                <w:lang w:val="en-US" w:eastAsia="zh-CN"/>
              </w:rPr>
              <w:t>第6.2.1点不同类型X射线设备（不含床旁摄影设备和便携式X射线设备）机房的屏蔽防护应不低于表7-3要求。</w:t>
            </w:r>
          </w:p>
          <w:p w14:paraId="1601DEFE">
            <w:pPr>
              <w:pStyle w:val="10"/>
              <w:autoSpaceDE w:val="0"/>
              <w:autoSpaceDN w:val="0"/>
              <w:ind w:firstLine="482" w:firstLineChars="200"/>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表7-3不同类型X射线设备机房的屏蔽防护铅当量厚度要求</w:t>
            </w:r>
          </w:p>
          <w:tbl>
            <w:tblPr>
              <w:tblStyle w:val="23"/>
              <w:tblpPr w:leftFromText="180" w:rightFromText="180" w:vertAnchor="text" w:horzAnchor="page" w:tblpXSpec="center" w:tblpY="6"/>
              <w:tblOverlap w:val="never"/>
              <w:tblW w:w="880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75"/>
              <w:gridCol w:w="3180"/>
              <w:gridCol w:w="3149"/>
            </w:tblGrid>
            <w:tr w14:paraId="20524B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75" w:type="dxa"/>
                  <w:tcBorders>
                    <w:tl2br w:val="nil"/>
                    <w:tr2bl w:val="nil"/>
                  </w:tcBorders>
                  <w:vAlign w:val="center"/>
                </w:tcPr>
                <w:p w14:paraId="1068E28B">
                  <w:pPr>
                    <w:jc w:val="center"/>
                    <w:rPr>
                      <w:rFonts w:hint="default" w:ascii="Times New Roman" w:hAnsi="Times New Roman" w:eastAsia="宋体" w:cs="Times New Roman"/>
                      <w:b/>
                      <w:bCs/>
                      <w:szCs w:val="21"/>
                      <w:lang w:val="en-US" w:eastAsia="zh-CN"/>
                    </w:rPr>
                  </w:pPr>
                  <w:r>
                    <w:rPr>
                      <w:rFonts w:hint="default" w:ascii="Times New Roman" w:hAnsi="Times New Roman" w:eastAsia="宋体" w:cs="Times New Roman"/>
                      <w:b/>
                      <w:bCs/>
                      <w:szCs w:val="21"/>
                      <w:lang w:val="en-US" w:eastAsia="zh-CN"/>
                    </w:rPr>
                    <w:t>机房类型</w:t>
                  </w:r>
                </w:p>
              </w:tc>
              <w:tc>
                <w:tcPr>
                  <w:tcW w:w="3180" w:type="dxa"/>
                  <w:tcBorders>
                    <w:tl2br w:val="nil"/>
                    <w:tr2bl w:val="nil"/>
                  </w:tcBorders>
                  <w:vAlign w:val="center"/>
                </w:tcPr>
                <w:p w14:paraId="70CBA16C">
                  <w:pPr>
                    <w:jc w:val="center"/>
                    <w:rPr>
                      <w:rFonts w:hint="default" w:ascii="Times New Roman" w:hAnsi="Times New Roman" w:eastAsia="宋体" w:cs="Times New Roman"/>
                      <w:b/>
                      <w:bCs/>
                      <w:szCs w:val="21"/>
                      <w:lang w:val="en-US" w:eastAsia="zh-CN"/>
                    </w:rPr>
                  </w:pPr>
                  <w:r>
                    <w:rPr>
                      <w:rFonts w:hint="default" w:ascii="Times New Roman" w:hAnsi="Times New Roman" w:eastAsia="宋体" w:cs="Times New Roman"/>
                      <w:b/>
                      <w:bCs/>
                      <w:szCs w:val="21"/>
                      <w:lang w:val="en-US" w:eastAsia="zh-CN"/>
                    </w:rPr>
                    <w:t>有用线束方向铅当量（mmPb）</w:t>
                  </w:r>
                </w:p>
              </w:tc>
              <w:tc>
                <w:tcPr>
                  <w:tcW w:w="3149" w:type="dxa"/>
                  <w:tcBorders>
                    <w:tl2br w:val="nil"/>
                    <w:tr2bl w:val="nil"/>
                  </w:tcBorders>
                  <w:vAlign w:val="center"/>
                </w:tcPr>
                <w:p w14:paraId="389B0CEF">
                  <w:pPr>
                    <w:jc w:val="center"/>
                    <w:rPr>
                      <w:rFonts w:hint="default" w:ascii="Times New Roman" w:hAnsi="Times New Roman" w:eastAsia="宋体" w:cs="Times New Roman"/>
                      <w:b/>
                      <w:bCs/>
                      <w:szCs w:val="21"/>
                      <w:lang w:val="en-US" w:eastAsia="zh-CN"/>
                    </w:rPr>
                  </w:pPr>
                  <w:r>
                    <w:rPr>
                      <w:rFonts w:hint="default" w:ascii="Times New Roman" w:hAnsi="Times New Roman" w:eastAsia="宋体" w:cs="Times New Roman"/>
                      <w:b/>
                      <w:bCs/>
                      <w:szCs w:val="21"/>
                      <w:lang w:val="en-US" w:eastAsia="zh-CN"/>
                    </w:rPr>
                    <w:t>非有用线束方向铅当量（mmPb）</w:t>
                  </w:r>
                </w:p>
              </w:tc>
            </w:tr>
            <w:tr w14:paraId="30ADC5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75" w:type="dxa"/>
                  <w:tcBorders>
                    <w:tl2br w:val="nil"/>
                    <w:tr2bl w:val="nil"/>
                  </w:tcBorders>
                  <w:vAlign w:val="center"/>
                </w:tcPr>
                <w:p w14:paraId="3D648AB7">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C形臂</w:t>
                  </w:r>
                  <w:r>
                    <w:rPr>
                      <w:rFonts w:hint="eastAsia" w:ascii="Times New Roman" w:hAnsi="Times New Roman" w:eastAsia="宋体" w:cs="Times New Roman"/>
                      <w:szCs w:val="21"/>
                      <w:lang w:val="en-US" w:eastAsia="zh-CN"/>
                    </w:rPr>
                    <w:t>X</w:t>
                  </w:r>
                  <w:r>
                    <w:rPr>
                      <w:rFonts w:hint="default" w:ascii="Times New Roman" w:hAnsi="Times New Roman" w:eastAsia="宋体" w:cs="Times New Roman"/>
                      <w:szCs w:val="21"/>
                      <w:lang w:val="en-US" w:eastAsia="zh-CN"/>
                    </w:rPr>
                    <w:t>射线设备机房</w:t>
                  </w:r>
                </w:p>
              </w:tc>
              <w:tc>
                <w:tcPr>
                  <w:tcW w:w="3180" w:type="dxa"/>
                  <w:tcBorders>
                    <w:tl2br w:val="nil"/>
                    <w:tr2bl w:val="nil"/>
                  </w:tcBorders>
                  <w:vAlign w:val="center"/>
                </w:tcPr>
                <w:p w14:paraId="7DEACE31">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2.0</w:t>
                  </w:r>
                </w:p>
              </w:tc>
              <w:tc>
                <w:tcPr>
                  <w:tcW w:w="3149" w:type="dxa"/>
                  <w:tcBorders>
                    <w:tl2br w:val="nil"/>
                    <w:tr2bl w:val="nil"/>
                  </w:tcBorders>
                  <w:vAlign w:val="center"/>
                </w:tcPr>
                <w:p w14:paraId="09C4BD98">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2.0</w:t>
                  </w:r>
                </w:p>
              </w:tc>
            </w:tr>
          </w:tbl>
          <w:p w14:paraId="58AF28A1">
            <w:pPr>
              <w:pStyle w:val="11"/>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备注：本项目DSA的</w:t>
            </w:r>
            <w:r>
              <w:rPr>
                <w:rFonts w:hint="eastAsia" w:cs="Times New Roman"/>
                <w:lang w:val="en-US" w:eastAsia="zh-CN"/>
              </w:rPr>
              <w:t>最大</w:t>
            </w:r>
            <w:r>
              <w:rPr>
                <w:rFonts w:hint="default" w:ascii="Times New Roman" w:hAnsi="Times New Roman" w:cs="Times New Roman"/>
                <w:lang w:val="en-US" w:eastAsia="zh-CN"/>
              </w:rPr>
              <w:t>管电压为125kV。</w:t>
            </w:r>
          </w:p>
          <w:p w14:paraId="63D10BB8">
            <w:pPr>
              <w:pStyle w:val="11"/>
              <w:rPr>
                <w:rFonts w:hint="default" w:ascii="Times New Roman" w:hAnsi="Times New Roman" w:cs="Times New Roman"/>
                <w:lang w:val="en-US" w:eastAsia="zh-CN"/>
              </w:rPr>
            </w:pPr>
            <w:r>
              <w:rPr>
                <w:rFonts w:hint="default" w:ascii="Times New Roman" w:hAnsi="Times New Roman" w:cs="Times New Roman"/>
                <w:lang w:val="en-US" w:eastAsia="zh-CN"/>
              </w:rPr>
              <w:t>第6.2.3点</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机房的门和窗关闭时应满足表7-3的要求。</w:t>
            </w:r>
          </w:p>
          <w:p w14:paraId="6A213329">
            <w:pPr>
              <w:pStyle w:val="11"/>
              <w:rPr>
                <w:rFonts w:hint="default" w:ascii="Times New Roman" w:hAnsi="Times New Roman" w:cs="Times New Roman"/>
                <w:lang w:val="en-US" w:eastAsia="zh-CN"/>
              </w:rPr>
            </w:pPr>
            <w:r>
              <w:rPr>
                <w:rFonts w:hint="default" w:ascii="Times New Roman" w:hAnsi="Times New Roman" w:cs="Times New Roman"/>
                <w:lang w:val="en-US" w:eastAsia="zh-CN"/>
              </w:rPr>
              <w:t>第6.3.1点</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机房的辐射屏蔽防护，应满足下列要求：</w:t>
            </w:r>
          </w:p>
          <w:p w14:paraId="4CA9B653">
            <w:pPr>
              <w:pStyle w:val="11"/>
              <w:rPr>
                <w:rFonts w:hint="default" w:ascii="Times New Roman" w:hAnsi="Times New Roman" w:cs="Times New Roman"/>
                <w:lang w:val="en-US" w:eastAsia="zh-CN"/>
              </w:rPr>
            </w:pPr>
            <w:r>
              <w:rPr>
                <w:rFonts w:hint="default" w:ascii="Times New Roman" w:hAnsi="Times New Roman" w:cs="Times New Roman"/>
                <w:lang w:val="en-US" w:eastAsia="zh-CN"/>
              </w:rPr>
              <w:t>a）具有透视功能的X射线设备在透视条件下检测时，周围剂量当量率应不大于2.5</w:t>
            </w:r>
            <w:r>
              <w:rPr>
                <w:rFonts w:hint="default" w:ascii="Times New Roman" w:hAnsi="Times New Roman" w:eastAsia="微软雅黑" w:cs="Times New Roman"/>
                <w:lang w:val="en-US" w:eastAsia="zh-CN"/>
              </w:rPr>
              <w:t>μ</w:t>
            </w:r>
            <w:r>
              <w:rPr>
                <w:rFonts w:hint="default" w:ascii="Times New Roman" w:hAnsi="Times New Roman" w:cs="Times New Roman"/>
                <w:lang w:val="en-US" w:eastAsia="zh-CN"/>
              </w:rPr>
              <w:t>Sv/h；测量时，X射线设备连续出束时间应大于仪器响应时间；</w:t>
            </w:r>
          </w:p>
          <w:p w14:paraId="6628B7D0">
            <w:pPr>
              <w:pStyle w:val="11"/>
              <w:rPr>
                <w:rFonts w:hint="default" w:ascii="Times New Roman" w:hAnsi="Times New Roman" w:cs="Times New Roman"/>
                <w:lang w:val="en-US" w:eastAsia="zh-CN"/>
              </w:rPr>
            </w:pPr>
            <w:r>
              <w:rPr>
                <w:rFonts w:hint="default" w:ascii="Times New Roman" w:hAnsi="Times New Roman" w:cs="Times New Roman"/>
                <w:lang w:val="en-US" w:eastAsia="zh-CN"/>
              </w:rPr>
              <w:t>第6.4点</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X射线设备工作场所防护</w:t>
            </w:r>
          </w:p>
          <w:p w14:paraId="118E658A">
            <w:pPr>
              <w:pStyle w:val="11"/>
              <w:rPr>
                <w:rFonts w:hint="default" w:ascii="Times New Roman" w:hAnsi="Times New Roman" w:cs="Times New Roman"/>
                <w:lang w:val="en-US" w:eastAsia="zh-CN"/>
              </w:rPr>
            </w:pPr>
            <w:r>
              <w:rPr>
                <w:rFonts w:hint="default" w:ascii="Times New Roman" w:hAnsi="Times New Roman" w:cs="Times New Roman"/>
                <w:lang w:val="en-US" w:eastAsia="zh-CN"/>
              </w:rPr>
              <w:t>6.4.1机房应设有观察窗或摄像监控装置，其设置的位置应便于观察到受检者状态及防护门开闭情况。</w:t>
            </w:r>
          </w:p>
          <w:p w14:paraId="5DBFBCC5">
            <w:pPr>
              <w:pStyle w:val="11"/>
              <w:rPr>
                <w:rFonts w:hint="default" w:ascii="Times New Roman" w:hAnsi="Times New Roman" w:cs="Times New Roman"/>
                <w:lang w:val="en-US" w:eastAsia="zh-CN"/>
              </w:rPr>
            </w:pPr>
            <w:r>
              <w:rPr>
                <w:rFonts w:hint="default" w:ascii="Times New Roman" w:hAnsi="Times New Roman" w:cs="Times New Roman"/>
                <w:lang w:val="en-US" w:eastAsia="zh-CN"/>
              </w:rPr>
              <w:t>6.4.2机房内不应堆放与该设备诊断工作无关的杂物。</w:t>
            </w:r>
          </w:p>
          <w:p w14:paraId="36D117EE">
            <w:pPr>
              <w:pStyle w:val="11"/>
              <w:rPr>
                <w:rFonts w:hint="default" w:ascii="Times New Roman" w:hAnsi="Times New Roman" w:cs="Times New Roman"/>
                <w:lang w:val="en-US" w:eastAsia="zh-CN"/>
              </w:rPr>
            </w:pPr>
            <w:r>
              <w:rPr>
                <w:rFonts w:hint="default" w:ascii="Times New Roman" w:hAnsi="Times New Roman" w:cs="Times New Roman"/>
                <w:lang w:val="en-US" w:eastAsia="zh-CN"/>
              </w:rPr>
              <w:t>6.4.3机房应设置动力通风装置，并保持良好的通风。</w:t>
            </w:r>
          </w:p>
          <w:p w14:paraId="574B0DB2">
            <w:pPr>
              <w:pStyle w:val="11"/>
              <w:rPr>
                <w:rFonts w:hint="default" w:ascii="Times New Roman" w:hAnsi="Times New Roman" w:cs="Times New Roman"/>
                <w:lang w:val="en-US" w:eastAsia="zh-CN"/>
              </w:rPr>
            </w:pPr>
            <w:r>
              <w:rPr>
                <w:rFonts w:hint="default" w:ascii="Times New Roman" w:hAnsi="Times New Roman" w:cs="Times New Roman"/>
                <w:lang w:val="en-US" w:eastAsia="zh-CN"/>
              </w:rPr>
              <w:t>6.4.4机房门外应有电离辐射警告标志；机房门上方应有醒目的工作状态指示灯，灯箱上应设置如“射线有害、灯亮勿入”的可视警示语句：候诊区应设置放射防护注意事项告知栏。</w:t>
            </w:r>
          </w:p>
          <w:p w14:paraId="27C5FB49">
            <w:pPr>
              <w:pStyle w:val="11"/>
              <w:rPr>
                <w:rFonts w:hint="default" w:ascii="Times New Roman" w:hAnsi="Times New Roman" w:cs="Times New Roman"/>
                <w:lang w:val="en-US" w:eastAsia="zh-CN"/>
              </w:rPr>
            </w:pPr>
            <w:r>
              <w:rPr>
                <w:rFonts w:hint="default" w:ascii="Times New Roman" w:hAnsi="Times New Roman" w:cs="Times New Roman"/>
                <w:lang w:val="en-US" w:eastAsia="zh-CN"/>
              </w:rPr>
              <w:t>6.4.5平开机房门应有自动闭门装置；推拉式机房门应设有曝光时关闭机房门的管理措施；工作状态指示灯能与机房门有效关联。</w:t>
            </w:r>
          </w:p>
          <w:p w14:paraId="6E8D6042">
            <w:pPr>
              <w:pStyle w:val="11"/>
              <w:rPr>
                <w:rFonts w:hint="default" w:ascii="Times New Roman" w:hAnsi="Times New Roman" w:cs="Times New Roman"/>
                <w:lang w:val="en-US" w:eastAsia="zh-CN"/>
              </w:rPr>
            </w:pPr>
            <w:r>
              <w:rPr>
                <w:rFonts w:hint="default" w:ascii="Times New Roman" w:hAnsi="Times New Roman" w:cs="Times New Roman"/>
                <w:lang w:val="en-US" w:eastAsia="zh-CN"/>
              </w:rPr>
              <w:t>6.4.6电动推拉门宜设置防夹装置。</w:t>
            </w:r>
          </w:p>
          <w:p w14:paraId="268AA505">
            <w:pPr>
              <w:pStyle w:val="10"/>
              <w:autoSpaceDE w:val="0"/>
              <w:autoSpaceDN w:val="0"/>
              <w:ind w:firstLine="482" w:firstLineChars="200"/>
              <w:rPr>
                <w:rFonts w:hint="default" w:ascii="Times New Roman" w:hAnsi="Times New Roman"/>
                <w:lang w:val="en-US" w:eastAsia="zh-CN"/>
              </w:rPr>
            </w:pPr>
          </w:p>
        </w:tc>
      </w:tr>
    </w:tbl>
    <w:p w14:paraId="7C8665B8">
      <w:pPr>
        <w:pStyle w:val="4"/>
        <w:numPr>
          <w:ilvl w:val="2"/>
          <w:numId w:val="0"/>
        </w:numPr>
      </w:pPr>
      <w:r>
        <w:rPr>
          <w:rFonts w:ascii="Times New Roman" w:hAnsi="Times New Roman"/>
          <w:sz w:val="28"/>
          <w:szCs w:val="28"/>
        </w:rPr>
        <w:br w:type="page"/>
      </w:r>
      <w:bookmarkStart w:id="19" w:name="_Toc29538"/>
      <w:r>
        <w:rPr>
          <w:rFonts w:ascii="Times New Roman" w:hAnsi="Times New Roman"/>
        </w:rPr>
        <w:t>表8</w:t>
      </w:r>
      <w:r>
        <w:t xml:space="preserve"> 环境质量和辐射现状</w:t>
      </w:r>
      <w:bookmarkEnd w:id="19"/>
    </w:p>
    <w:tbl>
      <w:tblPr>
        <w:tblStyle w:val="23"/>
        <w:tblW w:w="0" w:type="auto"/>
        <w:tblInd w:w="-2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0"/>
      </w:tblGrid>
      <w:tr w14:paraId="6F45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3" w:hRule="atLeast"/>
        </w:trPr>
        <w:tc>
          <w:tcPr>
            <w:tcW w:w="9080" w:type="dxa"/>
          </w:tcPr>
          <w:p w14:paraId="424AFFF7">
            <w:pPr>
              <w:spacing w:line="360" w:lineRule="auto"/>
              <w:rPr>
                <w:rFonts w:ascii="Times New Roman" w:hAnsi="Times New Roman"/>
                <w:b/>
                <w:bCs/>
                <w:sz w:val="28"/>
                <w:szCs w:val="28"/>
              </w:rPr>
            </w:pPr>
            <w:r>
              <w:rPr>
                <w:rFonts w:ascii="Times New Roman" w:hAnsi="Times New Roman"/>
                <w:b/>
                <w:bCs/>
                <w:sz w:val="28"/>
                <w:szCs w:val="28"/>
              </w:rPr>
              <w:t>环境质量和辐射现状</w:t>
            </w:r>
          </w:p>
          <w:p w14:paraId="08DD2493">
            <w:pPr>
              <w:pStyle w:val="30"/>
              <w:spacing w:line="360" w:lineRule="auto"/>
              <w:rPr>
                <w:rFonts w:ascii="Times New Roman" w:hAnsi="Times New Roman"/>
                <w:b/>
                <w:bCs/>
                <w:color w:val="auto"/>
                <w:kern w:val="2"/>
                <w:sz w:val="28"/>
                <w:szCs w:val="28"/>
              </w:rPr>
            </w:pPr>
            <w:r>
              <w:rPr>
                <w:rFonts w:ascii="Times New Roman" w:hAnsi="Times New Roman"/>
                <w:b/>
                <w:bCs/>
                <w:color w:val="auto"/>
                <w:kern w:val="2"/>
                <w:sz w:val="28"/>
                <w:szCs w:val="28"/>
              </w:rPr>
              <w:t>一、项目地理和场所位置</w:t>
            </w:r>
          </w:p>
          <w:p w14:paraId="6D8022D6">
            <w:pPr>
              <w:spacing w:line="360" w:lineRule="auto"/>
              <w:ind w:firstLine="480" w:firstLineChars="200"/>
              <w:rPr>
                <w:rFonts w:hint="default" w:ascii="Times New Roman" w:hAnsi="Times New Roman" w:eastAsia="宋体"/>
                <w:sz w:val="24"/>
                <w:lang w:val="en-US" w:eastAsia="zh-CN"/>
              </w:rPr>
            </w:pPr>
            <w:r>
              <w:rPr>
                <w:rFonts w:ascii="Times New Roman" w:hAnsi="Times New Roman"/>
                <w:sz w:val="24"/>
              </w:rPr>
              <w:t>本项目院区位于</w:t>
            </w:r>
            <w:r>
              <w:rPr>
                <w:rFonts w:hint="eastAsia" w:ascii="Times New Roman" w:hAnsi="Times New Roman"/>
                <w:kern w:val="0"/>
                <w:sz w:val="24"/>
                <w:lang w:eastAsia="zh-CN" w:bidi="ar"/>
              </w:rPr>
              <w:t>平昌县同州街道新平街西段122号</w:t>
            </w:r>
            <w:r>
              <w:rPr>
                <w:rFonts w:ascii="Times New Roman" w:hAnsi="Times New Roman"/>
                <w:sz w:val="24"/>
              </w:rPr>
              <w:t>，</w:t>
            </w:r>
            <w:r>
              <w:rPr>
                <w:rFonts w:hint="eastAsia" w:ascii="Times New Roman" w:hAnsi="Times New Roman"/>
                <w:sz w:val="24"/>
                <w:lang w:val="en-US" w:eastAsia="zh-CN"/>
              </w:rPr>
              <w:t>平昌县中医医院2号住院综合楼内。平昌县中医医院</w:t>
            </w:r>
            <w:r>
              <w:rPr>
                <w:rFonts w:hint="eastAsia" w:ascii="Times New Roman" w:hAnsi="Times New Roman"/>
                <w:sz w:val="24"/>
              </w:rPr>
              <w:t>位于平昌县城东部的新城开发区，紧邻主干道，交通便利，是平昌县近年来医疗资源优化布局的重点项目</w:t>
            </w:r>
            <w:r>
              <w:rPr>
                <w:rFonts w:hint="eastAsia" w:ascii="Times New Roman" w:hAnsi="Times New Roman"/>
                <w:sz w:val="24"/>
                <w:lang w:val="en-US" w:eastAsia="zh-CN"/>
              </w:rPr>
              <w:t>。具体位置见附图1。</w:t>
            </w:r>
          </w:p>
          <w:p w14:paraId="7C8CE05D">
            <w:pPr>
              <w:widowControl/>
              <w:spacing w:line="360" w:lineRule="auto"/>
              <w:ind w:firstLine="480" w:firstLineChars="200"/>
              <w:jc w:val="both"/>
              <w:rPr>
                <w:rFonts w:ascii="Times New Roman" w:hAnsi="Times New Roman"/>
                <w:sz w:val="24"/>
              </w:rPr>
            </w:pPr>
            <w:r>
              <w:rPr>
                <w:rFonts w:ascii="Times New Roman" w:hAnsi="Times New Roman"/>
                <w:sz w:val="24"/>
              </w:rPr>
              <w:t>本项目</w:t>
            </w:r>
            <w:r>
              <w:rPr>
                <w:rFonts w:hint="eastAsia" w:ascii="Times New Roman" w:hAnsi="Times New Roman"/>
                <w:sz w:val="24"/>
                <w:lang w:eastAsia="zh-CN"/>
              </w:rPr>
              <w:t>DSA机房</w:t>
            </w:r>
            <w:r>
              <w:rPr>
                <w:rFonts w:ascii="Times New Roman" w:hAnsi="Times New Roman"/>
                <w:sz w:val="24"/>
              </w:rPr>
              <w:t>设置于院区</w:t>
            </w:r>
            <w:r>
              <w:rPr>
                <w:rFonts w:hint="eastAsia" w:ascii="Times New Roman" w:hAnsi="Times New Roman"/>
                <w:sz w:val="24"/>
                <w:lang w:val="en-US" w:eastAsia="zh-CN"/>
              </w:rPr>
              <w:t>北</w:t>
            </w:r>
            <w:r>
              <w:rPr>
                <w:rFonts w:ascii="Times New Roman" w:hAnsi="Times New Roman"/>
                <w:sz w:val="24"/>
              </w:rPr>
              <w:t>侧</w:t>
            </w:r>
            <w:r>
              <w:rPr>
                <w:rFonts w:hint="eastAsia" w:ascii="Times New Roman" w:hAnsi="Times New Roman"/>
                <w:sz w:val="24"/>
                <w:lang w:eastAsia="zh-CN"/>
              </w:rPr>
              <w:t>2号住院综合楼</w:t>
            </w:r>
            <w:r>
              <w:rPr>
                <w:rFonts w:hint="eastAsia" w:ascii="Times New Roman" w:hAnsi="Times New Roman"/>
                <w:sz w:val="24"/>
                <w:lang w:val="en-US" w:eastAsia="zh-CN"/>
              </w:rPr>
              <w:t>一楼放射科</w:t>
            </w:r>
            <w:r>
              <w:rPr>
                <w:rFonts w:ascii="Times New Roman" w:hAnsi="Times New Roman"/>
                <w:sz w:val="24"/>
              </w:rPr>
              <w:t>，</w:t>
            </w:r>
            <w:r>
              <w:rPr>
                <w:rFonts w:hint="eastAsia" w:ascii="Times New Roman" w:hAnsi="Times New Roman"/>
                <w:sz w:val="24"/>
                <w:lang w:val="en-US" w:eastAsia="zh-CN"/>
              </w:rPr>
              <w:t>本项目评价范围内，</w:t>
            </w:r>
            <w:r>
              <w:rPr>
                <w:rFonts w:hint="eastAsia" w:ascii="Times New Roman" w:hAnsi="Times New Roman"/>
                <w:bCs/>
                <w:sz w:val="24"/>
                <w:lang w:val="en-US" w:eastAsia="zh-CN"/>
              </w:rPr>
              <w:t>平昌中医院2号住院综合楼位于山脚，</w:t>
            </w:r>
            <w:r>
              <w:rPr>
                <w:rFonts w:hint="eastAsia" w:ascii="Times New Roman" w:hAnsi="Times New Roman"/>
                <w:b/>
                <w:bCs w:val="0"/>
                <w:sz w:val="24"/>
                <w:lang w:val="en-US" w:eastAsia="zh-CN"/>
              </w:rPr>
              <w:t>东南侧</w:t>
            </w:r>
            <w:r>
              <w:rPr>
                <w:rFonts w:hint="eastAsia" w:ascii="Times New Roman" w:hAnsi="Times New Roman"/>
                <w:bCs/>
                <w:sz w:val="24"/>
                <w:lang w:val="en-US" w:eastAsia="zh-CN"/>
              </w:rPr>
              <w:t>为居民楼1；</w:t>
            </w:r>
            <w:r>
              <w:rPr>
                <w:rFonts w:hint="eastAsia" w:ascii="Times New Roman" w:hAnsi="Times New Roman"/>
                <w:b/>
                <w:bCs w:val="0"/>
                <w:sz w:val="24"/>
                <w:lang w:val="en-US" w:eastAsia="zh-CN"/>
              </w:rPr>
              <w:t>东侧</w:t>
            </w:r>
            <w:r>
              <w:rPr>
                <w:rFonts w:hint="eastAsia" w:ascii="Times New Roman" w:hAnsi="Times New Roman"/>
                <w:bCs/>
                <w:sz w:val="24"/>
                <w:lang w:val="en-US" w:eastAsia="zh-CN"/>
              </w:rPr>
              <w:t>为居民楼2；</w:t>
            </w:r>
            <w:r>
              <w:rPr>
                <w:rFonts w:hint="eastAsia" w:ascii="Times New Roman" w:hAnsi="Times New Roman"/>
                <w:b/>
                <w:bCs w:val="0"/>
                <w:sz w:val="24"/>
                <w:lang w:val="en-US" w:eastAsia="zh-CN"/>
              </w:rPr>
              <w:t>东侧</w:t>
            </w:r>
            <w:r>
              <w:rPr>
                <w:rFonts w:hint="eastAsia" w:ascii="Times New Roman" w:hAnsi="Times New Roman"/>
                <w:bCs/>
                <w:sz w:val="24"/>
                <w:lang w:val="en-US" w:eastAsia="zh-CN"/>
              </w:rPr>
              <w:t>为居民楼3；</w:t>
            </w:r>
            <w:r>
              <w:rPr>
                <w:rFonts w:hint="eastAsia" w:ascii="Times New Roman" w:hAnsi="Times New Roman"/>
                <w:b/>
                <w:bCs w:val="0"/>
                <w:sz w:val="24"/>
                <w:lang w:val="en-US" w:eastAsia="zh-CN"/>
              </w:rPr>
              <w:t>北侧</w:t>
            </w:r>
            <w:r>
              <w:rPr>
                <w:rFonts w:hint="eastAsia" w:ascii="Times New Roman" w:hAnsi="Times New Roman"/>
                <w:bCs/>
                <w:sz w:val="24"/>
                <w:lang w:val="en-US" w:eastAsia="zh-CN"/>
              </w:rPr>
              <w:t>为居民楼4；本项目</w:t>
            </w:r>
            <w:r>
              <w:rPr>
                <w:rFonts w:hint="eastAsia" w:ascii="Times New Roman" w:hAnsi="Times New Roman"/>
                <w:b/>
                <w:bCs w:val="0"/>
                <w:sz w:val="24"/>
                <w:lang w:val="en-US" w:eastAsia="zh-CN"/>
              </w:rPr>
              <w:t>西北侧</w:t>
            </w:r>
            <w:r>
              <w:rPr>
                <w:rFonts w:hint="eastAsia" w:ascii="Times New Roman" w:hAnsi="Times New Roman"/>
                <w:bCs/>
                <w:sz w:val="24"/>
                <w:lang w:val="en-US" w:eastAsia="zh-CN"/>
              </w:rPr>
              <w:t>为1号住院楼，本项目</w:t>
            </w:r>
            <w:r>
              <w:rPr>
                <w:rFonts w:hint="eastAsia" w:ascii="Times New Roman" w:hAnsi="Times New Roman"/>
                <w:b/>
                <w:bCs w:val="0"/>
                <w:sz w:val="24"/>
                <w:lang w:val="en-US" w:eastAsia="zh-CN"/>
              </w:rPr>
              <w:t>西南侧</w:t>
            </w:r>
            <w:r>
              <w:rPr>
                <w:rFonts w:hint="eastAsia" w:ascii="Times New Roman" w:hAnsi="Times New Roman"/>
                <w:bCs/>
                <w:sz w:val="24"/>
                <w:lang w:val="en-US" w:eastAsia="zh-CN"/>
              </w:rPr>
              <w:t>为医院家属楼。其余50米范围内为道路、医院绿化及山坡植被</w:t>
            </w:r>
            <w:r>
              <w:rPr>
                <w:rFonts w:hint="eastAsia" w:ascii="Times New Roman" w:hAnsi="Times New Roman"/>
                <w:bCs/>
                <w:sz w:val="24"/>
              </w:rPr>
              <w:t>。</w:t>
            </w:r>
          </w:p>
          <w:p w14:paraId="36C408C1">
            <w:pPr>
              <w:pStyle w:val="30"/>
              <w:spacing w:line="360" w:lineRule="auto"/>
              <w:ind w:firstLine="480" w:firstLineChars="200"/>
              <w:rPr>
                <w:rFonts w:hint="eastAsia" w:ascii="Times New Roman" w:hAnsi="Times New Roman"/>
                <w:bCs/>
                <w:color w:val="auto"/>
                <w:kern w:val="2"/>
                <w:lang w:val="en-US" w:eastAsia="zh-CN"/>
              </w:rPr>
            </w:pPr>
            <w:r>
              <w:rPr>
                <w:rFonts w:hint="eastAsia" w:ascii="Times New Roman" w:hAnsi="Times New Roman"/>
                <w:bCs/>
                <w:color w:val="auto"/>
                <w:kern w:val="2"/>
                <w:lang w:val="en-US" w:eastAsia="zh-CN"/>
              </w:rPr>
              <w:t>本项目评价范围内，主要受辐射影响为医院内部人员、东侧居民楼人员、东南侧居民楼人员、北侧居民楼人员以及西南侧医院家属楼人员。</w:t>
            </w:r>
          </w:p>
          <w:p w14:paraId="494AA5F1">
            <w:pPr>
              <w:pStyle w:val="30"/>
              <w:spacing w:line="360" w:lineRule="auto"/>
              <w:ind w:firstLine="480" w:firstLineChars="200"/>
              <w:rPr>
                <w:rFonts w:ascii="Times New Roman" w:hAnsi="Times New Roman"/>
                <w:bCs/>
                <w:color w:val="auto"/>
                <w:kern w:val="2"/>
              </w:rPr>
            </w:pPr>
            <w:r>
              <w:rPr>
                <w:rFonts w:ascii="Times New Roman" w:hAnsi="Times New Roman"/>
                <w:bCs/>
                <w:color w:val="auto"/>
                <w:kern w:val="2"/>
              </w:rPr>
              <w:t>在接受环境影响评价委托后，我公司技术人员对本项目拟建场所进行了踏勘，</w:t>
            </w:r>
            <w:r>
              <w:rPr>
                <w:rFonts w:hint="eastAsia" w:ascii="Times New Roman" w:hAnsi="Times New Roman"/>
                <w:bCs/>
                <w:color w:val="auto"/>
                <w:kern w:val="2"/>
              </w:rPr>
              <w:t>本项目</w:t>
            </w:r>
            <w:r>
              <w:rPr>
                <w:rFonts w:ascii="Times New Roman" w:hAnsi="Times New Roman"/>
                <w:bCs/>
                <w:color w:val="auto"/>
                <w:kern w:val="2"/>
              </w:rPr>
              <w:t>拟建场所现状见</w:t>
            </w:r>
            <w:r>
              <w:rPr>
                <w:rFonts w:hint="eastAsia" w:ascii="Times New Roman" w:hAnsi="Times New Roman"/>
                <w:bCs/>
                <w:color w:val="auto"/>
                <w:kern w:val="2"/>
              </w:rPr>
              <w:t>下</w:t>
            </w:r>
            <w:r>
              <w:rPr>
                <w:rFonts w:ascii="Times New Roman" w:hAnsi="Times New Roman"/>
                <w:bCs/>
                <w:color w:val="auto"/>
                <w:kern w:val="2"/>
              </w:rPr>
              <w:t>图。</w:t>
            </w:r>
          </w:p>
          <w:tbl>
            <w:tblPr>
              <w:tblStyle w:val="23"/>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5"/>
              <w:gridCol w:w="4254"/>
            </w:tblGrid>
            <w:tr w14:paraId="1AC4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4365" w:type="dxa"/>
                  <w:vAlign w:val="center"/>
                </w:tcPr>
                <w:p w14:paraId="11428D83">
                  <w:pPr>
                    <w:jc w:val="center"/>
                    <w:rPr>
                      <w:rFonts w:hint="eastAsia" w:ascii="Times New Roman" w:hAnsi="Times New Roman" w:eastAsia="宋体"/>
                      <w:b/>
                      <w:bCs/>
                      <w:szCs w:val="21"/>
                      <w:lang w:eastAsia="zh-CN"/>
                    </w:rPr>
                  </w:pPr>
                  <w:r>
                    <w:rPr>
                      <w:rFonts w:hint="eastAsia" w:ascii="Times New Roman" w:hAnsi="Times New Roman" w:eastAsia="宋体"/>
                      <w:b/>
                      <w:bCs/>
                      <w:szCs w:val="21"/>
                      <w:lang w:eastAsia="zh-CN"/>
                    </w:rPr>
                    <w:drawing>
                      <wp:inline distT="0" distB="0" distL="114300" distR="114300">
                        <wp:extent cx="2590800" cy="1943100"/>
                        <wp:effectExtent l="0" t="0" r="0" b="0"/>
                        <wp:docPr id="7" name="图片 7" descr="微信图片_20260126095514_27_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60126095514_27_240"/>
                                <pic:cNvPicPr>
                                  <a:picLocks noChangeAspect="1"/>
                                </pic:cNvPicPr>
                              </pic:nvPicPr>
                              <pic:blipFill>
                                <a:blip r:embed="rId10"/>
                                <a:stretch>
                                  <a:fillRect/>
                                </a:stretch>
                              </pic:blipFill>
                              <pic:spPr>
                                <a:xfrm>
                                  <a:off x="0" y="0"/>
                                  <a:ext cx="2590800" cy="1943100"/>
                                </a:xfrm>
                                <a:prstGeom prst="rect">
                                  <a:avLst/>
                                </a:prstGeom>
                              </pic:spPr>
                            </pic:pic>
                          </a:graphicData>
                        </a:graphic>
                      </wp:inline>
                    </w:drawing>
                  </w:r>
                </w:p>
              </w:tc>
              <w:tc>
                <w:tcPr>
                  <w:tcW w:w="4254" w:type="dxa"/>
                  <w:vAlign w:val="center"/>
                </w:tcPr>
                <w:p w14:paraId="39FFA18A">
                  <w:pPr>
                    <w:jc w:val="center"/>
                    <w:rPr>
                      <w:rFonts w:hint="eastAsia" w:ascii="Times New Roman" w:hAnsi="Times New Roman" w:eastAsia="宋体"/>
                      <w:b/>
                      <w:bCs/>
                      <w:szCs w:val="21"/>
                      <w:lang w:eastAsia="zh-CN"/>
                    </w:rPr>
                  </w:pPr>
                  <w:r>
                    <w:rPr>
                      <w:rFonts w:hint="eastAsia" w:ascii="Times New Roman" w:hAnsi="Times New Roman" w:eastAsia="宋体"/>
                      <w:b/>
                      <w:bCs/>
                      <w:szCs w:val="21"/>
                      <w:lang w:eastAsia="zh-CN"/>
                    </w:rPr>
                    <w:drawing>
                      <wp:inline distT="0" distB="0" distL="114300" distR="114300">
                        <wp:extent cx="3403600" cy="2552700"/>
                        <wp:effectExtent l="0" t="0" r="0" b="6350"/>
                        <wp:docPr id="8" name="图片 8" descr="微信图片_20260126095559_42_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126095559_42_240"/>
                                <pic:cNvPicPr>
                                  <a:picLocks noChangeAspect="1"/>
                                </pic:cNvPicPr>
                              </pic:nvPicPr>
                              <pic:blipFill>
                                <a:blip r:embed="rId11"/>
                                <a:stretch>
                                  <a:fillRect/>
                                </a:stretch>
                              </pic:blipFill>
                              <pic:spPr>
                                <a:xfrm rot="5400000">
                                  <a:off x="0" y="0"/>
                                  <a:ext cx="3403600" cy="2552700"/>
                                </a:xfrm>
                                <a:prstGeom prst="rect">
                                  <a:avLst/>
                                </a:prstGeom>
                              </pic:spPr>
                            </pic:pic>
                          </a:graphicData>
                        </a:graphic>
                      </wp:inline>
                    </w:drawing>
                  </w:r>
                </w:p>
              </w:tc>
            </w:tr>
            <w:tr w14:paraId="3E79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365" w:type="dxa"/>
                  <w:vAlign w:val="center"/>
                </w:tcPr>
                <w:p w14:paraId="3CB728EB">
                  <w:pPr>
                    <w:jc w:val="center"/>
                    <w:rPr>
                      <w:rFonts w:ascii="Times New Roman" w:hAnsi="Times New Roman"/>
                      <w:b/>
                      <w:bCs/>
                      <w:szCs w:val="21"/>
                    </w:rPr>
                  </w:pPr>
                  <w:r>
                    <w:rPr>
                      <w:rFonts w:hint="eastAsia" w:ascii="Times New Roman" w:hAnsi="Times New Roman"/>
                      <w:b/>
                      <w:bCs/>
                      <w:szCs w:val="21"/>
                    </w:rPr>
                    <w:t>项目拟建区域现状</w:t>
                  </w:r>
                </w:p>
              </w:tc>
              <w:tc>
                <w:tcPr>
                  <w:tcW w:w="4254" w:type="dxa"/>
                  <w:vAlign w:val="center"/>
                </w:tcPr>
                <w:p w14:paraId="376C2300">
                  <w:pPr>
                    <w:jc w:val="center"/>
                    <w:rPr>
                      <w:rFonts w:hint="default" w:ascii="Times New Roman" w:hAnsi="Times New Roman" w:eastAsia="宋体"/>
                      <w:b/>
                      <w:bCs/>
                      <w:szCs w:val="21"/>
                      <w:lang w:val="en-US" w:eastAsia="zh-CN"/>
                    </w:rPr>
                  </w:pPr>
                  <w:r>
                    <w:rPr>
                      <w:rFonts w:hint="eastAsia" w:ascii="Times New Roman" w:hAnsi="Times New Roman"/>
                      <w:b/>
                      <w:bCs/>
                      <w:szCs w:val="21"/>
                      <w:lang w:val="en-US" w:eastAsia="zh-CN"/>
                    </w:rPr>
                    <w:t>2号住院综合楼北侧</w:t>
                  </w:r>
                </w:p>
              </w:tc>
            </w:tr>
            <w:tr w14:paraId="0D29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jc w:val="center"/>
              </w:trPr>
              <w:tc>
                <w:tcPr>
                  <w:tcW w:w="4365" w:type="dxa"/>
                  <w:vAlign w:val="center"/>
                </w:tcPr>
                <w:p w14:paraId="1A55A2D5">
                  <w:pPr>
                    <w:jc w:val="center"/>
                    <w:rPr>
                      <w:rFonts w:hint="eastAsia" w:ascii="Times New Roman" w:hAnsi="Times New Roman" w:eastAsia="宋体"/>
                      <w:b/>
                      <w:bCs/>
                      <w:szCs w:val="21"/>
                      <w:lang w:eastAsia="zh-CN"/>
                    </w:rPr>
                  </w:pPr>
                  <w:r>
                    <w:rPr>
                      <w:rFonts w:hint="eastAsia" w:ascii="Times New Roman" w:hAnsi="Times New Roman" w:eastAsia="宋体"/>
                      <w:b/>
                      <w:bCs/>
                      <w:szCs w:val="21"/>
                      <w:lang w:eastAsia="zh-CN"/>
                    </w:rPr>
                    <w:drawing>
                      <wp:inline distT="0" distB="0" distL="114300" distR="114300">
                        <wp:extent cx="2590800" cy="1943100"/>
                        <wp:effectExtent l="0" t="0" r="0" b="0"/>
                        <wp:docPr id="9" name="图片 9" descr="微信图片_20260126095538_36_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60126095538_36_240"/>
                                <pic:cNvPicPr>
                                  <a:picLocks noChangeAspect="1"/>
                                </pic:cNvPicPr>
                              </pic:nvPicPr>
                              <pic:blipFill>
                                <a:blip r:embed="rId12"/>
                                <a:stretch>
                                  <a:fillRect/>
                                </a:stretch>
                              </pic:blipFill>
                              <pic:spPr>
                                <a:xfrm>
                                  <a:off x="0" y="0"/>
                                  <a:ext cx="2590800" cy="1943100"/>
                                </a:xfrm>
                                <a:prstGeom prst="rect">
                                  <a:avLst/>
                                </a:prstGeom>
                              </pic:spPr>
                            </pic:pic>
                          </a:graphicData>
                        </a:graphic>
                      </wp:inline>
                    </w:drawing>
                  </w:r>
                </w:p>
              </w:tc>
              <w:tc>
                <w:tcPr>
                  <w:tcW w:w="4254" w:type="dxa"/>
                  <w:vAlign w:val="center"/>
                </w:tcPr>
                <w:p w14:paraId="5B2F9269">
                  <w:pPr>
                    <w:jc w:val="center"/>
                    <w:rPr>
                      <w:rFonts w:hint="eastAsia" w:ascii="Times New Roman" w:hAnsi="Times New Roman" w:eastAsia="宋体"/>
                      <w:b/>
                      <w:lang w:eastAsia="zh-CN"/>
                    </w:rPr>
                  </w:pPr>
                  <w:r>
                    <w:rPr>
                      <w:rFonts w:hint="eastAsia" w:ascii="Times New Roman" w:hAnsi="Times New Roman" w:eastAsia="宋体"/>
                      <w:b/>
                      <w:lang w:eastAsia="zh-CN"/>
                    </w:rPr>
                    <w:drawing>
                      <wp:inline distT="0" distB="0" distL="114300" distR="114300">
                        <wp:extent cx="3403600" cy="2552700"/>
                        <wp:effectExtent l="0" t="0" r="0" b="6350"/>
                        <wp:docPr id="10" name="图片 10" descr="微信图片_20260126095611_47_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60126095611_47_240"/>
                                <pic:cNvPicPr>
                                  <a:picLocks noChangeAspect="1"/>
                                </pic:cNvPicPr>
                              </pic:nvPicPr>
                              <pic:blipFill>
                                <a:blip r:embed="rId13"/>
                                <a:stretch>
                                  <a:fillRect/>
                                </a:stretch>
                              </pic:blipFill>
                              <pic:spPr>
                                <a:xfrm rot="5400000">
                                  <a:off x="0" y="0"/>
                                  <a:ext cx="3403600" cy="2552700"/>
                                </a:xfrm>
                                <a:prstGeom prst="rect">
                                  <a:avLst/>
                                </a:prstGeom>
                              </pic:spPr>
                            </pic:pic>
                          </a:graphicData>
                        </a:graphic>
                      </wp:inline>
                    </w:drawing>
                  </w:r>
                </w:p>
              </w:tc>
            </w:tr>
            <w:tr w14:paraId="41C1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365" w:type="dxa"/>
                  <w:vAlign w:val="center"/>
                </w:tcPr>
                <w:p w14:paraId="133AB01C">
                  <w:pPr>
                    <w:jc w:val="center"/>
                    <w:rPr>
                      <w:rFonts w:ascii="Times New Roman" w:hAnsi="Times New Roman"/>
                      <w:b/>
                      <w:bCs/>
                      <w:szCs w:val="21"/>
                    </w:rPr>
                  </w:pPr>
                  <w:r>
                    <w:rPr>
                      <w:rFonts w:hint="eastAsia" w:ascii="Times New Roman" w:hAnsi="Times New Roman"/>
                      <w:b/>
                      <w:lang w:val="en-US" w:eastAsia="zh-CN"/>
                    </w:rPr>
                    <w:t>2号住院综合楼北</w:t>
                  </w:r>
                  <w:r>
                    <w:rPr>
                      <w:rFonts w:hint="eastAsia" w:ascii="Times New Roman" w:hAnsi="Times New Roman"/>
                      <w:b/>
                    </w:rPr>
                    <w:t>侧</w:t>
                  </w:r>
                </w:p>
              </w:tc>
              <w:tc>
                <w:tcPr>
                  <w:tcW w:w="4254" w:type="dxa"/>
                  <w:vAlign w:val="center"/>
                </w:tcPr>
                <w:p w14:paraId="6883B9D0">
                  <w:pPr>
                    <w:jc w:val="center"/>
                    <w:rPr>
                      <w:rFonts w:ascii="Times New Roman" w:hAnsi="Times New Roman"/>
                      <w:b/>
                    </w:rPr>
                  </w:pPr>
                  <w:r>
                    <w:rPr>
                      <w:rFonts w:hint="eastAsia" w:ascii="Times New Roman" w:hAnsi="Times New Roman"/>
                      <w:b/>
                      <w:lang w:val="en-US" w:eastAsia="zh-CN"/>
                    </w:rPr>
                    <w:t>2号住院综合楼西</w:t>
                  </w:r>
                  <w:r>
                    <w:rPr>
                      <w:rFonts w:hint="eastAsia" w:ascii="Times New Roman" w:hAnsi="Times New Roman"/>
                      <w:b/>
                    </w:rPr>
                    <w:t>侧</w:t>
                  </w:r>
                </w:p>
              </w:tc>
            </w:tr>
          </w:tbl>
          <w:p w14:paraId="6AA18D02">
            <w:pPr>
              <w:spacing w:line="360" w:lineRule="auto"/>
              <w:rPr>
                <w:rFonts w:ascii="Times New Roman" w:hAnsi="Times New Roman"/>
                <w:b/>
                <w:bCs/>
                <w:sz w:val="28"/>
                <w:szCs w:val="28"/>
              </w:rPr>
            </w:pPr>
            <w:r>
              <w:rPr>
                <w:rFonts w:ascii="Times New Roman" w:hAnsi="Times New Roman"/>
                <w:b/>
                <w:bCs/>
                <w:sz w:val="28"/>
                <w:szCs w:val="28"/>
              </w:rPr>
              <w:t>二、本项目主要环境影响</w:t>
            </w:r>
          </w:p>
          <w:p w14:paraId="1D5975EA">
            <w:pPr>
              <w:spacing w:line="360" w:lineRule="auto"/>
              <w:ind w:firstLine="480" w:firstLineChars="200"/>
              <w:rPr>
                <w:rFonts w:hint="default" w:ascii="Times New Roman" w:hAnsi="Times New Roman" w:eastAsia="宋体"/>
                <w:sz w:val="24"/>
                <w:lang w:val="en-US" w:eastAsia="zh-CN"/>
              </w:rPr>
            </w:pPr>
            <w:r>
              <w:rPr>
                <w:rFonts w:ascii="Times New Roman" w:hAnsi="Times New Roman"/>
                <w:sz w:val="24"/>
              </w:rPr>
              <w:t>本项目</w:t>
            </w:r>
            <w:r>
              <w:rPr>
                <w:rFonts w:hint="eastAsia" w:ascii="Times New Roman" w:hAnsi="Times New Roman"/>
                <w:sz w:val="24"/>
              </w:rPr>
              <w:t>在</w:t>
            </w:r>
            <w:r>
              <w:rPr>
                <w:rFonts w:hint="eastAsia" w:ascii="Times New Roman" w:hAnsi="Times New Roman"/>
                <w:sz w:val="24"/>
                <w:lang w:eastAsia="zh-CN"/>
              </w:rPr>
              <w:t>2号住院综合楼</w:t>
            </w:r>
            <w:r>
              <w:rPr>
                <w:rFonts w:hint="eastAsia" w:ascii="Times New Roman" w:hAnsi="Times New Roman"/>
                <w:sz w:val="24"/>
                <w:lang w:val="en-US" w:eastAsia="zh-CN"/>
              </w:rPr>
              <w:t>一</w:t>
            </w:r>
            <w:r>
              <w:rPr>
                <w:rFonts w:hint="eastAsia" w:ascii="Times New Roman" w:hAnsi="Times New Roman"/>
                <w:sz w:val="24"/>
              </w:rPr>
              <w:t>楼预留DSA机房，施工期为防护装修施工、设备安装</w:t>
            </w:r>
            <w:r>
              <w:rPr>
                <w:rFonts w:ascii="Times New Roman" w:hAnsi="Times New Roman"/>
                <w:sz w:val="24"/>
              </w:rPr>
              <w:t>，本项目工程量较小，施工期较短，施工期的环境影响</w:t>
            </w:r>
            <w:r>
              <w:rPr>
                <w:rFonts w:hint="eastAsia" w:ascii="Times New Roman" w:hAnsi="Times New Roman"/>
                <w:sz w:val="24"/>
              </w:rPr>
              <w:t>较小</w:t>
            </w:r>
            <w:r>
              <w:rPr>
                <w:rFonts w:ascii="Times New Roman" w:hAnsi="Times New Roman"/>
                <w:sz w:val="24"/>
              </w:rPr>
              <w:t>。在投入运营后，主要对环境造成影响的是DSA在曝光过程中，产生的X射线。</w:t>
            </w:r>
            <w:r>
              <w:rPr>
                <w:rFonts w:hint="eastAsia" w:ascii="Times New Roman" w:hAnsi="Times New Roman"/>
                <w:sz w:val="24"/>
                <w:lang w:val="en-US" w:eastAsia="zh-CN"/>
              </w:rPr>
              <w:t>根据</w:t>
            </w:r>
            <w:r>
              <w:rPr>
                <w:rFonts w:ascii="Times New Roman" w:hAnsi="Times New Roman"/>
                <w:sz w:val="24"/>
              </w:rPr>
              <w:t>《辐射环境保护管理导则核技术利用建设项目环境影响评价文件的内容和格式》（HJ10.1-2016）</w:t>
            </w:r>
            <w:r>
              <w:rPr>
                <w:rFonts w:hint="eastAsia" w:ascii="Times New Roman" w:hAnsi="Times New Roman"/>
                <w:sz w:val="24"/>
                <w:lang w:val="en-US" w:eastAsia="zh-CN"/>
              </w:rPr>
              <w:t>要求环境质量和辐射现状只需给出辐射环境质量现状</w:t>
            </w:r>
            <w:r>
              <w:rPr>
                <w:rFonts w:hint="eastAsia" w:ascii="Times New Roman" w:hAnsi="Times New Roman"/>
                <w:sz w:val="24"/>
                <w:lang w:eastAsia="zh-CN"/>
              </w:rPr>
              <w:t>。</w:t>
            </w:r>
            <w:r>
              <w:rPr>
                <w:rFonts w:ascii="Times New Roman" w:hAnsi="Times New Roman"/>
                <w:sz w:val="24"/>
              </w:rPr>
              <w:t>Ⅱ类射线装置</w:t>
            </w:r>
            <w:r>
              <w:rPr>
                <w:rFonts w:hint="eastAsia" w:ascii="Times New Roman" w:hAnsi="Times New Roman"/>
                <w:sz w:val="24"/>
              </w:rPr>
              <w:t>仅需对X射线进行现状监测。</w:t>
            </w:r>
          </w:p>
          <w:p w14:paraId="065001DF">
            <w:pPr>
              <w:spacing w:line="360" w:lineRule="auto"/>
              <w:rPr>
                <w:rFonts w:ascii="Times New Roman" w:hAnsi="Times New Roman"/>
                <w:b/>
                <w:sz w:val="28"/>
                <w:szCs w:val="28"/>
              </w:rPr>
            </w:pPr>
            <w:r>
              <w:rPr>
                <w:rFonts w:ascii="Times New Roman" w:hAnsi="Times New Roman"/>
                <w:b/>
                <w:sz w:val="28"/>
                <w:szCs w:val="28"/>
              </w:rPr>
              <w:t>三、本项目所在地X-γ辐射空气吸收剂量现状监测</w:t>
            </w:r>
          </w:p>
          <w:p w14:paraId="6CC7A325">
            <w:pPr>
              <w:spacing w:line="360" w:lineRule="auto"/>
              <w:ind w:firstLine="562" w:firstLineChars="200"/>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（一）监测方法</w:t>
            </w:r>
          </w:p>
          <w:p w14:paraId="0107C0D1">
            <w:pPr>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受</w:t>
            </w:r>
            <w:r>
              <w:rPr>
                <w:rFonts w:hint="eastAsia" w:ascii="Times New Roman" w:hAnsi="Times New Roman"/>
                <w:color w:val="000000" w:themeColor="text1"/>
                <w:sz w:val="24"/>
                <w:lang w:eastAsia="zh-CN"/>
                <w14:textFill>
                  <w14:solidFill>
                    <w14:schemeClr w14:val="tx1"/>
                  </w14:solidFill>
                </w14:textFill>
              </w:rPr>
              <w:t>平昌县中医医院</w:t>
            </w:r>
            <w:r>
              <w:rPr>
                <w:rFonts w:ascii="Times New Roman" w:hAnsi="Times New Roman"/>
                <w:color w:val="000000" w:themeColor="text1"/>
                <w:sz w:val="24"/>
                <w14:textFill>
                  <w14:solidFill>
                    <w14:schemeClr w14:val="tx1"/>
                  </w14:solidFill>
                </w14:textFill>
              </w:rPr>
              <w:t>的委托，</w:t>
            </w:r>
            <w:r>
              <w:rPr>
                <w:rFonts w:hint="eastAsia" w:ascii="Times New Roman" w:hAnsi="Times New Roman"/>
                <w:bCs/>
                <w:color w:val="000000" w:themeColor="text1"/>
                <w:sz w:val="24"/>
                <w14:textFill>
                  <w14:solidFill>
                    <w14:schemeClr w14:val="tx1"/>
                  </w14:solidFill>
                </w14:textFill>
              </w:rPr>
              <w:t>四川鸿源环境检测技术咨询有限公司</w:t>
            </w:r>
            <w:r>
              <w:rPr>
                <w:rFonts w:ascii="Times New Roman" w:hAnsi="Times New Roman"/>
                <w:color w:val="000000" w:themeColor="text1"/>
                <w:sz w:val="24"/>
                <w14:textFill>
                  <w14:solidFill>
                    <w14:schemeClr w14:val="tx1"/>
                  </w14:solidFill>
                </w14:textFill>
              </w:rPr>
              <w:t>于202</w:t>
            </w:r>
            <w:r>
              <w:rPr>
                <w:rFonts w:hint="eastAsia" w:ascii="Times New Roman" w:hAnsi="Times New Roman"/>
                <w:color w:val="000000" w:themeColor="text1"/>
                <w:sz w:val="24"/>
                <w:lang w:val="en-US" w:eastAsia="zh-CN"/>
                <w14:textFill>
                  <w14:solidFill>
                    <w14:schemeClr w14:val="tx1"/>
                  </w14:solidFill>
                </w14:textFill>
              </w:rPr>
              <w:t>6</w:t>
            </w:r>
            <w:r>
              <w:rPr>
                <w:rFonts w:ascii="Times New Roman" w:hAnsi="Times New Roman"/>
                <w:color w:val="000000" w:themeColor="text1"/>
                <w:sz w:val="24"/>
                <w14:textFill>
                  <w14:solidFill>
                    <w14:schemeClr w14:val="tx1"/>
                  </w14:solidFill>
                </w14:textFill>
              </w:rPr>
              <w:t>年</w:t>
            </w:r>
            <w:r>
              <w:rPr>
                <w:rFonts w:hint="eastAsia" w:ascii="Times New Roman" w:hAnsi="Times New Roman"/>
                <w:color w:val="000000" w:themeColor="text1"/>
                <w:sz w:val="24"/>
                <w:lang w:val="en-US" w:eastAsia="zh-CN"/>
                <w14:textFill>
                  <w14:solidFill>
                    <w14:schemeClr w14:val="tx1"/>
                  </w14:solidFill>
                </w14:textFill>
              </w:rPr>
              <w:t>3</w:t>
            </w:r>
            <w:r>
              <w:rPr>
                <w:rFonts w:ascii="Times New Roman" w:hAnsi="Times New Roman"/>
                <w:color w:val="000000" w:themeColor="text1"/>
                <w:sz w:val="24"/>
                <w14:textFill>
                  <w14:solidFill>
                    <w14:schemeClr w14:val="tx1"/>
                  </w14:solidFill>
                </w14:textFill>
              </w:rPr>
              <w:t>月</w:t>
            </w:r>
            <w:r>
              <w:rPr>
                <w:rFonts w:hint="eastAsia" w:ascii="Times New Roman" w:hAnsi="Times New Roman"/>
                <w:color w:val="000000" w:themeColor="text1"/>
                <w:sz w:val="24"/>
                <w:lang w:val="en-US" w:eastAsia="zh-CN"/>
                <w14:textFill>
                  <w14:solidFill>
                    <w14:schemeClr w14:val="tx1"/>
                  </w14:solidFill>
                </w14:textFill>
              </w:rPr>
              <w:t>11</w:t>
            </w:r>
            <w:r>
              <w:rPr>
                <w:rFonts w:ascii="Times New Roman" w:hAnsi="Times New Roman"/>
                <w:color w:val="000000" w:themeColor="text1"/>
                <w:sz w:val="24"/>
                <w14:textFill>
                  <w14:solidFill>
                    <w14:schemeClr w14:val="tx1"/>
                  </w14:solidFill>
                </w14:textFill>
              </w:rPr>
              <w:t>日按照要求对</w:t>
            </w:r>
            <w:r>
              <w:rPr>
                <w:rFonts w:hint="eastAsia" w:ascii="Times New Roman" w:hAnsi="Times New Roman"/>
                <w:color w:val="000000" w:themeColor="text1"/>
                <w:sz w:val="24"/>
                <w:lang w:eastAsia="zh-CN"/>
                <w14:textFill>
                  <w14:solidFill>
                    <w14:schemeClr w14:val="tx1"/>
                  </w14:solidFill>
                </w14:textFill>
              </w:rPr>
              <w:t>平昌县中医医院</w:t>
            </w:r>
            <w:r>
              <w:rPr>
                <w:rFonts w:hint="eastAsia" w:ascii="Times New Roman" w:hAnsi="Times New Roman"/>
                <w:color w:val="000000" w:themeColor="text1"/>
                <w:sz w:val="24"/>
                <w14:textFill>
                  <w14:solidFill>
                    <w14:schemeClr w14:val="tx1"/>
                  </w14:solidFill>
                </w14:textFill>
              </w:rPr>
              <w:t>拟建DSA机房</w:t>
            </w:r>
            <w:r>
              <w:rPr>
                <w:rFonts w:ascii="Times New Roman" w:hAnsi="Times New Roman"/>
                <w:color w:val="000000" w:themeColor="text1"/>
                <w:sz w:val="24"/>
                <w14:textFill>
                  <w14:solidFill>
                    <w14:schemeClr w14:val="tx1"/>
                  </w14:solidFill>
                </w14:textFill>
              </w:rPr>
              <w:t>场所周围，进行了辐射环境现状布点监测，其监测项目、分析方法及来源见表8-1。</w:t>
            </w:r>
          </w:p>
          <w:p w14:paraId="63BD339C">
            <w:pPr>
              <w:spacing w:line="360" w:lineRule="auto"/>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表8-1  监测项目、方法及方法来源表</w:t>
            </w:r>
          </w:p>
          <w:tbl>
            <w:tblPr>
              <w:tblStyle w:val="23"/>
              <w:tblW w:w="8920"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719"/>
              <w:gridCol w:w="4964"/>
              <w:gridCol w:w="2237"/>
            </w:tblGrid>
            <w:tr w14:paraId="6B4216D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3" w:hRule="atLeast"/>
                <w:jc w:val="center"/>
              </w:trPr>
              <w:tc>
                <w:tcPr>
                  <w:tcW w:w="1719" w:type="dxa"/>
                  <w:tcBorders>
                    <w:top w:val="single" w:color="auto" w:sz="12" w:space="0"/>
                    <w:bottom w:val="single" w:color="auto" w:sz="4" w:space="0"/>
                  </w:tcBorders>
                  <w:vAlign w:val="center"/>
                </w:tcPr>
                <w:p w14:paraId="1177A415">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监测项目</w:t>
                  </w:r>
                </w:p>
              </w:tc>
              <w:tc>
                <w:tcPr>
                  <w:tcW w:w="4964" w:type="dxa"/>
                  <w:tcBorders>
                    <w:top w:val="single" w:color="auto" w:sz="12" w:space="0"/>
                    <w:bottom w:val="single" w:color="auto" w:sz="4" w:space="0"/>
                  </w:tcBorders>
                  <w:vAlign w:val="center"/>
                </w:tcPr>
                <w:p w14:paraId="22328B1C">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监测方法</w:t>
                  </w:r>
                </w:p>
              </w:tc>
              <w:tc>
                <w:tcPr>
                  <w:tcW w:w="2237" w:type="dxa"/>
                  <w:tcBorders>
                    <w:top w:val="single" w:color="auto" w:sz="12" w:space="0"/>
                    <w:bottom w:val="single" w:color="auto" w:sz="4" w:space="0"/>
                  </w:tcBorders>
                  <w:vAlign w:val="center"/>
                </w:tcPr>
                <w:p w14:paraId="31981F07">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方法来源</w:t>
                  </w:r>
                </w:p>
              </w:tc>
            </w:tr>
            <w:tr w14:paraId="7C1E36F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3" w:hRule="atLeast"/>
                <w:jc w:val="center"/>
              </w:trPr>
              <w:tc>
                <w:tcPr>
                  <w:tcW w:w="1719" w:type="dxa"/>
                  <w:vMerge w:val="restart"/>
                  <w:tcBorders>
                    <w:top w:val="single" w:color="auto" w:sz="4" w:space="0"/>
                  </w:tcBorders>
                  <w:vAlign w:val="center"/>
                </w:tcPr>
                <w:p w14:paraId="5C55F49C">
                  <w:pPr>
                    <w:jc w:val="center"/>
                    <w:outlineLvl w:val="0"/>
                    <w:rPr>
                      <w:rFonts w:ascii="Times New Roman" w:hAnsi="Times New Roman"/>
                      <w:bCs/>
                      <w:color w:val="000000" w:themeColor="text1"/>
                      <w:szCs w:val="21"/>
                      <w14:textFill>
                        <w14:solidFill>
                          <w14:schemeClr w14:val="tx1"/>
                        </w14:solidFill>
                      </w14:textFill>
                    </w:rPr>
                  </w:pPr>
                  <w:bookmarkStart w:id="20" w:name="_Toc18696"/>
                  <w:bookmarkStart w:id="21" w:name="_Toc2691"/>
                  <w:bookmarkStart w:id="22" w:name="_Toc11967"/>
                  <w:r>
                    <w:rPr>
                      <w:rFonts w:ascii="Times New Roman" w:hAnsi="Times New Roman"/>
                      <w:bCs/>
                      <w:color w:val="000000" w:themeColor="text1"/>
                      <w:szCs w:val="21"/>
                      <w14:textFill>
                        <w14:solidFill>
                          <w14:schemeClr w14:val="tx1"/>
                        </w14:solidFill>
                      </w14:textFill>
                    </w:rPr>
                    <w:t>X-γ辐射剂量率</w:t>
                  </w:r>
                  <w:bookmarkEnd w:id="20"/>
                  <w:bookmarkEnd w:id="21"/>
                  <w:bookmarkEnd w:id="22"/>
                </w:p>
              </w:tc>
              <w:tc>
                <w:tcPr>
                  <w:tcW w:w="4964" w:type="dxa"/>
                  <w:tcBorders>
                    <w:top w:val="single" w:color="auto" w:sz="4" w:space="0"/>
                  </w:tcBorders>
                  <w:vAlign w:val="center"/>
                </w:tcPr>
                <w:p w14:paraId="39576CD4">
                  <w:pPr>
                    <w:adjustRightInd w:val="0"/>
                    <w:snapToGrid w:val="0"/>
                    <w:jc w:val="center"/>
                    <w:rPr>
                      <w:rFonts w:ascii="Times New Roman" w:hAnsi="Times New Roman"/>
                      <w:color w:val="000000" w:themeColor="text1"/>
                      <w:szCs w:val="21"/>
                      <w14:textFill>
                        <w14:solidFill>
                          <w14:schemeClr w14:val="tx1"/>
                        </w14:solidFill>
                      </w14:textFill>
                    </w:rPr>
                  </w:pPr>
                  <w:r>
                    <w:rPr>
                      <w:rFonts w:ascii="Times New Roman" w:hAnsi="Times New Roman"/>
                      <w:iCs/>
                      <w:color w:val="000000" w:themeColor="text1"/>
                      <w:szCs w:val="21"/>
                      <w14:textFill>
                        <w14:solidFill>
                          <w14:schemeClr w14:val="tx1"/>
                        </w14:solidFill>
                      </w14:textFill>
                    </w:rPr>
                    <w:t>《环境γ辐射剂量率测量技术规范</w:t>
                  </w:r>
                  <w:r>
                    <w:rPr>
                      <w:rFonts w:ascii="Times New Roman" w:hAnsi="Times New Roman"/>
                      <w:color w:val="000000" w:themeColor="text1"/>
                      <w:szCs w:val="21"/>
                      <w14:textFill>
                        <w14:solidFill>
                          <w14:schemeClr w14:val="tx1"/>
                        </w14:solidFill>
                      </w14:textFill>
                    </w:rPr>
                    <w:t>》</w:t>
                  </w:r>
                </w:p>
              </w:tc>
              <w:tc>
                <w:tcPr>
                  <w:tcW w:w="2237" w:type="dxa"/>
                  <w:tcBorders>
                    <w:top w:val="single" w:color="auto" w:sz="4" w:space="0"/>
                  </w:tcBorders>
                  <w:vAlign w:val="center"/>
                </w:tcPr>
                <w:p w14:paraId="59DFDC16">
                  <w:pPr>
                    <w:adjustRightInd w:val="0"/>
                    <w:snapToGrid w:val="0"/>
                    <w:jc w:val="center"/>
                    <w:rPr>
                      <w:rFonts w:ascii="Times New Roman" w:hAnsi="Times New Roman"/>
                      <w:iCs/>
                      <w:color w:val="000000" w:themeColor="text1"/>
                      <w:szCs w:val="21"/>
                      <w14:textFill>
                        <w14:solidFill>
                          <w14:schemeClr w14:val="tx1"/>
                        </w14:solidFill>
                      </w14:textFill>
                    </w:rPr>
                  </w:pPr>
                  <w:r>
                    <w:rPr>
                      <w:rFonts w:ascii="Times New Roman" w:hAnsi="Times New Roman"/>
                      <w:iCs/>
                      <w:color w:val="000000" w:themeColor="text1"/>
                      <w:szCs w:val="21"/>
                      <w14:textFill>
                        <w14:solidFill>
                          <w14:schemeClr w14:val="tx1"/>
                        </w14:solidFill>
                      </w14:textFill>
                    </w:rPr>
                    <w:t>HJ 1157-2021</w:t>
                  </w:r>
                </w:p>
              </w:tc>
            </w:tr>
            <w:tr w14:paraId="0C1719C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3" w:hRule="atLeast"/>
                <w:jc w:val="center"/>
              </w:trPr>
              <w:tc>
                <w:tcPr>
                  <w:tcW w:w="1719" w:type="dxa"/>
                  <w:vMerge w:val="continue"/>
                  <w:vAlign w:val="center"/>
                </w:tcPr>
                <w:p w14:paraId="4028BD37">
                  <w:pPr>
                    <w:jc w:val="center"/>
                    <w:outlineLvl w:val="0"/>
                    <w:rPr>
                      <w:rFonts w:ascii="Times New Roman" w:hAnsi="Times New Roman"/>
                      <w:bCs/>
                      <w:color w:val="000000" w:themeColor="text1"/>
                      <w:szCs w:val="21"/>
                      <w14:textFill>
                        <w14:solidFill>
                          <w14:schemeClr w14:val="tx1"/>
                        </w14:solidFill>
                      </w14:textFill>
                    </w:rPr>
                  </w:pPr>
                </w:p>
              </w:tc>
              <w:tc>
                <w:tcPr>
                  <w:tcW w:w="4964" w:type="dxa"/>
                  <w:shd w:val="clear" w:color="auto" w:fill="auto"/>
                  <w:vAlign w:val="center"/>
                </w:tcPr>
                <w:p w14:paraId="6AA6CC2B">
                  <w:pPr>
                    <w:adjustRightInd w:val="0"/>
                    <w:snapToGrid w:val="0"/>
                    <w:jc w:val="center"/>
                    <w:rPr>
                      <w:rFonts w:ascii="Times New Roman" w:hAnsi="Times New Roman"/>
                      <w:iCs/>
                      <w:color w:val="000000" w:themeColor="text1"/>
                      <w:szCs w:val="21"/>
                      <w14:textFill>
                        <w14:solidFill>
                          <w14:schemeClr w14:val="tx1"/>
                        </w14:solidFill>
                      </w14:textFill>
                    </w:rPr>
                  </w:pPr>
                  <w:r>
                    <w:rPr>
                      <w:rFonts w:ascii="Times New Roman" w:hAnsi="Times New Roman"/>
                      <w:iCs/>
                      <w:color w:val="000000" w:themeColor="text1"/>
                      <w:szCs w:val="21"/>
                      <w14:textFill>
                        <w14:solidFill>
                          <w14:schemeClr w14:val="tx1"/>
                        </w14:solidFill>
                      </w14:textFill>
                    </w:rPr>
                    <w:t>《辐射环境监测技术规范》</w:t>
                  </w:r>
                </w:p>
              </w:tc>
              <w:tc>
                <w:tcPr>
                  <w:tcW w:w="2237" w:type="dxa"/>
                  <w:shd w:val="clear" w:color="auto" w:fill="auto"/>
                  <w:vAlign w:val="center"/>
                </w:tcPr>
                <w:p w14:paraId="4B201864">
                  <w:pPr>
                    <w:adjustRightInd w:val="0"/>
                    <w:snapToGrid w:val="0"/>
                    <w:jc w:val="center"/>
                    <w:rPr>
                      <w:rFonts w:ascii="Times New Roman" w:hAnsi="Times New Roman"/>
                      <w:iCs/>
                      <w:color w:val="000000" w:themeColor="text1"/>
                      <w:szCs w:val="21"/>
                      <w14:textFill>
                        <w14:solidFill>
                          <w14:schemeClr w14:val="tx1"/>
                        </w14:solidFill>
                      </w14:textFill>
                    </w:rPr>
                  </w:pPr>
                  <w:r>
                    <w:rPr>
                      <w:rFonts w:ascii="Times New Roman" w:hAnsi="Times New Roman"/>
                      <w:iCs/>
                      <w:color w:val="000000" w:themeColor="text1"/>
                      <w:szCs w:val="21"/>
                      <w14:textFill>
                        <w14:solidFill>
                          <w14:schemeClr w14:val="tx1"/>
                        </w14:solidFill>
                      </w14:textFill>
                    </w:rPr>
                    <w:t>HJ 61-2021</w:t>
                  </w:r>
                </w:p>
              </w:tc>
            </w:tr>
            <w:tr w14:paraId="0BC205E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3" w:hRule="atLeast"/>
                <w:jc w:val="center"/>
              </w:trPr>
              <w:tc>
                <w:tcPr>
                  <w:tcW w:w="1719" w:type="dxa"/>
                  <w:vMerge w:val="continue"/>
                  <w:tcBorders>
                    <w:bottom w:val="single" w:color="auto" w:sz="12" w:space="0"/>
                  </w:tcBorders>
                  <w:vAlign w:val="center"/>
                </w:tcPr>
                <w:p w14:paraId="3EA2A0FB">
                  <w:pPr>
                    <w:jc w:val="center"/>
                    <w:outlineLvl w:val="0"/>
                    <w:rPr>
                      <w:rFonts w:ascii="Times New Roman" w:hAnsi="Times New Roman"/>
                      <w:bCs/>
                      <w:color w:val="000000" w:themeColor="text1"/>
                      <w:szCs w:val="21"/>
                      <w14:textFill>
                        <w14:solidFill>
                          <w14:schemeClr w14:val="tx1"/>
                        </w14:solidFill>
                      </w14:textFill>
                    </w:rPr>
                  </w:pPr>
                </w:p>
              </w:tc>
              <w:tc>
                <w:tcPr>
                  <w:tcW w:w="4964" w:type="dxa"/>
                  <w:tcBorders>
                    <w:bottom w:val="single" w:color="auto" w:sz="12" w:space="0"/>
                  </w:tcBorders>
                  <w:shd w:val="clear" w:color="auto" w:fill="auto"/>
                  <w:vAlign w:val="center"/>
                </w:tcPr>
                <w:p w14:paraId="1A34D517">
                  <w:pPr>
                    <w:adjustRightInd w:val="0"/>
                    <w:snapToGrid w:val="0"/>
                    <w:jc w:val="center"/>
                    <w:rPr>
                      <w:rFonts w:ascii="Times New Roman" w:hAnsi="Times New Roman"/>
                      <w:iCs/>
                      <w:color w:val="000000" w:themeColor="text1"/>
                      <w:szCs w:val="21"/>
                      <w14:textFill>
                        <w14:solidFill>
                          <w14:schemeClr w14:val="tx1"/>
                        </w14:solidFill>
                      </w14:textFill>
                    </w:rPr>
                  </w:pPr>
                  <w:r>
                    <w:rPr>
                      <w:rFonts w:hint="eastAsia" w:ascii="Times New Roman" w:hAnsi="Times New Roman"/>
                      <w:iCs/>
                      <w:color w:val="000000" w:themeColor="text1"/>
                      <w:szCs w:val="21"/>
                      <w14:textFill>
                        <w14:solidFill>
                          <w14:schemeClr w14:val="tx1"/>
                        </w14:solidFill>
                      </w14:textFill>
                    </w:rPr>
                    <w:t>《电离辐射防护与辐射源安全基本标准》</w:t>
                  </w:r>
                </w:p>
              </w:tc>
              <w:tc>
                <w:tcPr>
                  <w:tcW w:w="2237" w:type="dxa"/>
                  <w:tcBorders>
                    <w:bottom w:val="single" w:color="auto" w:sz="12" w:space="0"/>
                  </w:tcBorders>
                  <w:shd w:val="clear" w:color="auto" w:fill="auto"/>
                  <w:vAlign w:val="center"/>
                </w:tcPr>
                <w:p w14:paraId="1CF8DDF2">
                  <w:pPr>
                    <w:adjustRightInd w:val="0"/>
                    <w:snapToGrid w:val="0"/>
                    <w:jc w:val="center"/>
                    <w:rPr>
                      <w:rFonts w:ascii="Times New Roman" w:hAnsi="Times New Roman"/>
                      <w:iCs/>
                      <w:color w:val="000000" w:themeColor="text1"/>
                      <w:szCs w:val="21"/>
                      <w14:textFill>
                        <w14:solidFill>
                          <w14:schemeClr w14:val="tx1"/>
                        </w14:solidFill>
                      </w14:textFill>
                    </w:rPr>
                  </w:pPr>
                  <w:r>
                    <w:rPr>
                      <w:rFonts w:hint="eastAsia" w:ascii="Times New Roman" w:hAnsi="Times New Roman"/>
                      <w:iCs/>
                      <w:color w:val="000000" w:themeColor="text1"/>
                      <w:szCs w:val="21"/>
                      <w14:textFill>
                        <w14:solidFill>
                          <w14:schemeClr w14:val="tx1"/>
                        </w14:solidFill>
                      </w14:textFill>
                    </w:rPr>
                    <w:t>GB</w:t>
                  </w:r>
                  <w:r>
                    <w:rPr>
                      <w:rFonts w:hint="eastAsia" w:ascii="Times New Roman" w:hAnsi="Times New Roman"/>
                      <w:iCs/>
                      <w:color w:val="000000" w:themeColor="text1"/>
                      <w:szCs w:val="21"/>
                      <w:lang w:val="en-US" w:eastAsia="zh-CN"/>
                      <w14:textFill>
                        <w14:solidFill>
                          <w14:schemeClr w14:val="tx1"/>
                        </w14:solidFill>
                      </w14:textFill>
                    </w:rPr>
                    <w:t xml:space="preserve"> </w:t>
                  </w:r>
                  <w:r>
                    <w:rPr>
                      <w:rFonts w:hint="eastAsia" w:ascii="Times New Roman" w:hAnsi="Times New Roman"/>
                      <w:iCs/>
                      <w:color w:val="000000" w:themeColor="text1"/>
                      <w:szCs w:val="21"/>
                      <w14:textFill>
                        <w14:solidFill>
                          <w14:schemeClr w14:val="tx1"/>
                        </w14:solidFill>
                      </w14:textFill>
                    </w:rPr>
                    <w:t>18871-2002</w:t>
                  </w:r>
                </w:p>
              </w:tc>
            </w:tr>
          </w:tbl>
          <w:p w14:paraId="781D6122">
            <w:pPr>
              <w:spacing w:line="360" w:lineRule="auto"/>
              <w:ind w:firstLine="480" w:firstLineChars="200"/>
              <w:rPr>
                <w:rFonts w:ascii="Times New Roman" w:hAnsi="Times New Roman"/>
                <w:b/>
                <w:bCs/>
                <w:color w:val="000000" w:themeColor="text1"/>
                <w:szCs w:val="21"/>
                <w14:textFill>
                  <w14:solidFill>
                    <w14:schemeClr w14:val="tx1"/>
                  </w14:solidFill>
                </w14:textFill>
              </w:rPr>
            </w:pPr>
            <w:r>
              <w:rPr>
                <w:rFonts w:ascii="Times New Roman" w:hAnsi="Times New Roman"/>
                <w:bCs/>
                <w:color w:val="000000" w:themeColor="text1"/>
                <w:sz w:val="24"/>
                <w14:textFill>
                  <w14:solidFill>
                    <w14:schemeClr w14:val="tx1"/>
                  </w14:solidFill>
                </w14:textFill>
              </w:rPr>
              <w:t>监测使用仪器及环境条件见表8-2。</w:t>
            </w:r>
          </w:p>
          <w:p w14:paraId="797C6E0B">
            <w:pPr>
              <w:spacing w:line="360" w:lineRule="auto"/>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 xml:space="preserve">表8-2 </w:t>
            </w:r>
            <w:r>
              <w:rPr>
                <w:rFonts w:hint="eastAsia" w:ascii="Times New Roman" w:hAnsi="Times New Roman"/>
                <w:b/>
                <w:color w:val="000000" w:themeColor="text1"/>
                <w:sz w:val="24"/>
                <w14:textFill>
                  <w14:solidFill>
                    <w14:schemeClr w14:val="tx1"/>
                  </w14:solidFill>
                </w14:textFill>
              </w:rPr>
              <w:t xml:space="preserve">   </w:t>
            </w:r>
            <w:r>
              <w:rPr>
                <w:rFonts w:ascii="Times New Roman" w:hAnsi="Times New Roman"/>
                <w:b/>
                <w:color w:val="000000" w:themeColor="text1"/>
                <w:sz w:val="24"/>
                <w14:textFill>
                  <w14:solidFill>
                    <w14:schemeClr w14:val="tx1"/>
                  </w14:solidFill>
                </w14:textFill>
              </w:rPr>
              <w:t xml:space="preserve"> 监测使用仪器表</w:t>
            </w:r>
          </w:p>
          <w:tbl>
            <w:tblPr>
              <w:tblStyle w:val="23"/>
              <w:tblW w:w="87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077"/>
              <w:gridCol w:w="925"/>
              <w:gridCol w:w="2476"/>
              <w:gridCol w:w="1150"/>
              <w:gridCol w:w="1110"/>
              <w:gridCol w:w="1126"/>
            </w:tblGrid>
            <w:tr w14:paraId="649F4A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 w:type="dxa"/>
                  <w:tcBorders>
                    <w:right w:val="single" w:color="auto" w:sz="4" w:space="0"/>
                  </w:tcBorders>
                  <w:vAlign w:val="center"/>
                </w:tcPr>
                <w:p w14:paraId="56FB6A84">
                  <w:pPr>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14:textFill>
                        <w14:solidFill>
                          <w14:schemeClr w14:val="tx1"/>
                        </w14:solidFill>
                      </w14:textFill>
                    </w:rPr>
                    <w:t>监测项目</w:t>
                  </w:r>
                </w:p>
              </w:tc>
              <w:tc>
                <w:tcPr>
                  <w:tcW w:w="2002" w:type="dxa"/>
                  <w:gridSpan w:val="2"/>
                  <w:tcBorders>
                    <w:left w:val="single" w:color="auto" w:sz="4" w:space="0"/>
                    <w:bottom w:val="single" w:color="auto" w:sz="4" w:space="0"/>
                    <w:right w:val="single" w:color="auto" w:sz="4" w:space="0"/>
                  </w:tcBorders>
                  <w:vAlign w:val="center"/>
                </w:tcPr>
                <w:p w14:paraId="5B83B29D">
                  <w:pPr>
                    <w:jc w:val="center"/>
                    <w:rPr>
                      <w:rFonts w:ascii="Times New Roman" w:hAnsi="Times New Roman"/>
                      <w:color w:val="000000" w:themeColor="text1"/>
                      <w:sz w:val="24"/>
                      <w14:textFill>
                        <w14:solidFill>
                          <w14:schemeClr w14:val="tx1"/>
                        </w14:solidFill>
                      </w14:textFill>
                    </w:rPr>
                  </w:pPr>
                  <w:r>
                    <w:rPr>
                      <w:rFonts w:ascii="Times New Roman" w:hAnsi="Times New Roman"/>
                      <w:b/>
                      <w:color w:val="000000" w:themeColor="text1"/>
                      <w14:textFill>
                        <w14:solidFill>
                          <w14:schemeClr w14:val="tx1"/>
                        </w14:solidFill>
                      </w14:textFill>
                    </w:rPr>
                    <w:t>仪器名称</w:t>
                  </w:r>
                </w:p>
              </w:tc>
              <w:tc>
                <w:tcPr>
                  <w:tcW w:w="2476" w:type="dxa"/>
                  <w:tcBorders>
                    <w:left w:val="single" w:color="auto" w:sz="4" w:space="0"/>
                    <w:bottom w:val="single" w:color="auto" w:sz="4" w:space="0"/>
                    <w:right w:val="single" w:color="auto" w:sz="4" w:space="0"/>
                  </w:tcBorders>
                  <w:vAlign w:val="center"/>
                </w:tcPr>
                <w:p w14:paraId="700ACBA1">
                  <w:pPr>
                    <w:jc w:val="center"/>
                    <w:rPr>
                      <w:rFonts w:ascii="Times New Roman" w:hAnsi="Times New Roman"/>
                      <w:color w:val="000000" w:themeColor="text1"/>
                      <w:sz w:val="24"/>
                      <w14:textFill>
                        <w14:solidFill>
                          <w14:schemeClr w14:val="tx1"/>
                        </w14:solidFill>
                      </w14:textFill>
                    </w:rPr>
                  </w:pPr>
                  <w:r>
                    <w:rPr>
                      <w:rFonts w:ascii="Times New Roman" w:hAnsi="Times New Roman"/>
                      <w:b/>
                      <w:color w:val="000000" w:themeColor="text1"/>
                      <w14:textFill>
                        <w14:solidFill>
                          <w14:schemeClr w14:val="tx1"/>
                        </w14:solidFill>
                      </w14:textFill>
                    </w:rPr>
                    <w:t>仪器参数</w:t>
                  </w:r>
                </w:p>
              </w:tc>
              <w:tc>
                <w:tcPr>
                  <w:tcW w:w="1150" w:type="dxa"/>
                  <w:tcBorders>
                    <w:left w:val="single" w:color="auto" w:sz="4" w:space="0"/>
                    <w:bottom w:val="single" w:color="auto" w:sz="4" w:space="0"/>
                    <w:right w:val="single" w:color="auto" w:sz="4" w:space="0"/>
                  </w:tcBorders>
                  <w:vAlign w:val="center"/>
                </w:tcPr>
                <w:p w14:paraId="33C7D57A">
                  <w:pPr>
                    <w:jc w:val="center"/>
                    <w:rPr>
                      <w:rFonts w:ascii="Times New Roman" w:hAnsi="Times New Roman"/>
                      <w:b/>
                      <w:color w:val="000000" w:themeColor="text1"/>
                      <w14:textFill>
                        <w14:solidFill>
                          <w14:schemeClr w14:val="tx1"/>
                        </w14:solidFill>
                      </w14:textFill>
                    </w:rPr>
                  </w:pPr>
                  <w:r>
                    <w:rPr>
                      <w:rFonts w:ascii="Times New Roman" w:hAnsi="Times New Roman"/>
                      <w:b/>
                      <w:color w:val="000000" w:themeColor="text1"/>
                      <w14:textFill>
                        <w14:solidFill>
                          <w14:schemeClr w14:val="tx1"/>
                        </w14:solidFill>
                      </w14:textFill>
                    </w:rPr>
                    <w:t>校准证书</w:t>
                  </w:r>
                </w:p>
                <w:p w14:paraId="68D92194">
                  <w:pPr>
                    <w:jc w:val="center"/>
                    <w:rPr>
                      <w:rFonts w:ascii="Times New Roman" w:hAnsi="Times New Roman"/>
                      <w:color w:val="000000" w:themeColor="text1"/>
                      <w:sz w:val="24"/>
                      <w14:textFill>
                        <w14:solidFill>
                          <w14:schemeClr w14:val="tx1"/>
                        </w14:solidFill>
                      </w14:textFill>
                    </w:rPr>
                  </w:pPr>
                  <w:r>
                    <w:rPr>
                      <w:rFonts w:ascii="Times New Roman" w:hAnsi="Times New Roman"/>
                      <w:b/>
                      <w:color w:val="000000" w:themeColor="text1"/>
                      <w14:textFill>
                        <w14:solidFill>
                          <w14:schemeClr w14:val="tx1"/>
                        </w14:solidFill>
                      </w14:textFill>
                    </w:rPr>
                    <w:t>编号</w:t>
                  </w:r>
                </w:p>
              </w:tc>
              <w:tc>
                <w:tcPr>
                  <w:tcW w:w="1110" w:type="dxa"/>
                  <w:tcBorders>
                    <w:left w:val="single" w:color="auto" w:sz="4" w:space="0"/>
                    <w:bottom w:val="single" w:color="auto" w:sz="4" w:space="0"/>
                    <w:right w:val="single" w:color="auto" w:sz="4" w:space="0"/>
                  </w:tcBorders>
                  <w:vAlign w:val="center"/>
                </w:tcPr>
                <w:p w14:paraId="3489E39F">
                  <w:pPr>
                    <w:jc w:val="center"/>
                    <w:rPr>
                      <w:rFonts w:ascii="Times New Roman" w:hAnsi="Times New Roman"/>
                      <w:b/>
                      <w:color w:val="000000" w:themeColor="text1"/>
                      <w14:textFill>
                        <w14:solidFill>
                          <w14:schemeClr w14:val="tx1"/>
                        </w14:solidFill>
                      </w14:textFill>
                    </w:rPr>
                  </w:pPr>
                  <w:r>
                    <w:rPr>
                      <w:rFonts w:ascii="Times New Roman" w:hAnsi="Times New Roman"/>
                      <w:b/>
                      <w:color w:val="000000" w:themeColor="text1"/>
                      <w14:textFill>
                        <w14:solidFill>
                          <w14:schemeClr w14:val="tx1"/>
                        </w14:solidFill>
                      </w14:textFill>
                    </w:rPr>
                    <w:t>校准</w:t>
                  </w:r>
                </w:p>
                <w:p w14:paraId="22CDC9C5">
                  <w:pPr>
                    <w:jc w:val="center"/>
                    <w:rPr>
                      <w:rFonts w:ascii="Times New Roman" w:hAnsi="Times New Roman"/>
                      <w:color w:val="000000" w:themeColor="text1"/>
                      <w:sz w:val="24"/>
                      <w14:textFill>
                        <w14:solidFill>
                          <w14:schemeClr w14:val="tx1"/>
                        </w14:solidFill>
                      </w14:textFill>
                    </w:rPr>
                  </w:pPr>
                  <w:r>
                    <w:rPr>
                      <w:rFonts w:ascii="Times New Roman" w:hAnsi="Times New Roman"/>
                      <w:b/>
                      <w:color w:val="000000" w:themeColor="text1"/>
                      <w14:textFill>
                        <w14:solidFill>
                          <w14:schemeClr w14:val="tx1"/>
                        </w14:solidFill>
                      </w14:textFill>
                    </w:rPr>
                    <w:t>有效期</w:t>
                  </w:r>
                </w:p>
              </w:tc>
              <w:tc>
                <w:tcPr>
                  <w:tcW w:w="1126" w:type="dxa"/>
                  <w:tcBorders>
                    <w:left w:val="single" w:color="auto" w:sz="4" w:space="0"/>
                    <w:bottom w:val="single" w:color="auto" w:sz="4" w:space="0"/>
                  </w:tcBorders>
                  <w:vAlign w:val="center"/>
                </w:tcPr>
                <w:p w14:paraId="79118648">
                  <w:pPr>
                    <w:jc w:val="center"/>
                    <w:rPr>
                      <w:rFonts w:ascii="Times New Roman" w:hAnsi="Times New Roman"/>
                      <w:b/>
                      <w:color w:val="000000" w:themeColor="text1"/>
                      <w14:textFill>
                        <w14:solidFill>
                          <w14:schemeClr w14:val="tx1"/>
                        </w14:solidFill>
                      </w14:textFill>
                    </w:rPr>
                  </w:pPr>
                  <w:r>
                    <w:rPr>
                      <w:rFonts w:ascii="Times New Roman" w:hAnsi="Times New Roman"/>
                      <w:b/>
                      <w:color w:val="000000" w:themeColor="text1"/>
                      <w14:textFill>
                        <w14:solidFill>
                          <w14:schemeClr w14:val="tx1"/>
                        </w14:solidFill>
                      </w14:textFill>
                    </w:rPr>
                    <w:t>校准</w:t>
                  </w:r>
                </w:p>
                <w:p w14:paraId="24B48806">
                  <w:pPr>
                    <w:jc w:val="center"/>
                    <w:rPr>
                      <w:rFonts w:ascii="Times New Roman" w:hAnsi="Times New Roman"/>
                      <w:color w:val="000000" w:themeColor="text1"/>
                      <w:sz w:val="24"/>
                      <w14:textFill>
                        <w14:solidFill>
                          <w14:schemeClr w14:val="tx1"/>
                        </w14:solidFill>
                      </w14:textFill>
                    </w:rPr>
                  </w:pPr>
                  <w:r>
                    <w:rPr>
                      <w:rFonts w:ascii="Times New Roman" w:hAnsi="Times New Roman"/>
                      <w:b/>
                      <w:color w:val="000000" w:themeColor="text1"/>
                      <w14:textFill>
                        <w14:solidFill>
                          <w14:schemeClr w14:val="tx1"/>
                        </w14:solidFill>
                      </w14:textFill>
                    </w:rPr>
                    <w:t>单位</w:t>
                  </w:r>
                </w:p>
              </w:tc>
            </w:tr>
            <w:tr w14:paraId="10CC6E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 w:type="dxa"/>
                  <w:tcBorders>
                    <w:right w:val="single" w:color="auto" w:sz="4" w:space="0"/>
                  </w:tcBorders>
                  <w:vAlign w:val="center"/>
                </w:tcPr>
                <w:p w14:paraId="794B4E1F">
                  <w:pPr>
                    <w:spacing w:line="240" w:lineRule="auto"/>
                    <w:jc w:val="center"/>
                    <w:rPr>
                      <w:rFonts w:ascii="Times New Roman" w:hAnsi="Times New Roman"/>
                      <w:color w:val="000000" w:themeColor="text1"/>
                      <w14:textFill>
                        <w14:solidFill>
                          <w14:schemeClr w14:val="tx1"/>
                        </w14:solidFill>
                      </w14:textFill>
                    </w:rPr>
                  </w:pPr>
                  <w:r>
                    <w:rPr>
                      <w:rFonts w:ascii="Times New Roman" w:hAnsi="Times New Roman"/>
                      <w:bCs/>
                      <w:color w:val="000000" w:themeColor="text1"/>
                      <w:szCs w:val="21"/>
                      <w14:textFill>
                        <w14:solidFill>
                          <w14:schemeClr w14:val="tx1"/>
                        </w14:solidFill>
                      </w14:textFill>
                    </w:rPr>
                    <w:t>环境X-γ辐射剂量率</w:t>
                  </w:r>
                </w:p>
              </w:tc>
              <w:tc>
                <w:tcPr>
                  <w:tcW w:w="2002" w:type="dxa"/>
                  <w:gridSpan w:val="2"/>
                  <w:tcBorders>
                    <w:top w:val="single" w:color="auto" w:sz="4" w:space="0"/>
                    <w:left w:val="single" w:color="auto" w:sz="4" w:space="0"/>
                    <w:bottom w:val="single" w:color="auto" w:sz="4" w:space="0"/>
                    <w:right w:val="single" w:color="auto" w:sz="4" w:space="0"/>
                  </w:tcBorders>
                  <w:vAlign w:val="center"/>
                </w:tcPr>
                <w:p w14:paraId="36854C2D">
                  <w:pPr>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环境监测X-γ辐射剂量率仪</w:t>
                  </w:r>
                </w:p>
                <w:p w14:paraId="0C6CEADA">
                  <w:pPr>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（型号：</w:t>
                  </w:r>
                  <w:r>
                    <w:rPr>
                      <w:rFonts w:hint="default" w:ascii="Times New Roman" w:hAnsi="Times New Roman" w:eastAsia="宋体" w:cs="Times New Roman"/>
                      <w:color w:val="auto"/>
                      <w:sz w:val="21"/>
                      <w:szCs w:val="21"/>
                      <w:highlight w:val="none"/>
                    </w:rPr>
                    <w:t>探测器6150AD-b/H+主机6150AD5/H</w:t>
                  </w:r>
                  <w:r>
                    <w:rPr>
                      <w:rFonts w:hint="default" w:ascii="Times New Roman" w:hAnsi="Times New Roman" w:eastAsia="宋体" w:cs="Times New Roman"/>
                      <w:bCs/>
                      <w:color w:val="auto"/>
                      <w:sz w:val="21"/>
                      <w:szCs w:val="21"/>
                      <w:highlight w:val="none"/>
                    </w:rPr>
                    <w:t>）</w:t>
                  </w:r>
                </w:p>
                <w:p w14:paraId="0069693B">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bCs/>
                      <w:color w:val="auto"/>
                      <w:sz w:val="21"/>
                      <w:szCs w:val="21"/>
                      <w:highlight w:val="none"/>
                    </w:rPr>
                    <w:t>（编号：</w:t>
                  </w:r>
                  <w:r>
                    <w:rPr>
                      <w:rFonts w:hint="default" w:ascii="Times New Roman" w:hAnsi="Times New Roman" w:eastAsia="宋体" w:cs="Times New Roman"/>
                      <w:color w:val="auto"/>
                      <w:sz w:val="21"/>
                      <w:szCs w:val="21"/>
                      <w:highlight w:val="none"/>
                    </w:rPr>
                    <w:t>HY240</w:t>
                  </w:r>
                  <w:r>
                    <w:rPr>
                      <w:rFonts w:hint="default" w:ascii="Times New Roman" w:hAnsi="Times New Roman" w:eastAsia="宋体" w:cs="Times New Roman"/>
                      <w:bCs/>
                      <w:color w:val="auto"/>
                      <w:sz w:val="21"/>
                      <w:szCs w:val="21"/>
                      <w:highlight w:val="none"/>
                    </w:rPr>
                    <w:t>）</w:t>
                  </w:r>
                </w:p>
              </w:tc>
              <w:tc>
                <w:tcPr>
                  <w:tcW w:w="2476" w:type="dxa"/>
                  <w:tcBorders>
                    <w:top w:val="single" w:color="auto" w:sz="4" w:space="0"/>
                    <w:left w:val="single" w:color="auto" w:sz="4" w:space="0"/>
                    <w:bottom w:val="single" w:color="auto" w:sz="4" w:space="0"/>
                    <w:right w:val="single" w:color="auto" w:sz="4" w:space="0"/>
                  </w:tcBorders>
                  <w:vAlign w:val="center"/>
                </w:tcPr>
                <w:p w14:paraId="679C7FF7">
                  <w:pPr>
                    <w:keepNext w:val="0"/>
                    <w:keepLines w:val="0"/>
                    <w:suppressLineNumbers w:val="0"/>
                    <w:spacing w:before="0" w:beforeAutospacing="0" w:after="0" w:afterAutospacing="0"/>
                    <w:ind w:left="0" w:leftChars="0" w:right="0" w:rightChars="0"/>
                    <w:rPr>
                      <w:rFonts w:hint="eastAsia"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1）检测下限：</w:t>
                  </w:r>
                  <w:r>
                    <w:rPr>
                      <w:rFonts w:hint="eastAsia" w:ascii="Times New Roman" w:hAnsi="Times New Roman"/>
                      <w:color w:val="000000" w:themeColor="text1"/>
                      <w:szCs w:val="21"/>
                      <w:lang w:val="en-US" w:eastAsia="zh-CN"/>
                      <w14:textFill>
                        <w14:solidFill>
                          <w14:schemeClr w14:val="tx1"/>
                        </w14:solidFill>
                      </w14:textFill>
                    </w:rPr>
                    <w:t>1nSv</w:t>
                  </w:r>
                  <w:r>
                    <w:rPr>
                      <w:rFonts w:hint="eastAsia" w:ascii="Times New Roman" w:hAnsi="Times New Roman"/>
                      <w:color w:val="000000" w:themeColor="text1"/>
                      <w:szCs w:val="21"/>
                      <w14:textFill>
                        <w14:solidFill>
                          <w14:schemeClr w14:val="tx1"/>
                        </w14:solidFill>
                      </w14:textFill>
                    </w:rPr>
                    <w:t>/h</w:t>
                  </w:r>
                </w:p>
                <w:p w14:paraId="13E34257">
                  <w:pPr>
                    <w:keepNext w:val="0"/>
                    <w:keepLines w:val="0"/>
                    <w:suppressLineNumbers w:val="0"/>
                    <w:spacing w:before="0" w:beforeAutospacing="0" w:after="0" w:afterAutospacing="0"/>
                    <w:ind w:left="0" w:leftChars="0" w:right="0" w:rightChars="0"/>
                    <w:rPr>
                      <w:rFonts w:hint="eastAsia"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2）测量范围：</w:t>
                  </w:r>
                  <w:r>
                    <w:rPr>
                      <w:rFonts w:hint="eastAsia" w:ascii="Times New Roman" w:hAnsi="Times New Roman"/>
                      <w:color w:val="000000" w:themeColor="text1"/>
                      <w:szCs w:val="21"/>
                      <w:lang w:val="en-US" w:eastAsia="zh-CN"/>
                      <w14:textFill>
                        <w14:solidFill>
                          <w14:schemeClr w14:val="tx1"/>
                        </w14:solidFill>
                      </w14:textFill>
                    </w:rPr>
                    <w:t>（1×10</w:t>
                  </w:r>
                  <w:r>
                    <w:rPr>
                      <w:rFonts w:hint="eastAsia" w:ascii="Times New Roman" w:hAnsi="Times New Roman"/>
                      <w:color w:val="000000" w:themeColor="text1"/>
                      <w:szCs w:val="21"/>
                      <w:vertAlign w:val="superscript"/>
                      <w:lang w:val="en-US" w:eastAsia="zh-CN"/>
                      <w14:textFill>
                        <w14:solidFill>
                          <w14:schemeClr w14:val="tx1"/>
                        </w14:solidFill>
                      </w14:textFill>
                    </w:rPr>
                    <w:t>-6</w:t>
                  </w:r>
                  <w:r>
                    <w:rPr>
                      <w:rFonts w:hint="eastAsia" w:ascii="Times New Roman" w:hAnsi="Times New Roman"/>
                      <w:color w:val="000000" w:themeColor="text1"/>
                      <w:szCs w:val="21"/>
                      <w14:textFill>
                        <w14:solidFill>
                          <w14:schemeClr w14:val="tx1"/>
                        </w14:solidFill>
                      </w14:textFill>
                    </w:rPr>
                    <w:t>～</w:t>
                  </w:r>
                  <w:r>
                    <w:rPr>
                      <w:rFonts w:hint="eastAsia" w:ascii="Times New Roman" w:hAnsi="Times New Roman"/>
                      <w:color w:val="000000" w:themeColor="text1"/>
                      <w:szCs w:val="21"/>
                      <w:lang w:val="en-US" w:eastAsia="zh-CN"/>
                      <w14:textFill>
                        <w14:solidFill>
                          <w14:schemeClr w14:val="tx1"/>
                        </w14:solidFill>
                      </w14:textFill>
                    </w:rPr>
                    <w:t>1）Sv</w:t>
                  </w:r>
                  <w:r>
                    <w:rPr>
                      <w:rFonts w:hint="eastAsia" w:ascii="Times New Roman" w:hAnsi="Times New Roman"/>
                      <w:color w:val="000000" w:themeColor="text1"/>
                      <w:szCs w:val="21"/>
                      <w14:textFill>
                        <w14:solidFill>
                          <w14:schemeClr w14:val="tx1"/>
                        </w14:solidFill>
                      </w14:textFill>
                    </w:rPr>
                    <w:t>/h</w:t>
                  </w:r>
                </w:p>
                <w:p w14:paraId="1EFC6B66">
                  <w:pPr>
                    <w:keepNext w:val="0"/>
                    <w:keepLines w:val="0"/>
                    <w:suppressLineNumbers w:val="0"/>
                    <w:spacing w:before="0" w:beforeAutospacing="0" w:after="0" w:afterAutospacing="0"/>
                    <w:ind w:left="0" w:leftChars="0" w:right="0" w:rightChars="0"/>
                    <w:rPr>
                      <w:rFonts w:hint="eastAsia" w:ascii="Times New Roman" w:hAnsi="Times New Roman"/>
                      <w:color w:val="000000" w:themeColor="text1"/>
                      <w:szCs w:val="21"/>
                      <w:lang w:val="en-US" w:eastAsia="zh-CN"/>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3）校准</w:t>
                  </w:r>
                  <w:r>
                    <w:rPr>
                      <w:rFonts w:hint="eastAsia" w:ascii="Times New Roman" w:hAnsi="Times New Roman"/>
                      <w:color w:val="000000" w:themeColor="text1"/>
                      <w:szCs w:val="21"/>
                      <w:lang w:val="en-US" w:eastAsia="zh-CN"/>
                      <w14:textFill>
                        <w14:solidFill>
                          <w14:schemeClr w14:val="tx1"/>
                        </w14:solidFill>
                      </w14:textFill>
                    </w:rPr>
                    <w:t>因子：</w:t>
                  </w:r>
                  <w:r>
                    <w:rPr>
                      <w:rFonts w:hint="eastAsia" w:ascii="Times New Roman" w:hAnsi="Times New Roman"/>
                      <w:color w:val="000000" w:themeColor="text1"/>
                      <w:szCs w:val="21"/>
                      <w14:textFill>
                        <w14:solidFill>
                          <w14:schemeClr w14:val="tx1"/>
                        </w14:solidFill>
                      </w14:textFill>
                    </w:rPr>
                    <w:t>CF=</w:t>
                  </w:r>
                  <w:r>
                    <w:rPr>
                      <w:rFonts w:hint="eastAsia" w:ascii="Times New Roman" w:hAnsi="Times New Roman"/>
                      <w:color w:val="000000" w:themeColor="text1"/>
                      <w:szCs w:val="21"/>
                      <w:lang w:val="en-US" w:eastAsia="zh-CN"/>
                      <w14:textFill>
                        <w14:solidFill>
                          <w14:schemeClr w14:val="tx1"/>
                        </w14:solidFill>
                      </w14:textFill>
                    </w:rPr>
                    <w:t>1.02</w:t>
                  </w:r>
                </w:p>
                <w:p w14:paraId="3890580A">
                  <w:pPr>
                    <w:keepNext w:val="0"/>
                    <w:keepLines w:val="0"/>
                    <w:suppressLineNumbers w:val="0"/>
                    <w:spacing w:before="0" w:beforeAutospacing="0" w:after="0" w:afterAutospacing="0"/>
                    <w:ind w:left="0" w:leftChars="0" w:right="0" w:rightChars="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4）相对误差：</w:t>
                  </w:r>
                  <w:r>
                    <w:rPr>
                      <w:rFonts w:hint="eastAsia" w:ascii="Times New Roman" w:hAnsi="Times New Roman"/>
                      <w:color w:val="000000" w:themeColor="text1"/>
                      <w:szCs w:val="21"/>
                      <w:lang w:val="en-US" w:eastAsia="zh-CN"/>
                      <w14:textFill>
                        <w14:solidFill>
                          <w14:schemeClr w14:val="tx1"/>
                        </w14:solidFill>
                      </w14:textFill>
                    </w:rPr>
                    <w:t>-2.4%</w:t>
                  </w:r>
                </w:p>
              </w:tc>
              <w:tc>
                <w:tcPr>
                  <w:tcW w:w="1150" w:type="dxa"/>
                  <w:tcBorders>
                    <w:top w:val="single" w:color="auto" w:sz="4" w:space="0"/>
                    <w:left w:val="single" w:color="auto" w:sz="4" w:space="0"/>
                    <w:bottom w:val="single" w:color="auto" w:sz="4" w:space="0"/>
                    <w:right w:val="single" w:color="auto" w:sz="4" w:space="0"/>
                  </w:tcBorders>
                  <w:vAlign w:val="center"/>
                </w:tcPr>
                <w:p w14:paraId="48775577">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sz w:val="21"/>
                      <w:szCs w:val="21"/>
                      <w:highlight w:val="none"/>
                      <w:lang w:val="en-US" w:eastAsia="zh-CN"/>
                    </w:rPr>
                    <w:t>校准字第202505103838号</w:t>
                  </w:r>
                </w:p>
              </w:tc>
              <w:tc>
                <w:tcPr>
                  <w:tcW w:w="1110" w:type="dxa"/>
                  <w:tcBorders>
                    <w:top w:val="single" w:color="auto" w:sz="4" w:space="0"/>
                    <w:left w:val="single" w:color="auto" w:sz="4" w:space="0"/>
                    <w:bottom w:val="single" w:color="auto" w:sz="4" w:space="0"/>
                    <w:right w:val="single" w:color="auto" w:sz="4" w:space="0"/>
                  </w:tcBorders>
                  <w:vAlign w:val="center"/>
                </w:tcPr>
                <w:p w14:paraId="14A167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lang w:val="en-US" w:eastAsia="zh-CN"/>
                    </w:rPr>
                    <w:t>2025-5-19</w:t>
                  </w:r>
                  <w:r>
                    <w:rPr>
                      <w:rFonts w:hint="default" w:ascii="Times New Roman" w:hAnsi="Times New Roman" w:eastAsia="宋体" w:cs="Times New Roman"/>
                      <w:color w:val="auto"/>
                      <w:sz w:val="21"/>
                      <w:szCs w:val="21"/>
                      <w:highlight w:val="none"/>
                    </w:rPr>
                    <w:t>至</w:t>
                  </w:r>
                </w:p>
                <w:p w14:paraId="0FA18EBA">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szCs w:val="21"/>
                      <w:lang w:val="en-US" w:eastAsia="zh-CN"/>
                    </w:rPr>
                    <w:t>2026-5-18</w:t>
                  </w:r>
                </w:p>
              </w:tc>
              <w:tc>
                <w:tcPr>
                  <w:tcW w:w="1126" w:type="dxa"/>
                  <w:tcBorders>
                    <w:top w:val="single" w:color="auto" w:sz="4" w:space="0"/>
                    <w:left w:val="single" w:color="auto" w:sz="4" w:space="0"/>
                    <w:bottom w:val="single" w:color="auto" w:sz="4" w:space="0"/>
                  </w:tcBorders>
                  <w:vAlign w:val="center"/>
                </w:tcPr>
                <w:p w14:paraId="0426CA0E">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sz w:val="21"/>
                      <w:szCs w:val="21"/>
                      <w:highlight w:val="none"/>
                      <w:lang w:val="en-US" w:eastAsia="zh-CN"/>
                    </w:rPr>
                    <w:t>中国测试技术研究院</w:t>
                  </w:r>
                </w:p>
              </w:tc>
            </w:tr>
            <w:tr w14:paraId="613070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 w:type="dxa"/>
                  <w:vMerge w:val="restart"/>
                  <w:tcBorders>
                    <w:right w:val="single" w:color="auto" w:sz="4" w:space="0"/>
                  </w:tcBorders>
                  <w:vAlign w:val="center"/>
                </w:tcPr>
                <w:p w14:paraId="010991DC">
                  <w:pPr>
                    <w:spacing w:line="240"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温度湿度</w:t>
                  </w:r>
                </w:p>
              </w:tc>
              <w:tc>
                <w:tcPr>
                  <w:tcW w:w="2002" w:type="dxa"/>
                  <w:gridSpan w:val="2"/>
                  <w:tcBorders>
                    <w:top w:val="single" w:color="auto" w:sz="4" w:space="0"/>
                    <w:left w:val="single" w:color="auto" w:sz="4" w:space="0"/>
                    <w:right w:val="single" w:color="auto" w:sz="4" w:space="0"/>
                  </w:tcBorders>
                  <w:vAlign w:val="center"/>
                </w:tcPr>
                <w:p w14:paraId="7E11A0E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highlight w:val="none"/>
                      <w:lang w:val="en-US" w:eastAsia="zh-CN"/>
                    </w:rPr>
                  </w:pPr>
                  <w:r>
                    <w:rPr>
                      <w:rFonts w:hint="default" w:ascii="Times New Roman" w:hAnsi="Times New Roman" w:eastAsia="宋体" w:cs="Times New Roman"/>
                      <w:bCs/>
                      <w:color w:val="auto"/>
                      <w:highlight w:val="none"/>
                      <w:lang w:val="en-US" w:eastAsia="zh-CN"/>
                    </w:rPr>
                    <w:t>温湿度计</w:t>
                  </w:r>
                </w:p>
                <w:p w14:paraId="4BFD0EC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（型号：</w:t>
                  </w:r>
                  <w:r>
                    <w:rPr>
                      <w:rFonts w:hint="default" w:ascii="Times New Roman" w:hAnsi="Times New Roman" w:eastAsia="宋体" w:cs="Times New Roman"/>
                      <w:bCs/>
                      <w:color w:val="auto"/>
                      <w:highlight w:val="none"/>
                      <w:lang w:val="en-US" w:eastAsia="zh-CN"/>
                    </w:rPr>
                    <w:t>TES1360A</w:t>
                  </w:r>
                  <w:r>
                    <w:rPr>
                      <w:rFonts w:hint="default" w:ascii="Times New Roman" w:hAnsi="Times New Roman" w:eastAsia="宋体" w:cs="Times New Roman"/>
                      <w:bCs/>
                      <w:color w:val="auto"/>
                      <w:highlight w:val="none"/>
                    </w:rPr>
                    <w:t>）</w:t>
                  </w:r>
                </w:p>
                <w:p w14:paraId="19C79A1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（编号：</w:t>
                  </w:r>
                  <w:r>
                    <w:rPr>
                      <w:rFonts w:hint="default" w:ascii="Times New Roman" w:hAnsi="Times New Roman" w:eastAsia="宋体" w:cs="Times New Roman"/>
                      <w:bCs/>
                      <w:color w:val="auto"/>
                      <w:highlight w:val="none"/>
                      <w:lang w:val="en-US" w:eastAsia="zh-CN"/>
                    </w:rPr>
                    <w:t>HY543</w:t>
                  </w:r>
                  <w:r>
                    <w:rPr>
                      <w:rFonts w:hint="default" w:ascii="Times New Roman" w:hAnsi="Times New Roman" w:eastAsia="宋体" w:cs="Times New Roman"/>
                      <w:bCs/>
                      <w:color w:val="auto"/>
                      <w:highlight w:val="none"/>
                    </w:rPr>
                    <w:t>）</w:t>
                  </w:r>
                </w:p>
                <w:p w14:paraId="4E579DF2">
                  <w:pPr>
                    <w:keepNext w:val="0"/>
                    <w:keepLines w:val="0"/>
                    <w:suppressLineNumbers w:val="0"/>
                    <w:spacing w:before="0" w:beforeAutospacing="0" w:after="0" w:afterAutospacing="0"/>
                    <w:ind w:left="0" w:leftChars="0" w:right="0" w:rightChars="0"/>
                    <w:jc w:val="center"/>
                    <w:rPr>
                      <w:rFonts w:ascii="Times New Roman" w:hAnsi="Times New Roman"/>
                      <w:bCs/>
                      <w:color w:val="000000" w:themeColor="text1"/>
                      <w:szCs w:val="21"/>
                      <w14:textFill>
                        <w14:solidFill>
                          <w14:schemeClr w14:val="tx1"/>
                        </w14:solidFill>
                      </w14:textFill>
                    </w:rPr>
                  </w:pPr>
                  <w:r>
                    <w:rPr>
                      <w:rFonts w:hint="default" w:ascii="Times New Roman" w:hAnsi="Times New Roman" w:eastAsia="宋体" w:cs="Times New Roman"/>
                      <w:bCs/>
                      <w:color w:val="auto"/>
                      <w:highlight w:val="none"/>
                      <w:lang w:val="en-US" w:eastAsia="zh-CN"/>
                    </w:rPr>
                    <w:t>温度监测部分</w:t>
                  </w:r>
                </w:p>
              </w:tc>
              <w:tc>
                <w:tcPr>
                  <w:tcW w:w="2476" w:type="dxa"/>
                  <w:tcBorders>
                    <w:top w:val="single" w:color="auto" w:sz="4" w:space="0"/>
                    <w:left w:val="single" w:color="auto" w:sz="4" w:space="0"/>
                    <w:right w:val="single" w:color="auto" w:sz="4" w:space="0"/>
                  </w:tcBorders>
                  <w:vAlign w:val="center"/>
                </w:tcPr>
                <w:p w14:paraId="41FF4595">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1）测量范围：</w:t>
                  </w:r>
                  <w:r>
                    <w:rPr>
                      <w:rFonts w:hint="default" w:ascii="Times New Roman" w:hAnsi="Times New Roman" w:eastAsia="宋体" w:cs="Times New Roman"/>
                      <w:color w:val="auto"/>
                      <w:highlight w:val="none"/>
                      <w:lang w:val="en-US" w:eastAsia="zh-CN"/>
                    </w:rPr>
                    <w:t>10</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30</w:t>
                  </w:r>
                  <w:r>
                    <w:rPr>
                      <w:rFonts w:hint="default" w:ascii="Times New Roman" w:hAnsi="Times New Roman" w:eastAsia="宋体" w:cs="Times New Roman"/>
                      <w:color w:val="auto"/>
                      <w:highlight w:val="none"/>
                    </w:rPr>
                    <w:t>℃</w:t>
                  </w:r>
                </w:p>
                <w:p w14:paraId="38D4322D">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2）不确定度：</w:t>
                  </w:r>
                  <w:r>
                    <w:rPr>
                      <w:rFonts w:hint="default" w:ascii="Times New Roman" w:hAnsi="Times New Roman" w:eastAsia="宋体" w:cs="Times New Roman"/>
                      <w:i/>
                      <w:color w:val="auto"/>
                      <w:highlight w:val="none"/>
                    </w:rPr>
                    <w:t xml:space="preserve"> U</w:t>
                  </w:r>
                  <w:r>
                    <w:rPr>
                      <w:rFonts w:hint="default" w:ascii="Times New Roman" w:hAnsi="Times New Roman" w:eastAsia="宋体" w:cs="Times New Roman"/>
                      <w:color w:val="auto"/>
                      <w:highlight w:val="none"/>
                    </w:rPr>
                    <w:t>=0.</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w:t>
                  </w:r>
                  <w:r>
                    <w:rPr>
                      <w:rFonts w:hint="default" w:ascii="Times New Roman" w:hAnsi="Times New Roman" w:eastAsia="宋体" w:cs="Times New Roman"/>
                      <w:i/>
                      <w:color w:val="auto"/>
                      <w:highlight w:val="none"/>
                    </w:rPr>
                    <w:t>k</w:t>
                  </w:r>
                  <w:r>
                    <w:rPr>
                      <w:rFonts w:hint="default" w:ascii="Times New Roman" w:hAnsi="Times New Roman" w:eastAsia="宋体" w:cs="Times New Roman"/>
                      <w:color w:val="auto"/>
                      <w:highlight w:val="none"/>
                    </w:rPr>
                    <w:t>=2）</w:t>
                  </w:r>
                </w:p>
                <w:p w14:paraId="480AC3C5">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）测量范围：</w:t>
                  </w:r>
                  <w:r>
                    <w:rPr>
                      <w:rFonts w:hint="default" w:ascii="Times New Roman" w:hAnsi="Times New Roman" w:eastAsia="宋体" w:cs="Times New Roman"/>
                      <w:color w:val="auto"/>
                      <w:highlight w:val="none"/>
                      <w:lang w:val="en-US" w:eastAsia="zh-CN"/>
                    </w:rPr>
                    <w:t>40</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80</w:t>
                  </w:r>
                  <w:r>
                    <w:rPr>
                      <w:rFonts w:hint="default" w:ascii="Times New Roman" w:hAnsi="Times New Roman" w:eastAsia="宋体" w:cs="Times New Roman"/>
                      <w:color w:val="auto"/>
                      <w:highlight w:val="none"/>
                    </w:rPr>
                    <w:t>.0%</w:t>
                  </w:r>
                </w:p>
                <w:p w14:paraId="34141515">
                  <w:pPr>
                    <w:keepNext w:val="0"/>
                    <w:keepLines w:val="0"/>
                    <w:suppressLineNumbers w:val="0"/>
                    <w:spacing w:before="0" w:beforeAutospacing="0" w:after="0" w:afterAutospacing="0"/>
                    <w:ind w:left="0" w:leftChars="0" w:right="0" w:rightChars="0"/>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）不确定度：</w:t>
                  </w:r>
                  <w:r>
                    <w:rPr>
                      <w:rFonts w:hint="default" w:ascii="Times New Roman" w:hAnsi="Times New Roman" w:eastAsia="宋体" w:cs="Times New Roman"/>
                      <w:i/>
                      <w:color w:val="auto"/>
                      <w:highlight w:val="none"/>
                    </w:rPr>
                    <w:t>U</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1.8</w:t>
                  </w:r>
                  <w:r>
                    <w:rPr>
                      <w:rFonts w:hint="default" w:ascii="Times New Roman" w:hAnsi="Times New Roman" w:eastAsia="宋体" w:cs="Times New Roman"/>
                      <w:color w:val="auto"/>
                      <w:highlight w:val="none"/>
                    </w:rPr>
                    <w:t>%，（</w:t>
                  </w:r>
                  <w:r>
                    <w:rPr>
                      <w:rFonts w:hint="default" w:ascii="Times New Roman" w:hAnsi="Times New Roman" w:eastAsia="宋体" w:cs="Times New Roman"/>
                      <w:i/>
                      <w:color w:val="auto"/>
                      <w:highlight w:val="none"/>
                    </w:rPr>
                    <w:t>k</w:t>
                  </w:r>
                  <w:r>
                    <w:rPr>
                      <w:rFonts w:hint="default" w:ascii="Times New Roman" w:hAnsi="Times New Roman" w:eastAsia="宋体" w:cs="Times New Roman"/>
                      <w:color w:val="auto"/>
                      <w:highlight w:val="none"/>
                    </w:rPr>
                    <w:t>=2）</w:t>
                  </w:r>
                </w:p>
              </w:tc>
              <w:tc>
                <w:tcPr>
                  <w:tcW w:w="1150" w:type="dxa"/>
                  <w:tcBorders>
                    <w:top w:val="single" w:color="auto" w:sz="4" w:space="0"/>
                    <w:left w:val="single" w:color="auto" w:sz="4" w:space="0"/>
                    <w:right w:val="single" w:color="auto" w:sz="4" w:space="0"/>
                  </w:tcBorders>
                  <w:vAlign w:val="center"/>
                </w:tcPr>
                <w:p w14:paraId="5D57AC8B">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highlight w:val="none"/>
                      <w:lang w:val="en-US" w:eastAsia="zh-CN"/>
                    </w:rPr>
                    <w:t>第</w:t>
                  </w:r>
                  <w:r>
                    <w:rPr>
                      <w:rFonts w:hint="default" w:ascii="Times New Roman" w:hAnsi="Times New Roman" w:eastAsia="宋体" w:cs="Times New Roman"/>
                      <w:color w:val="auto"/>
                      <w:szCs w:val="21"/>
                      <w:lang w:val="en-US" w:eastAsia="zh-CN"/>
                    </w:rPr>
                    <w:t>202408001453</w:t>
                  </w:r>
                  <w:r>
                    <w:rPr>
                      <w:rFonts w:hint="default" w:ascii="Times New Roman" w:hAnsi="Times New Roman" w:eastAsia="宋体" w:cs="Times New Roman"/>
                      <w:color w:val="auto"/>
                      <w:highlight w:val="none"/>
                      <w:lang w:val="en-US" w:eastAsia="zh-CN"/>
                    </w:rPr>
                    <w:t>号</w:t>
                  </w:r>
                </w:p>
              </w:tc>
              <w:tc>
                <w:tcPr>
                  <w:tcW w:w="1110" w:type="dxa"/>
                  <w:tcBorders>
                    <w:top w:val="single" w:color="auto" w:sz="4" w:space="0"/>
                    <w:left w:val="single" w:color="auto" w:sz="4" w:space="0"/>
                    <w:right w:val="single" w:color="auto" w:sz="4" w:space="0"/>
                  </w:tcBorders>
                  <w:vAlign w:val="center"/>
                </w:tcPr>
                <w:p w14:paraId="6CEF27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202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7</w:t>
                  </w:r>
                </w:p>
                <w:p w14:paraId="0AE160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至</w:t>
                  </w:r>
                </w:p>
                <w:p w14:paraId="6AC5AD55">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highlight w:val="none"/>
                    </w:rPr>
                    <w:t>202</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6</w:t>
                  </w:r>
                </w:p>
              </w:tc>
              <w:tc>
                <w:tcPr>
                  <w:tcW w:w="1126" w:type="dxa"/>
                  <w:tcBorders>
                    <w:top w:val="single" w:color="auto" w:sz="4" w:space="0"/>
                    <w:left w:val="single" w:color="auto" w:sz="4" w:space="0"/>
                    <w:bottom w:val="single" w:color="auto" w:sz="4" w:space="0"/>
                  </w:tcBorders>
                  <w:vAlign w:val="center"/>
                </w:tcPr>
                <w:p w14:paraId="094402C4">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highlight w:val="none"/>
                      <w:lang w:val="en-US" w:eastAsia="zh-CN"/>
                    </w:rPr>
                    <w:t>中计计量</w:t>
                  </w:r>
                  <w:r>
                    <w:rPr>
                      <w:rFonts w:hint="default" w:ascii="Times New Roman" w:hAnsi="Times New Roman" w:eastAsia="宋体" w:cs="Times New Roman"/>
                      <w:color w:val="auto"/>
                      <w:highlight w:val="none"/>
                    </w:rPr>
                    <w:t>检测</w:t>
                  </w:r>
                  <w:r>
                    <w:rPr>
                      <w:rFonts w:hint="default" w:ascii="Times New Roman" w:hAnsi="Times New Roman" w:eastAsia="宋体" w:cs="Times New Roman"/>
                      <w:color w:val="auto"/>
                      <w:highlight w:val="none"/>
                      <w:lang w:val="en-US" w:eastAsia="zh-CN"/>
                    </w:rPr>
                    <w:t>有限公司</w:t>
                  </w:r>
                </w:p>
              </w:tc>
            </w:tr>
            <w:tr w14:paraId="28EB07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3" w:type="dxa"/>
                  <w:vMerge w:val="continue"/>
                  <w:tcBorders>
                    <w:right w:val="single" w:color="auto" w:sz="4" w:space="0"/>
                  </w:tcBorders>
                  <w:vAlign w:val="center"/>
                </w:tcPr>
                <w:p w14:paraId="0FDFF1D0">
                  <w:pPr>
                    <w:spacing w:line="440" w:lineRule="exact"/>
                    <w:jc w:val="center"/>
                    <w:rPr>
                      <w:rFonts w:ascii="Times New Roman" w:hAnsi="Times New Roman"/>
                      <w:color w:val="000000" w:themeColor="text1"/>
                      <w:sz w:val="24"/>
                      <w14:textFill>
                        <w14:solidFill>
                          <w14:schemeClr w14:val="tx1"/>
                        </w14:solidFill>
                      </w14:textFill>
                    </w:rPr>
                  </w:pPr>
                </w:p>
              </w:tc>
              <w:tc>
                <w:tcPr>
                  <w:tcW w:w="2002" w:type="dxa"/>
                  <w:gridSpan w:val="2"/>
                  <w:tcBorders>
                    <w:top w:val="single" w:color="auto" w:sz="4" w:space="0"/>
                    <w:left w:val="single" w:color="auto" w:sz="4" w:space="0"/>
                    <w:bottom w:val="single" w:color="auto" w:sz="4" w:space="0"/>
                    <w:right w:val="single" w:color="auto" w:sz="4" w:space="0"/>
                  </w:tcBorders>
                  <w:vAlign w:val="center"/>
                </w:tcPr>
                <w:p w14:paraId="70DFF12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highlight w:val="none"/>
                      <w:lang w:val="en-US" w:eastAsia="zh-CN"/>
                    </w:rPr>
                  </w:pPr>
                  <w:r>
                    <w:rPr>
                      <w:rFonts w:hint="default" w:ascii="Times New Roman" w:hAnsi="Times New Roman" w:eastAsia="宋体" w:cs="Times New Roman"/>
                      <w:bCs/>
                      <w:color w:val="auto"/>
                      <w:highlight w:val="none"/>
                      <w:lang w:val="en-US" w:eastAsia="zh-CN"/>
                    </w:rPr>
                    <w:t>数字风速仪</w:t>
                  </w:r>
                </w:p>
                <w:p w14:paraId="4A8D29C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（型号：</w:t>
                  </w:r>
                  <w:r>
                    <w:rPr>
                      <w:rFonts w:hint="default" w:ascii="Times New Roman" w:hAnsi="Times New Roman" w:eastAsia="宋体" w:cs="Times New Roman"/>
                      <w:bCs/>
                      <w:color w:val="auto"/>
                      <w:highlight w:val="none"/>
                      <w:lang w:val="en-US" w:eastAsia="zh-CN"/>
                    </w:rPr>
                    <w:t>QDF-6</w:t>
                  </w:r>
                  <w:r>
                    <w:rPr>
                      <w:rFonts w:hint="default" w:ascii="Times New Roman" w:hAnsi="Times New Roman" w:eastAsia="宋体" w:cs="Times New Roman"/>
                      <w:bCs/>
                      <w:color w:val="auto"/>
                      <w:highlight w:val="none"/>
                    </w:rPr>
                    <w:t>）</w:t>
                  </w:r>
                </w:p>
                <w:p w14:paraId="71215BB7">
                  <w:pPr>
                    <w:keepNext w:val="0"/>
                    <w:keepLines w:val="0"/>
                    <w:suppressLineNumbers w:val="0"/>
                    <w:spacing w:before="0" w:beforeAutospacing="0" w:after="0" w:afterAutospacing="0"/>
                    <w:ind w:left="0" w:leftChars="0" w:right="0" w:rightChars="0"/>
                    <w:jc w:val="center"/>
                    <w:rPr>
                      <w:rFonts w:ascii="Times New Roman" w:hAnsi="Times New Roman"/>
                      <w:bCs/>
                      <w:color w:val="000000" w:themeColor="text1"/>
                      <w:szCs w:val="21"/>
                      <w14:textFill>
                        <w14:solidFill>
                          <w14:schemeClr w14:val="tx1"/>
                        </w14:solidFill>
                      </w14:textFill>
                    </w:rPr>
                  </w:pPr>
                  <w:r>
                    <w:rPr>
                      <w:rFonts w:hint="default" w:ascii="Times New Roman" w:hAnsi="Times New Roman" w:eastAsia="宋体" w:cs="Times New Roman"/>
                      <w:bCs/>
                      <w:color w:val="auto"/>
                      <w:highlight w:val="none"/>
                    </w:rPr>
                    <w:t>（编号：</w:t>
                  </w:r>
                  <w:r>
                    <w:rPr>
                      <w:rFonts w:hint="default" w:ascii="Times New Roman" w:hAnsi="Times New Roman" w:eastAsia="宋体" w:cs="Times New Roman"/>
                      <w:bCs/>
                      <w:color w:val="auto"/>
                      <w:highlight w:val="none"/>
                      <w:lang w:val="en-US" w:eastAsia="zh-CN"/>
                    </w:rPr>
                    <w:t>HY320</w:t>
                  </w:r>
                  <w:r>
                    <w:rPr>
                      <w:rFonts w:hint="default" w:ascii="Times New Roman" w:hAnsi="Times New Roman" w:eastAsia="宋体" w:cs="Times New Roman"/>
                      <w:bCs/>
                      <w:color w:val="auto"/>
                      <w:highlight w:val="none"/>
                    </w:rPr>
                    <w:t>）</w:t>
                  </w:r>
                </w:p>
              </w:tc>
              <w:tc>
                <w:tcPr>
                  <w:tcW w:w="2476" w:type="dxa"/>
                  <w:tcBorders>
                    <w:top w:val="single" w:color="auto" w:sz="4" w:space="0"/>
                    <w:left w:val="single" w:color="auto" w:sz="4" w:space="0"/>
                    <w:bottom w:val="single" w:color="auto" w:sz="4" w:space="0"/>
                    <w:right w:val="single" w:color="auto" w:sz="4" w:space="0"/>
                  </w:tcBorders>
                  <w:vAlign w:val="center"/>
                </w:tcPr>
                <w:p w14:paraId="6DC403FA">
                  <w:pPr>
                    <w:keepNext w:val="0"/>
                    <w:keepLines w:val="0"/>
                    <w:suppressLineNumbers w:val="0"/>
                    <w:spacing w:before="0" w:beforeAutospacing="0" w:after="0" w:afterAutospacing="0"/>
                    <w:ind w:left="0" w:leftChars="0" w:right="0" w:rightChars="0"/>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highlight w:val="none"/>
                    </w:rPr>
                    <w:t>不确定度：</w:t>
                  </w:r>
                  <w:r>
                    <w:rPr>
                      <w:rFonts w:hint="default" w:ascii="Times New Roman" w:hAnsi="Times New Roman" w:eastAsia="宋体" w:cs="Times New Roman"/>
                      <w:i/>
                      <w:color w:val="auto"/>
                      <w:highlight w:val="none"/>
                    </w:rPr>
                    <w:t>U</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0.4%</w:t>
                  </w:r>
                  <w:r>
                    <w:rPr>
                      <w:rFonts w:hint="default" w:ascii="Times New Roman" w:hAnsi="Times New Roman" w:eastAsia="宋体" w:cs="Times New Roman"/>
                      <w:color w:val="auto"/>
                      <w:highlight w:val="none"/>
                    </w:rPr>
                    <w:t>，（</w:t>
                  </w:r>
                  <w:r>
                    <w:rPr>
                      <w:rFonts w:hint="default" w:ascii="Times New Roman" w:hAnsi="Times New Roman" w:eastAsia="宋体" w:cs="Times New Roman"/>
                      <w:i/>
                      <w:color w:val="auto"/>
                      <w:highlight w:val="none"/>
                    </w:rPr>
                    <w:t>k</w:t>
                  </w:r>
                  <w:r>
                    <w:rPr>
                      <w:rFonts w:hint="default" w:ascii="Times New Roman" w:hAnsi="Times New Roman" w:eastAsia="宋体" w:cs="Times New Roman"/>
                      <w:color w:val="auto"/>
                      <w:highlight w:val="none"/>
                    </w:rPr>
                    <w:t>=2）</w:t>
                  </w:r>
                </w:p>
              </w:tc>
              <w:tc>
                <w:tcPr>
                  <w:tcW w:w="1150" w:type="dxa"/>
                  <w:tcBorders>
                    <w:top w:val="single" w:color="auto" w:sz="4" w:space="0"/>
                    <w:left w:val="single" w:color="auto" w:sz="4" w:space="0"/>
                    <w:bottom w:val="single" w:color="auto" w:sz="4" w:space="0"/>
                    <w:right w:val="single" w:color="auto" w:sz="4" w:space="0"/>
                  </w:tcBorders>
                  <w:vAlign w:val="center"/>
                </w:tcPr>
                <w:p w14:paraId="5E7EE41D">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highlight w:val="none"/>
                      <w:lang w:val="en-US" w:eastAsia="zh-CN"/>
                    </w:rPr>
                    <w:t>第</w:t>
                  </w:r>
                  <w:r>
                    <w:rPr>
                      <w:rFonts w:hint="default" w:ascii="Times New Roman" w:hAnsi="Times New Roman" w:eastAsia="宋体" w:cs="Times New Roman"/>
                      <w:color w:val="auto"/>
                      <w:szCs w:val="21"/>
                      <w:lang w:val="en-US" w:eastAsia="zh-CN"/>
                    </w:rPr>
                    <w:t>202503009014</w:t>
                  </w:r>
                  <w:r>
                    <w:rPr>
                      <w:rFonts w:hint="default" w:ascii="Times New Roman" w:hAnsi="Times New Roman" w:eastAsia="宋体" w:cs="Times New Roman"/>
                      <w:color w:val="auto"/>
                      <w:highlight w:val="none"/>
                      <w:lang w:val="en-US" w:eastAsia="zh-CN"/>
                    </w:rPr>
                    <w:t>号</w:t>
                  </w:r>
                </w:p>
              </w:tc>
              <w:tc>
                <w:tcPr>
                  <w:tcW w:w="1110" w:type="dxa"/>
                  <w:tcBorders>
                    <w:top w:val="single" w:color="auto" w:sz="4" w:space="0"/>
                    <w:left w:val="single" w:color="auto" w:sz="4" w:space="0"/>
                    <w:bottom w:val="single" w:color="auto" w:sz="4" w:space="0"/>
                    <w:right w:val="single" w:color="auto" w:sz="4" w:space="0"/>
                  </w:tcBorders>
                  <w:vAlign w:val="center"/>
                </w:tcPr>
                <w:p w14:paraId="130C3A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202</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18</w:t>
                  </w:r>
                </w:p>
                <w:p w14:paraId="07CEB4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至</w:t>
                  </w:r>
                </w:p>
                <w:p w14:paraId="49704D3B">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highlight w:val="none"/>
                    </w:rPr>
                    <w:t>202</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17</w:t>
                  </w:r>
                </w:p>
              </w:tc>
              <w:tc>
                <w:tcPr>
                  <w:tcW w:w="1126" w:type="dxa"/>
                  <w:tcBorders>
                    <w:top w:val="single" w:color="auto" w:sz="4" w:space="0"/>
                    <w:left w:val="single" w:color="auto" w:sz="4" w:space="0"/>
                    <w:bottom w:val="single" w:color="auto" w:sz="4" w:space="0"/>
                  </w:tcBorders>
                  <w:vAlign w:val="center"/>
                </w:tcPr>
                <w:p w14:paraId="2C6FA3EE">
                  <w:pPr>
                    <w:keepNext w:val="0"/>
                    <w:keepLines w:val="0"/>
                    <w:suppressLineNumbers w:val="0"/>
                    <w:spacing w:before="0" w:beforeAutospacing="0" w:after="0" w:afterAutospacing="0"/>
                    <w:ind w:left="0" w:leftChars="0" w:right="0" w:rightChars="0"/>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auto"/>
                      <w:highlight w:val="none"/>
                      <w:lang w:val="en-US" w:eastAsia="zh-CN"/>
                    </w:rPr>
                    <w:t>中计计量</w:t>
                  </w:r>
                  <w:r>
                    <w:rPr>
                      <w:rFonts w:hint="default" w:ascii="Times New Roman" w:hAnsi="Times New Roman" w:eastAsia="宋体" w:cs="Times New Roman"/>
                      <w:color w:val="auto"/>
                      <w:highlight w:val="none"/>
                    </w:rPr>
                    <w:t>检测</w:t>
                  </w:r>
                  <w:r>
                    <w:rPr>
                      <w:rFonts w:hint="default" w:ascii="Times New Roman" w:hAnsi="Times New Roman" w:eastAsia="宋体" w:cs="Times New Roman"/>
                      <w:color w:val="auto"/>
                      <w:highlight w:val="none"/>
                      <w:lang w:val="en-US" w:eastAsia="zh-CN"/>
                    </w:rPr>
                    <w:t>有限公司</w:t>
                  </w:r>
                </w:p>
              </w:tc>
            </w:tr>
            <w:tr w14:paraId="582C5A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33" w:type="dxa"/>
                  <w:vMerge w:val="restart"/>
                  <w:vAlign w:val="center"/>
                </w:tcPr>
                <w:p w14:paraId="5D280BE7">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监测</w:t>
                  </w:r>
                </w:p>
                <w:p w14:paraId="2CB902E5">
                  <w:pPr>
                    <w:jc w:val="center"/>
                    <w:rPr>
                      <w:rFonts w:ascii="Times New Roman" w:hAnsi="Times New Roman"/>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环境</w:t>
                  </w:r>
                </w:p>
              </w:tc>
              <w:tc>
                <w:tcPr>
                  <w:tcW w:w="1077" w:type="dxa"/>
                  <w:vAlign w:val="center"/>
                </w:tcPr>
                <w:p w14:paraId="6CCCC072">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日期</w:t>
                  </w:r>
                </w:p>
              </w:tc>
              <w:tc>
                <w:tcPr>
                  <w:tcW w:w="925" w:type="dxa"/>
                  <w:vAlign w:val="center"/>
                </w:tcPr>
                <w:p w14:paraId="546A32B2">
                  <w:pPr>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天气</w:t>
                  </w:r>
                </w:p>
              </w:tc>
              <w:tc>
                <w:tcPr>
                  <w:tcW w:w="2476" w:type="dxa"/>
                  <w:vAlign w:val="center"/>
                </w:tcPr>
                <w:p w14:paraId="6A741B2E">
                  <w:pPr>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温度（</w:t>
                  </w:r>
                  <w:r>
                    <w:rPr>
                      <w:rFonts w:ascii="Times New Roman" w:hAnsi="Times New Roman"/>
                      <w:b/>
                      <w:bCs/>
                      <w:color w:val="000000" w:themeColor="text1"/>
                      <w:szCs w:val="21"/>
                      <w14:textFill>
                        <w14:solidFill>
                          <w14:schemeClr w14:val="tx1"/>
                        </w14:solidFill>
                      </w14:textFill>
                    </w:rPr>
                    <w:t>℃</w:t>
                  </w:r>
                  <w:r>
                    <w:rPr>
                      <w:rFonts w:ascii="Times New Roman" w:hAnsi="Times New Roman"/>
                      <w:b/>
                      <w:color w:val="000000" w:themeColor="text1"/>
                      <w:szCs w:val="21"/>
                      <w14:textFill>
                        <w14:solidFill>
                          <w14:schemeClr w14:val="tx1"/>
                        </w14:solidFill>
                      </w14:textFill>
                    </w:rPr>
                    <w:t>）</w:t>
                  </w:r>
                </w:p>
              </w:tc>
              <w:tc>
                <w:tcPr>
                  <w:tcW w:w="1150" w:type="dxa"/>
                  <w:vAlign w:val="center"/>
                </w:tcPr>
                <w:p w14:paraId="7F0C2BEF">
                  <w:pPr>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相对湿度（%）</w:t>
                  </w:r>
                </w:p>
              </w:tc>
              <w:tc>
                <w:tcPr>
                  <w:tcW w:w="2236" w:type="dxa"/>
                  <w:gridSpan w:val="2"/>
                  <w:vAlign w:val="center"/>
                </w:tcPr>
                <w:p w14:paraId="40C89EA3">
                  <w:pPr>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风速（m/s）</w:t>
                  </w:r>
                </w:p>
              </w:tc>
            </w:tr>
            <w:tr w14:paraId="1BCE3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33" w:type="dxa"/>
                  <w:vMerge w:val="continue"/>
                  <w:vAlign w:val="center"/>
                </w:tcPr>
                <w:p w14:paraId="120279F2">
                  <w:pPr>
                    <w:jc w:val="center"/>
                    <w:rPr>
                      <w:rFonts w:ascii="Times New Roman" w:hAnsi="Times New Roman"/>
                      <w:b/>
                      <w:color w:val="000000" w:themeColor="text1"/>
                      <w:szCs w:val="21"/>
                      <w14:textFill>
                        <w14:solidFill>
                          <w14:schemeClr w14:val="tx1"/>
                        </w14:solidFill>
                      </w14:textFill>
                    </w:rPr>
                  </w:pPr>
                </w:p>
              </w:tc>
              <w:tc>
                <w:tcPr>
                  <w:tcW w:w="1077" w:type="dxa"/>
                  <w:vAlign w:val="center"/>
                </w:tcPr>
                <w:p w14:paraId="3943AF64">
                  <w:pPr>
                    <w:jc w:val="center"/>
                    <w:rPr>
                      <w:rFonts w:hint="default" w:ascii="Times New Roman" w:hAnsi="Times New Roman" w:eastAsia="宋体"/>
                      <w:bCs/>
                      <w:color w:val="000000" w:themeColor="text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202</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11</w:t>
                  </w:r>
                </w:p>
              </w:tc>
              <w:tc>
                <w:tcPr>
                  <w:tcW w:w="925" w:type="dxa"/>
                  <w:vAlign w:val="center"/>
                </w:tcPr>
                <w:p w14:paraId="1EBE88CC">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 w:val="21"/>
                      <w:szCs w:val="21"/>
                      <w:lang w:val="en-US" w:eastAsia="zh-CN"/>
                    </w:rPr>
                    <w:t>多云</w:t>
                  </w:r>
                </w:p>
              </w:tc>
              <w:tc>
                <w:tcPr>
                  <w:tcW w:w="2476" w:type="dxa"/>
                  <w:vAlign w:val="center"/>
                </w:tcPr>
                <w:p w14:paraId="4622BC2C">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38</w:t>
                  </w:r>
                </w:p>
              </w:tc>
              <w:tc>
                <w:tcPr>
                  <w:tcW w:w="1150" w:type="dxa"/>
                  <w:vAlign w:val="center"/>
                </w:tcPr>
                <w:p w14:paraId="1C9DF840">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62%</w:t>
                  </w:r>
                </w:p>
              </w:tc>
              <w:tc>
                <w:tcPr>
                  <w:tcW w:w="2236" w:type="dxa"/>
                  <w:gridSpan w:val="2"/>
                  <w:vAlign w:val="center"/>
                </w:tcPr>
                <w:p w14:paraId="765423A8">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1.6～3.3</w:t>
                  </w:r>
                </w:p>
              </w:tc>
            </w:tr>
          </w:tbl>
          <w:p w14:paraId="677E2907">
            <w:pPr>
              <w:spacing w:line="360" w:lineRule="auto"/>
              <w:ind w:firstLine="281" w:firstLineChars="100"/>
              <w:rPr>
                <w:rFonts w:ascii="Times New Roman" w:hAnsi="Times New Roman"/>
                <w:b/>
                <w:sz w:val="28"/>
                <w:szCs w:val="28"/>
              </w:rPr>
            </w:pPr>
            <w:r>
              <w:rPr>
                <w:rFonts w:hint="eastAsia" w:ascii="Times New Roman" w:hAnsi="Times New Roman"/>
                <w:b/>
                <w:sz w:val="28"/>
                <w:szCs w:val="28"/>
              </w:rPr>
              <w:t>（二）</w:t>
            </w:r>
            <w:r>
              <w:rPr>
                <w:rFonts w:ascii="Times New Roman" w:hAnsi="Times New Roman"/>
                <w:b/>
                <w:sz w:val="28"/>
                <w:szCs w:val="28"/>
              </w:rPr>
              <w:t>质量保证</w:t>
            </w:r>
          </w:p>
          <w:p w14:paraId="601A9E96">
            <w:pPr>
              <w:pStyle w:val="11"/>
            </w:pPr>
            <w:r>
              <w:t>该公司通过了计量认证，具备完整、有效的质量控制体系。本次监测所用的仪器性能参数均符合国家标准方法的要求，均有有效的国家计量部门的检定合格证书，并有良好的日常质量控制程序。监测人员均经具有相应资质的单位培训，考核合格持证上岗。数据分析及处理采用国家标准中相关的数据处理方法，按国家标准和监测技术规范有关要求进行数据处理和填报，并按有关规定和要求进行三级审核。</w:t>
            </w:r>
          </w:p>
          <w:p w14:paraId="162EB6BA">
            <w:pPr>
              <w:pStyle w:val="11"/>
            </w:pPr>
            <w:r>
              <w:rPr>
                <w:rFonts w:hint="eastAsia"/>
              </w:rPr>
              <w:t>四川鸿源环境检测技术咨询有限公司</w:t>
            </w:r>
            <w:r>
              <w:t>质量管理体系：</w:t>
            </w:r>
          </w:p>
          <w:p w14:paraId="7088234C">
            <w:pPr>
              <w:spacing w:line="360" w:lineRule="auto"/>
              <w:ind w:firstLine="482" w:firstLineChars="200"/>
              <w:rPr>
                <w:rFonts w:ascii="Times New Roman" w:hAnsi="Times New Roman"/>
                <w:b/>
                <w:sz w:val="24"/>
              </w:rPr>
            </w:pPr>
            <w:r>
              <w:rPr>
                <w:rFonts w:hint="eastAsia" w:ascii="Times New Roman" w:hAnsi="Times New Roman"/>
                <w:b/>
                <w:sz w:val="24"/>
              </w:rPr>
              <w:t>1、</w:t>
            </w:r>
            <w:r>
              <w:rPr>
                <w:rFonts w:ascii="Times New Roman" w:hAnsi="Times New Roman"/>
                <w:b/>
                <w:sz w:val="24"/>
              </w:rPr>
              <w:t>计量认证</w:t>
            </w:r>
          </w:p>
          <w:p w14:paraId="66486EAA">
            <w:pPr>
              <w:pStyle w:val="11"/>
            </w:pPr>
            <w:r>
              <w:t>从事监测的单位，四川鸿源环境检测技术咨询有限公司于2022年7月取得了四川省市场监督管理局颁发的计量认证证书，证书编号为：222303051294，有效期至202</w:t>
            </w:r>
            <w:r>
              <w:rPr>
                <w:rFonts w:hint="eastAsia"/>
              </w:rPr>
              <w:t>8</w:t>
            </w:r>
            <w:r>
              <w:t>年7月7日。</w:t>
            </w:r>
          </w:p>
          <w:p w14:paraId="4A9F477B">
            <w:pPr>
              <w:spacing w:line="360" w:lineRule="auto"/>
              <w:ind w:firstLine="482" w:firstLineChars="200"/>
              <w:rPr>
                <w:rFonts w:ascii="Times New Roman" w:hAnsi="Times New Roman"/>
                <w:b/>
                <w:sz w:val="24"/>
              </w:rPr>
            </w:pPr>
            <w:r>
              <w:rPr>
                <w:rFonts w:hint="eastAsia" w:ascii="Times New Roman" w:hAnsi="Times New Roman"/>
                <w:b/>
                <w:sz w:val="24"/>
              </w:rPr>
              <w:t>2、</w:t>
            </w:r>
            <w:r>
              <w:rPr>
                <w:rFonts w:ascii="Times New Roman" w:hAnsi="Times New Roman"/>
                <w:b/>
                <w:sz w:val="24"/>
              </w:rPr>
              <w:t>仪器设备管理</w:t>
            </w:r>
          </w:p>
          <w:p w14:paraId="0D75F910">
            <w:pPr>
              <w:spacing w:line="360" w:lineRule="auto"/>
              <w:ind w:firstLine="480" w:firstLineChars="200"/>
              <w:rPr>
                <w:rFonts w:ascii="Times New Roman" w:hAnsi="Times New Roman"/>
                <w:bCs/>
                <w:sz w:val="24"/>
              </w:rPr>
            </w:pPr>
            <w:r>
              <w:rPr>
                <w:rFonts w:ascii="Times New Roman" w:hAnsi="Times New Roman"/>
                <w:bCs/>
                <w:sz w:val="24"/>
              </w:rPr>
              <w:t>①管理与标准化；②计量器具的标准化；③计量器具、仪器设备的检定。</w:t>
            </w:r>
          </w:p>
          <w:p w14:paraId="31FC2CE6">
            <w:pPr>
              <w:spacing w:line="360" w:lineRule="auto"/>
              <w:ind w:firstLine="482" w:firstLineChars="200"/>
              <w:rPr>
                <w:rFonts w:ascii="Times New Roman" w:hAnsi="Times New Roman"/>
                <w:b/>
                <w:sz w:val="24"/>
              </w:rPr>
            </w:pPr>
            <w:r>
              <w:rPr>
                <w:rFonts w:hint="eastAsia" w:ascii="Times New Roman" w:hAnsi="Times New Roman"/>
                <w:b/>
                <w:sz w:val="24"/>
              </w:rPr>
              <w:t>3、</w:t>
            </w:r>
            <w:r>
              <w:rPr>
                <w:rFonts w:ascii="Times New Roman" w:hAnsi="Times New Roman"/>
                <w:b/>
                <w:sz w:val="24"/>
              </w:rPr>
              <w:t>记录与报告</w:t>
            </w:r>
          </w:p>
          <w:p w14:paraId="53630957">
            <w:pPr>
              <w:pStyle w:val="11"/>
            </w:pPr>
            <w:r>
              <w:t>①数据记录制度；②报告质量控制。监测人员均经具有相应资质的部门培训，考核合格持证上岗。</w:t>
            </w:r>
          </w:p>
          <w:p w14:paraId="5601B60D">
            <w:pPr>
              <w:pStyle w:val="11"/>
            </w:pPr>
            <w:r>
              <w:t>监测所用仪器已由计量部门年检，且在有效期内；测量方法按国家相关标准实施；测量不确定度符合统计学要求；布点合理、人员合格、结果可信，能够反映出辐射工作场所的客观辐射水平，可以作为本次评价的科学依据。</w:t>
            </w:r>
          </w:p>
          <w:p w14:paraId="4DE7290A">
            <w:pPr>
              <w:spacing w:line="360" w:lineRule="auto"/>
              <w:ind w:firstLine="562" w:firstLineChars="200"/>
              <w:rPr>
                <w:rFonts w:ascii="Times New Roman" w:hAnsi="Times New Roman"/>
                <w:b/>
                <w:bCs/>
                <w:sz w:val="28"/>
                <w:szCs w:val="28"/>
              </w:rPr>
            </w:pPr>
            <w:r>
              <w:rPr>
                <w:rFonts w:hint="eastAsia" w:ascii="Times New Roman" w:hAnsi="Times New Roman"/>
                <w:b/>
                <w:bCs/>
                <w:sz w:val="28"/>
                <w:szCs w:val="28"/>
              </w:rPr>
              <w:t>（三）</w:t>
            </w:r>
            <w:r>
              <w:rPr>
                <w:rFonts w:ascii="Times New Roman" w:hAnsi="Times New Roman"/>
                <w:b/>
                <w:bCs/>
                <w:sz w:val="28"/>
                <w:szCs w:val="28"/>
              </w:rPr>
              <w:t>环境现状监测与评价</w:t>
            </w:r>
          </w:p>
          <w:p w14:paraId="17C66E74">
            <w:pPr>
              <w:pStyle w:val="30"/>
              <w:spacing w:line="360" w:lineRule="auto"/>
              <w:ind w:firstLine="480" w:firstLineChars="200"/>
              <w:rPr>
                <w:rFonts w:ascii="Times New Roman" w:hAnsi="Times New Roman"/>
                <w:color w:val="auto"/>
                <w:kern w:val="2"/>
              </w:rPr>
            </w:pPr>
            <w:r>
              <w:rPr>
                <w:rFonts w:hint="eastAsia" w:ascii="Times New Roman" w:hAnsi="Times New Roman"/>
                <w:color w:val="auto"/>
                <w:kern w:val="2"/>
              </w:rPr>
              <w:t>1、监测布点</w:t>
            </w:r>
          </w:p>
          <w:p w14:paraId="08F840E3">
            <w:pPr>
              <w:pStyle w:val="11"/>
            </w:pPr>
            <w:r>
              <w:t>为了解拟建地环境辐射剂量本底值，在</w:t>
            </w:r>
            <w:r>
              <w:rPr>
                <w:rFonts w:hint="eastAsia"/>
              </w:rPr>
              <w:t>DSA机房</w:t>
            </w:r>
            <w:r>
              <w:t>周围及敏感目标对辐射环境进行了现状布点监测，</w:t>
            </w:r>
            <w:r>
              <w:rPr>
                <w:rFonts w:hint="eastAsia"/>
              </w:rPr>
              <w:t>共</w:t>
            </w:r>
            <w:r>
              <w:t>布设</w:t>
            </w:r>
            <w:r>
              <w:rPr>
                <w:rFonts w:hint="eastAsia"/>
                <w:lang w:val="en-US" w:eastAsia="zh-CN"/>
              </w:rPr>
              <w:t>15</w:t>
            </w:r>
            <w:r>
              <w:t>个监测点位，监测一天。</w:t>
            </w:r>
            <w:r>
              <w:rPr>
                <w:rFonts w:hint="eastAsia"/>
              </w:rPr>
              <w:t>布点图见下图8-1、下图8-2。</w:t>
            </w:r>
          </w:p>
          <w:p w14:paraId="2B849571">
            <w:pPr>
              <w:pStyle w:val="31"/>
              <w:ind w:left="0" w:leftChars="0" w:firstLine="0" w:firstLineChars="0"/>
              <w:jc w:val="center"/>
            </w:pPr>
            <w:r>
              <w:drawing>
                <wp:inline distT="0" distB="0" distL="114300" distR="114300">
                  <wp:extent cx="5266055" cy="3175635"/>
                  <wp:effectExtent l="0" t="0" r="10795" b="571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4"/>
                          <a:stretch>
                            <a:fillRect/>
                          </a:stretch>
                        </pic:blipFill>
                        <pic:spPr>
                          <a:xfrm>
                            <a:off x="0" y="0"/>
                            <a:ext cx="5266055" cy="3175635"/>
                          </a:xfrm>
                          <a:prstGeom prst="rect">
                            <a:avLst/>
                          </a:prstGeom>
                          <a:noFill/>
                          <a:ln>
                            <a:noFill/>
                          </a:ln>
                        </pic:spPr>
                      </pic:pic>
                    </a:graphicData>
                  </a:graphic>
                </wp:inline>
              </w:drawing>
            </w:r>
          </w:p>
          <w:p w14:paraId="784FCA0D">
            <w:pPr>
              <w:jc w:val="center"/>
            </w:pPr>
            <w:r>
              <w:rPr>
                <w:rFonts w:hint="default" w:ascii="Times New Roman" w:hAnsi="Times New Roman" w:cs="Times New Roman"/>
                <w:b/>
                <w:bCs/>
                <w:sz w:val="24"/>
              </w:rPr>
              <w:t>图8-1拟建项目环境现状</w:t>
            </w:r>
            <w:r>
              <w:rPr>
                <w:rFonts w:hint="eastAsia" w:ascii="Times New Roman" w:hAnsi="Times New Roman" w:cs="Times New Roman"/>
                <w:b/>
                <w:bCs/>
                <w:sz w:val="24"/>
                <w:lang w:val="en-US" w:eastAsia="zh-CN"/>
              </w:rPr>
              <w:t>室内</w:t>
            </w:r>
            <w:r>
              <w:rPr>
                <w:rFonts w:hint="default" w:ascii="Times New Roman" w:hAnsi="Times New Roman" w:cs="Times New Roman"/>
                <w:b/>
                <w:bCs/>
                <w:sz w:val="24"/>
              </w:rPr>
              <w:t>监测布点图</w:t>
            </w:r>
          </w:p>
          <w:p w14:paraId="4D106D67">
            <w:pPr>
              <w:pStyle w:val="30"/>
              <w:rPr>
                <w:rFonts w:hint="default" w:eastAsia="宋体"/>
                <w:lang w:val="en-US" w:eastAsia="zh-CN"/>
              </w:rPr>
            </w:pPr>
            <w:r>
              <w:rPr>
                <w:rFonts w:hint="eastAsia"/>
                <w:lang w:val="en-US" w:eastAsia="zh-CN"/>
              </w:rPr>
              <w:t>注：2号点为楼上。</w:t>
            </w:r>
          </w:p>
          <w:p w14:paraId="47208592">
            <w:pPr>
              <w:pStyle w:val="30"/>
              <w:spacing w:line="360" w:lineRule="auto"/>
              <w:jc w:val="center"/>
            </w:pPr>
            <w:r>
              <w:drawing>
                <wp:inline distT="0" distB="0" distL="114300" distR="114300">
                  <wp:extent cx="5625465" cy="3587750"/>
                  <wp:effectExtent l="0" t="0" r="13335" b="12700"/>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pic:cNvPicPr>
                            <a:picLocks noChangeAspect="1"/>
                          </pic:cNvPicPr>
                        </pic:nvPicPr>
                        <pic:blipFill>
                          <a:blip r:embed="rId15"/>
                          <a:stretch>
                            <a:fillRect/>
                          </a:stretch>
                        </pic:blipFill>
                        <pic:spPr>
                          <a:xfrm>
                            <a:off x="0" y="0"/>
                            <a:ext cx="5625465" cy="3587750"/>
                          </a:xfrm>
                          <a:prstGeom prst="rect">
                            <a:avLst/>
                          </a:prstGeom>
                          <a:noFill/>
                          <a:ln>
                            <a:noFill/>
                          </a:ln>
                        </pic:spPr>
                      </pic:pic>
                    </a:graphicData>
                  </a:graphic>
                </wp:inline>
              </w:drawing>
            </w:r>
          </w:p>
          <w:p w14:paraId="35B6D306">
            <w:pPr>
              <w:jc w:val="center"/>
              <w:rPr>
                <w:rFonts w:hint="default" w:ascii="Times New Roman" w:hAnsi="Times New Roman" w:cs="Times New Roman"/>
                <w:b/>
                <w:bCs/>
                <w:sz w:val="24"/>
              </w:rPr>
            </w:pPr>
            <w:r>
              <w:rPr>
                <w:rFonts w:hint="default" w:ascii="Times New Roman" w:hAnsi="Times New Roman" w:cs="Times New Roman"/>
                <w:b/>
                <w:bCs/>
                <w:sz w:val="24"/>
              </w:rPr>
              <w:t>图8-2拟建项目环境现状</w:t>
            </w:r>
            <w:r>
              <w:rPr>
                <w:rFonts w:hint="eastAsia" w:ascii="Times New Roman" w:hAnsi="Times New Roman" w:cs="Times New Roman"/>
                <w:b/>
                <w:bCs/>
                <w:sz w:val="24"/>
                <w:lang w:val="en-US" w:eastAsia="zh-CN"/>
              </w:rPr>
              <w:t>室外</w:t>
            </w:r>
            <w:r>
              <w:rPr>
                <w:rFonts w:hint="default" w:ascii="Times New Roman" w:hAnsi="Times New Roman" w:cs="Times New Roman"/>
                <w:b/>
                <w:bCs/>
                <w:sz w:val="24"/>
              </w:rPr>
              <w:t>监测布点图</w:t>
            </w:r>
          </w:p>
          <w:p w14:paraId="6DCAF44E">
            <w:pPr>
              <w:pStyle w:val="11"/>
              <w:ind w:left="0" w:leftChars="0" w:firstLineChars="200"/>
              <w:rPr>
                <w:rFonts w:hint="eastAsia"/>
                <w:lang w:val="en-US" w:eastAsia="zh-CN"/>
              </w:rPr>
            </w:pPr>
            <w:r>
              <w:rPr>
                <w:rFonts w:hint="eastAsia"/>
                <w:lang w:val="en-US" w:eastAsia="zh-CN"/>
              </w:rPr>
              <w:t>2、监测布点的合理性分析</w:t>
            </w:r>
          </w:p>
          <w:p w14:paraId="22F303BB">
            <w:pPr>
              <w:pStyle w:val="11"/>
              <w:bidi w:val="0"/>
              <w:ind w:firstLineChars="200"/>
              <w:rPr>
                <w:rFonts w:hint="default"/>
                <w:lang w:val="en-US" w:eastAsia="zh-CN"/>
              </w:rPr>
            </w:pPr>
            <w:r>
              <w:rPr>
                <w:rFonts w:hint="default"/>
                <w:lang w:val="en-US" w:eastAsia="zh-CN"/>
              </w:rPr>
              <w:t>本次选择在拟建DSA机房内、四周、楼上区域及评价范围</w:t>
            </w:r>
            <w:r>
              <w:rPr>
                <w:rFonts w:hint="eastAsia"/>
                <w:lang w:val="en-US" w:eastAsia="zh-CN"/>
              </w:rPr>
              <w:t>内</w:t>
            </w:r>
            <w:r>
              <w:rPr>
                <w:rFonts w:hint="default"/>
                <w:lang w:val="en-US" w:eastAsia="zh-CN"/>
              </w:rPr>
              <w:t>敏感点进行监测，监测点位涉及室内、室外、道路，本次X-γ辐射空气吸收剂量率布设1</w:t>
            </w:r>
            <w:r>
              <w:rPr>
                <w:rFonts w:hint="eastAsia"/>
                <w:lang w:val="en-US" w:eastAsia="zh-CN"/>
              </w:rPr>
              <w:t>5</w:t>
            </w:r>
            <w:r>
              <w:rPr>
                <w:rFonts w:hint="default"/>
                <w:lang w:val="en-US" w:eastAsia="zh-CN"/>
              </w:rPr>
              <w:t>个监测点位，能较好反映项目周围辐射环境现状，其监测点位布设合理。</w:t>
            </w:r>
          </w:p>
          <w:p w14:paraId="35A902B5">
            <w:pPr>
              <w:pStyle w:val="30"/>
              <w:spacing w:line="360" w:lineRule="auto"/>
              <w:ind w:firstLine="480" w:firstLineChars="200"/>
              <w:rPr>
                <w:color w:val="auto"/>
              </w:rPr>
            </w:pPr>
            <w:r>
              <w:rPr>
                <w:rFonts w:hint="eastAsia" w:ascii="Times New Roman" w:hAnsi="Times New Roman"/>
                <w:color w:val="auto"/>
                <w:kern w:val="2"/>
                <w:lang w:val="en-US" w:eastAsia="zh-CN"/>
              </w:rPr>
              <w:t>3</w:t>
            </w:r>
            <w:r>
              <w:rPr>
                <w:rFonts w:hint="eastAsia" w:ascii="Times New Roman" w:hAnsi="Times New Roman"/>
                <w:color w:val="auto"/>
                <w:kern w:val="2"/>
              </w:rPr>
              <w:t>、监测结果</w:t>
            </w:r>
          </w:p>
          <w:p w14:paraId="560C12F6">
            <w:pPr>
              <w:spacing w:line="360" w:lineRule="auto"/>
              <w:jc w:val="center"/>
              <w:rPr>
                <w:rFonts w:ascii="Times New Roman" w:hAnsi="Times New Roman"/>
                <w:b/>
                <w:szCs w:val="21"/>
              </w:rPr>
            </w:pPr>
            <w:r>
              <w:rPr>
                <w:rFonts w:ascii="Times New Roman" w:hAnsi="Times New Roman"/>
                <w:b/>
                <w:sz w:val="24"/>
              </w:rPr>
              <w:t>表8-3 拟建项目周围环境X-γ辐射剂量率</w:t>
            </w:r>
          </w:p>
          <w:tbl>
            <w:tblPr>
              <w:tblStyle w:val="23"/>
              <w:tblW w:w="5000"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14"/>
              <w:gridCol w:w="3474"/>
              <w:gridCol w:w="962"/>
              <w:gridCol w:w="962"/>
              <w:gridCol w:w="962"/>
              <w:gridCol w:w="1105"/>
              <w:gridCol w:w="885"/>
            </w:tblGrid>
            <w:tr w14:paraId="280DC13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9" w:type="pct"/>
                  <w:tcBorders>
                    <w:tl2br w:val="nil"/>
                    <w:tr2bl w:val="nil"/>
                  </w:tcBorders>
                  <w:vAlign w:val="center"/>
                </w:tcPr>
                <w:p w14:paraId="353B6757">
                  <w:pPr>
                    <w:jc w:val="center"/>
                    <w:rPr>
                      <w:rFonts w:ascii="Times New Roman" w:hAnsi="Times New Roman"/>
                      <w:b/>
                      <w:szCs w:val="21"/>
                    </w:rPr>
                  </w:pPr>
                  <w:r>
                    <w:rPr>
                      <w:rFonts w:ascii="Times New Roman" w:hAnsi="Times New Roman"/>
                      <w:b/>
                      <w:bCs/>
                      <w:szCs w:val="21"/>
                    </w:rPr>
                    <w:t>测点编号</w:t>
                  </w:r>
                </w:p>
              </w:tc>
              <w:tc>
                <w:tcPr>
                  <w:tcW w:w="1959" w:type="pct"/>
                  <w:tcBorders>
                    <w:tl2br w:val="nil"/>
                    <w:tr2bl w:val="nil"/>
                  </w:tcBorders>
                  <w:vAlign w:val="center"/>
                </w:tcPr>
                <w:p w14:paraId="28D0B117">
                  <w:pPr>
                    <w:jc w:val="center"/>
                    <w:rPr>
                      <w:rFonts w:ascii="Times New Roman" w:hAnsi="Times New Roman"/>
                      <w:b/>
                      <w:szCs w:val="21"/>
                    </w:rPr>
                  </w:pPr>
                  <w:r>
                    <w:rPr>
                      <w:rFonts w:ascii="Times New Roman" w:hAnsi="Times New Roman"/>
                      <w:b/>
                      <w:bCs/>
                      <w:szCs w:val="21"/>
                    </w:rPr>
                    <w:t>点位描述</w:t>
                  </w:r>
                </w:p>
              </w:tc>
              <w:tc>
                <w:tcPr>
                  <w:tcW w:w="542" w:type="pct"/>
                  <w:tcBorders>
                    <w:tl2br w:val="nil"/>
                    <w:tr2bl w:val="nil"/>
                  </w:tcBorders>
                  <w:vAlign w:val="center"/>
                </w:tcPr>
                <w:p w14:paraId="2F96F067">
                  <w:pPr>
                    <w:jc w:val="center"/>
                    <w:rPr>
                      <w:rFonts w:hint="eastAsia" w:ascii="Times New Roman" w:hAnsi="Times New Roman"/>
                      <w:b/>
                      <w:bCs/>
                      <w:szCs w:val="21"/>
                      <w:lang w:val="en-US" w:eastAsia="zh-CN"/>
                    </w:rPr>
                  </w:pPr>
                  <w:r>
                    <w:rPr>
                      <w:rFonts w:hint="eastAsia" w:ascii="Times New Roman" w:hAnsi="Times New Roman"/>
                      <w:b/>
                      <w:bCs/>
                      <w:szCs w:val="21"/>
                      <w:lang w:val="en-US" w:eastAsia="zh-CN"/>
                    </w:rPr>
                    <w:t>监测值</w:t>
                  </w:r>
                </w:p>
                <w:p w14:paraId="210CC55F">
                  <w:pPr>
                    <w:jc w:val="center"/>
                    <w:rPr>
                      <w:rFonts w:ascii="Times New Roman" w:hAnsi="Times New Roman"/>
                      <w:b/>
                      <w:bCs/>
                      <w:szCs w:val="21"/>
                    </w:rPr>
                  </w:pPr>
                  <w:r>
                    <w:rPr>
                      <w:rFonts w:hint="eastAsia" w:ascii="Times New Roman" w:hAnsi="Times New Roman"/>
                      <w:b/>
                      <w:bCs/>
                      <w:szCs w:val="21"/>
                    </w:rPr>
                    <w:t>（</w:t>
                  </w:r>
                  <w:r>
                    <w:rPr>
                      <w:rFonts w:ascii="Times New Roman" w:hAnsi="Times New Roman"/>
                      <w:b/>
                      <w:bCs/>
                      <w:szCs w:val="21"/>
                    </w:rPr>
                    <w:t>μ</w:t>
                  </w:r>
                  <w:r>
                    <w:rPr>
                      <w:rFonts w:hint="eastAsia" w:ascii="Times New Roman" w:hAnsi="Times New Roman"/>
                      <w:b/>
                      <w:bCs/>
                      <w:szCs w:val="21"/>
                    </w:rPr>
                    <w:t>Sv</w:t>
                  </w:r>
                  <w:r>
                    <w:rPr>
                      <w:rFonts w:hint="eastAsia" w:ascii="Times New Roman" w:hAnsi="Times New Roman"/>
                      <w:b/>
                      <w:bCs/>
                      <w:szCs w:val="21"/>
                      <w:lang w:val="en-US" w:eastAsia="zh-CN"/>
                    </w:rPr>
                    <w:t>/</w:t>
                  </w:r>
                  <w:r>
                    <w:rPr>
                      <w:rFonts w:hint="eastAsia" w:ascii="Times New Roman" w:hAnsi="Times New Roman"/>
                      <w:b/>
                      <w:bCs/>
                      <w:szCs w:val="21"/>
                    </w:rPr>
                    <w:t>h</w:t>
                  </w:r>
                  <w:r>
                    <w:rPr>
                      <w:rFonts w:hint="eastAsia" w:ascii="Times New Roman" w:hAnsi="Times New Roman"/>
                      <w:b/>
                      <w:bCs/>
                      <w:szCs w:val="21"/>
                      <w:lang w:eastAsia="zh-CN"/>
                    </w:rPr>
                    <w:t>）</w:t>
                  </w:r>
                </w:p>
              </w:tc>
              <w:tc>
                <w:tcPr>
                  <w:tcW w:w="542" w:type="pct"/>
                  <w:tcBorders>
                    <w:tl2br w:val="nil"/>
                    <w:tr2bl w:val="nil"/>
                  </w:tcBorders>
                  <w:vAlign w:val="center"/>
                </w:tcPr>
                <w:p w14:paraId="6A787FB0">
                  <w:pPr>
                    <w:jc w:val="center"/>
                    <w:rPr>
                      <w:rFonts w:hint="eastAsia" w:ascii="Times New Roman" w:hAnsi="Times New Roman"/>
                      <w:b/>
                      <w:bCs/>
                      <w:szCs w:val="21"/>
                      <w:lang w:val="en-US" w:eastAsia="zh-CN"/>
                    </w:rPr>
                  </w:pPr>
                  <w:r>
                    <w:rPr>
                      <w:rFonts w:hint="eastAsia" w:ascii="Times New Roman" w:hAnsi="Times New Roman"/>
                      <w:b/>
                      <w:bCs/>
                      <w:szCs w:val="21"/>
                      <w:lang w:val="en-US" w:eastAsia="zh-CN"/>
                    </w:rPr>
                    <w:t>标准差</w:t>
                  </w:r>
                </w:p>
                <w:p w14:paraId="14126B70">
                  <w:pPr>
                    <w:jc w:val="center"/>
                    <w:rPr>
                      <w:rFonts w:ascii="Times New Roman" w:hAnsi="Times New Roman"/>
                      <w:b/>
                      <w:bCs/>
                      <w:szCs w:val="21"/>
                    </w:rPr>
                  </w:pPr>
                  <w:r>
                    <w:rPr>
                      <w:rFonts w:hint="eastAsia" w:ascii="Times New Roman" w:hAnsi="Times New Roman"/>
                      <w:b/>
                      <w:bCs/>
                      <w:szCs w:val="21"/>
                    </w:rPr>
                    <w:t>（</w:t>
                  </w:r>
                  <w:r>
                    <w:rPr>
                      <w:rFonts w:ascii="Times New Roman" w:hAnsi="Times New Roman"/>
                      <w:b/>
                      <w:bCs/>
                      <w:szCs w:val="21"/>
                    </w:rPr>
                    <w:t>μ</w:t>
                  </w:r>
                  <w:r>
                    <w:rPr>
                      <w:rFonts w:hint="eastAsia" w:ascii="Times New Roman" w:hAnsi="Times New Roman"/>
                      <w:b/>
                      <w:bCs/>
                      <w:szCs w:val="21"/>
                    </w:rPr>
                    <w:t>Sv</w:t>
                  </w:r>
                  <w:r>
                    <w:rPr>
                      <w:rFonts w:hint="eastAsia" w:ascii="Times New Roman" w:hAnsi="Times New Roman"/>
                      <w:b/>
                      <w:bCs/>
                      <w:szCs w:val="21"/>
                      <w:lang w:val="en-US" w:eastAsia="zh-CN"/>
                    </w:rPr>
                    <w:t>/</w:t>
                  </w:r>
                  <w:r>
                    <w:rPr>
                      <w:rFonts w:hint="eastAsia" w:ascii="Times New Roman" w:hAnsi="Times New Roman"/>
                      <w:b/>
                      <w:bCs/>
                      <w:szCs w:val="21"/>
                    </w:rPr>
                    <w:t>h</w:t>
                  </w:r>
                  <w:r>
                    <w:rPr>
                      <w:rFonts w:hint="eastAsia" w:ascii="Times New Roman" w:hAnsi="Times New Roman"/>
                      <w:b/>
                      <w:bCs/>
                      <w:szCs w:val="21"/>
                      <w:lang w:eastAsia="zh-CN"/>
                    </w:rPr>
                    <w:t>）</w:t>
                  </w:r>
                </w:p>
              </w:tc>
              <w:tc>
                <w:tcPr>
                  <w:tcW w:w="542" w:type="pct"/>
                  <w:tcBorders>
                    <w:tl2br w:val="nil"/>
                    <w:tr2bl w:val="nil"/>
                  </w:tcBorders>
                  <w:vAlign w:val="center"/>
                </w:tcPr>
                <w:p w14:paraId="7A33E49F">
                  <w:pPr>
                    <w:jc w:val="center"/>
                    <w:rPr>
                      <w:rFonts w:ascii="Times New Roman" w:hAnsi="Times New Roman"/>
                      <w:b/>
                      <w:bCs/>
                      <w:szCs w:val="21"/>
                    </w:rPr>
                  </w:pPr>
                  <w:r>
                    <w:rPr>
                      <w:rFonts w:ascii="Times New Roman" w:hAnsi="Times New Roman"/>
                      <w:b/>
                      <w:bCs/>
                      <w:szCs w:val="21"/>
                    </w:rPr>
                    <w:t>监测值</w:t>
                  </w:r>
                </w:p>
                <w:p w14:paraId="14D5F1FE">
                  <w:pPr>
                    <w:jc w:val="center"/>
                    <w:rPr>
                      <w:rFonts w:ascii="Times New Roman" w:hAnsi="Times New Roman"/>
                      <w:b/>
                      <w:szCs w:val="21"/>
                    </w:rPr>
                  </w:pPr>
                  <w:r>
                    <w:rPr>
                      <w:rFonts w:ascii="Times New Roman" w:hAnsi="Times New Roman"/>
                      <w:b/>
                      <w:bCs/>
                      <w:szCs w:val="21"/>
                    </w:rPr>
                    <w:t>（μGy/h）</w:t>
                  </w:r>
                </w:p>
              </w:tc>
              <w:tc>
                <w:tcPr>
                  <w:tcW w:w="623" w:type="pct"/>
                  <w:tcBorders>
                    <w:tl2br w:val="nil"/>
                    <w:tr2bl w:val="nil"/>
                  </w:tcBorders>
                  <w:vAlign w:val="center"/>
                </w:tcPr>
                <w:p w14:paraId="06FD397D">
                  <w:pPr>
                    <w:jc w:val="center"/>
                    <w:rPr>
                      <w:rFonts w:ascii="Times New Roman" w:hAnsi="Times New Roman"/>
                      <w:b/>
                      <w:bCs/>
                      <w:szCs w:val="21"/>
                    </w:rPr>
                  </w:pPr>
                  <w:r>
                    <w:rPr>
                      <w:rFonts w:ascii="Times New Roman" w:hAnsi="Times New Roman"/>
                      <w:b/>
                      <w:bCs/>
                      <w:szCs w:val="21"/>
                    </w:rPr>
                    <w:t>标准差</w:t>
                  </w:r>
                </w:p>
                <w:p w14:paraId="42732C10">
                  <w:pPr>
                    <w:pStyle w:val="32"/>
                    <w:jc w:val="center"/>
                    <w:rPr>
                      <w:rFonts w:ascii="Times New Roman" w:hAnsi="Times New Roman" w:cs="Times New Roman"/>
                      <w:sz w:val="21"/>
                      <w:szCs w:val="21"/>
                    </w:rPr>
                  </w:pPr>
                  <w:r>
                    <w:rPr>
                      <w:rFonts w:ascii="Times New Roman" w:hAnsi="Times New Roman" w:cs="Times New Roman"/>
                      <w:b/>
                      <w:bCs/>
                      <w:color w:val="auto"/>
                      <w:sz w:val="21"/>
                      <w:szCs w:val="21"/>
                    </w:rPr>
                    <w:t>（μGy/h）</w:t>
                  </w:r>
                </w:p>
              </w:tc>
              <w:tc>
                <w:tcPr>
                  <w:tcW w:w="499" w:type="pct"/>
                  <w:tcBorders>
                    <w:tl2br w:val="nil"/>
                    <w:tr2bl w:val="nil"/>
                  </w:tcBorders>
                  <w:vAlign w:val="center"/>
                </w:tcPr>
                <w:p w14:paraId="289122A3">
                  <w:pPr>
                    <w:jc w:val="center"/>
                    <w:rPr>
                      <w:rFonts w:ascii="Times New Roman" w:hAnsi="Times New Roman"/>
                      <w:b/>
                      <w:bCs/>
                      <w:szCs w:val="21"/>
                    </w:rPr>
                  </w:pPr>
                  <w:r>
                    <w:rPr>
                      <w:rFonts w:ascii="Times New Roman" w:hAnsi="Times New Roman"/>
                      <w:b/>
                      <w:bCs/>
                      <w:szCs w:val="21"/>
                    </w:rPr>
                    <w:t>备注</w:t>
                  </w:r>
                </w:p>
              </w:tc>
            </w:tr>
            <w:tr w14:paraId="10FD273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3795C10D">
                  <w:pPr>
                    <w:pStyle w:val="52"/>
                    <w:bidi w:val="0"/>
                  </w:pPr>
                  <w:r>
                    <w:rPr>
                      <w:rFonts w:hint="default"/>
                    </w:rPr>
                    <w:t>1</w:t>
                  </w:r>
                </w:p>
              </w:tc>
              <w:tc>
                <w:tcPr>
                  <w:tcW w:w="3474" w:type="dxa"/>
                  <w:tcBorders>
                    <w:tl2br w:val="nil"/>
                    <w:tr2bl w:val="nil"/>
                  </w:tcBorders>
                  <w:vAlign w:val="center"/>
                </w:tcPr>
                <w:p w14:paraId="4C6E1AC7">
                  <w:pPr>
                    <w:pStyle w:val="52"/>
                    <w:bidi w:val="0"/>
                    <w:rPr>
                      <w:rFonts w:hint="default"/>
                      <w:lang w:val="en-US"/>
                    </w:rPr>
                  </w:pPr>
                  <w:r>
                    <w:rPr>
                      <w:rFonts w:hint="default"/>
                      <w:lang w:val="en-US" w:eastAsia="zh-CN"/>
                    </w:rPr>
                    <w:t>拟建DSA</w:t>
                  </w:r>
                  <w:r>
                    <w:rPr>
                      <w:rFonts w:hint="eastAsia"/>
                      <w:lang w:val="en-US" w:eastAsia="zh-CN"/>
                    </w:rPr>
                    <w:t>机房</w:t>
                  </w:r>
                </w:p>
              </w:tc>
              <w:tc>
                <w:tcPr>
                  <w:tcW w:w="542" w:type="pct"/>
                  <w:tcBorders>
                    <w:tl2br w:val="nil"/>
                    <w:tr2bl w:val="nil"/>
                  </w:tcBorders>
                  <w:vAlign w:val="center"/>
                </w:tcPr>
                <w:p w14:paraId="00CD66A6">
                  <w:pPr>
                    <w:pStyle w:val="52"/>
                    <w:bidi w:val="0"/>
                    <w:rPr>
                      <w:rFonts w:hint="default"/>
                      <w:lang w:val="en-US" w:eastAsia="zh-CN"/>
                    </w:rPr>
                  </w:pPr>
                  <w:r>
                    <w:rPr>
                      <w:rFonts w:hint="eastAsia"/>
                      <w:lang w:val="en-US" w:eastAsia="zh-CN"/>
                    </w:rPr>
                    <w:t>0.084</w:t>
                  </w:r>
                </w:p>
              </w:tc>
              <w:tc>
                <w:tcPr>
                  <w:tcW w:w="542" w:type="pct"/>
                  <w:tcBorders>
                    <w:tl2br w:val="nil"/>
                    <w:tr2bl w:val="nil"/>
                  </w:tcBorders>
                  <w:vAlign w:val="center"/>
                </w:tcPr>
                <w:p w14:paraId="405282A1">
                  <w:pPr>
                    <w:pStyle w:val="52"/>
                    <w:bidi w:val="0"/>
                    <w:rPr>
                      <w:rFonts w:hint="default"/>
                      <w:lang w:val="en-US" w:eastAsia="zh-CN"/>
                    </w:rPr>
                  </w:pPr>
                  <w:r>
                    <w:rPr>
                      <w:rFonts w:hint="eastAsia"/>
                      <w:lang w:val="en-US" w:eastAsia="zh-CN"/>
                    </w:rPr>
                    <w:t>0.003</w:t>
                  </w:r>
                </w:p>
              </w:tc>
              <w:tc>
                <w:tcPr>
                  <w:tcW w:w="542" w:type="pct"/>
                  <w:tcBorders>
                    <w:tl2br w:val="nil"/>
                    <w:tr2bl w:val="nil"/>
                  </w:tcBorders>
                  <w:vAlign w:val="center"/>
                </w:tcPr>
                <w:p w14:paraId="25CA6D1F">
                  <w:pPr>
                    <w:pStyle w:val="52"/>
                    <w:bidi w:val="0"/>
                    <w:rPr>
                      <w:rFonts w:hint="default" w:eastAsia="宋体"/>
                      <w:lang w:val="en-US" w:eastAsia="zh-CN"/>
                    </w:rPr>
                  </w:pPr>
                  <w:r>
                    <w:rPr>
                      <w:rFonts w:hint="eastAsia"/>
                      <w:lang w:val="en-US" w:eastAsia="zh-CN"/>
                    </w:rPr>
                    <w:t>0.101</w:t>
                  </w:r>
                </w:p>
              </w:tc>
              <w:tc>
                <w:tcPr>
                  <w:tcW w:w="1105" w:type="dxa"/>
                  <w:tcBorders>
                    <w:tl2br w:val="nil"/>
                    <w:tr2bl w:val="nil"/>
                  </w:tcBorders>
                  <w:vAlign w:val="center"/>
                </w:tcPr>
                <w:p w14:paraId="22BD9C50">
                  <w:pPr>
                    <w:pStyle w:val="52"/>
                    <w:bidi w:val="0"/>
                    <w:rPr>
                      <w:rFonts w:hint="default" w:eastAsia="宋体"/>
                      <w:lang w:val="en-US" w:eastAsia="zh-CN"/>
                    </w:rPr>
                  </w:pPr>
                  <w:r>
                    <w:rPr>
                      <w:rFonts w:hint="eastAsia"/>
                      <w:lang w:val="en-US" w:eastAsia="zh-CN"/>
                    </w:rPr>
                    <w:t>0.003</w:t>
                  </w:r>
                </w:p>
              </w:tc>
              <w:tc>
                <w:tcPr>
                  <w:tcW w:w="499" w:type="pct"/>
                  <w:tcBorders>
                    <w:tl2br w:val="nil"/>
                    <w:tr2bl w:val="nil"/>
                  </w:tcBorders>
                  <w:vAlign w:val="center"/>
                </w:tcPr>
                <w:p w14:paraId="5A871A7B">
                  <w:pPr>
                    <w:pStyle w:val="52"/>
                    <w:bidi w:val="0"/>
                  </w:pPr>
                  <w:r>
                    <w:t>室内</w:t>
                  </w:r>
                </w:p>
              </w:tc>
            </w:tr>
            <w:tr w14:paraId="52A06D2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22C79F35">
                  <w:pPr>
                    <w:pStyle w:val="52"/>
                    <w:bidi w:val="0"/>
                  </w:pPr>
                  <w:r>
                    <w:rPr>
                      <w:rFonts w:hint="eastAsia"/>
                      <w:lang w:val="en-US" w:eastAsia="zh-CN"/>
                    </w:rPr>
                    <w:t>2</w:t>
                  </w:r>
                </w:p>
              </w:tc>
              <w:tc>
                <w:tcPr>
                  <w:tcW w:w="3474" w:type="dxa"/>
                  <w:tcBorders>
                    <w:tl2br w:val="nil"/>
                    <w:tr2bl w:val="nil"/>
                  </w:tcBorders>
                  <w:vAlign w:val="center"/>
                </w:tcPr>
                <w:p w14:paraId="67558FB7">
                  <w:pPr>
                    <w:pStyle w:val="52"/>
                    <w:bidi w:val="0"/>
                  </w:pPr>
                  <w:r>
                    <w:rPr>
                      <w:rFonts w:hint="default"/>
                      <w:lang w:val="en-US" w:eastAsia="zh-CN"/>
                    </w:rPr>
                    <w:t>正上方</w:t>
                  </w:r>
                  <w:r>
                    <w:rPr>
                      <w:rFonts w:hint="eastAsia"/>
                      <w:lang w:val="en-US" w:eastAsia="zh-CN"/>
                    </w:rPr>
                    <w:t>二楼值班室</w:t>
                  </w:r>
                </w:p>
              </w:tc>
              <w:tc>
                <w:tcPr>
                  <w:tcW w:w="542" w:type="pct"/>
                  <w:tcBorders>
                    <w:tl2br w:val="nil"/>
                    <w:tr2bl w:val="nil"/>
                  </w:tcBorders>
                  <w:vAlign w:val="center"/>
                </w:tcPr>
                <w:p w14:paraId="311C76D8">
                  <w:pPr>
                    <w:pStyle w:val="52"/>
                    <w:bidi w:val="0"/>
                    <w:rPr>
                      <w:rFonts w:hint="default"/>
                      <w:lang w:val="en-US" w:eastAsia="zh-CN"/>
                    </w:rPr>
                  </w:pPr>
                  <w:bookmarkStart w:id="23" w:name="86"/>
                  <w:bookmarkEnd w:id="23"/>
                  <w:r>
                    <w:rPr>
                      <w:rFonts w:hint="eastAsia"/>
                      <w:lang w:val="en-US" w:eastAsia="zh-CN"/>
                    </w:rPr>
                    <w:t>0.088</w:t>
                  </w:r>
                </w:p>
              </w:tc>
              <w:tc>
                <w:tcPr>
                  <w:tcW w:w="542" w:type="pct"/>
                  <w:tcBorders>
                    <w:tl2br w:val="nil"/>
                    <w:tr2bl w:val="nil"/>
                  </w:tcBorders>
                  <w:vAlign w:val="center"/>
                </w:tcPr>
                <w:p w14:paraId="136E1244">
                  <w:pPr>
                    <w:pStyle w:val="52"/>
                    <w:bidi w:val="0"/>
                    <w:rPr>
                      <w:rFonts w:hint="default"/>
                      <w:lang w:val="en-US" w:eastAsia="zh-CN"/>
                    </w:rPr>
                  </w:pPr>
                  <w:r>
                    <w:rPr>
                      <w:rFonts w:hint="eastAsia"/>
                      <w:lang w:val="en-US" w:eastAsia="zh-CN"/>
                    </w:rPr>
                    <w:t>0.002</w:t>
                  </w:r>
                </w:p>
              </w:tc>
              <w:tc>
                <w:tcPr>
                  <w:tcW w:w="542" w:type="pct"/>
                  <w:tcBorders>
                    <w:tl2br w:val="nil"/>
                    <w:tr2bl w:val="nil"/>
                  </w:tcBorders>
                  <w:vAlign w:val="center"/>
                </w:tcPr>
                <w:p w14:paraId="3BCC65F4">
                  <w:pPr>
                    <w:pStyle w:val="52"/>
                    <w:bidi w:val="0"/>
                    <w:rPr>
                      <w:rFonts w:hint="default" w:eastAsia="宋体"/>
                      <w:lang w:val="en-US" w:eastAsia="zh-CN"/>
                    </w:rPr>
                  </w:pPr>
                  <w:r>
                    <w:rPr>
                      <w:rFonts w:hint="eastAsia"/>
                      <w:lang w:val="en-US" w:eastAsia="zh-CN"/>
                    </w:rPr>
                    <w:t>0.106</w:t>
                  </w:r>
                </w:p>
              </w:tc>
              <w:tc>
                <w:tcPr>
                  <w:tcW w:w="1105" w:type="dxa"/>
                  <w:tcBorders>
                    <w:tl2br w:val="nil"/>
                    <w:tr2bl w:val="nil"/>
                  </w:tcBorders>
                  <w:vAlign w:val="center"/>
                </w:tcPr>
                <w:p w14:paraId="1BF8DC74">
                  <w:pPr>
                    <w:pStyle w:val="52"/>
                    <w:bidi w:val="0"/>
                  </w:pPr>
                  <w:r>
                    <w:rPr>
                      <w:rFonts w:hint="eastAsia"/>
                      <w:lang w:val="en-US" w:eastAsia="zh-CN"/>
                    </w:rPr>
                    <w:t>0.002</w:t>
                  </w:r>
                </w:p>
              </w:tc>
              <w:tc>
                <w:tcPr>
                  <w:tcW w:w="499" w:type="pct"/>
                  <w:tcBorders>
                    <w:tl2br w:val="nil"/>
                    <w:tr2bl w:val="nil"/>
                  </w:tcBorders>
                  <w:vAlign w:val="center"/>
                </w:tcPr>
                <w:p w14:paraId="4D056465">
                  <w:pPr>
                    <w:pStyle w:val="52"/>
                    <w:bidi w:val="0"/>
                  </w:pPr>
                  <w:r>
                    <w:t>室内</w:t>
                  </w:r>
                </w:p>
              </w:tc>
            </w:tr>
            <w:tr w14:paraId="352FC2D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3E0B96F6">
                  <w:pPr>
                    <w:pStyle w:val="52"/>
                    <w:bidi w:val="0"/>
                  </w:pPr>
                  <w:r>
                    <w:rPr>
                      <w:rFonts w:hint="eastAsia"/>
                      <w:lang w:val="en-US" w:eastAsia="zh-CN"/>
                    </w:rPr>
                    <w:t>3</w:t>
                  </w:r>
                </w:p>
              </w:tc>
              <w:tc>
                <w:tcPr>
                  <w:tcW w:w="3474" w:type="dxa"/>
                  <w:tcBorders>
                    <w:tl2br w:val="nil"/>
                    <w:tr2bl w:val="nil"/>
                  </w:tcBorders>
                  <w:vAlign w:val="center"/>
                </w:tcPr>
                <w:p w14:paraId="665E377A">
                  <w:pPr>
                    <w:pStyle w:val="52"/>
                    <w:bidi w:val="0"/>
                  </w:pPr>
                  <w:r>
                    <w:rPr>
                      <w:rFonts w:hint="default"/>
                      <w:lang w:val="en-US" w:eastAsia="zh-CN"/>
                    </w:rPr>
                    <w:t>拟建DSA</w:t>
                  </w:r>
                  <w:r>
                    <w:rPr>
                      <w:rFonts w:hint="eastAsia"/>
                      <w:lang w:val="en-US" w:eastAsia="zh-CN"/>
                    </w:rPr>
                    <w:t>机房西北</w:t>
                  </w:r>
                  <w:r>
                    <w:rPr>
                      <w:rFonts w:hint="default"/>
                      <w:lang w:val="en-US" w:eastAsia="zh-CN"/>
                    </w:rPr>
                    <w:t>墙外</w:t>
                  </w:r>
                  <w:r>
                    <w:rPr>
                      <w:rFonts w:hint="default"/>
                    </w:rPr>
                    <w:t>表面30cm处</w:t>
                  </w:r>
                  <w:r>
                    <w:rPr>
                      <w:rFonts w:hint="eastAsia"/>
                      <w:lang w:eastAsia="zh-CN"/>
                    </w:rPr>
                    <w:t>（</w:t>
                  </w:r>
                  <w:r>
                    <w:rPr>
                      <w:rFonts w:hint="eastAsia"/>
                      <w:lang w:val="en-US" w:eastAsia="zh-CN"/>
                    </w:rPr>
                    <w:t>病人准备间</w:t>
                  </w:r>
                  <w:r>
                    <w:rPr>
                      <w:rFonts w:hint="eastAsia"/>
                      <w:lang w:eastAsia="zh-CN"/>
                    </w:rPr>
                    <w:t>）</w:t>
                  </w:r>
                </w:p>
              </w:tc>
              <w:tc>
                <w:tcPr>
                  <w:tcW w:w="542" w:type="pct"/>
                  <w:tcBorders>
                    <w:tl2br w:val="nil"/>
                    <w:tr2bl w:val="nil"/>
                  </w:tcBorders>
                  <w:vAlign w:val="center"/>
                </w:tcPr>
                <w:p w14:paraId="334A1FB3">
                  <w:pPr>
                    <w:pStyle w:val="52"/>
                    <w:bidi w:val="0"/>
                    <w:rPr>
                      <w:rFonts w:hint="default"/>
                      <w:lang w:val="en-US" w:eastAsia="zh-CN"/>
                    </w:rPr>
                  </w:pPr>
                  <w:r>
                    <w:rPr>
                      <w:rFonts w:hint="eastAsia"/>
                      <w:lang w:val="en-US" w:eastAsia="zh-CN"/>
                    </w:rPr>
                    <w:t>0.081</w:t>
                  </w:r>
                </w:p>
              </w:tc>
              <w:tc>
                <w:tcPr>
                  <w:tcW w:w="542" w:type="pct"/>
                  <w:tcBorders>
                    <w:tl2br w:val="nil"/>
                    <w:tr2bl w:val="nil"/>
                  </w:tcBorders>
                  <w:vAlign w:val="center"/>
                </w:tcPr>
                <w:p w14:paraId="24226650">
                  <w:pPr>
                    <w:pStyle w:val="52"/>
                    <w:bidi w:val="0"/>
                    <w:rPr>
                      <w:rFonts w:hint="default"/>
                      <w:lang w:val="en-US" w:eastAsia="zh-CN"/>
                    </w:rPr>
                  </w:pPr>
                  <w:r>
                    <w:rPr>
                      <w:rFonts w:hint="eastAsia"/>
                      <w:lang w:val="en-US" w:eastAsia="zh-CN"/>
                    </w:rPr>
                    <w:t>0.002</w:t>
                  </w:r>
                </w:p>
              </w:tc>
              <w:tc>
                <w:tcPr>
                  <w:tcW w:w="542" w:type="pct"/>
                  <w:tcBorders>
                    <w:tl2br w:val="nil"/>
                    <w:tr2bl w:val="nil"/>
                  </w:tcBorders>
                  <w:vAlign w:val="center"/>
                </w:tcPr>
                <w:p w14:paraId="1979AB8B">
                  <w:pPr>
                    <w:pStyle w:val="52"/>
                    <w:bidi w:val="0"/>
                    <w:rPr>
                      <w:rFonts w:hint="default" w:eastAsia="宋体"/>
                      <w:lang w:val="en-US" w:eastAsia="zh-CN"/>
                    </w:rPr>
                  </w:pPr>
                  <w:r>
                    <w:rPr>
                      <w:rFonts w:hint="eastAsia"/>
                      <w:lang w:val="en-US" w:eastAsia="zh-CN"/>
                    </w:rPr>
                    <w:t>0.097</w:t>
                  </w:r>
                </w:p>
              </w:tc>
              <w:tc>
                <w:tcPr>
                  <w:tcW w:w="1105" w:type="dxa"/>
                  <w:tcBorders>
                    <w:tl2br w:val="nil"/>
                    <w:tr2bl w:val="nil"/>
                  </w:tcBorders>
                  <w:vAlign w:val="center"/>
                </w:tcPr>
                <w:p w14:paraId="1B4EC59B">
                  <w:pPr>
                    <w:pStyle w:val="52"/>
                    <w:bidi w:val="0"/>
                  </w:pPr>
                  <w:r>
                    <w:rPr>
                      <w:rFonts w:hint="eastAsia"/>
                      <w:lang w:val="en-US" w:eastAsia="zh-CN"/>
                    </w:rPr>
                    <w:t>0.002</w:t>
                  </w:r>
                </w:p>
              </w:tc>
              <w:tc>
                <w:tcPr>
                  <w:tcW w:w="499" w:type="pct"/>
                  <w:tcBorders>
                    <w:tl2br w:val="nil"/>
                    <w:tr2bl w:val="nil"/>
                  </w:tcBorders>
                  <w:vAlign w:val="center"/>
                </w:tcPr>
                <w:p w14:paraId="22ED3A05">
                  <w:pPr>
                    <w:pStyle w:val="52"/>
                    <w:bidi w:val="0"/>
                  </w:pPr>
                  <w:r>
                    <w:t>室内</w:t>
                  </w:r>
                </w:p>
              </w:tc>
            </w:tr>
            <w:tr w14:paraId="4262FF4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69BA5D59">
                  <w:pPr>
                    <w:pStyle w:val="52"/>
                    <w:bidi w:val="0"/>
                  </w:pPr>
                  <w:r>
                    <w:rPr>
                      <w:rFonts w:hint="eastAsia"/>
                      <w:lang w:val="en-US" w:eastAsia="zh-CN"/>
                    </w:rPr>
                    <w:t>4</w:t>
                  </w:r>
                </w:p>
              </w:tc>
              <w:tc>
                <w:tcPr>
                  <w:tcW w:w="3474" w:type="dxa"/>
                  <w:tcBorders>
                    <w:tl2br w:val="nil"/>
                    <w:tr2bl w:val="nil"/>
                  </w:tcBorders>
                  <w:vAlign w:val="center"/>
                </w:tcPr>
                <w:p w14:paraId="1DA15C01">
                  <w:pPr>
                    <w:pStyle w:val="52"/>
                    <w:bidi w:val="0"/>
                  </w:pPr>
                  <w:r>
                    <w:rPr>
                      <w:rFonts w:hint="default"/>
                      <w:lang w:val="en-US" w:eastAsia="zh-CN"/>
                    </w:rPr>
                    <w:t>拟建DSA</w:t>
                  </w:r>
                  <w:r>
                    <w:rPr>
                      <w:rFonts w:hint="eastAsia"/>
                      <w:lang w:val="en-US" w:eastAsia="zh-CN"/>
                    </w:rPr>
                    <w:t>机房西南</w:t>
                  </w:r>
                  <w:r>
                    <w:rPr>
                      <w:rFonts w:hint="default"/>
                      <w:lang w:val="en-US" w:eastAsia="zh-CN"/>
                    </w:rPr>
                    <w:t>墙外</w:t>
                  </w:r>
                  <w:r>
                    <w:rPr>
                      <w:rFonts w:hint="default"/>
                    </w:rPr>
                    <w:t>表面30cm处</w:t>
                  </w:r>
                </w:p>
              </w:tc>
              <w:tc>
                <w:tcPr>
                  <w:tcW w:w="542" w:type="pct"/>
                  <w:tcBorders>
                    <w:tl2br w:val="nil"/>
                    <w:tr2bl w:val="nil"/>
                  </w:tcBorders>
                  <w:vAlign w:val="center"/>
                </w:tcPr>
                <w:p w14:paraId="695BA765">
                  <w:pPr>
                    <w:pStyle w:val="52"/>
                    <w:bidi w:val="0"/>
                    <w:rPr>
                      <w:rFonts w:hint="default"/>
                      <w:lang w:val="en-US" w:eastAsia="zh-CN"/>
                    </w:rPr>
                  </w:pPr>
                  <w:r>
                    <w:rPr>
                      <w:rFonts w:hint="eastAsia"/>
                      <w:lang w:val="en-US" w:eastAsia="zh-CN"/>
                    </w:rPr>
                    <w:t>0.078</w:t>
                  </w:r>
                </w:p>
              </w:tc>
              <w:tc>
                <w:tcPr>
                  <w:tcW w:w="542" w:type="pct"/>
                  <w:tcBorders>
                    <w:tl2br w:val="nil"/>
                    <w:tr2bl w:val="nil"/>
                  </w:tcBorders>
                  <w:vAlign w:val="center"/>
                </w:tcPr>
                <w:p w14:paraId="585D4B19">
                  <w:pPr>
                    <w:pStyle w:val="52"/>
                    <w:bidi w:val="0"/>
                    <w:rPr>
                      <w:rFonts w:hint="default"/>
                      <w:lang w:val="en-US" w:eastAsia="zh-CN"/>
                    </w:rPr>
                  </w:pPr>
                  <w:r>
                    <w:rPr>
                      <w:rFonts w:hint="eastAsia"/>
                      <w:lang w:val="en-US" w:eastAsia="zh-CN"/>
                    </w:rPr>
                    <w:t>0.001</w:t>
                  </w:r>
                </w:p>
              </w:tc>
              <w:tc>
                <w:tcPr>
                  <w:tcW w:w="542" w:type="pct"/>
                  <w:tcBorders>
                    <w:tl2br w:val="nil"/>
                    <w:tr2bl w:val="nil"/>
                  </w:tcBorders>
                  <w:vAlign w:val="center"/>
                </w:tcPr>
                <w:p w14:paraId="60511D24">
                  <w:pPr>
                    <w:pStyle w:val="52"/>
                    <w:bidi w:val="0"/>
                    <w:rPr>
                      <w:rFonts w:hint="default" w:eastAsia="宋体"/>
                      <w:lang w:val="en-US" w:eastAsia="zh-CN"/>
                    </w:rPr>
                  </w:pPr>
                  <w:r>
                    <w:rPr>
                      <w:rFonts w:hint="eastAsia"/>
                      <w:lang w:val="en-US" w:eastAsia="zh-CN"/>
                    </w:rPr>
                    <w:t>0.094</w:t>
                  </w:r>
                </w:p>
              </w:tc>
              <w:tc>
                <w:tcPr>
                  <w:tcW w:w="1105" w:type="dxa"/>
                  <w:tcBorders>
                    <w:tl2br w:val="nil"/>
                    <w:tr2bl w:val="nil"/>
                  </w:tcBorders>
                  <w:vAlign w:val="center"/>
                </w:tcPr>
                <w:p w14:paraId="4D2C7324">
                  <w:pPr>
                    <w:pStyle w:val="52"/>
                    <w:bidi w:val="0"/>
                  </w:pPr>
                  <w:r>
                    <w:rPr>
                      <w:rFonts w:hint="eastAsia"/>
                      <w:lang w:val="en-US" w:eastAsia="zh-CN"/>
                    </w:rPr>
                    <w:t>0.001</w:t>
                  </w:r>
                </w:p>
              </w:tc>
              <w:tc>
                <w:tcPr>
                  <w:tcW w:w="499" w:type="pct"/>
                  <w:tcBorders>
                    <w:tl2br w:val="nil"/>
                    <w:tr2bl w:val="nil"/>
                  </w:tcBorders>
                  <w:vAlign w:val="center"/>
                </w:tcPr>
                <w:p w14:paraId="11977EE3">
                  <w:pPr>
                    <w:pStyle w:val="52"/>
                    <w:bidi w:val="0"/>
                  </w:pPr>
                  <w:r>
                    <w:t>室内</w:t>
                  </w:r>
                </w:p>
              </w:tc>
            </w:tr>
            <w:tr w14:paraId="1F58A86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2C9F9A10">
                  <w:pPr>
                    <w:pStyle w:val="52"/>
                    <w:bidi w:val="0"/>
                  </w:pPr>
                  <w:r>
                    <w:rPr>
                      <w:rFonts w:hint="eastAsia"/>
                      <w:lang w:val="en-US" w:eastAsia="zh-CN"/>
                    </w:rPr>
                    <w:t>5</w:t>
                  </w:r>
                </w:p>
              </w:tc>
              <w:tc>
                <w:tcPr>
                  <w:tcW w:w="3474" w:type="dxa"/>
                  <w:tcBorders>
                    <w:tl2br w:val="nil"/>
                    <w:tr2bl w:val="nil"/>
                  </w:tcBorders>
                  <w:vAlign w:val="center"/>
                </w:tcPr>
                <w:p w14:paraId="0E0A4007">
                  <w:pPr>
                    <w:pStyle w:val="52"/>
                    <w:bidi w:val="0"/>
                  </w:pPr>
                  <w:r>
                    <w:rPr>
                      <w:rFonts w:hint="default"/>
                      <w:lang w:val="en-US" w:eastAsia="zh-CN"/>
                    </w:rPr>
                    <w:t>拟建DSA</w:t>
                  </w:r>
                  <w:r>
                    <w:rPr>
                      <w:rFonts w:hint="eastAsia"/>
                      <w:lang w:val="en-US" w:eastAsia="zh-CN"/>
                    </w:rPr>
                    <w:t>机房东南</w:t>
                  </w:r>
                  <w:r>
                    <w:rPr>
                      <w:rFonts w:hint="default"/>
                      <w:lang w:val="en-US" w:eastAsia="zh-CN"/>
                    </w:rPr>
                    <w:t>墙外</w:t>
                  </w:r>
                  <w:r>
                    <w:rPr>
                      <w:rFonts w:hint="default"/>
                    </w:rPr>
                    <w:t>表面30cm处</w:t>
                  </w:r>
                  <w:r>
                    <w:rPr>
                      <w:rFonts w:hint="eastAsia"/>
                      <w:lang w:eastAsia="zh-CN"/>
                    </w:rPr>
                    <w:t>（</w:t>
                  </w:r>
                  <w:r>
                    <w:rPr>
                      <w:rFonts w:hint="eastAsia"/>
                      <w:lang w:val="en-US" w:eastAsia="zh-CN"/>
                    </w:rPr>
                    <w:t>控制室</w:t>
                  </w:r>
                  <w:r>
                    <w:rPr>
                      <w:rFonts w:hint="eastAsia"/>
                      <w:lang w:eastAsia="zh-CN"/>
                    </w:rPr>
                    <w:t>）</w:t>
                  </w:r>
                </w:p>
              </w:tc>
              <w:tc>
                <w:tcPr>
                  <w:tcW w:w="542" w:type="pct"/>
                  <w:tcBorders>
                    <w:tl2br w:val="nil"/>
                    <w:tr2bl w:val="nil"/>
                  </w:tcBorders>
                  <w:vAlign w:val="center"/>
                </w:tcPr>
                <w:p w14:paraId="69EDD667">
                  <w:pPr>
                    <w:pStyle w:val="52"/>
                    <w:bidi w:val="0"/>
                    <w:rPr>
                      <w:rFonts w:hint="default"/>
                      <w:lang w:val="en-US" w:eastAsia="zh-CN"/>
                    </w:rPr>
                  </w:pPr>
                  <w:r>
                    <w:rPr>
                      <w:rFonts w:hint="eastAsia"/>
                      <w:lang w:val="en-US" w:eastAsia="zh-CN"/>
                    </w:rPr>
                    <w:t>0.071</w:t>
                  </w:r>
                </w:p>
              </w:tc>
              <w:tc>
                <w:tcPr>
                  <w:tcW w:w="542" w:type="pct"/>
                  <w:tcBorders>
                    <w:tl2br w:val="nil"/>
                    <w:tr2bl w:val="nil"/>
                  </w:tcBorders>
                  <w:vAlign w:val="center"/>
                </w:tcPr>
                <w:p w14:paraId="6CC55CD2">
                  <w:pPr>
                    <w:pStyle w:val="52"/>
                    <w:bidi w:val="0"/>
                    <w:rPr>
                      <w:rFonts w:hint="default"/>
                      <w:lang w:val="en-US" w:eastAsia="zh-CN"/>
                    </w:rPr>
                  </w:pPr>
                  <w:r>
                    <w:rPr>
                      <w:rFonts w:hint="eastAsia"/>
                      <w:lang w:val="en-US" w:eastAsia="zh-CN"/>
                    </w:rPr>
                    <w:t>0.002</w:t>
                  </w:r>
                </w:p>
              </w:tc>
              <w:tc>
                <w:tcPr>
                  <w:tcW w:w="542" w:type="pct"/>
                  <w:tcBorders>
                    <w:tl2br w:val="nil"/>
                    <w:tr2bl w:val="nil"/>
                  </w:tcBorders>
                  <w:vAlign w:val="center"/>
                </w:tcPr>
                <w:p w14:paraId="51711314">
                  <w:pPr>
                    <w:pStyle w:val="52"/>
                    <w:bidi w:val="0"/>
                    <w:rPr>
                      <w:rFonts w:hint="default" w:eastAsia="宋体"/>
                      <w:lang w:val="en-US" w:eastAsia="zh-CN"/>
                    </w:rPr>
                  </w:pPr>
                  <w:r>
                    <w:rPr>
                      <w:rFonts w:hint="eastAsia"/>
                      <w:lang w:val="en-US" w:eastAsia="zh-CN"/>
                    </w:rPr>
                    <w:t>0.085</w:t>
                  </w:r>
                </w:p>
              </w:tc>
              <w:tc>
                <w:tcPr>
                  <w:tcW w:w="1105" w:type="dxa"/>
                  <w:tcBorders>
                    <w:tl2br w:val="nil"/>
                    <w:tr2bl w:val="nil"/>
                  </w:tcBorders>
                  <w:vAlign w:val="center"/>
                </w:tcPr>
                <w:p w14:paraId="79F98D83">
                  <w:pPr>
                    <w:pStyle w:val="52"/>
                    <w:bidi w:val="0"/>
                  </w:pPr>
                  <w:r>
                    <w:rPr>
                      <w:rFonts w:hint="eastAsia"/>
                      <w:lang w:val="en-US" w:eastAsia="zh-CN"/>
                    </w:rPr>
                    <w:t>0.002</w:t>
                  </w:r>
                </w:p>
              </w:tc>
              <w:tc>
                <w:tcPr>
                  <w:tcW w:w="499" w:type="pct"/>
                  <w:tcBorders>
                    <w:tl2br w:val="nil"/>
                    <w:tr2bl w:val="nil"/>
                  </w:tcBorders>
                  <w:vAlign w:val="center"/>
                </w:tcPr>
                <w:p w14:paraId="24815316">
                  <w:pPr>
                    <w:pStyle w:val="52"/>
                    <w:bidi w:val="0"/>
                  </w:pPr>
                  <w:r>
                    <w:t>室外</w:t>
                  </w:r>
                </w:p>
              </w:tc>
            </w:tr>
            <w:tr w14:paraId="6BB3E72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4297DF22">
                  <w:pPr>
                    <w:pStyle w:val="52"/>
                    <w:bidi w:val="0"/>
                  </w:pPr>
                  <w:r>
                    <w:rPr>
                      <w:rFonts w:hint="eastAsia"/>
                      <w:lang w:val="en-US" w:eastAsia="zh-CN"/>
                    </w:rPr>
                    <w:t>6</w:t>
                  </w:r>
                </w:p>
              </w:tc>
              <w:tc>
                <w:tcPr>
                  <w:tcW w:w="3474" w:type="dxa"/>
                  <w:tcBorders>
                    <w:tl2br w:val="nil"/>
                    <w:tr2bl w:val="nil"/>
                  </w:tcBorders>
                  <w:vAlign w:val="center"/>
                </w:tcPr>
                <w:p w14:paraId="2EA05019">
                  <w:pPr>
                    <w:pStyle w:val="52"/>
                    <w:bidi w:val="0"/>
                  </w:pPr>
                  <w:r>
                    <w:rPr>
                      <w:rFonts w:hint="default"/>
                      <w:lang w:val="en-US" w:eastAsia="zh-CN"/>
                    </w:rPr>
                    <w:t>拟建DSA</w:t>
                  </w:r>
                  <w:r>
                    <w:rPr>
                      <w:rFonts w:hint="eastAsia"/>
                      <w:lang w:val="en-US" w:eastAsia="zh-CN"/>
                    </w:rPr>
                    <w:t>机房东南</w:t>
                  </w:r>
                  <w:r>
                    <w:rPr>
                      <w:rFonts w:hint="default"/>
                      <w:lang w:val="en-US" w:eastAsia="zh-CN"/>
                    </w:rPr>
                    <w:t>墙外</w:t>
                  </w:r>
                  <w:r>
                    <w:rPr>
                      <w:rFonts w:hint="default"/>
                    </w:rPr>
                    <w:t>表面30cm处</w:t>
                  </w:r>
                  <w:r>
                    <w:rPr>
                      <w:rFonts w:hint="eastAsia"/>
                      <w:lang w:eastAsia="zh-CN"/>
                    </w:rPr>
                    <w:t>（</w:t>
                  </w:r>
                  <w:r>
                    <w:rPr>
                      <w:rFonts w:hint="eastAsia"/>
                      <w:lang w:val="en-US" w:eastAsia="zh-CN"/>
                    </w:rPr>
                    <w:t>医护洗手间</w:t>
                  </w:r>
                  <w:r>
                    <w:rPr>
                      <w:rFonts w:hint="eastAsia"/>
                      <w:lang w:eastAsia="zh-CN"/>
                    </w:rPr>
                    <w:t>）</w:t>
                  </w:r>
                </w:p>
              </w:tc>
              <w:tc>
                <w:tcPr>
                  <w:tcW w:w="542" w:type="pct"/>
                  <w:tcBorders>
                    <w:tl2br w:val="nil"/>
                    <w:tr2bl w:val="nil"/>
                  </w:tcBorders>
                  <w:vAlign w:val="center"/>
                </w:tcPr>
                <w:p w14:paraId="28530166">
                  <w:pPr>
                    <w:pStyle w:val="52"/>
                    <w:bidi w:val="0"/>
                    <w:rPr>
                      <w:rFonts w:hint="default"/>
                      <w:lang w:val="en-US" w:eastAsia="zh-CN"/>
                    </w:rPr>
                  </w:pPr>
                  <w:bookmarkStart w:id="24" w:name="89"/>
                  <w:bookmarkEnd w:id="24"/>
                  <w:r>
                    <w:rPr>
                      <w:rFonts w:hint="eastAsia"/>
                      <w:lang w:val="en-US" w:eastAsia="zh-CN"/>
                    </w:rPr>
                    <w:t>0.079</w:t>
                  </w:r>
                </w:p>
              </w:tc>
              <w:tc>
                <w:tcPr>
                  <w:tcW w:w="542" w:type="pct"/>
                  <w:tcBorders>
                    <w:tl2br w:val="nil"/>
                    <w:tr2bl w:val="nil"/>
                  </w:tcBorders>
                  <w:vAlign w:val="center"/>
                </w:tcPr>
                <w:p w14:paraId="1CA05E0D">
                  <w:pPr>
                    <w:pStyle w:val="52"/>
                    <w:bidi w:val="0"/>
                    <w:rPr>
                      <w:rFonts w:hint="default"/>
                      <w:lang w:val="en-US" w:eastAsia="zh-CN"/>
                    </w:rPr>
                  </w:pPr>
                  <w:r>
                    <w:rPr>
                      <w:rFonts w:hint="eastAsia"/>
                      <w:lang w:val="en-US" w:eastAsia="zh-CN"/>
                    </w:rPr>
                    <w:t>0.002</w:t>
                  </w:r>
                </w:p>
              </w:tc>
              <w:tc>
                <w:tcPr>
                  <w:tcW w:w="542" w:type="pct"/>
                  <w:tcBorders>
                    <w:tl2br w:val="nil"/>
                    <w:tr2bl w:val="nil"/>
                  </w:tcBorders>
                  <w:vAlign w:val="center"/>
                </w:tcPr>
                <w:p w14:paraId="1AB55731">
                  <w:pPr>
                    <w:pStyle w:val="52"/>
                    <w:bidi w:val="0"/>
                    <w:rPr>
                      <w:rFonts w:hint="default" w:eastAsia="宋体"/>
                      <w:lang w:val="en-US" w:eastAsia="zh-CN"/>
                    </w:rPr>
                  </w:pPr>
                  <w:r>
                    <w:rPr>
                      <w:rFonts w:hint="eastAsia"/>
                      <w:lang w:val="en-US" w:eastAsia="zh-CN"/>
                    </w:rPr>
                    <w:t>0.095</w:t>
                  </w:r>
                </w:p>
              </w:tc>
              <w:tc>
                <w:tcPr>
                  <w:tcW w:w="1105" w:type="dxa"/>
                  <w:tcBorders>
                    <w:tl2br w:val="nil"/>
                    <w:tr2bl w:val="nil"/>
                  </w:tcBorders>
                  <w:vAlign w:val="center"/>
                </w:tcPr>
                <w:p w14:paraId="645A86DB">
                  <w:pPr>
                    <w:pStyle w:val="52"/>
                    <w:bidi w:val="0"/>
                  </w:pPr>
                  <w:r>
                    <w:rPr>
                      <w:rFonts w:hint="eastAsia"/>
                      <w:lang w:val="en-US" w:eastAsia="zh-CN"/>
                    </w:rPr>
                    <w:t>0.002</w:t>
                  </w:r>
                </w:p>
              </w:tc>
              <w:tc>
                <w:tcPr>
                  <w:tcW w:w="499" w:type="pct"/>
                  <w:tcBorders>
                    <w:tl2br w:val="nil"/>
                    <w:tr2bl w:val="nil"/>
                  </w:tcBorders>
                  <w:vAlign w:val="center"/>
                </w:tcPr>
                <w:p w14:paraId="4A3187A2">
                  <w:pPr>
                    <w:pStyle w:val="52"/>
                    <w:bidi w:val="0"/>
                  </w:pPr>
                  <w:r>
                    <w:t>室内</w:t>
                  </w:r>
                </w:p>
              </w:tc>
            </w:tr>
            <w:tr w14:paraId="71EC880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597AC8B1">
                  <w:pPr>
                    <w:pStyle w:val="52"/>
                    <w:bidi w:val="0"/>
                  </w:pPr>
                  <w:r>
                    <w:rPr>
                      <w:rFonts w:hint="eastAsia"/>
                      <w:lang w:val="en-US" w:eastAsia="zh-CN"/>
                    </w:rPr>
                    <w:t>7</w:t>
                  </w:r>
                </w:p>
              </w:tc>
              <w:tc>
                <w:tcPr>
                  <w:tcW w:w="3474" w:type="dxa"/>
                  <w:tcBorders>
                    <w:tl2br w:val="nil"/>
                    <w:tr2bl w:val="nil"/>
                  </w:tcBorders>
                  <w:vAlign w:val="center"/>
                </w:tcPr>
                <w:p w14:paraId="429AD4F5">
                  <w:pPr>
                    <w:pStyle w:val="52"/>
                    <w:bidi w:val="0"/>
                  </w:pPr>
                  <w:r>
                    <w:rPr>
                      <w:rFonts w:hint="default"/>
                      <w:lang w:val="en-US" w:eastAsia="zh-CN"/>
                    </w:rPr>
                    <w:t>拟建DSA</w:t>
                  </w:r>
                  <w:r>
                    <w:rPr>
                      <w:rFonts w:hint="eastAsia"/>
                      <w:lang w:val="en-US" w:eastAsia="zh-CN"/>
                    </w:rPr>
                    <w:t>机房东北</w:t>
                  </w:r>
                  <w:r>
                    <w:rPr>
                      <w:rFonts w:hint="default"/>
                      <w:lang w:val="en-US" w:eastAsia="zh-CN"/>
                    </w:rPr>
                    <w:t>墙外</w:t>
                  </w:r>
                  <w:r>
                    <w:rPr>
                      <w:rFonts w:hint="default"/>
                    </w:rPr>
                    <w:t>表面30cm处</w:t>
                  </w:r>
                </w:p>
              </w:tc>
              <w:tc>
                <w:tcPr>
                  <w:tcW w:w="542" w:type="pct"/>
                  <w:tcBorders>
                    <w:tl2br w:val="nil"/>
                    <w:tr2bl w:val="nil"/>
                  </w:tcBorders>
                  <w:vAlign w:val="center"/>
                </w:tcPr>
                <w:p w14:paraId="70AD1079">
                  <w:pPr>
                    <w:pStyle w:val="52"/>
                    <w:bidi w:val="0"/>
                    <w:rPr>
                      <w:rFonts w:hint="default"/>
                      <w:lang w:val="en-US" w:eastAsia="zh-CN"/>
                    </w:rPr>
                  </w:pPr>
                  <w:bookmarkStart w:id="25" w:name="100"/>
                  <w:bookmarkEnd w:id="25"/>
                  <w:r>
                    <w:rPr>
                      <w:rFonts w:hint="eastAsia"/>
                      <w:lang w:val="en-US" w:eastAsia="zh-CN"/>
                    </w:rPr>
                    <w:t>0.061</w:t>
                  </w:r>
                </w:p>
              </w:tc>
              <w:tc>
                <w:tcPr>
                  <w:tcW w:w="542" w:type="pct"/>
                  <w:tcBorders>
                    <w:tl2br w:val="nil"/>
                    <w:tr2bl w:val="nil"/>
                  </w:tcBorders>
                  <w:vAlign w:val="center"/>
                </w:tcPr>
                <w:p w14:paraId="64C86866">
                  <w:pPr>
                    <w:pStyle w:val="52"/>
                    <w:bidi w:val="0"/>
                    <w:rPr>
                      <w:rFonts w:hint="default"/>
                      <w:lang w:val="en-US" w:eastAsia="zh-CN"/>
                    </w:rPr>
                  </w:pPr>
                  <w:r>
                    <w:rPr>
                      <w:rFonts w:hint="eastAsia"/>
                      <w:lang w:val="en-US" w:eastAsia="zh-CN"/>
                    </w:rPr>
                    <w:t>0.002</w:t>
                  </w:r>
                </w:p>
              </w:tc>
              <w:tc>
                <w:tcPr>
                  <w:tcW w:w="542" w:type="pct"/>
                  <w:tcBorders>
                    <w:tl2br w:val="nil"/>
                    <w:tr2bl w:val="nil"/>
                  </w:tcBorders>
                  <w:vAlign w:val="center"/>
                </w:tcPr>
                <w:p w14:paraId="2ED85069">
                  <w:pPr>
                    <w:pStyle w:val="52"/>
                    <w:bidi w:val="0"/>
                    <w:rPr>
                      <w:rFonts w:hint="default" w:eastAsia="宋体"/>
                      <w:lang w:val="en-US" w:eastAsia="zh-CN"/>
                    </w:rPr>
                  </w:pPr>
                  <w:r>
                    <w:rPr>
                      <w:rFonts w:hint="eastAsia"/>
                      <w:lang w:val="en-US" w:eastAsia="zh-CN"/>
                    </w:rPr>
                    <w:t>0.073</w:t>
                  </w:r>
                </w:p>
              </w:tc>
              <w:tc>
                <w:tcPr>
                  <w:tcW w:w="1105" w:type="dxa"/>
                  <w:tcBorders>
                    <w:tl2br w:val="nil"/>
                    <w:tr2bl w:val="nil"/>
                  </w:tcBorders>
                  <w:vAlign w:val="center"/>
                </w:tcPr>
                <w:p w14:paraId="11EC37F8">
                  <w:pPr>
                    <w:pStyle w:val="52"/>
                    <w:bidi w:val="0"/>
                  </w:pPr>
                  <w:r>
                    <w:rPr>
                      <w:rFonts w:hint="eastAsia"/>
                      <w:lang w:val="en-US" w:eastAsia="zh-CN"/>
                    </w:rPr>
                    <w:t>0.002</w:t>
                  </w:r>
                </w:p>
              </w:tc>
              <w:tc>
                <w:tcPr>
                  <w:tcW w:w="499" w:type="pct"/>
                  <w:tcBorders>
                    <w:tl2br w:val="nil"/>
                    <w:tr2bl w:val="nil"/>
                  </w:tcBorders>
                  <w:vAlign w:val="center"/>
                </w:tcPr>
                <w:p w14:paraId="3328644E">
                  <w:pPr>
                    <w:pStyle w:val="52"/>
                    <w:bidi w:val="0"/>
                  </w:pPr>
                  <w:r>
                    <w:t>室内</w:t>
                  </w:r>
                </w:p>
              </w:tc>
            </w:tr>
            <w:tr w14:paraId="52F245F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53EE726B">
                  <w:pPr>
                    <w:pStyle w:val="52"/>
                    <w:bidi w:val="0"/>
                  </w:pPr>
                  <w:r>
                    <w:rPr>
                      <w:rFonts w:hint="eastAsia"/>
                      <w:lang w:val="en-US" w:eastAsia="zh-CN"/>
                    </w:rPr>
                    <w:t>8</w:t>
                  </w:r>
                </w:p>
              </w:tc>
              <w:tc>
                <w:tcPr>
                  <w:tcW w:w="3474" w:type="dxa"/>
                  <w:tcBorders>
                    <w:tl2br w:val="nil"/>
                    <w:tr2bl w:val="nil"/>
                  </w:tcBorders>
                  <w:vAlign w:val="center"/>
                </w:tcPr>
                <w:p w14:paraId="5DD3E845">
                  <w:pPr>
                    <w:pStyle w:val="52"/>
                    <w:bidi w:val="0"/>
                  </w:pPr>
                  <w:r>
                    <w:rPr>
                      <w:rFonts w:hint="default"/>
                      <w:lang w:val="en-US" w:eastAsia="zh-CN"/>
                    </w:rPr>
                    <w:t>拟建DSA</w:t>
                  </w:r>
                  <w:r>
                    <w:rPr>
                      <w:rFonts w:hint="eastAsia"/>
                      <w:lang w:val="en-US" w:eastAsia="zh-CN"/>
                    </w:rPr>
                    <w:t>机房西北</w:t>
                  </w:r>
                  <w:r>
                    <w:rPr>
                      <w:rFonts w:hint="default"/>
                      <w:lang w:val="en-US" w:eastAsia="zh-CN"/>
                    </w:rPr>
                    <w:t>墙外</w:t>
                  </w:r>
                  <w:r>
                    <w:rPr>
                      <w:rFonts w:hint="default"/>
                    </w:rPr>
                    <w:t>表面30cm处</w:t>
                  </w:r>
                  <w:r>
                    <w:rPr>
                      <w:rFonts w:hint="eastAsia"/>
                      <w:lang w:eastAsia="zh-CN"/>
                    </w:rPr>
                    <w:t>（</w:t>
                  </w:r>
                  <w:r>
                    <w:rPr>
                      <w:rFonts w:hint="eastAsia"/>
                      <w:lang w:val="en-US" w:eastAsia="zh-CN"/>
                    </w:rPr>
                    <w:t>设备间</w:t>
                  </w:r>
                  <w:r>
                    <w:rPr>
                      <w:rFonts w:hint="eastAsia"/>
                      <w:lang w:eastAsia="zh-CN"/>
                    </w:rPr>
                    <w:t>）</w:t>
                  </w:r>
                </w:p>
              </w:tc>
              <w:tc>
                <w:tcPr>
                  <w:tcW w:w="542" w:type="pct"/>
                  <w:tcBorders>
                    <w:tl2br w:val="nil"/>
                    <w:tr2bl w:val="nil"/>
                  </w:tcBorders>
                  <w:vAlign w:val="center"/>
                </w:tcPr>
                <w:p w14:paraId="633DC103">
                  <w:pPr>
                    <w:pStyle w:val="52"/>
                    <w:bidi w:val="0"/>
                    <w:rPr>
                      <w:rFonts w:hint="default"/>
                      <w:lang w:val="en-US" w:eastAsia="zh-CN"/>
                    </w:rPr>
                  </w:pPr>
                  <w:r>
                    <w:rPr>
                      <w:rFonts w:hint="eastAsia"/>
                      <w:lang w:val="en-US" w:eastAsia="zh-CN"/>
                    </w:rPr>
                    <w:t>0.071</w:t>
                  </w:r>
                </w:p>
              </w:tc>
              <w:tc>
                <w:tcPr>
                  <w:tcW w:w="542" w:type="pct"/>
                  <w:tcBorders>
                    <w:tl2br w:val="nil"/>
                    <w:tr2bl w:val="nil"/>
                  </w:tcBorders>
                  <w:vAlign w:val="center"/>
                </w:tcPr>
                <w:p w14:paraId="72B12F6B">
                  <w:pPr>
                    <w:pStyle w:val="52"/>
                    <w:bidi w:val="0"/>
                    <w:rPr>
                      <w:rFonts w:hint="default"/>
                      <w:lang w:val="en-US" w:eastAsia="zh-CN"/>
                    </w:rPr>
                  </w:pPr>
                  <w:r>
                    <w:rPr>
                      <w:rFonts w:hint="eastAsia"/>
                      <w:lang w:val="en-US" w:eastAsia="zh-CN"/>
                    </w:rPr>
                    <w:t>0.003</w:t>
                  </w:r>
                </w:p>
              </w:tc>
              <w:tc>
                <w:tcPr>
                  <w:tcW w:w="542" w:type="pct"/>
                  <w:tcBorders>
                    <w:tl2br w:val="nil"/>
                    <w:tr2bl w:val="nil"/>
                  </w:tcBorders>
                  <w:vAlign w:val="center"/>
                </w:tcPr>
                <w:p w14:paraId="3F11309F">
                  <w:pPr>
                    <w:pStyle w:val="52"/>
                    <w:bidi w:val="0"/>
                    <w:rPr>
                      <w:rFonts w:hint="default" w:eastAsia="宋体"/>
                      <w:lang w:val="en-US" w:eastAsia="zh-CN"/>
                    </w:rPr>
                  </w:pPr>
                  <w:r>
                    <w:rPr>
                      <w:rFonts w:hint="eastAsia"/>
                      <w:lang w:val="en-US" w:eastAsia="zh-CN"/>
                    </w:rPr>
                    <w:t>0.085</w:t>
                  </w:r>
                </w:p>
              </w:tc>
              <w:tc>
                <w:tcPr>
                  <w:tcW w:w="1105" w:type="dxa"/>
                  <w:tcBorders>
                    <w:tl2br w:val="nil"/>
                    <w:tr2bl w:val="nil"/>
                  </w:tcBorders>
                  <w:vAlign w:val="center"/>
                </w:tcPr>
                <w:p w14:paraId="34D6CCA0">
                  <w:pPr>
                    <w:pStyle w:val="52"/>
                    <w:bidi w:val="0"/>
                  </w:pPr>
                  <w:r>
                    <w:rPr>
                      <w:rFonts w:hint="eastAsia"/>
                      <w:lang w:val="en-US" w:eastAsia="zh-CN"/>
                    </w:rPr>
                    <w:t>0.003</w:t>
                  </w:r>
                </w:p>
              </w:tc>
              <w:tc>
                <w:tcPr>
                  <w:tcW w:w="499" w:type="pct"/>
                  <w:tcBorders>
                    <w:tl2br w:val="nil"/>
                    <w:tr2bl w:val="nil"/>
                  </w:tcBorders>
                  <w:vAlign w:val="center"/>
                </w:tcPr>
                <w:p w14:paraId="47FDBB21">
                  <w:pPr>
                    <w:pStyle w:val="52"/>
                    <w:bidi w:val="0"/>
                  </w:pPr>
                  <w:r>
                    <w:rPr>
                      <w:rFonts w:hint="eastAsia"/>
                    </w:rPr>
                    <w:t>室外</w:t>
                  </w:r>
                </w:p>
              </w:tc>
            </w:tr>
            <w:tr w14:paraId="3F32F38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4C98DD03">
                  <w:pPr>
                    <w:pStyle w:val="52"/>
                    <w:bidi w:val="0"/>
                    <w:rPr>
                      <w:rFonts w:hint="eastAsia"/>
                    </w:rPr>
                  </w:pPr>
                  <w:r>
                    <w:rPr>
                      <w:rFonts w:hint="eastAsia"/>
                      <w:lang w:val="en-US" w:eastAsia="zh-CN"/>
                    </w:rPr>
                    <w:t>9</w:t>
                  </w:r>
                </w:p>
              </w:tc>
              <w:tc>
                <w:tcPr>
                  <w:tcW w:w="3474" w:type="dxa"/>
                  <w:tcBorders>
                    <w:tl2br w:val="nil"/>
                    <w:tr2bl w:val="nil"/>
                  </w:tcBorders>
                  <w:vAlign w:val="center"/>
                </w:tcPr>
                <w:p w14:paraId="74E2E5EA">
                  <w:pPr>
                    <w:keepNext w:val="0"/>
                    <w:keepLines w:val="0"/>
                    <w:widowControl/>
                    <w:suppressLineNumbers w:val="0"/>
                    <w:jc w:val="center"/>
                    <w:rPr>
                      <w:rFonts w:hint="default"/>
                      <w:lang w:val="en-US"/>
                    </w:rPr>
                  </w:pPr>
                  <w:r>
                    <w:rPr>
                      <w:rFonts w:hint="eastAsia" w:cs="Times New Roman"/>
                      <w:sz w:val="22"/>
                      <w:szCs w:val="22"/>
                      <w:lang w:val="en-US" w:eastAsia="zh-CN"/>
                    </w:rPr>
                    <w:t>东南侧居民楼1</w:t>
                  </w:r>
                </w:p>
              </w:tc>
              <w:tc>
                <w:tcPr>
                  <w:tcW w:w="542" w:type="pct"/>
                  <w:tcBorders>
                    <w:tl2br w:val="nil"/>
                    <w:tr2bl w:val="nil"/>
                  </w:tcBorders>
                  <w:vAlign w:val="center"/>
                </w:tcPr>
                <w:p w14:paraId="3F034B60">
                  <w:pPr>
                    <w:pStyle w:val="52"/>
                    <w:bidi w:val="0"/>
                    <w:rPr>
                      <w:rFonts w:hint="default"/>
                      <w:lang w:val="en-US" w:eastAsia="zh-CN"/>
                    </w:rPr>
                  </w:pPr>
                  <w:r>
                    <w:rPr>
                      <w:rFonts w:hint="eastAsia"/>
                      <w:lang w:val="en-US" w:eastAsia="zh-CN"/>
                    </w:rPr>
                    <w:t>0.070</w:t>
                  </w:r>
                </w:p>
              </w:tc>
              <w:tc>
                <w:tcPr>
                  <w:tcW w:w="542" w:type="pct"/>
                  <w:tcBorders>
                    <w:tl2br w:val="nil"/>
                    <w:tr2bl w:val="nil"/>
                  </w:tcBorders>
                  <w:vAlign w:val="center"/>
                </w:tcPr>
                <w:p w14:paraId="7258BE98">
                  <w:pPr>
                    <w:pStyle w:val="52"/>
                    <w:bidi w:val="0"/>
                    <w:rPr>
                      <w:rFonts w:hint="default"/>
                      <w:lang w:val="en-US" w:eastAsia="zh-CN"/>
                    </w:rPr>
                  </w:pPr>
                  <w:r>
                    <w:rPr>
                      <w:rFonts w:hint="eastAsia"/>
                      <w:lang w:val="en-US" w:eastAsia="zh-CN"/>
                    </w:rPr>
                    <w:t>0.003</w:t>
                  </w:r>
                </w:p>
              </w:tc>
              <w:tc>
                <w:tcPr>
                  <w:tcW w:w="542" w:type="pct"/>
                  <w:tcBorders>
                    <w:tl2br w:val="nil"/>
                    <w:tr2bl w:val="nil"/>
                  </w:tcBorders>
                  <w:vAlign w:val="center"/>
                </w:tcPr>
                <w:p w14:paraId="084909C3">
                  <w:pPr>
                    <w:pStyle w:val="52"/>
                    <w:bidi w:val="0"/>
                    <w:rPr>
                      <w:rFonts w:hint="default" w:eastAsia="宋体"/>
                      <w:lang w:val="en-US" w:eastAsia="zh-CN"/>
                    </w:rPr>
                  </w:pPr>
                  <w:r>
                    <w:rPr>
                      <w:rFonts w:hint="eastAsia"/>
                      <w:lang w:val="en-US" w:eastAsia="zh-CN"/>
                    </w:rPr>
                    <w:t>0.084</w:t>
                  </w:r>
                </w:p>
              </w:tc>
              <w:tc>
                <w:tcPr>
                  <w:tcW w:w="1105" w:type="dxa"/>
                  <w:tcBorders>
                    <w:tl2br w:val="nil"/>
                    <w:tr2bl w:val="nil"/>
                  </w:tcBorders>
                  <w:vAlign w:val="center"/>
                </w:tcPr>
                <w:p w14:paraId="42052FEA">
                  <w:pPr>
                    <w:pStyle w:val="52"/>
                    <w:bidi w:val="0"/>
                    <w:rPr>
                      <w:rFonts w:hint="default"/>
                    </w:rPr>
                  </w:pPr>
                  <w:r>
                    <w:rPr>
                      <w:rFonts w:hint="eastAsia"/>
                      <w:lang w:val="en-US" w:eastAsia="zh-CN"/>
                    </w:rPr>
                    <w:t>0.003</w:t>
                  </w:r>
                </w:p>
              </w:tc>
              <w:tc>
                <w:tcPr>
                  <w:tcW w:w="499" w:type="pct"/>
                  <w:tcBorders>
                    <w:tl2br w:val="nil"/>
                    <w:tr2bl w:val="nil"/>
                  </w:tcBorders>
                  <w:vAlign w:val="center"/>
                </w:tcPr>
                <w:p w14:paraId="028A4415">
                  <w:pPr>
                    <w:pStyle w:val="52"/>
                    <w:bidi w:val="0"/>
                    <w:rPr>
                      <w:rFonts w:hint="eastAsia"/>
                    </w:rPr>
                  </w:pPr>
                  <w:r>
                    <w:rPr>
                      <w:rFonts w:hint="eastAsia"/>
                    </w:rPr>
                    <w:t>室外</w:t>
                  </w:r>
                </w:p>
              </w:tc>
            </w:tr>
            <w:tr w14:paraId="1AF3F2F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74AD2AFE">
                  <w:pPr>
                    <w:pStyle w:val="52"/>
                    <w:bidi w:val="0"/>
                    <w:rPr>
                      <w:rFonts w:hint="default"/>
                      <w:lang w:val="en-US" w:eastAsia="zh-CN"/>
                    </w:rPr>
                  </w:pPr>
                  <w:r>
                    <w:rPr>
                      <w:rFonts w:hint="eastAsia"/>
                      <w:lang w:val="en-US" w:eastAsia="zh-CN"/>
                    </w:rPr>
                    <w:t>10</w:t>
                  </w:r>
                </w:p>
              </w:tc>
              <w:tc>
                <w:tcPr>
                  <w:tcW w:w="3474" w:type="dxa"/>
                  <w:tcBorders>
                    <w:tl2br w:val="nil"/>
                    <w:tr2bl w:val="nil"/>
                  </w:tcBorders>
                  <w:vAlign w:val="center"/>
                </w:tcPr>
                <w:p w14:paraId="11220A0B">
                  <w:pPr>
                    <w:keepNext w:val="0"/>
                    <w:keepLines w:val="0"/>
                    <w:widowControl/>
                    <w:suppressLineNumbers w:val="0"/>
                    <w:jc w:val="center"/>
                    <w:rPr>
                      <w:rFonts w:hint="default"/>
                      <w:lang w:val="en-US"/>
                    </w:rPr>
                  </w:pPr>
                  <w:r>
                    <w:rPr>
                      <w:rFonts w:hint="eastAsia" w:cs="Times New Roman"/>
                      <w:sz w:val="22"/>
                      <w:szCs w:val="22"/>
                      <w:lang w:val="en-US" w:eastAsia="zh-CN"/>
                    </w:rPr>
                    <w:t>东侧居民楼2</w:t>
                  </w:r>
                </w:p>
              </w:tc>
              <w:tc>
                <w:tcPr>
                  <w:tcW w:w="542" w:type="pct"/>
                  <w:tcBorders>
                    <w:tl2br w:val="nil"/>
                    <w:tr2bl w:val="nil"/>
                  </w:tcBorders>
                  <w:vAlign w:val="center"/>
                </w:tcPr>
                <w:p w14:paraId="44BF81D7">
                  <w:pPr>
                    <w:pStyle w:val="52"/>
                    <w:bidi w:val="0"/>
                    <w:rPr>
                      <w:rFonts w:hint="default"/>
                      <w:lang w:val="en-US" w:eastAsia="zh-CN"/>
                    </w:rPr>
                  </w:pPr>
                  <w:r>
                    <w:rPr>
                      <w:rFonts w:hint="eastAsia"/>
                      <w:lang w:val="en-US" w:eastAsia="zh-CN"/>
                    </w:rPr>
                    <w:t>0.078</w:t>
                  </w:r>
                </w:p>
              </w:tc>
              <w:tc>
                <w:tcPr>
                  <w:tcW w:w="542" w:type="pct"/>
                  <w:tcBorders>
                    <w:tl2br w:val="nil"/>
                    <w:tr2bl w:val="nil"/>
                  </w:tcBorders>
                  <w:vAlign w:val="center"/>
                </w:tcPr>
                <w:p w14:paraId="54E268EE">
                  <w:pPr>
                    <w:pStyle w:val="52"/>
                    <w:bidi w:val="0"/>
                    <w:rPr>
                      <w:rFonts w:hint="default"/>
                      <w:lang w:val="en-US" w:eastAsia="zh-CN"/>
                    </w:rPr>
                  </w:pPr>
                  <w:r>
                    <w:rPr>
                      <w:rFonts w:hint="eastAsia"/>
                      <w:lang w:val="en-US" w:eastAsia="zh-CN"/>
                    </w:rPr>
                    <w:t>0.003</w:t>
                  </w:r>
                </w:p>
              </w:tc>
              <w:tc>
                <w:tcPr>
                  <w:tcW w:w="542" w:type="pct"/>
                  <w:tcBorders>
                    <w:tl2br w:val="nil"/>
                    <w:tr2bl w:val="nil"/>
                  </w:tcBorders>
                  <w:vAlign w:val="center"/>
                </w:tcPr>
                <w:p w14:paraId="148D831A">
                  <w:pPr>
                    <w:pStyle w:val="52"/>
                    <w:bidi w:val="0"/>
                    <w:rPr>
                      <w:rFonts w:hint="default" w:eastAsia="宋体"/>
                      <w:lang w:val="en-US" w:eastAsia="zh-CN"/>
                    </w:rPr>
                  </w:pPr>
                  <w:r>
                    <w:rPr>
                      <w:rFonts w:hint="eastAsia"/>
                      <w:lang w:val="en-US" w:eastAsia="zh-CN"/>
                    </w:rPr>
                    <w:t>0.094</w:t>
                  </w:r>
                </w:p>
              </w:tc>
              <w:tc>
                <w:tcPr>
                  <w:tcW w:w="1105" w:type="dxa"/>
                  <w:tcBorders>
                    <w:tl2br w:val="nil"/>
                    <w:tr2bl w:val="nil"/>
                  </w:tcBorders>
                  <w:vAlign w:val="center"/>
                </w:tcPr>
                <w:p w14:paraId="3703D382">
                  <w:pPr>
                    <w:pStyle w:val="52"/>
                    <w:bidi w:val="0"/>
                    <w:rPr>
                      <w:rFonts w:hint="default"/>
                    </w:rPr>
                  </w:pPr>
                  <w:r>
                    <w:rPr>
                      <w:rFonts w:hint="eastAsia"/>
                      <w:lang w:val="en-US" w:eastAsia="zh-CN"/>
                    </w:rPr>
                    <w:t>0.003</w:t>
                  </w:r>
                </w:p>
              </w:tc>
              <w:tc>
                <w:tcPr>
                  <w:tcW w:w="499" w:type="pct"/>
                  <w:tcBorders>
                    <w:tl2br w:val="nil"/>
                    <w:tr2bl w:val="nil"/>
                  </w:tcBorders>
                  <w:vAlign w:val="center"/>
                </w:tcPr>
                <w:p w14:paraId="25F76357">
                  <w:pPr>
                    <w:pStyle w:val="52"/>
                    <w:bidi w:val="0"/>
                    <w:rPr>
                      <w:rFonts w:hint="eastAsia"/>
                      <w:lang w:eastAsia="zh-CN"/>
                    </w:rPr>
                  </w:pPr>
                  <w:r>
                    <w:rPr>
                      <w:rFonts w:hint="eastAsia"/>
                      <w:lang w:val="en-US" w:eastAsia="zh-CN"/>
                    </w:rPr>
                    <w:t>道路</w:t>
                  </w:r>
                </w:p>
              </w:tc>
            </w:tr>
            <w:tr w14:paraId="57ABD15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3986E47F">
                  <w:pPr>
                    <w:pStyle w:val="52"/>
                    <w:bidi w:val="0"/>
                    <w:rPr>
                      <w:rFonts w:hint="default"/>
                      <w:lang w:val="en-US" w:eastAsia="zh-CN"/>
                    </w:rPr>
                  </w:pPr>
                  <w:r>
                    <w:rPr>
                      <w:rFonts w:hint="eastAsia"/>
                      <w:lang w:val="en-US" w:eastAsia="zh-CN"/>
                    </w:rPr>
                    <w:t>11</w:t>
                  </w:r>
                </w:p>
              </w:tc>
              <w:tc>
                <w:tcPr>
                  <w:tcW w:w="3474" w:type="dxa"/>
                  <w:tcBorders>
                    <w:tl2br w:val="nil"/>
                    <w:tr2bl w:val="nil"/>
                  </w:tcBorders>
                  <w:vAlign w:val="center"/>
                </w:tcPr>
                <w:p w14:paraId="64341960">
                  <w:pPr>
                    <w:keepNext w:val="0"/>
                    <w:keepLines w:val="0"/>
                    <w:widowControl/>
                    <w:suppressLineNumbers w:val="0"/>
                    <w:jc w:val="center"/>
                    <w:rPr>
                      <w:rFonts w:hint="default"/>
                      <w:lang w:val="en-US"/>
                    </w:rPr>
                  </w:pPr>
                  <w:r>
                    <w:rPr>
                      <w:rFonts w:hint="eastAsia" w:cs="Times New Roman"/>
                      <w:sz w:val="22"/>
                      <w:szCs w:val="22"/>
                      <w:lang w:val="en-US" w:eastAsia="zh-CN"/>
                    </w:rPr>
                    <w:t>东侧居民楼3</w:t>
                  </w:r>
                </w:p>
              </w:tc>
              <w:tc>
                <w:tcPr>
                  <w:tcW w:w="542" w:type="pct"/>
                  <w:tcBorders>
                    <w:tl2br w:val="nil"/>
                    <w:tr2bl w:val="nil"/>
                  </w:tcBorders>
                  <w:vAlign w:val="center"/>
                </w:tcPr>
                <w:p w14:paraId="6AFB85A7">
                  <w:pPr>
                    <w:pStyle w:val="52"/>
                    <w:bidi w:val="0"/>
                    <w:rPr>
                      <w:rFonts w:hint="default"/>
                      <w:lang w:val="en-US" w:eastAsia="zh-CN"/>
                    </w:rPr>
                  </w:pPr>
                  <w:r>
                    <w:rPr>
                      <w:rFonts w:hint="eastAsia"/>
                      <w:lang w:val="en-US" w:eastAsia="zh-CN"/>
                    </w:rPr>
                    <w:t>0.071</w:t>
                  </w:r>
                </w:p>
              </w:tc>
              <w:tc>
                <w:tcPr>
                  <w:tcW w:w="542" w:type="pct"/>
                  <w:tcBorders>
                    <w:tl2br w:val="nil"/>
                    <w:tr2bl w:val="nil"/>
                  </w:tcBorders>
                  <w:vAlign w:val="center"/>
                </w:tcPr>
                <w:p w14:paraId="5D45B963">
                  <w:pPr>
                    <w:pStyle w:val="52"/>
                    <w:bidi w:val="0"/>
                    <w:rPr>
                      <w:rFonts w:hint="default"/>
                      <w:lang w:val="en-US" w:eastAsia="zh-CN"/>
                    </w:rPr>
                  </w:pPr>
                  <w:r>
                    <w:rPr>
                      <w:rFonts w:hint="eastAsia"/>
                      <w:lang w:val="en-US" w:eastAsia="zh-CN"/>
                    </w:rPr>
                    <w:t>0.003</w:t>
                  </w:r>
                </w:p>
              </w:tc>
              <w:tc>
                <w:tcPr>
                  <w:tcW w:w="542" w:type="pct"/>
                  <w:tcBorders>
                    <w:tl2br w:val="nil"/>
                    <w:tr2bl w:val="nil"/>
                  </w:tcBorders>
                  <w:vAlign w:val="center"/>
                </w:tcPr>
                <w:p w14:paraId="47A60670">
                  <w:pPr>
                    <w:pStyle w:val="52"/>
                    <w:bidi w:val="0"/>
                    <w:rPr>
                      <w:rFonts w:hint="default" w:eastAsia="宋体"/>
                      <w:lang w:val="en-US" w:eastAsia="zh-CN"/>
                    </w:rPr>
                  </w:pPr>
                  <w:r>
                    <w:rPr>
                      <w:rFonts w:hint="eastAsia"/>
                      <w:lang w:val="en-US" w:eastAsia="zh-CN"/>
                    </w:rPr>
                    <w:t>0.085</w:t>
                  </w:r>
                </w:p>
              </w:tc>
              <w:tc>
                <w:tcPr>
                  <w:tcW w:w="1105" w:type="dxa"/>
                  <w:tcBorders>
                    <w:tl2br w:val="nil"/>
                    <w:tr2bl w:val="nil"/>
                  </w:tcBorders>
                  <w:vAlign w:val="center"/>
                </w:tcPr>
                <w:p w14:paraId="3165E5E2">
                  <w:pPr>
                    <w:pStyle w:val="52"/>
                    <w:bidi w:val="0"/>
                    <w:rPr>
                      <w:rFonts w:hint="default"/>
                    </w:rPr>
                  </w:pPr>
                  <w:r>
                    <w:rPr>
                      <w:rFonts w:hint="eastAsia"/>
                      <w:lang w:val="en-US" w:eastAsia="zh-CN"/>
                    </w:rPr>
                    <w:t>0.003</w:t>
                  </w:r>
                </w:p>
              </w:tc>
              <w:tc>
                <w:tcPr>
                  <w:tcW w:w="499" w:type="pct"/>
                  <w:tcBorders>
                    <w:tl2br w:val="nil"/>
                    <w:tr2bl w:val="nil"/>
                  </w:tcBorders>
                  <w:vAlign w:val="center"/>
                </w:tcPr>
                <w:p w14:paraId="0E4A9C0F">
                  <w:pPr>
                    <w:pStyle w:val="52"/>
                    <w:bidi w:val="0"/>
                    <w:rPr>
                      <w:rFonts w:hint="eastAsia"/>
                    </w:rPr>
                  </w:pPr>
                  <w:r>
                    <w:rPr>
                      <w:rFonts w:hint="eastAsia"/>
                    </w:rPr>
                    <w:t>室外</w:t>
                  </w:r>
                </w:p>
              </w:tc>
            </w:tr>
            <w:tr w14:paraId="18E0335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24BE5668">
                  <w:pPr>
                    <w:pStyle w:val="52"/>
                    <w:bidi w:val="0"/>
                    <w:rPr>
                      <w:rFonts w:hint="default"/>
                      <w:lang w:val="en-US" w:eastAsia="zh-CN"/>
                    </w:rPr>
                  </w:pPr>
                  <w:r>
                    <w:rPr>
                      <w:rFonts w:hint="eastAsia"/>
                      <w:lang w:val="en-US" w:eastAsia="zh-CN"/>
                    </w:rPr>
                    <w:t>12</w:t>
                  </w:r>
                </w:p>
              </w:tc>
              <w:tc>
                <w:tcPr>
                  <w:tcW w:w="3474" w:type="dxa"/>
                  <w:tcBorders>
                    <w:tl2br w:val="nil"/>
                    <w:tr2bl w:val="nil"/>
                  </w:tcBorders>
                  <w:vAlign w:val="center"/>
                </w:tcPr>
                <w:p w14:paraId="553D6942">
                  <w:pPr>
                    <w:keepNext w:val="0"/>
                    <w:keepLines w:val="0"/>
                    <w:widowControl/>
                    <w:suppressLineNumbers w:val="0"/>
                    <w:jc w:val="center"/>
                    <w:rPr>
                      <w:rFonts w:hint="default"/>
                      <w:lang w:val="en-US"/>
                    </w:rPr>
                  </w:pPr>
                  <w:r>
                    <w:rPr>
                      <w:rFonts w:hint="eastAsia" w:cs="Times New Roman"/>
                      <w:sz w:val="22"/>
                      <w:szCs w:val="22"/>
                      <w:lang w:val="en-US" w:eastAsia="zh-CN"/>
                    </w:rPr>
                    <w:t>北侧居民楼4</w:t>
                  </w:r>
                </w:p>
              </w:tc>
              <w:tc>
                <w:tcPr>
                  <w:tcW w:w="542" w:type="pct"/>
                  <w:tcBorders>
                    <w:tl2br w:val="nil"/>
                    <w:tr2bl w:val="nil"/>
                  </w:tcBorders>
                  <w:vAlign w:val="center"/>
                </w:tcPr>
                <w:p w14:paraId="5540863B">
                  <w:pPr>
                    <w:pStyle w:val="52"/>
                    <w:bidi w:val="0"/>
                    <w:rPr>
                      <w:rFonts w:hint="default"/>
                      <w:lang w:val="en-US" w:eastAsia="zh-CN"/>
                    </w:rPr>
                  </w:pPr>
                  <w:r>
                    <w:rPr>
                      <w:rFonts w:hint="eastAsia"/>
                      <w:lang w:val="en-US" w:eastAsia="zh-CN"/>
                    </w:rPr>
                    <w:t>0.076</w:t>
                  </w:r>
                </w:p>
              </w:tc>
              <w:tc>
                <w:tcPr>
                  <w:tcW w:w="542" w:type="pct"/>
                  <w:tcBorders>
                    <w:tl2br w:val="nil"/>
                    <w:tr2bl w:val="nil"/>
                  </w:tcBorders>
                  <w:vAlign w:val="center"/>
                </w:tcPr>
                <w:p w14:paraId="088F2C34">
                  <w:pPr>
                    <w:pStyle w:val="52"/>
                    <w:bidi w:val="0"/>
                    <w:rPr>
                      <w:rFonts w:hint="default"/>
                      <w:lang w:val="en-US" w:eastAsia="zh-CN"/>
                    </w:rPr>
                  </w:pPr>
                  <w:r>
                    <w:rPr>
                      <w:rFonts w:hint="eastAsia"/>
                      <w:lang w:val="en-US" w:eastAsia="zh-CN"/>
                    </w:rPr>
                    <w:t>0.002</w:t>
                  </w:r>
                </w:p>
              </w:tc>
              <w:tc>
                <w:tcPr>
                  <w:tcW w:w="542" w:type="pct"/>
                  <w:tcBorders>
                    <w:tl2br w:val="nil"/>
                    <w:tr2bl w:val="nil"/>
                  </w:tcBorders>
                  <w:vAlign w:val="center"/>
                </w:tcPr>
                <w:p w14:paraId="40CDD0BC">
                  <w:pPr>
                    <w:pStyle w:val="52"/>
                    <w:bidi w:val="0"/>
                    <w:rPr>
                      <w:rFonts w:hint="default" w:eastAsia="宋体"/>
                      <w:lang w:val="en-US" w:eastAsia="zh-CN"/>
                    </w:rPr>
                  </w:pPr>
                  <w:r>
                    <w:rPr>
                      <w:rFonts w:hint="eastAsia"/>
                      <w:lang w:val="en-US" w:eastAsia="zh-CN"/>
                    </w:rPr>
                    <w:t>0.091</w:t>
                  </w:r>
                </w:p>
              </w:tc>
              <w:tc>
                <w:tcPr>
                  <w:tcW w:w="1105" w:type="dxa"/>
                  <w:tcBorders>
                    <w:tl2br w:val="nil"/>
                    <w:tr2bl w:val="nil"/>
                  </w:tcBorders>
                  <w:vAlign w:val="center"/>
                </w:tcPr>
                <w:p w14:paraId="30EAD959">
                  <w:pPr>
                    <w:pStyle w:val="52"/>
                    <w:bidi w:val="0"/>
                    <w:rPr>
                      <w:rFonts w:hint="default"/>
                    </w:rPr>
                  </w:pPr>
                  <w:r>
                    <w:rPr>
                      <w:rFonts w:hint="eastAsia"/>
                      <w:lang w:val="en-US" w:eastAsia="zh-CN"/>
                    </w:rPr>
                    <w:t>0.002</w:t>
                  </w:r>
                </w:p>
              </w:tc>
              <w:tc>
                <w:tcPr>
                  <w:tcW w:w="499" w:type="pct"/>
                  <w:tcBorders>
                    <w:tl2br w:val="nil"/>
                    <w:tr2bl w:val="nil"/>
                  </w:tcBorders>
                  <w:vAlign w:val="center"/>
                </w:tcPr>
                <w:p w14:paraId="4B1C32D7">
                  <w:pPr>
                    <w:pStyle w:val="52"/>
                    <w:bidi w:val="0"/>
                    <w:rPr>
                      <w:rFonts w:hint="eastAsia"/>
                    </w:rPr>
                  </w:pPr>
                  <w:r>
                    <w:rPr>
                      <w:rFonts w:hint="eastAsia"/>
                    </w:rPr>
                    <w:t>室外</w:t>
                  </w:r>
                </w:p>
              </w:tc>
            </w:tr>
            <w:tr w14:paraId="093F80D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514" w:type="dxa"/>
                  <w:tcBorders>
                    <w:tl2br w:val="nil"/>
                    <w:tr2bl w:val="nil"/>
                  </w:tcBorders>
                  <w:vAlign w:val="center"/>
                </w:tcPr>
                <w:p w14:paraId="161AFD91">
                  <w:pPr>
                    <w:pStyle w:val="52"/>
                    <w:bidi w:val="0"/>
                    <w:rPr>
                      <w:rFonts w:hint="default"/>
                      <w:lang w:val="en-US" w:eastAsia="zh-CN"/>
                    </w:rPr>
                  </w:pPr>
                  <w:r>
                    <w:rPr>
                      <w:rFonts w:hint="eastAsia"/>
                      <w:lang w:val="en-US" w:eastAsia="zh-CN"/>
                    </w:rPr>
                    <w:t>13</w:t>
                  </w:r>
                </w:p>
              </w:tc>
              <w:tc>
                <w:tcPr>
                  <w:tcW w:w="3474" w:type="dxa"/>
                  <w:tcBorders>
                    <w:tl2br w:val="nil"/>
                    <w:tr2bl w:val="nil"/>
                  </w:tcBorders>
                  <w:vAlign w:val="center"/>
                </w:tcPr>
                <w:p w14:paraId="35E353A7">
                  <w:pPr>
                    <w:keepNext w:val="0"/>
                    <w:keepLines w:val="0"/>
                    <w:widowControl/>
                    <w:suppressLineNumbers w:val="0"/>
                    <w:jc w:val="center"/>
                    <w:rPr>
                      <w:rFonts w:hint="eastAsia"/>
                    </w:rPr>
                  </w:pPr>
                  <w:r>
                    <w:rPr>
                      <w:rFonts w:hint="eastAsia" w:cs="Times New Roman"/>
                      <w:sz w:val="22"/>
                      <w:szCs w:val="22"/>
                      <w:lang w:val="en-US" w:eastAsia="zh-CN"/>
                    </w:rPr>
                    <w:t>西北侧住院楼</w:t>
                  </w:r>
                </w:p>
              </w:tc>
              <w:tc>
                <w:tcPr>
                  <w:tcW w:w="542" w:type="pct"/>
                  <w:tcBorders>
                    <w:tl2br w:val="nil"/>
                    <w:tr2bl w:val="nil"/>
                  </w:tcBorders>
                  <w:vAlign w:val="center"/>
                </w:tcPr>
                <w:p w14:paraId="0420B54E">
                  <w:pPr>
                    <w:pStyle w:val="52"/>
                    <w:bidi w:val="0"/>
                    <w:rPr>
                      <w:rFonts w:hint="default"/>
                      <w:lang w:val="en-US" w:eastAsia="zh-CN"/>
                    </w:rPr>
                  </w:pPr>
                  <w:r>
                    <w:rPr>
                      <w:rFonts w:hint="eastAsia"/>
                      <w:lang w:val="en-US" w:eastAsia="zh-CN"/>
                    </w:rPr>
                    <w:t>0.077</w:t>
                  </w:r>
                </w:p>
              </w:tc>
              <w:tc>
                <w:tcPr>
                  <w:tcW w:w="542" w:type="pct"/>
                  <w:tcBorders>
                    <w:tl2br w:val="nil"/>
                    <w:tr2bl w:val="nil"/>
                  </w:tcBorders>
                  <w:vAlign w:val="center"/>
                </w:tcPr>
                <w:p w14:paraId="7106B600">
                  <w:pPr>
                    <w:pStyle w:val="52"/>
                    <w:bidi w:val="0"/>
                    <w:rPr>
                      <w:rFonts w:hint="default"/>
                      <w:lang w:val="en-US" w:eastAsia="zh-CN"/>
                    </w:rPr>
                  </w:pPr>
                  <w:r>
                    <w:rPr>
                      <w:rFonts w:hint="eastAsia"/>
                      <w:lang w:val="en-US" w:eastAsia="zh-CN"/>
                    </w:rPr>
                    <w:t>0.003</w:t>
                  </w:r>
                </w:p>
              </w:tc>
              <w:tc>
                <w:tcPr>
                  <w:tcW w:w="542" w:type="pct"/>
                  <w:tcBorders>
                    <w:tl2br w:val="nil"/>
                    <w:tr2bl w:val="nil"/>
                  </w:tcBorders>
                  <w:vAlign w:val="center"/>
                </w:tcPr>
                <w:p w14:paraId="6D3E4F75">
                  <w:pPr>
                    <w:pStyle w:val="52"/>
                    <w:bidi w:val="0"/>
                    <w:rPr>
                      <w:rFonts w:hint="default" w:eastAsia="宋体"/>
                      <w:lang w:val="en-US" w:eastAsia="zh-CN"/>
                    </w:rPr>
                  </w:pPr>
                  <w:r>
                    <w:rPr>
                      <w:rFonts w:hint="eastAsia"/>
                      <w:lang w:val="en-US" w:eastAsia="zh-CN"/>
                    </w:rPr>
                    <w:t>0.092</w:t>
                  </w:r>
                </w:p>
              </w:tc>
              <w:tc>
                <w:tcPr>
                  <w:tcW w:w="1105" w:type="dxa"/>
                  <w:tcBorders>
                    <w:tl2br w:val="nil"/>
                    <w:tr2bl w:val="nil"/>
                  </w:tcBorders>
                  <w:vAlign w:val="center"/>
                </w:tcPr>
                <w:p w14:paraId="7DB1D329">
                  <w:pPr>
                    <w:pStyle w:val="52"/>
                    <w:bidi w:val="0"/>
                    <w:rPr>
                      <w:rFonts w:hint="default"/>
                    </w:rPr>
                  </w:pPr>
                  <w:r>
                    <w:rPr>
                      <w:rFonts w:hint="eastAsia"/>
                      <w:lang w:val="en-US" w:eastAsia="zh-CN"/>
                    </w:rPr>
                    <w:t>0.003</w:t>
                  </w:r>
                </w:p>
              </w:tc>
              <w:tc>
                <w:tcPr>
                  <w:tcW w:w="499" w:type="pct"/>
                  <w:tcBorders>
                    <w:tl2br w:val="nil"/>
                    <w:tr2bl w:val="nil"/>
                  </w:tcBorders>
                  <w:vAlign w:val="center"/>
                </w:tcPr>
                <w:p w14:paraId="0CEFEC66">
                  <w:pPr>
                    <w:pStyle w:val="52"/>
                    <w:bidi w:val="0"/>
                    <w:rPr>
                      <w:rFonts w:hint="eastAsia"/>
                    </w:rPr>
                  </w:pPr>
                  <w:r>
                    <w:rPr>
                      <w:rFonts w:hint="eastAsia"/>
                    </w:rPr>
                    <w:t>室外</w:t>
                  </w:r>
                </w:p>
              </w:tc>
            </w:tr>
            <w:tr w14:paraId="57A5A32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707CB3BD">
                  <w:pPr>
                    <w:pStyle w:val="52"/>
                    <w:bidi w:val="0"/>
                    <w:rPr>
                      <w:rFonts w:hint="default"/>
                      <w:lang w:val="en-US" w:eastAsia="zh-CN"/>
                    </w:rPr>
                  </w:pPr>
                  <w:r>
                    <w:rPr>
                      <w:rFonts w:hint="eastAsia"/>
                      <w:lang w:val="en-US" w:eastAsia="zh-CN"/>
                    </w:rPr>
                    <w:t>14</w:t>
                  </w:r>
                </w:p>
              </w:tc>
              <w:tc>
                <w:tcPr>
                  <w:tcW w:w="3474" w:type="dxa"/>
                  <w:tcBorders>
                    <w:tl2br w:val="nil"/>
                    <w:tr2bl w:val="nil"/>
                  </w:tcBorders>
                  <w:vAlign w:val="center"/>
                </w:tcPr>
                <w:p w14:paraId="37430B7A">
                  <w:pPr>
                    <w:keepNext w:val="0"/>
                    <w:keepLines w:val="0"/>
                    <w:widowControl/>
                    <w:suppressLineNumbers w:val="0"/>
                    <w:jc w:val="center"/>
                    <w:rPr>
                      <w:rFonts w:hint="eastAsia"/>
                    </w:rPr>
                  </w:pPr>
                  <w:r>
                    <w:rPr>
                      <w:rFonts w:hint="eastAsia" w:cs="Times New Roman"/>
                      <w:sz w:val="22"/>
                      <w:szCs w:val="22"/>
                      <w:lang w:val="en-US" w:eastAsia="zh-CN"/>
                    </w:rPr>
                    <w:t>西南侧家属楼</w:t>
                  </w:r>
                </w:p>
              </w:tc>
              <w:tc>
                <w:tcPr>
                  <w:tcW w:w="542" w:type="pct"/>
                  <w:tcBorders>
                    <w:tl2br w:val="nil"/>
                    <w:tr2bl w:val="nil"/>
                  </w:tcBorders>
                  <w:vAlign w:val="center"/>
                </w:tcPr>
                <w:p w14:paraId="614C802F">
                  <w:pPr>
                    <w:pStyle w:val="52"/>
                    <w:bidi w:val="0"/>
                    <w:rPr>
                      <w:rFonts w:hint="default"/>
                      <w:lang w:val="en-US" w:eastAsia="zh-CN"/>
                    </w:rPr>
                  </w:pPr>
                  <w:r>
                    <w:rPr>
                      <w:rFonts w:hint="eastAsia"/>
                      <w:lang w:val="en-US" w:eastAsia="zh-CN"/>
                    </w:rPr>
                    <w:t>0.077</w:t>
                  </w:r>
                </w:p>
              </w:tc>
              <w:tc>
                <w:tcPr>
                  <w:tcW w:w="542" w:type="pct"/>
                  <w:tcBorders>
                    <w:tl2br w:val="nil"/>
                    <w:tr2bl w:val="nil"/>
                  </w:tcBorders>
                  <w:vAlign w:val="center"/>
                </w:tcPr>
                <w:p w14:paraId="6515DE3F">
                  <w:pPr>
                    <w:pStyle w:val="52"/>
                    <w:bidi w:val="0"/>
                    <w:rPr>
                      <w:rFonts w:hint="default"/>
                      <w:lang w:val="en-US" w:eastAsia="zh-CN"/>
                    </w:rPr>
                  </w:pPr>
                  <w:r>
                    <w:rPr>
                      <w:rFonts w:hint="eastAsia"/>
                      <w:lang w:val="en-US" w:eastAsia="zh-CN"/>
                    </w:rPr>
                    <w:t>0.001</w:t>
                  </w:r>
                </w:p>
              </w:tc>
              <w:tc>
                <w:tcPr>
                  <w:tcW w:w="542" w:type="pct"/>
                  <w:tcBorders>
                    <w:tl2br w:val="nil"/>
                    <w:tr2bl w:val="nil"/>
                  </w:tcBorders>
                  <w:vAlign w:val="center"/>
                </w:tcPr>
                <w:p w14:paraId="7D9E4619">
                  <w:pPr>
                    <w:pStyle w:val="52"/>
                    <w:bidi w:val="0"/>
                    <w:rPr>
                      <w:rFonts w:hint="default" w:eastAsia="宋体"/>
                      <w:lang w:val="en-US" w:eastAsia="zh-CN"/>
                    </w:rPr>
                  </w:pPr>
                  <w:r>
                    <w:rPr>
                      <w:rFonts w:hint="eastAsia"/>
                      <w:lang w:val="en-US" w:eastAsia="zh-CN"/>
                    </w:rPr>
                    <w:t>0.092</w:t>
                  </w:r>
                </w:p>
              </w:tc>
              <w:tc>
                <w:tcPr>
                  <w:tcW w:w="1105" w:type="dxa"/>
                  <w:tcBorders>
                    <w:tl2br w:val="nil"/>
                    <w:tr2bl w:val="nil"/>
                  </w:tcBorders>
                  <w:vAlign w:val="center"/>
                </w:tcPr>
                <w:p w14:paraId="50DBB44F">
                  <w:pPr>
                    <w:pStyle w:val="52"/>
                    <w:bidi w:val="0"/>
                    <w:rPr>
                      <w:rFonts w:hint="default"/>
                    </w:rPr>
                  </w:pPr>
                  <w:r>
                    <w:rPr>
                      <w:rFonts w:hint="eastAsia"/>
                      <w:lang w:val="en-US" w:eastAsia="zh-CN"/>
                    </w:rPr>
                    <w:t>0.001</w:t>
                  </w:r>
                </w:p>
              </w:tc>
              <w:tc>
                <w:tcPr>
                  <w:tcW w:w="499" w:type="pct"/>
                  <w:tcBorders>
                    <w:tl2br w:val="nil"/>
                    <w:tr2bl w:val="nil"/>
                  </w:tcBorders>
                  <w:vAlign w:val="center"/>
                </w:tcPr>
                <w:p w14:paraId="1D498659">
                  <w:pPr>
                    <w:pStyle w:val="52"/>
                    <w:bidi w:val="0"/>
                    <w:rPr>
                      <w:rFonts w:hint="eastAsia"/>
                    </w:rPr>
                  </w:pPr>
                  <w:r>
                    <w:rPr>
                      <w:rFonts w:hint="eastAsia"/>
                    </w:rPr>
                    <w:t>室外</w:t>
                  </w:r>
                </w:p>
              </w:tc>
            </w:tr>
            <w:tr w14:paraId="3117D2B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4" w:type="dxa"/>
                  <w:tcBorders>
                    <w:tl2br w:val="nil"/>
                    <w:tr2bl w:val="nil"/>
                  </w:tcBorders>
                  <w:vAlign w:val="center"/>
                </w:tcPr>
                <w:p w14:paraId="6F5A9362">
                  <w:pPr>
                    <w:pStyle w:val="52"/>
                    <w:bidi w:val="0"/>
                    <w:rPr>
                      <w:rFonts w:hint="eastAsia"/>
                      <w:lang w:val="en-US" w:eastAsia="zh-CN"/>
                    </w:rPr>
                  </w:pPr>
                  <w:r>
                    <w:rPr>
                      <w:rFonts w:hint="eastAsia"/>
                      <w:lang w:val="en-US" w:eastAsia="zh-CN"/>
                    </w:rPr>
                    <w:t>15</w:t>
                  </w:r>
                </w:p>
              </w:tc>
              <w:tc>
                <w:tcPr>
                  <w:tcW w:w="3474" w:type="dxa"/>
                  <w:tcBorders>
                    <w:tl2br w:val="nil"/>
                    <w:tr2bl w:val="nil"/>
                  </w:tcBorders>
                  <w:vAlign w:val="center"/>
                </w:tcPr>
                <w:p w14:paraId="5034476B">
                  <w:pPr>
                    <w:pStyle w:val="52"/>
                    <w:bidi w:val="0"/>
                    <w:rPr>
                      <w:rFonts w:hint="eastAsia"/>
                      <w:lang w:val="en-US" w:eastAsia="zh-CN"/>
                    </w:rPr>
                  </w:pPr>
                  <w:r>
                    <w:rPr>
                      <w:rFonts w:hint="eastAsia"/>
                      <w:lang w:val="en-US" w:eastAsia="zh-CN"/>
                    </w:rPr>
                    <w:t>东侧道路</w:t>
                  </w:r>
                </w:p>
              </w:tc>
              <w:tc>
                <w:tcPr>
                  <w:tcW w:w="542" w:type="pct"/>
                  <w:tcBorders>
                    <w:tl2br w:val="nil"/>
                    <w:tr2bl w:val="nil"/>
                  </w:tcBorders>
                  <w:vAlign w:val="center"/>
                </w:tcPr>
                <w:p w14:paraId="23D20FC0">
                  <w:pPr>
                    <w:pStyle w:val="52"/>
                    <w:bidi w:val="0"/>
                    <w:rPr>
                      <w:rFonts w:hint="default"/>
                      <w:lang w:val="en-US" w:eastAsia="zh-CN"/>
                    </w:rPr>
                  </w:pPr>
                  <w:r>
                    <w:rPr>
                      <w:rFonts w:hint="eastAsia"/>
                      <w:lang w:val="en-US" w:eastAsia="zh-CN"/>
                    </w:rPr>
                    <w:t>0.073</w:t>
                  </w:r>
                </w:p>
              </w:tc>
              <w:tc>
                <w:tcPr>
                  <w:tcW w:w="542" w:type="pct"/>
                  <w:tcBorders>
                    <w:tl2br w:val="nil"/>
                    <w:tr2bl w:val="nil"/>
                  </w:tcBorders>
                  <w:vAlign w:val="center"/>
                </w:tcPr>
                <w:p w14:paraId="3589116C">
                  <w:pPr>
                    <w:pStyle w:val="52"/>
                    <w:bidi w:val="0"/>
                    <w:rPr>
                      <w:rFonts w:hint="default"/>
                      <w:lang w:val="en-US" w:eastAsia="zh-CN"/>
                    </w:rPr>
                  </w:pPr>
                  <w:r>
                    <w:rPr>
                      <w:rFonts w:hint="eastAsia"/>
                      <w:lang w:val="en-US" w:eastAsia="zh-CN"/>
                    </w:rPr>
                    <w:t>0.002</w:t>
                  </w:r>
                </w:p>
              </w:tc>
              <w:tc>
                <w:tcPr>
                  <w:tcW w:w="542" w:type="pct"/>
                  <w:tcBorders>
                    <w:tl2br w:val="nil"/>
                    <w:tr2bl w:val="nil"/>
                  </w:tcBorders>
                  <w:vAlign w:val="center"/>
                </w:tcPr>
                <w:p w14:paraId="51DB4C52">
                  <w:pPr>
                    <w:pStyle w:val="52"/>
                    <w:bidi w:val="0"/>
                    <w:rPr>
                      <w:rFonts w:hint="default"/>
                      <w:lang w:val="en-US" w:eastAsia="zh-CN"/>
                    </w:rPr>
                  </w:pPr>
                  <w:r>
                    <w:rPr>
                      <w:rFonts w:hint="eastAsia"/>
                      <w:lang w:val="en-US" w:eastAsia="zh-CN"/>
                    </w:rPr>
                    <w:t>0.088</w:t>
                  </w:r>
                </w:p>
              </w:tc>
              <w:tc>
                <w:tcPr>
                  <w:tcW w:w="1105" w:type="dxa"/>
                  <w:tcBorders>
                    <w:tl2br w:val="nil"/>
                    <w:tr2bl w:val="nil"/>
                  </w:tcBorders>
                  <w:vAlign w:val="center"/>
                </w:tcPr>
                <w:p w14:paraId="4EB3C2B5">
                  <w:pPr>
                    <w:pStyle w:val="52"/>
                    <w:bidi w:val="0"/>
                    <w:rPr>
                      <w:rFonts w:hint="default"/>
                      <w:lang w:val="en-US" w:eastAsia="zh-CN"/>
                    </w:rPr>
                  </w:pPr>
                  <w:r>
                    <w:rPr>
                      <w:rFonts w:hint="eastAsia"/>
                      <w:lang w:val="en-US" w:eastAsia="zh-CN"/>
                    </w:rPr>
                    <w:t>0.002</w:t>
                  </w:r>
                </w:p>
              </w:tc>
              <w:tc>
                <w:tcPr>
                  <w:tcW w:w="499" w:type="pct"/>
                  <w:tcBorders>
                    <w:tl2br w:val="nil"/>
                    <w:tr2bl w:val="nil"/>
                  </w:tcBorders>
                  <w:vAlign w:val="center"/>
                </w:tcPr>
                <w:p w14:paraId="63A6621C">
                  <w:pPr>
                    <w:pStyle w:val="52"/>
                    <w:bidi w:val="0"/>
                    <w:rPr>
                      <w:rFonts w:hint="default" w:eastAsia="宋体"/>
                      <w:lang w:val="en-US" w:eastAsia="zh-CN"/>
                    </w:rPr>
                  </w:pPr>
                  <w:r>
                    <w:rPr>
                      <w:rFonts w:hint="eastAsia"/>
                      <w:lang w:val="en-US" w:eastAsia="zh-CN"/>
                    </w:rPr>
                    <w:t>室外</w:t>
                  </w:r>
                </w:p>
              </w:tc>
            </w:tr>
          </w:tbl>
          <w:p w14:paraId="207056C2">
            <w:pPr>
              <w:widowControl/>
              <w:spacing w:line="360" w:lineRule="auto"/>
              <w:ind w:firstLine="444" w:firstLineChars="200"/>
              <w:jc w:val="left"/>
              <w:rPr>
                <w:rFonts w:hint="default" w:ascii="Times New Roman" w:hAnsi="Times New Roman" w:cs="Times New Roman"/>
                <w:spacing w:val="-9"/>
                <w:sz w:val="24"/>
                <w:szCs w:val="32"/>
                <w:lang w:val="en-US"/>
              </w:rPr>
            </w:pPr>
            <w:r>
              <w:rPr>
                <w:rFonts w:hint="default" w:ascii="Times New Roman" w:hAnsi="Times New Roman" w:cs="Times New Roman"/>
                <w:spacing w:val="-9"/>
                <w:sz w:val="24"/>
                <w:szCs w:val="32"/>
                <w:lang w:val="en-US" w:eastAsia="zh-CN"/>
              </w:rPr>
              <w:t>注：γ辐射剂量率</w:t>
            </w:r>
            <m:oMath>
              <m:sSub>
                <m:sSubPr>
                  <m:ctrlPr>
                    <w:rPr>
                      <w:rFonts w:hint="default" w:ascii="Cambria Math" w:hAnsi="Cambria Math" w:cs="Times New Roman"/>
                      <w:spacing w:val="-9"/>
                      <w:sz w:val="24"/>
                      <w:szCs w:val="32"/>
                      <w:lang w:val="en-US"/>
                    </w:rPr>
                  </m:ctrlPr>
                </m:sSubPr>
                <m:e>
                  <m:eqArr>
                    <m:eqArrPr>
                      <m:ctrlPr>
                        <w:rPr>
                          <w:rFonts w:hint="default" w:ascii="Cambria Math" w:hAnsi="Cambria Math" w:cs="Times New Roman"/>
                          <w:spacing w:val="-9"/>
                          <w:sz w:val="24"/>
                          <w:szCs w:val="32"/>
                          <w:lang w:val="en-US" w:eastAsia="zh-CN"/>
                        </w:rPr>
                      </m:ctrlPr>
                    </m:eqArrPr>
                    <m:e>
                      <m:r>
                        <m:rPr>
                          <m:nor/>
                          <m:sty m:val="p"/>
                        </m:rPr>
                        <w:rPr>
                          <w:rFonts w:hint="default" w:ascii="Times New Roman" w:hAnsi="Times New Roman" w:cs="Times New Roman"/>
                          <w:b w:val="0"/>
                          <w:i w:val="0"/>
                          <w:spacing w:val="-9"/>
                          <w:sz w:val="24"/>
                          <w:szCs w:val="32"/>
                          <w:lang w:val="en-US" w:eastAsia="zh-CN"/>
                        </w:rPr>
                        <m:t>.</m:t>
                      </m:r>
                      <m:ctrlPr>
                        <w:rPr>
                          <w:rFonts w:hint="default" w:ascii="Cambria Math" w:hAnsi="Cambria Math" w:cs="Times New Roman"/>
                          <w:spacing w:val="-9"/>
                          <w:sz w:val="24"/>
                          <w:szCs w:val="32"/>
                          <w:lang w:val="en-US" w:eastAsia="zh-CN"/>
                        </w:rPr>
                      </m:ctrlPr>
                    </m:e>
                    <m:e>
                      <m:r>
                        <m:rPr>
                          <m:nor/>
                          <m:sty m:val="p"/>
                        </m:rPr>
                        <w:rPr>
                          <w:rFonts w:hint="default" w:ascii="Times New Roman" w:hAnsi="Times New Roman" w:cs="Times New Roman"/>
                          <w:b w:val="0"/>
                          <w:i w:val="0"/>
                          <w:spacing w:val="-9"/>
                          <w:sz w:val="24"/>
                          <w:szCs w:val="32"/>
                          <w:lang w:val="en-US" w:eastAsia="zh-CN"/>
                        </w:rPr>
                        <m:t>D</m:t>
                      </m:r>
                      <m:ctrlPr>
                        <w:rPr>
                          <w:rFonts w:hint="default" w:ascii="Cambria Math" w:hAnsi="Cambria Math" w:cs="Times New Roman"/>
                          <w:spacing w:val="-9"/>
                          <w:sz w:val="24"/>
                          <w:szCs w:val="32"/>
                          <w:lang w:val="en-US"/>
                        </w:rPr>
                      </m:ctrlPr>
                    </m:e>
                  </m:eqArr>
                  <m:ctrlPr>
                    <w:rPr>
                      <w:rFonts w:hint="default" w:ascii="Cambria Math" w:hAnsi="Cambria Math" w:cs="Times New Roman"/>
                      <w:spacing w:val="-9"/>
                      <w:sz w:val="24"/>
                      <w:szCs w:val="32"/>
                      <w:lang w:val="en-US" w:eastAsia="zh-CN"/>
                    </w:rPr>
                  </m:ctrlPr>
                </m:e>
                <m:sub>
                  <m:r>
                    <m:rPr>
                      <m:nor/>
                      <m:sty m:val="p"/>
                    </m:rPr>
                    <w:rPr>
                      <w:rFonts w:hint="default" w:ascii="Times New Roman" w:hAnsi="Times New Roman" w:cs="Times New Roman"/>
                      <w:b w:val="0"/>
                      <w:i w:val="0"/>
                      <w:spacing w:val="-9"/>
                      <w:sz w:val="24"/>
                      <w:szCs w:val="32"/>
                      <w:lang w:val="en-US" w:eastAsia="zh-CN"/>
                    </w:rPr>
                    <m:t>γ</m:t>
                  </m:r>
                  <m:ctrlPr>
                    <w:rPr>
                      <w:rFonts w:hint="default" w:ascii="Cambria Math" w:hAnsi="Cambria Math" w:cs="Times New Roman"/>
                      <w:spacing w:val="-9"/>
                      <w:sz w:val="24"/>
                      <w:szCs w:val="32"/>
                      <w:lang w:val="en-US"/>
                    </w:rPr>
                  </m:ctrlPr>
                </m:sub>
              </m:sSub>
            </m:oMath>
            <w:r>
              <w:rPr>
                <w:rFonts w:hint="default" w:ascii="Times New Roman" w:hAnsi="Times New Roman" w:cs="Times New Roman"/>
                <w:spacing w:val="-9"/>
                <w:sz w:val="24"/>
                <w:szCs w:val="32"/>
                <w:lang w:val="en-US" w:eastAsia="zh-CN"/>
              </w:rPr>
              <w:t>=K</w:t>
            </w:r>
            <w:r>
              <w:rPr>
                <w:rFonts w:hint="default" w:ascii="Times New Roman" w:hAnsi="Times New Roman" w:cs="Times New Roman"/>
                <w:spacing w:val="-9"/>
                <w:sz w:val="24"/>
                <w:szCs w:val="32"/>
                <w:vertAlign w:val="subscript"/>
                <w:lang w:val="en-US" w:eastAsia="zh-CN"/>
              </w:rPr>
              <w:t>1</w:t>
            </w:r>
            <m:oMath>
              <m:r>
                <m:rPr>
                  <m:nor/>
                  <m:sty m:val="p"/>
                </m:rPr>
                <w:rPr>
                  <w:rFonts w:hint="default" w:ascii="Times New Roman" w:hAnsi="Times New Roman" w:cs="Times New Roman"/>
                  <w:b w:val="0"/>
                  <w:i w:val="0"/>
                  <w:spacing w:val="-9"/>
                  <w:sz w:val="24"/>
                  <w:szCs w:val="32"/>
                  <w:lang w:val="en-US"/>
                </w:rPr>
                <m:t>×</m:t>
              </m:r>
            </m:oMath>
            <w:r>
              <w:rPr>
                <w:rFonts w:hint="default" w:ascii="Times New Roman" w:hAnsi="Times New Roman" w:cs="Times New Roman"/>
                <w:spacing w:val="-9"/>
                <w:sz w:val="24"/>
                <w:szCs w:val="32"/>
                <w:lang w:val="en-US" w:eastAsia="zh-CN"/>
              </w:rPr>
              <w:t>K</w:t>
            </w:r>
            <w:r>
              <w:rPr>
                <w:rFonts w:hint="default" w:ascii="Times New Roman" w:hAnsi="Times New Roman" w:cs="Times New Roman"/>
                <w:spacing w:val="-9"/>
                <w:sz w:val="24"/>
                <w:szCs w:val="32"/>
                <w:vertAlign w:val="subscript"/>
                <w:lang w:val="en-US" w:eastAsia="zh-CN"/>
              </w:rPr>
              <w:t>2</w:t>
            </w:r>
            <m:oMath>
              <m:r>
                <m:rPr>
                  <m:nor/>
                  <m:sty m:val="p"/>
                </m:rPr>
                <w:rPr>
                  <w:rFonts w:hint="default" w:ascii="Times New Roman" w:hAnsi="Times New Roman" w:cs="Times New Roman"/>
                  <w:b w:val="0"/>
                  <w:i w:val="0"/>
                  <w:spacing w:val="-9"/>
                  <w:sz w:val="24"/>
                  <w:szCs w:val="32"/>
                  <w:lang w:val="en-US"/>
                </w:rPr>
                <m:t>×</m:t>
              </m:r>
            </m:oMath>
            <w:r>
              <w:rPr>
                <w:rFonts w:hint="default" w:ascii="Times New Roman" w:hAnsi="Times New Roman" w:cs="Times New Roman"/>
                <w:spacing w:val="-9"/>
                <w:sz w:val="24"/>
                <w:szCs w:val="32"/>
                <w:lang w:val="en-US" w:eastAsia="zh-CN"/>
              </w:rPr>
              <w:t>Rγ</w:t>
            </w:r>
            <m:oMath>
              <m:r>
                <m:rPr>
                  <m:nor/>
                  <m:sty m:val="p"/>
                </m:rPr>
                <w:rPr>
                  <w:rFonts w:hint="default" w:ascii="Times New Roman" w:hAnsi="Times New Roman" w:cs="Times New Roman"/>
                  <w:b w:val="0"/>
                  <w:i w:val="0"/>
                  <w:spacing w:val="-9"/>
                  <w:sz w:val="24"/>
                  <w:szCs w:val="32"/>
                  <w:lang w:val="en-US"/>
                </w:rPr>
                <m:t>−</m:t>
              </m:r>
              <m:sSub>
                <m:sSubPr>
                  <m:ctrlPr>
                    <w:rPr>
                      <w:rFonts w:hint="default" w:ascii="Cambria Math" w:hAnsi="Cambria Math" w:cs="Times New Roman"/>
                      <w:spacing w:val="-9"/>
                      <w:sz w:val="24"/>
                      <w:szCs w:val="32"/>
                      <w:lang w:val="en-US"/>
                    </w:rPr>
                  </m:ctrlPr>
                </m:sSubPr>
                <m:e>
                  <m:r>
                    <m:rPr>
                      <m:nor/>
                      <m:sty m:val="p"/>
                    </m:rPr>
                    <w:rPr>
                      <w:rFonts w:hint="default" w:ascii="Times New Roman" w:hAnsi="Times New Roman" w:cs="Times New Roman"/>
                      <w:b w:val="0"/>
                      <w:i w:val="0"/>
                      <w:spacing w:val="-9"/>
                      <w:sz w:val="24"/>
                      <w:szCs w:val="32"/>
                      <w:lang w:val="en-US" w:eastAsia="zh-CN"/>
                    </w:rPr>
                    <m:t>K</m:t>
                  </m:r>
                  <m:ctrlPr>
                    <w:rPr>
                      <w:rFonts w:hint="default" w:ascii="Cambria Math" w:hAnsi="Cambria Math" w:cs="Times New Roman"/>
                      <w:spacing w:val="-9"/>
                      <w:sz w:val="24"/>
                      <w:szCs w:val="32"/>
                      <w:lang w:val="en-US"/>
                    </w:rPr>
                  </m:ctrlPr>
                </m:e>
                <m:sub>
                  <m:r>
                    <m:rPr>
                      <m:nor/>
                      <m:sty m:val="p"/>
                    </m:rPr>
                    <w:rPr>
                      <w:rFonts w:hint="default" w:ascii="Times New Roman" w:hAnsi="Times New Roman" w:cs="Times New Roman"/>
                      <w:b w:val="0"/>
                      <w:i w:val="0"/>
                      <w:spacing w:val="-9"/>
                      <w:sz w:val="24"/>
                      <w:szCs w:val="32"/>
                      <w:lang w:val="en-US" w:eastAsia="zh-CN"/>
                    </w:rPr>
                    <m:t>3</m:t>
                  </m:r>
                  <m:ctrlPr>
                    <w:rPr>
                      <w:rFonts w:hint="default" w:ascii="Cambria Math" w:hAnsi="Cambria Math" w:cs="Times New Roman"/>
                      <w:spacing w:val="-9"/>
                      <w:sz w:val="24"/>
                      <w:szCs w:val="32"/>
                      <w:lang w:val="en-US"/>
                    </w:rPr>
                  </m:ctrlPr>
                </m:sub>
              </m:sSub>
              <m:r>
                <m:rPr>
                  <m:nor/>
                  <m:sty m:val="p"/>
                </m:rPr>
                <w:rPr>
                  <w:rFonts w:hint="default" w:ascii="Times New Roman" w:hAnsi="Times New Roman" w:cs="Times New Roman"/>
                  <w:b w:val="0"/>
                  <w:i w:val="0"/>
                  <w:spacing w:val="-9"/>
                  <w:sz w:val="24"/>
                  <w:szCs w:val="32"/>
                  <w:lang w:val="en-US"/>
                </w:rPr>
                <m:t>×</m:t>
              </m:r>
              <m:m>
                <m:mPr>
                  <m:mcs>
                    <m:mc>
                      <m:mcPr>
                        <m:count m:val="1"/>
                        <m:mcJc m:val="center"/>
                      </m:mcPr>
                    </m:mc>
                  </m:mcs>
                  <m:ctrlPr>
                    <w:rPr>
                      <w:rFonts w:hint="default" w:ascii="Cambria Math" w:hAnsi="Cambria Math" w:cs="Times New Roman"/>
                      <w:spacing w:val="-9"/>
                      <w:sz w:val="24"/>
                      <w:szCs w:val="32"/>
                      <w:lang w:val="en-US"/>
                    </w:rPr>
                  </m:ctrlPr>
                </m:mPr>
                <m:mr>
                  <m:e>
                    <m:r>
                      <m:rPr>
                        <m:nor/>
                        <m:sty m:val="p"/>
                      </m:rPr>
                      <w:rPr>
                        <w:rFonts w:hint="default" w:ascii="Times New Roman" w:hAnsi="Times New Roman" w:cs="Times New Roman"/>
                        <w:b w:val="0"/>
                        <w:i w:val="0"/>
                        <w:spacing w:val="-9"/>
                        <w:sz w:val="24"/>
                        <w:szCs w:val="32"/>
                        <w:lang w:val="en-US" w:eastAsia="zh-CN"/>
                      </w:rPr>
                      <m:t>.</m:t>
                    </m:r>
                    <m:ctrlPr>
                      <w:rPr>
                        <w:rFonts w:hint="default" w:ascii="Cambria Math" w:hAnsi="Cambria Math" w:cs="Times New Roman"/>
                        <w:spacing w:val="-9"/>
                        <w:sz w:val="24"/>
                        <w:szCs w:val="32"/>
                        <w:lang w:val="en-US"/>
                      </w:rPr>
                    </m:ctrlPr>
                  </m:e>
                </m:mr>
                <m:mr>
                  <m:e>
                    <m:sSub>
                      <m:sSubPr>
                        <m:ctrlPr>
                          <w:rPr>
                            <w:rFonts w:hint="default" w:ascii="Cambria Math" w:hAnsi="Cambria Math" w:cs="Times New Roman"/>
                            <w:spacing w:val="-9"/>
                            <w:sz w:val="24"/>
                            <w:szCs w:val="32"/>
                            <w:lang w:val="en-US"/>
                          </w:rPr>
                        </m:ctrlPr>
                      </m:sSubPr>
                      <m:e>
                        <m:r>
                          <m:rPr>
                            <m:nor/>
                            <m:sty m:val="p"/>
                          </m:rPr>
                          <w:rPr>
                            <w:rFonts w:hint="default" w:ascii="Times New Roman" w:hAnsi="Times New Roman" w:cs="Times New Roman"/>
                            <w:b w:val="0"/>
                            <w:i w:val="0"/>
                            <w:spacing w:val="-9"/>
                            <w:sz w:val="24"/>
                            <w:szCs w:val="32"/>
                            <w:lang w:val="en-US" w:eastAsia="zh-CN"/>
                          </w:rPr>
                          <m:t>D</m:t>
                        </m:r>
                        <m:ctrlPr>
                          <w:rPr>
                            <w:rFonts w:hint="default" w:ascii="Cambria Math" w:hAnsi="Cambria Math" w:cs="Times New Roman"/>
                            <w:spacing w:val="-9"/>
                            <w:sz w:val="24"/>
                            <w:szCs w:val="32"/>
                            <w:lang w:val="en-US"/>
                          </w:rPr>
                        </m:ctrlPr>
                      </m:e>
                      <m:sub>
                        <m:r>
                          <m:rPr>
                            <m:nor/>
                            <m:sty m:val="p"/>
                          </m:rPr>
                          <w:rPr>
                            <w:rFonts w:hint="default" w:ascii="Times New Roman" w:hAnsi="Times New Roman" w:cs="Times New Roman"/>
                            <w:b w:val="0"/>
                            <w:i w:val="0"/>
                            <w:spacing w:val="-9"/>
                            <w:sz w:val="24"/>
                            <w:szCs w:val="32"/>
                            <w:lang w:val="en-US" w:eastAsia="zh-CN"/>
                          </w:rPr>
                          <m:t>c</m:t>
                        </m:r>
                        <m:ctrlPr>
                          <w:rPr>
                            <w:rFonts w:hint="default" w:ascii="Cambria Math" w:hAnsi="Cambria Math" w:cs="Times New Roman"/>
                            <w:spacing w:val="-9"/>
                            <w:sz w:val="24"/>
                            <w:szCs w:val="32"/>
                            <w:lang w:val="en-US"/>
                          </w:rPr>
                        </m:ctrlPr>
                      </m:sub>
                    </m:sSub>
                    <m:ctrlPr>
                      <w:rPr>
                        <w:rFonts w:hint="default" w:ascii="Cambria Math" w:hAnsi="Cambria Math" w:cs="Times New Roman"/>
                        <w:spacing w:val="-9"/>
                        <w:sz w:val="24"/>
                        <w:szCs w:val="32"/>
                        <w:lang w:val="en-US"/>
                      </w:rPr>
                    </m:ctrlPr>
                  </m:e>
                </m:mr>
              </m:m>
            </m:oMath>
            <w:r>
              <w:rPr>
                <w:rFonts w:hint="default" w:ascii="Times New Roman" w:hAnsi="Times New Roman" w:cs="Times New Roman"/>
                <w:spacing w:val="-9"/>
                <w:sz w:val="24"/>
                <w:szCs w:val="32"/>
                <w:lang w:val="en-US" w:eastAsia="zh-CN"/>
              </w:rPr>
              <w:t>，未扣除宇宙射线响应值。</w:t>
            </w:r>
          </w:p>
          <w:p w14:paraId="2EDE400E">
            <w:pPr>
              <w:widowControl/>
              <w:spacing w:line="360" w:lineRule="auto"/>
              <w:ind w:firstLine="444" w:firstLineChars="200"/>
              <w:jc w:val="left"/>
              <w:rPr>
                <w:rFonts w:hint="default" w:ascii="Times New Roman" w:hAnsi="Times New Roman" w:cs="Times New Roman"/>
                <w:spacing w:val="-9"/>
                <w:sz w:val="24"/>
                <w:szCs w:val="32"/>
                <w:lang w:val="en-US" w:eastAsia="zh-CN"/>
              </w:rPr>
            </w:pPr>
            <w:r>
              <w:rPr>
                <w:rFonts w:hint="default" w:ascii="Times New Roman" w:hAnsi="Times New Roman" w:cs="Times New Roman"/>
                <w:spacing w:val="-9"/>
                <w:sz w:val="24"/>
                <w:szCs w:val="32"/>
                <w:lang w:val="en-US" w:eastAsia="zh-CN"/>
              </w:rPr>
              <w:t>（K1=1.02；K2=1；Rγ为仪器测量读数值均值Sv/h；</w:t>
            </w:r>
          </w:p>
          <w:p w14:paraId="137341EC">
            <w:pPr>
              <w:widowControl/>
              <w:spacing w:line="360" w:lineRule="auto"/>
              <w:ind w:firstLine="444" w:firstLineChars="200"/>
              <w:jc w:val="left"/>
              <w:rPr>
                <w:rFonts w:hint="default" w:ascii="Times New Roman" w:hAnsi="Times New Roman" w:cs="Times New Roman"/>
                <w:spacing w:val="-9"/>
                <w:sz w:val="24"/>
                <w:szCs w:val="32"/>
                <w:lang w:val="en-US" w:eastAsia="zh-CN"/>
              </w:rPr>
            </w:pPr>
            <w:r>
              <w:rPr>
                <w:rFonts w:hint="default" w:ascii="Times New Roman" w:hAnsi="Times New Roman" w:cs="Times New Roman"/>
                <w:spacing w:val="-9"/>
                <w:sz w:val="24"/>
                <w:szCs w:val="32"/>
                <w:lang w:val="en-US" w:eastAsia="zh-CN"/>
              </w:rPr>
              <w:t>Sv与Gy的转换系数：1.20Sv/Gy（监测仪器校准源为</w:t>
            </w:r>
            <w:r>
              <w:rPr>
                <w:rFonts w:hint="default" w:ascii="Times New Roman" w:hAnsi="Times New Roman" w:cs="Times New Roman"/>
                <w:spacing w:val="-9"/>
                <w:sz w:val="24"/>
                <w:szCs w:val="32"/>
                <w:vertAlign w:val="superscript"/>
                <w:lang w:val="en-US" w:eastAsia="zh-CN"/>
              </w:rPr>
              <w:t>137</w:t>
            </w:r>
            <w:r>
              <w:rPr>
                <w:rFonts w:hint="default" w:ascii="Times New Roman" w:hAnsi="Times New Roman" w:cs="Times New Roman"/>
                <w:spacing w:val="-9"/>
                <w:sz w:val="24"/>
                <w:szCs w:val="32"/>
                <w:lang w:val="en-US" w:eastAsia="zh-CN"/>
              </w:rPr>
              <w:t>Cs）</w:t>
            </w:r>
          </w:p>
          <w:p w14:paraId="54938FE8">
            <w:pPr>
              <w:widowControl/>
              <w:spacing w:line="360" w:lineRule="auto"/>
              <w:ind w:firstLine="444" w:firstLineChars="200"/>
              <w:jc w:val="left"/>
              <w:rPr>
                <w:rFonts w:hint="default" w:ascii="Times New Roman" w:hAnsi="Times New Roman" w:cs="Times New Roman"/>
                <w:spacing w:val="-9"/>
                <w:sz w:val="24"/>
                <w:szCs w:val="32"/>
                <w:lang w:val="en-US" w:eastAsia="zh-CN"/>
              </w:rPr>
            </w:pPr>
            <m:oMath>
              <m:sSub>
                <m:sSubPr>
                  <m:ctrlPr>
                    <w:rPr>
                      <w:rFonts w:hint="default" w:ascii="Cambria Math" w:hAnsi="Cambria Math" w:cs="Times New Roman"/>
                      <w:spacing w:val="-9"/>
                      <w:sz w:val="24"/>
                      <w:szCs w:val="32"/>
                      <w:lang w:val="en-US"/>
                    </w:rPr>
                  </m:ctrlPr>
                </m:sSubPr>
                <m:e>
                  <m:r>
                    <m:rPr>
                      <m:nor/>
                      <m:sty m:val="p"/>
                    </m:rPr>
                    <w:rPr>
                      <w:rFonts w:hint="default" w:ascii="Times New Roman" w:hAnsi="Times New Roman" w:cs="Times New Roman"/>
                      <w:b w:val="0"/>
                      <w:i w:val="0"/>
                      <w:spacing w:val="-9"/>
                      <w:sz w:val="24"/>
                      <w:szCs w:val="32"/>
                      <w:lang w:val="en-US" w:eastAsia="zh-CN"/>
                    </w:rPr>
                    <m:t>K</m:t>
                  </m:r>
                  <m:ctrlPr>
                    <w:rPr>
                      <w:rFonts w:hint="default" w:ascii="Cambria Math" w:hAnsi="Cambria Math" w:cs="Times New Roman"/>
                      <w:spacing w:val="-9"/>
                      <w:sz w:val="24"/>
                      <w:szCs w:val="32"/>
                      <w:lang w:val="en-US"/>
                    </w:rPr>
                  </m:ctrlPr>
                </m:e>
                <m:sub>
                  <m:r>
                    <m:rPr>
                      <m:nor/>
                      <m:sty m:val="p"/>
                    </m:rPr>
                    <w:rPr>
                      <w:rFonts w:hint="default" w:ascii="Times New Roman" w:hAnsi="Times New Roman" w:cs="Times New Roman"/>
                      <w:b w:val="0"/>
                      <w:i w:val="0"/>
                      <w:spacing w:val="-9"/>
                      <w:sz w:val="24"/>
                      <w:szCs w:val="32"/>
                      <w:lang w:val="en-US" w:eastAsia="zh-CN"/>
                    </w:rPr>
                    <m:t>1</m:t>
                  </m:r>
                  <m:ctrlPr>
                    <w:rPr>
                      <w:rFonts w:hint="default" w:ascii="Cambria Math" w:hAnsi="Cambria Math" w:cs="Times New Roman"/>
                      <w:spacing w:val="-9"/>
                      <w:sz w:val="24"/>
                      <w:szCs w:val="32"/>
                      <w:lang w:val="en-US"/>
                    </w:rPr>
                  </m:ctrlPr>
                </m:sub>
              </m:sSub>
            </m:oMath>
            <w:r>
              <w:rPr>
                <w:rFonts w:hint="default" w:ascii="Times New Roman" w:hAnsi="Times New Roman" w:cs="Times New Roman"/>
                <w:spacing w:val="-9"/>
                <w:sz w:val="24"/>
                <w:szCs w:val="32"/>
                <w:lang w:val="en-US" w:eastAsia="zh-CN"/>
              </w:rPr>
              <w:t>：仪器校准因子（1.02）。</w:t>
            </w:r>
          </w:p>
          <w:p w14:paraId="35E7C332">
            <w:pPr>
              <w:widowControl/>
              <w:spacing w:line="360" w:lineRule="auto"/>
              <w:ind w:firstLine="444" w:firstLineChars="200"/>
              <w:jc w:val="left"/>
              <w:rPr>
                <w:rFonts w:hint="default" w:ascii="Times New Roman" w:hAnsi="Times New Roman" w:cs="Times New Roman"/>
                <w:spacing w:val="-9"/>
                <w:sz w:val="24"/>
                <w:szCs w:val="32"/>
                <w:lang w:val="en-US" w:eastAsia="zh-CN"/>
              </w:rPr>
            </w:pPr>
            <m:oMath>
              <m:sSub>
                <m:sSubPr>
                  <m:ctrlPr>
                    <w:rPr>
                      <w:rFonts w:hint="default" w:ascii="Cambria Math" w:hAnsi="Cambria Math" w:cs="Times New Roman"/>
                      <w:spacing w:val="-9"/>
                      <w:sz w:val="24"/>
                      <w:szCs w:val="32"/>
                      <w:lang w:val="en-US"/>
                    </w:rPr>
                  </m:ctrlPr>
                </m:sSubPr>
                <m:e>
                  <m:r>
                    <m:rPr>
                      <m:nor/>
                      <m:sty m:val="p"/>
                    </m:rPr>
                    <w:rPr>
                      <w:rFonts w:hint="default" w:ascii="Times New Roman" w:hAnsi="Times New Roman" w:cs="Times New Roman"/>
                      <w:b w:val="0"/>
                      <w:i w:val="0"/>
                      <w:spacing w:val="-9"/>
                      <w:sz w:val="24"/>
                      <w:szCs w:val="32"/>
                      <w:lang w:val="en-US" w:eastAsia="zh-CN"/>
                    </w:rPr>
                    <m:t>K</m:t>
                  </m:r>
                  <m:ctrlPr>
                    <w:rPr>
                      <w:rFonts w:hint="default" w:ascii="Cambria Math" w:hAnsi="Cambria Math" w:cs="Times New Roman"/>
                      <w:spacing w:val="-9"/>
                      <w:sz w:val="24"/>
                      <w:szCs w:val="32"/>
                      <w:lang w:val="en-US"/>
                    </w:rPr>
                  </m:ctrlPr>
                </m:e>
                <m:sub>
                  <m:r>
                    <m:rPr>
                      <m:nor/>
                      <m:sty m:val="p"/>
                    </m:rPr>
                    <w:rPr>
                      <w:rFonts w:hint="default" w:ascii="Times New Roman" w:hAnsi="Times New Roman" w:cs="Times New Roman"/>
                      <w:b w:val="0"/>
                      <w:i w:val="0"/>
                      <w:spacing w:val="-9"/>
                      <w:sz w:val="24"/>
                      <w:szCs w:val="32"/>
                      <w:lang w:val="en-US" w:eastAsia="zh-CN"/>
                    </w:rPr>
                    <m:t>2</m:t>
                  </m:r>
                  <m:ctrlPr>
                    <w:rPr>
                      <w:rFonts w:hint="default" w:ascii="Cambria Math" w:hAnsi="Cambria Math" w:cs="Times New Roman"/>
                      <w:spacing w:val="-9"/>
                      <w:sz w:val="24"/>
                      <w:szCs w:val="32"/>
                      <w:lang w:val="en-US"/>
                    </w:rPr>
                  </m:ctrlPr>
                </m:sub>
              </m:sSub>
            </m:oMath>
            <w:r>
              <w:rPr>
                <w:rFonts w:hint="default" w:ascii="Times New Roman" w:hAnsi="Times New Roman" w:cs="Times New Roman"/>
                <w:spacing w:val="-9"/>
                <w:sz w:val="24"/>
                <w:szCs w:val="32"/>
                <w:lang w:val="en-US" w:eastAsia="zh-CN"/>
              </w:rPr>
              <w:t>：仪器检验源校准因子（无检验源，该值取1）。</w:t>
            </w:r>
          </w:p>
          <w:p w14:paraId="1A2EC11E">
            <w:pPr>
              <w:widowControl/>
              <w:spacing w:line="360" w:lineRule="auto"/>
              <w:ind w:firstLine="444" w:firstLineChars="200"/>
              <w:jc w:val="left"/>
              <w:rPr>
                <w:rFonts w:hint="default" w:ascii="Times New Roman" w:hAnsi="Times New Roman" w:cs="Times New Roman"/>
                <w:spacing w:val="-9"/>
                <w:sz w:val="24"/>
                <w:szCs w:val="32"/>
                <w:lang w:val="en-US" w:eastAsia="zh-CN"/>
              </w:rPr>
            </w:pPr>
            <m:oMath>
              <m:sSub>
                <m:sSubPr>
                  <m:ctrlPr>
                    <w:rPr>
                      <w:rFonts w:hint="default" w:ascii="Cambria Math" w:hAnsi="Cambria Math" w:cs="Times New Roman"/>
                      <w:spacing w:val="-9"/>
                      <w:sz w:val="24"/>
                      <w:szCs w:val="32"/>
                      <w:lang w:val="en-US"/>
                    </w:rPr>
                  </m:ctrlPr>
                </m:sSubPr>
                <m:e>
                  <m:r>
                    <m:rPr>
                      <m:nor/>
                      <m:sty m:val="p"/>
                    </m:rPr>
                    <w:rPr>
                      <w:rFonts w:hint="default" w:ascii="Times New Roman" w:hAnsi="Times New Roman" w:cs="Times New Roman"/>
                      <w:b w:val="0"/>
                      <w:i w:val="0"/>
                      <w:spacing w:val="-9"/>
                      <w:sz w:val="24"/>
                      <w:szCs w:val="32"/>
                      <w:lang w:val="en-US" w:eastAsia="zh-CN"/>
                    </w:rPr>
                    <m:t>K</m:t>
                  </m:r>
                  <m:ctrlPr>
                    <w:rPr>
                      <w:rFonts w:hint="default" w:ascii="Cambria Math" w:hAnsi="Cambria Math" w:cs="Times New Roman"/>
                      <w:spacing w:val="-9"/>
                      <w:sz w:val="24"/>
                      <w:szCs w:val="32"/>
                      <w:lang w:val="en-US"/>
                    </w:rPr>
                  </m:ctrlPr>
                </m:e>
                <m:sub>
                  <m:r>
                    <m:rPr>
                      <m:nor/>
                      <m:sty m:val="p"/>
                    </m:rPr>
                    <w:rPr>
                      <w:rFonts w:hint="default" w:ascii="Times New Roman" w:hAnsi="Times New Roman" w:cs="Times New Roman"/>
                      <w:b w:val="0"/>
                      <w:i w:val="0"/>
                      <w:spacing w:val="-9"/>
                      <w:sz w:val="24"/>
                      <w:szCs w:val="32"/>
                      <w:lang w:val="en-US" w:eastAsia="zh-CN"/>
                    </w:rPr>
                    <m:t>3</m:t>
                  </m:r>
                  <m:ctrlPr>
                    <w:rPr>
                      <w:rFonts w:hint="default" w:ascii="Cambria Math" w:hAnsi="Cambria Math" w:cs="Times New Roman"/>
                      <w:spacing w:val="-9"/>
                      <w:sz w:val="24"/>
                      <w:szCs w:val="32"/>
                      <w:lang w:val="en-US"/>
                    </w:rPr>
                  </m:ctrlPr>
                </m:sub>
              </m:sSub>
            </m:oMath>
            <w:r>
              <w:rPr>
                <w:rFonts w:hint="default" w:ascii="Times New Roman" w:hAnsi="Times New Roman" w:cs="Times New Roman"/>
                <w:spacing w:val="-9"/>
                <w:sz w:val="24"/>
                <w:szCs w:val="32"/>
                <w:lang w:val="en-US" w:eastAsia="zh-CN"/>
              </w:rPr>
              <w:t>：建筑物对宇宙射线的屏蔽因子。</w:t>
            </w:r>
          </w:p>
          <w:p w14:paraId="220EF398">
            <w:pPr>
              <w:widowControl/>
              <w:spacing w:line="360" w:lineRule="auto"/>
              <w:ind w:firstLine="444" w:firstLineChars="200"/>
              <w:jc w:val="left"/>
              <w:rPr>
                <w:rFonts w:hint="default" w:ascii="Times New Roman" w:hAnsi="Times New Roman" w:cs="Times New Roman"/>
                <w:spacing w:val="-9"/>
                <w:sz w:val="24"/>
                <w:szCs w:val="32"/>
              </w:rPr>
            </w:pPr>
            <m:oMath>
              <m:m>
                <m:mPr>
                  <m:mcs>
                    <m:mc>
                      <m:mcPr>
                        <m:count m:val="1"/>
                        <m:mcJc m:val="center"/>
                      </m:mcPr>
                    </m:mc>
                  </m:mcs>
                  <m:ctrlPr>
                    <w:rPr>
                      <w:rFonts w:hint="default" w:ascii="Cambria Math" w:hAnsi="Cambria Math" w:cs="Times New Roman"/>
                      <w:spacing w:val="-9"/>
                      <w:sz w:val="24"/>
                      <w:szCs w:val="32"/>
                      <w:lang w:val="en-US"/>
                    </w:rPr>
                  </m:ctrlPr>
                </m:mPr>
                <m:mr>
                  <m:e>
                    <m:r>
                      <m:rPr>
                        <m:nor/>
                        <m:sty m:val="p"/>
                      </m:rPr>
                      <w:rPr>
                        <w:rFonts w:hint="default" w:ascii="Times New Roman" w:hAnsi="Times New Roman" w:cs="Times New Roman"/>
                        <w:b w:val="0"/>
                        <w:i w:val="0"/>
                        <w:spacing w:val="-9"/>
                        <w:sz w:val="24"/>
                        <w:szCs w:val="32"/>
                        <w:lang w:val="en-US" w:eastAsia="zh-CN"/>
                      </w:rPr>
                      <m:t>.</m:t>
                    </m:r>
                    <m:ctrlPr>
                      <w:rPr>
                        <w:rFonts w:hint="default" w:ascii="Cambria Math" w:hAnsi="Cambria Math" w:cs="Times New Roman"/>
                        <w:spacing w:val="-9"/>
                        <w:sz w:val="24"/>
                        <w:szCs w:val="32"/>
                        <w:lang w:val="en-US"/>
                      </w:rPr>
                    </m:ctrlPr>
                  </m:e>
                </m:mr>
                <m:mr>
                  <m:e>
                    <m:sSub>
                      <m:sSubPr>
                        <m:ctrlPr>
                          <w:rPr>
                            <w:rFonts w:hint="default" w:ascii="Cambria Math" w:hAnsi="Cambria Math" w:cs="Times New Roman"/>
                            <w:spacing w:val="-9"/>
                            <w:sz w:val="24"/>
                            <w:szCs w:val="32"/>
                            <w:lang w:val="en-US"/>
                          </w:rPr>
                        </m:ctrlPr>
                      </m:sSubPr>
                      <m:e>
                        <m:r>
                          <m:rPr>
                            <m:nor/>
                            <m:sty m:val="p"/>
                          </m:rPr>
                          <w:rPr>
                            <w:rFonts w:hint="default" w:ascii="Times New Roman" w:hAnsi="Times New Roman" w:cs="Times New Roman"/>
                            <w:b w:val="0"/>
                            <w:i w:val="0"/>
                            <w:spacing w:val="-9"/>
                            <w:sz w:val="24"/>
                            <w:szCs w:val="32"/>
                            <w:lang w:val="en-US" w:eastAsia="zh-CN"/>
                          </w:rPr>
                          <m:t>D</m:t>
                        </m:r>
                        <m:ctrlPr>
                          <w:rPr>
                            <w:rFonts w:hint="default" w:ascii="Cambria Math" w:hAnsi="Cambria Math" w:cs="Times New Roman"/>
                            <w:spacing w:val="-9"/>
                            <w:sz w:val="24"/>
                            <w:szCs w:val="32"/>
                            <w:lang w:val="en-US"/>
                          </w:rPr>
                        </m:ctrlPr>
                      </m:e>
                      <m:sub>
                        <m:r>
                          <m:rPr>
                            <m:nor/>
                            <m:sty m:val="p"/>
                          </m:rPr>
                          <w:rPr>
                            <w:rFonts w:hint="default" w:ascii="Times New Roman" w:hAnsi="Times New Roman" w:cs="Times New Roman"/>
                            <w:b w:val="0"/>
                            <w:i w:val="0"/>
                            <w:spacing w:val="-9"/>
                            <w:sz w:val="24"/>
                            <w:szCs w:val="32"/>
                            <w:lang w:val="en-US" w:eastAsia="zh-CN"/>
                          </w:rPr>
                          <m:t>c</m:t>
                        </m:r>
                        <m:ctrlPr>
                          <w:rPr>
                            <w:rFonts w:hint="default" w:ascii="Cambria Math" w:hAnsi="Cambria Math" w:cs="Times New Roman"/>
                            <w:spacing w:val="-9"/>
                            <w:sz w:val="24"/>
                            <w:szCs w:val="32"/>
                            <w:lang w:val="en-US"/>
                          </w:rPr>
                        </m:ctrlPr>
                      </m:sub>
                    </m:sSub>
                    <m:ctrlPr>
                      <w:rPr>
                        <w:rFonts w:hint="default" w:ascii="Cambria Math" w:hAnsi="Cambria Math" w:cs="Times New Roman"/>
                        <w:spacing w:val="-9"/>
                        <w:sz w:val="24"/>
                        <w:szCs w:val="32"/>
                        <w:lang w:val="en-US"/>
                      </w:rPr>
                    </m:ctrlPr>
                  </m:e>
                </m:mr>
              </m:m>
            </m:oMath>
            <w:r>
              <w:rPr>
                <w:rFonts w:hint="default" w:ascii="Times New Roman" w:hAnsi="Times New Roman" w:cs="Times New Roman"/>
                <w:spacing w:val="-9"/>
                <w:sz w:val="24"/>
                <w:szCs w:val="32"/>
                <w:lang w:val="en-US" w:eastAsia="zh-CN"/>
              </w:rPr>
              <w:t>：测点处宇宙射线响应值。</w:t>
            </w:r>
          </w:p>
          <w:p w14:paraId="2039D6C3">
            <w:pPr>
              <w:pStyle w:val="11"/>
              <w:bidi w:val="0"/>
              <w:rPr>
                <w:rFonts w:ascii="Times New Roman" w:hAnsi="Times New Roman"/>
              </w:rPr>
            </w:pPr>
            <w:r>
              <w:t>由监测报告得知，项目所在区域环境γ辐射空气吸收剂量率为</w:t>
            </w:r>
            <w:r>
              <w:rPr>
                <w:rFonts w:hint="eastAsia"/>
                <w:color w:val="auto"/>
                <w:lang w:val="en-US" w:eastAsia="zh-CN"/>
              </w:rPr>
              <w:t>73</w:t>
            </w:r>
            <w:r>
              <w:rPr>
                <w:color w:val="auto"/>
              </w:rPr>
              <w:t>~</w:t>
            </w:r>
            <w:r>
              <w:rPr>
                <w:rFonts w:hint="eastAsia"/>
                <w:color w:val="auto"/>
                <w:lang w:val="en-US" w:eastAsia="zh-CN"/>
              </w:rPr>
              <w:t>106</w:t>
            </w:r>
            <w:r>
              <w:rPr>
                <w:color w:val="auto"/>
              </w:rPr>
              <w:t>nG</w:t>
            </w:r>
            <w:r>
              <w:t>y/h之间，</w:t>
            </w:r>
            <w:r>
              <w:rPr>
                <w:rFonts w:hint="eastAsia"/>
                <w:lang w:val="en-US" w:eastAsia="zh-CN"/>
              </w:rPr>
              <w:t>与四川省</w:t>
            </w:r>
            <w:r>
              <w:t>生态环境</w:t>
            </w:r>
            <w:r>
              <w:rPr>
                <w:rFonts w:hint="eastAsia"/>
                <w:lang w:val="en-US" w:eastAsia="zh-CN"/>
              </w:rPr>
              <w:t>厅</w:t>
            </w:r>
            <w:r>
              <w:rPr>
                <w:rFonts w:hint="eastAsia"/>
              </w:rPr>
              <w:t>发布的</w:t>
            </w:r>
            <w:r>
              <w:t>《202</w:t>
            </w:r>
            <w:r>
              <w:rPr>
                <w:rFonts w:hint="eastAsia"/>
                <w:lang w:val="en-US" w:eastAsia="zh-CN"/>
              </w:rPr>
              <w:t>4</w:t>
            </w:r>
            <w:r>
              <w:t>年</w:t>
            </w:r>
            <w:r>
              <w:rPr>
                <w:rFonts w:hint="eastAsia"/>
                <w:lang w:val="en-US" w:eastAsia="zh-CN"/>
              </w:rPr>
              <w:t>四川省</w:t>
            </w:r>
            <w:r>
              <w:t>环境质量</w:t>
            </w:r>
            <w:r>
              <w:rPr>
                <w:rFonts w:hint="eastAsia"/>
              </w:rPr>
              <w:t>公</w:t>
            </w:r>
            <w:r>
              <w:t>告》中</w:t>
            </w:r>
            <w:r>
              <w:rPr>
                <w:rFonts w:hint="eastAsia"/>
                <w:lang w:val="en-US" w:eastAsia="zh-CN"/>
              </w:rPr>
              <w:t>巴中市</w:t>
            </w:r>
            <w:r>
              <w:t>自动站环境γ辐射空气</w:t>
            </w:r>
            <w:r>
              <w:rPr>
                <w:rFonts w:hint="eastAsia"/>
              </w:rPr>
              <w:t>剂量率累积监测结果范围</w:t>
            </w:r>
            <w:r>
              <w:rPr>
                <w:rFonts w:hint="eastAsia"/>
                <w:lang w:val="en-US" w:eastAsia="zh-CN"/>
              </w:rPr>
              <w:t>70</w:t>
            </w:r>
            <w:r>
              <w:rPr>
                <w:rFonts w:hint="eastAsia"/>
              </w:rPr>
              <w:t>~</w:t>
            </w:r>
            <w:r>
              <w:rPr>
                <w:rFonts w:hint="eastAsia"/>
                <w:lang w:val="en-US" w:eastAsia="zh-CN"/>
              </w:rPr>
              <w:t>100</w:t>
            </w:r>
            <w:r>
              <w:t>nGy/h吸收剂量基本一致，属于当地正常天然本底辐射水平。</w:t>
            </w:r>
          </w:p>
        </w:tc>
      </w:tr>
    </w:tbl>
    <w:p w14:paraId="02CA5B29">
      <w:pPr>
        <w:pStyle w:val="4"/>
        <w:numPr>
          <w:ilvl w:val="2"/>
          <w:numId w:val="0"/>
        </w:numPr>
      </w:pPr>
      <w:r>
        <w:rPr>
          <w:rFonts w:ascii="Times New Roman" w:hAnsi="Times New Roman"/>
          <w:sz w:val="28"/>
          <w:szCs w:val="28"/>
        </w:rPr>
        <w:br w:type="page"/>
      </w:r>
      <w:bookmarkStart w:id="26" w:name="_Toc30106"/>
      <w:r>
        <w:rPr>
          <w:rFonts w:ascii="Times New Roman" w:hAnsi="Times New Roman"/>
        </w:rPr>
        <w:t>表9</w:t>
      </w:r>
      <w:r>
        <w:t xml:space="preserve"> 项目工程分析与源项</w:t>
      </w:r>
      <w:bookmarkEnd w:id="26"/>
    </w:p>
    <w:tbl>
      <w:tblPr>
        <w:tblStyle w:val="23"/>
        <w:tblW w:w="0" w:type="auto"/>
        <w:tblInd w:w="-2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0"/>
      </w:tblGrid>
      <w:tr w14:paraId="48BD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9050" w:type="dxa"/>
            <w:tcBorders>
              <w:bottom w:val="single" w:color="000000" w:sz="12" w:space="0"/>
            </w:tcBorders>
          </w:tcPr>
          <w:p w14:paraId="114AE128">
            <w:pPr>
              <w:spacing w:line="360" w:lineRule="auto"/>
              <w:jc w:val="left"/>
              <w:rPr>
                <w:rFonts w:ascii="Times New Roman" w:hAnsi="Times New Roman"/>
                <w:b/>
                <w:bCs/>
                <w:sz w:val="28"/>
                <w:szCs w:val="28"/>
              </w:rPr>
            </w:pPr>
            <w:r>
              <w:rPr>
                <w:rFonts w:ascii="Times New Roman" w:hAnsi="Times New Roman"/>
                <w:b/>
                <w:bCs/>
                <w:sz w:val="28"/>
                <w:szCs w:val="28"/>
              </w:rPr>
              <w:t>工程设备和工艺分析</w:t>
            </w:r>
          </w:p>
          <w:p w14:paraId="473BC3AC">
            <w:pPr>
              <w:numPr>
                <w:ilvl w:val="0"/>
                <w:numId w:val="10"/>
              </w:numPr>
              <w:spacing w:line="360" w:lineRule="auto"/>
              <w:jc w:val="left"/>
              <w:rPr>
                <w:rFonts w:ascii="Times New Roman" w:hAnsi="Times New Roman"/>
                <w:b/>
                <w:bCs/>
                <w:sz w:val="28"/>
                <w:szCs w:val="28"/>
              </w:rPr>
            </w:pPr>
            <w:r>
              <w:rPr>
                <w:rFonts w:ascii="Times New Roman" w:hAnsi="Times New Roman"/>
                <w:b/>
                <w:bCs/>
                <w:sz w:val="28"/>
                <w:szCs w:val="28"/>
              </w:rPr>
              <w:t>施工期污染源项分析</w:t>
            </w:r>
          </w:p>
          <w:p w14:paraId="19A1DA5C">
            <w:pPr>
              <w:spacing w:line="360" w:lineRule="auto"/>
              <w:jc w:val="left"/>
              <w:rPr>
                <w:rFonts w:ascii="Times New Roman" w:hAnsi="Times New Roman"/>
                <w:sz w:val="24"/>
              </w:rPr>
            </w:pPr>
            <w:r>
              <w:rPr>
                <w:rFonts w:ascii="Times New Roman" w:hAnsi="Times New Roman"/>
                <w:b/>
                <w:bCs/>
                <w:sz w:val="24"/>
              </w:rPr>
              <w:t>1、施工期间的环境影响分析</w:t>
            </w:r>
          </w:p>
          <w:p w14:paraId="4E0345DB">
            <w:pPr>
              <w:pStyle w:val="11"/>
              <w:bidi w:val="0"/>
            </w:pPr>
            <w:r>
              <w:t>本项目在</w:t>
            </w:r>
            <w:r>
              <w:rPr>
                <w:rFonts w:hint="eastAsia"/>
                <w:lang w:eastAsia="zh-CN"/>
              </w:rPr>
              <w:t>平昌县中医医院2号住院综合楼</w:t>
            </w:r>
            <w:r>
              <w:rPr>
                <w:rFonts w:hint="eastAsia"/>
                <w:lang w:val="en-US" w:eastAsia="zh-CN"/>
              </w:rPr>
              <w:t>一</w:t>
            </w:r>
            <w:r>
              <w:rPr>
                <w:rFonts w:hint="eastAsia"/>
              </w:rPr>
              <w:t>楼</w:t>
            </w:r>
            <w:r>
              <w:t>建设</w:t>
            </w:r>
            <w:r>
              <w:rPr>
                <w:rFonts w:hint="eastAsia"/>
              </w:rPr>
              <w:t>，主要施工期工序主要为防护施工及装修，DSA设备安装调试。</w:t>
            </w:r>
            <w:r>
              <w:t>对周围</w:t>
            </w:r>
            <w:r>
              <w:rPr>
                <w:rFonts w:hint="eastAsia"/>
              </w:rPr>
              <w:t>环境影响较小。</w:t>
            </w:r>
          </w:p>
          <w:p w14:paraId="6E91DAE3">
            <w:pPr>
              <w:pStyle w:val="11"/>
              <w:bidi w:val="0"/>
            </w:pPr>
            <w:r>
              <w:t>在施工过程中，主要为对</w:t>
            </w:r>
            <w:r>
              <w:rPr>
                <w:rFonts w:hint="eastAsia"/>
              </w:rPr>
              <w:t>四周</w:t>
            </w:r>
            <w:r>
              <w:t>墙体进行防护施工及装修、管线布置、设备安装等内容。本项目在施工期间，主要环境影响为扬尘</w:t>
            </w:r>
            <w:r>
              <w:rPr>
                <w:rFonts w:hint="eastAsia"/>
              </w:rPr>
              <w:t>、</w:t>
            </w:r>
            <w:r>
              <w:t>废气、噪声、废水、固体废物。因施工期较短施工量较小，对周围环境影响较小。</w:t>
            </w:r>
          </w:p>
          <w:p w14:paraId="62BEA0D1">
            <w:pPr>
              <w:pStyle w:val="11"/>
              <w:bidi w:val="0"/>
            </w:pPr>
            <w:r>
              <w:t>施工期工艺流程及产污环节见图9-1。</w:t>
            </w:r>
          </w:p>
          <w:p w14:paraId="296B0AEE">
            <w:pPr>
              <w:adjustRightInd w:val="0"/>
              <w:snapToGrid w:val="0"/>
              <w:spacing w:line="360" w:lineRule="auto"/>
              <w:jc w:val="center"/>
              <w:rPr>
                <w:rFonts w:ascii="Times New Roman" w:hAnsi="Times New Roman"/>
                <w:b/>
              </w:rPr>
            </w:pPr>
            <w:r>
              <w:rPr>
                <w:rFonts w:ascii="Times New Roman" w:hAnsi="Times New Roman"/>
                <w:b/>
              </w:rPr>
              <w:object>
                <v:shape id="_x0000_i1025" o:spt="75" type="#_x0000_t75" style="height:98.9pt;width:442pt;" o:ole="t" filled="f" o:preferrelative="t" stroked="f" coordsize="21600,21600">
                  <v:path/>
                  <v:fill on="f" focussize="0,0"/>
                  <v:stroke on="f" joinstyle="miter"/>
                  <v:imagedata r:id="rId17" o:title=""/>
                  <o:lock v:ext="edit" aspectratio="f"/>
                  <w10:wrap type="none"/>
                  <w10:anchorlock/>
                </v:shape>
                <o:OLEObject Type="Embed" ProgID="Visio.Drawing.15" ShapeID="_x0000_i1025" DrawAspect="Content" ObjectID="_1468075725" r:id="rId16">
                  <o:LockedField>false</o:LockedField>
                </o:OLEObject>
              </w:object>
            </w:r>
          </w:p>
          <w:p w14:paraId="3CBD3676">
            <w:pPr>
              <w:adjustRightInd w:val="0"/>
              <w:snapToGrid w:val="0"/>
              <w:spacing w:line="360" w:lineRule="auto"/>
              <w:jc w:val="center"/>
              <w:rPr>
                <w:rFonts w:ascii="Times New Roman" w:hAnsi="Times New Roman"/>
                <w:b/>
                <w:sz w:val="24"/>
              </w:rPr>
            </w:pPr>
            <w:r>
              <w:rPr>
                <w:rFonts w:ascii="Times New Roman" w:hAnsi="Times New Roman"/>
                <w:b/>
                <w:sz w:val="24"/>
              </w:rPr>
              <w:t>图9-1 施工期工艺流程及产物环节图</w:t>
            </w:r>
          </w:p>
          <w:p w14:paraId="51E52DCF">
            <w:pPr>
              <w:spacing w:line="360" w:lineRule="auto"/>
              <w:jc w:val="left"/>
              <w:rPr>
                <w:rFonts w:ascii="Times New Roman" w:hAnsi="Times New Roman"/>
                <w:b/>
                <w:bCs/>
                <w:sz w:val="24"/>
              </w:rPr>
            </w:pPr>
            <w:r>
              <w:rPr>
                <w:rFonts w:ascii="Times New Roman" w:hAnsi="Times New Roman"/>
                <w:b/>
                <w:bCs/>
                <w:sz w:val="24"/>
              </w:rPr>
              <w:t>2、施工期主要污染源处理措施</w:t>
            </w:r>
          </w:p>
          <w:p w14:paraId="243916C7">
            <w:pPr>
              <w:spacing w:line="360" w:lineRule="auto"/>
              <w:ind w:left="420" w:leftChars="200"/>
              <w:rPr>
                <w:rFonts w:ascii="Times New Roman" w:hAnsi="Times New Roman"/>
                <w:b/>
                <w:bCs/>
                <w:sz w:val="24"/>
              </w:rPr>
            </w:pPr>
            <w:r>
              <w:rPr>
                <w:rFonts w:ascii="Times New Roman" w:hAnsi="Times New Roman"/>
                <w:b/>
                <w:bCs/>
                <w:sz w:val="24"/>
              </w:rPr>
              <w:t>①扬尘</w:t>
            </w:r>
          </w:p>
          <w:p w14:paraId="5A3F7B4E">
            <w:pPr>
              <w:pStyle w:val="11"/>
              <w:bidi w:val="0"/>
            </w:pPr>
            <w:r>
              <w:t>施工过程中产生的扬尘，主要是在对</w:t>
            </w:r>
            <w:r>
              <w:rPr>
                <w:rFonts w:hint="eastAsia"/>
              </w:rPr>
              <w:t>四周</w:t>
            </w:r>
            <w:r>
              <w:t>墙体进行防护施工及装修过程中产生的扬尘，属于无组织排放，主要通过封闭施工管理和采取及时洒水等措施来进行控制。</w:t>
            </w:r>
          </w:p>
          <w:p w14:paraId="5564CD8B">
            <w:pPr>
              <w:spacing w:line="360" w:lineRule="auto"/>
              <w:ind w:left="420" w:leftChars="200"/>
              <w:rPr>
                <w:rFonts w:ascii="Times New Roman" w:hAnsi="Times New Roman"/>
                <w:b/>
                <w:bCs/>
                <w:sz w:val="24"/>
              </w:rPr>
            </w:pPr>
            <w:r>
              <w:rPr>
                <w:rFonts w:ascii="Times New Roman" w:hAnsi="Times New Roman"/>
                <w:b/>
                <w:bCs/>
                <w:sz w:val="24"/>
              </w:rPr>
              <w:t>②废气</w:t>
            </w:r>
          </w:p>
          <w:p w14:paraId="26332DAC">
            <w:pPr>
              <w:pStyle w:val="11"/>
              <w:bidi w:val="0"/>
              <w:rPr>
                <w:rFonts w:ascii="Times New Roman" w:hAnsi="Times New Roman"/>
              </w:rPr>
            </w:pPr>
            <w:r>
              <w:t>施工期的废气主要产生在装修过程中，在装修时喷涂等工序产生的废气和装修材料中释放的废气，影响装修人员的身体健康，该废气的排放属无组织排放。因此在装修期间，应加强室内的通风换气，装修结束后，也应每天进行通风换气。因施工量小，装修周期较短，施工期对环境的影响较小。</w:t>
            </w:r>
          </w:p>
          <w:p w14:paraId="6060ED1B">
            <w:pPr>
              <w:spacing w:line="360" w:lineRule="auto"/>
              <w:ind w:left="420" w:leftChars="200"/>
              <w:rPr>
                <w:rFonts w:ascii="Times New Roman" w:hAnsi="Times New Roman"/>
                <w:b/>
                <w:bCs/>
                <w:sz w:val="24"/>
              </w:rPr>
            </w:pPr>
            <w:r>
              <w:rPr>
                <w:rFonts w:ascii="Times New Roman" w:hAnsi="Times New Roman"/>
                <w:b/>
                <w:bCs/>
                <w:sz w:val="24"/>
              </w:rPr>
              <w:t>③噪声</w:t>
            </w:r>
          </w:p>
          <w:p w14:paraId="0AE9CAF0">
            <w:pPr>
              <w:pStyle w:val="11"/>
              <w:bidi w:val="0"/>
              <w:rPr>
                <w:rFonts w:ascii="Times New Roman" w:hAnsi="Times New Roman"/>
              </w:rPr>
            </w:pPr>
            <w:r>
              <w:t>施工期噪声包括装修过程中产生的噪声，由于施工范围小，施工期较短，项目通过合理安排施工时间</w:t>
            </w:r>
            <w:r>
              <w:rPr>
                <w:rFonts w:hint="eastAsia"/>
              </w:rPr>
              <w:t>、</w:t>
            </w:r>
            <w:r>
              <w:t>禁止夜间施工</w:t>
            </w:r>
            <w:r>
              <w:rPr>
                <w:rFonts w:hint="eastAsia"/>
              </w:rPr>
              <w:t>、</w:t>
            </w:r>
            <w:r>
              <w:t>建筑隔声</w:t>
            </w:r>
            <w:r>
              <w:rPr>
                <w:rFonts w:hint="eastAsia"/>
              </w:rPr>
              <w:t>、</w:t>
            </w:r>
            <w:r>
              <w:t>选用低噪设备等措施后，在施工时严格执行《建筑施工场界环境噪声排放标准》</w:t>
            </w:r>
            <w:r>
              <w:rPr>
                <w:rFonts w:hint="eastAsia"/>
                <w:lang w:eastAsia="zh-CN"/>
              </w:rPr>
              <w:t>（</w:t>
            </w:r>
            <w:r>
              <w:t>GB 12523-2011</w:t>
            </w:r>
            <w:r>
              <w:rPr>
                <w:rFonts w:hint="eastAsia"/>
                <w:lang w:eastAsia="zh-CN"/>
              </w:rPr>
              <w:t>）</w:t>
            </w:r>
            <w:r>
              <w:t>的标准规定，施工噪声对周围环境的影响较小。</w:t>
            </w:r>
          </w:p>
          <w:p w14:paraId="2A0AD77F">
            <w:pPr>
              <w:spacing w:line="360" w:lineRule="auto"/>
              <w:ind w:left="420" w:leftChars="200"/>
              <w:rPr>
                <w:rFonts w:ascii="Times New Roman" w:hAnsi="Times New Roman"/>
                <w:b/>
                <w:bCs/>
                <w:sz w:val="24"/>
              </w:rPr>
            </w:pPr>
            <w:r>
              <w:rPr>
                <w:rFonts w:ascii="Times New Roman" w:hAnsi="Times New Roman"/>
                <w:b/>
                <w:bCs/>
                <w:sz w:val="24"/>
              </w:rPr>
              <w:t>④废水</w:t>
            </w:r>
          </w:p>
          <w:p w14:paraId="5AC332F0">
            <w:pPr>
              <w:spacing w:line="360" w:lineRule="auto"/>
              <w:ind w:firstLine="480" w:firstLineChars="200"/>
              <w:rPr>
                <w:rFonts w:hint="eastAsia" w:ascii="Times New Roman" w:hAnsi="Times New Roman"/>
                <w:color w:val="auto"/>
                <w:sz w:val="24"/>
              </w:rPr>
            </w:pPr>
            <w:r>
              <w:rPr>
                <w:rFonts w:hint="eastAsia" w:ascii="Times New Roman" w:hAnsi="Times New Roman"/>
                <w:color w:val="auto"/>
                <w:sz w:val="24"/>
              </w:rPr>
              <w:t>施工期依托医院</w:t>
            </w:r>
            <w:r>
              <w:rPr>
                <w:rFonts w:hint="eastAsia" w:ascii="Times New Roman" w:hAnsi="Times New Roman"/>
                <w:color w:val="auto"/>
                <w:sz w:val="24"/>
                <w:lang w:val="en-US" w:eastAsia="zh-CN"/>
              </w:rPr>
              <w:t>现有地埋式</w:t>
            </w:r>
            <w:r>
              <w:rPr>
                <w:rFonts w:hint="eastAsia" w:ascii="Times New Roman" w:hAnsi="Times New Roman"/>
                <w:color w:val="auto"/>
                <w:sz w:val="24"/>
              </w:rPr>
              <w:t>污水处理站</w:t>
            </w:r>
            <w:r>
              <w:rPr>
                <w:rFonts w:hint="eastAsia" w:ascii="Times New Roman" w:hAnsi="Times New Roman"/>
                <w:color w:val="auto"/>
                <w:sz w:val="24"/>
                <w:lang w:eastAsia="zh-CN"/>
              </w:rPr>
              <w:t>：</w:t>
            </w:r>
            <w:r>
              <w:rPr>
                <w:rFonts w:hint="eastAsia" w:ascii="Times New Roman" w:hAnsi="Times New Roman"/>
                <w:color w:val="auto"/>
                <w:sz w:val="24"/>
              </w:rPr>
              <w:t>采用"调节池+A/O+沉淀+</w:t>
            </w:r>
            <w:r>
              <w:rPr>
                <w:rFonts w:hint="eastAsia" w:ascii="Times New Roman" w:hAnsi="Times New Roman"/>
                <w:color w:val="auto"/>
                <w:sz w:val="24"/>
                <w:lang w:eastAsia="zh-CN"/>
              </w:rPr>
              <w:t>次氯酸钠</w:t>
            </w:r>
            <w:r>
              <w:rPr>
                <w:rFonts w:hint="eastAsia" w:ascii="Times New Roman" w:hAnsi="Times New Roman"/>
                <w:color w:val="auto"/>
                <w:sz w:val="24"/>
              </w:rPr>
              <w:t>消毒"处理工艺，设计日废水处理能力500m</w:t>
            </w:r>
            <w:r>
              <w:rPr>
                <w:rFonts w:hint="eastAsia" w:ascii="Times New Roman" w:hAnsi="Times New Roman"/>
                <w:color w:val="auto"/>
                <w:sz w:val="24"/>
                <w:vertAlign w:val="superscript"/>
              </w:rPr>
              <w:t>3</w:t>
            </w:r>
            <w:r>
              <w:rPr>
                <w:rFonts w:hint="eastAsia" w:ascii="Times New Roman" w:hAnsi="Times New Roman"/>
                <w:color w:val="auto"/>
                <w:sz w:val="24"/>
                <w:vertAlign w:val="baseline"/>
                <w:lang w:val="en-US" w:eastAsia="zh-CN"/>
              </w:rPr>
              <w:t>/d</w:t>
            </w:r>
            <w:r>
              <w:rPr>
                <w:rFonts w:hint="eastAsia" w:ascii="Times New Roman" w:hAnsi="Times New Roman"/>
                <w:color w:val="auto"/>
                <w:sz w:val="24"/>
                <w:vertAlign w:val="baseline"/>
                <w:lang w:eastAsia="zh-CN"/>
              </w:rPr>
              <w:t>，（</w:t>
            </w:r>
            <w:r>
              <w:rPr>
                <w:rFonts w:hint="eastAsia" w:ascii="Times New Roman" w:hAnsi="Times New Roman"/>
                <w:color w:val="auto"/>
                <w:sz w:val="24"/>
              </w:rPr>
              <w:t>医院</w:t>
            </w:r>
            <w:r>
              <w:rPr>
                <w:rFonts w:hint="eastAsia" w:ascii="Times New Roman" w:hAnsi="Times New Roman"/>
                <w:color w:val="auto"/>
                <w:sz w:val="24"/>
                <w:lang w:val="en-US" w:eastAsia="zh-CN"/>
              </w:rPr>
              <w:t>现有废水</w:t>
            </w:r>
            <w:r>
              <w:rPr>
                <w:rFonts w:hint="eastAsia" w:ascii="Times New Roman" w:hAnsi="Times New Roman"/>
                <w:color w:val="auto"/>
                <w:sz w:val="24"/>
              </w:rPr>
              <w:t>量354.3m</w:t>
            </w:r>
            <w:r>
              <w:rPr>
                <w:rFonts w:hint="eastAsia" w:ascii="Times New Roman" w:hAnsi="Times New Roman"/>
                <w:color w:val="auto"/>
                <w:sz w:val="24"/>
                <w:vertAlign w:val="superscript"/>
              </w:rPr>
              <w:t>3</w:t>
            </w:r>
            <w:r>
              <w:rPr>
                <w:rFonts w:hint="eastAsia" w:ascii="Times New Roman" w:hAnsi="Times New Roman"/>
                <w:color w:val="auto"/>
                <w:sz w:val="24"/>
              </w:rPr>
              <w:t>/d</w:t>
            </w:r>
            <w:r>
              <w:rPr>
                <w:rFonts w:hint="eastAsia" w:ascii="Times New Roman" w:hAnsi="Times New Roman"/>
                <w:color w:val="auto"/>
                <w:sz w:val="24"/>
                <w:lang w:eastAsia="zh-CN"/>
              </w:rPr>
              <w:t>）</w:t>
            </w:r>
            <w:r>
              <w:rPr>
                <w:rFonts w:hint="eastAsia" w:ascii="Times New Roman" w:hAnsi="Times New Roman"/>
                <w:color w:val="auto"/>
                <w:sz w:val="24"/>
              </w:rPr>
              <w:t>，处理后废水达到</w:t>
            </w:r>
            <w:r>
              <w:rPr>
                <w:rFonts w:hint="eastAsia" w:ascii="Times New Roman" w:hAnsi="Times New Roman"/>
                <w:color w:val="auto"/>
                <w:sz w:val="24"/>
                <w:lang w:eastAsia="zh-CN"/>
              </w:rPr>
              <w:t>《</w:t>
            </w:r>
            <w:r>
              <w:rPr>
                <w:rFonts w:hint="eastAsia" w:ascii="Times New Roman" w:hAnsi="Times New Roman"/>
                <w:color w:val="auto"/>
                <w:sz w:val="24"/>
              </w:rPr>
              <w:t>医疗机构水污染物排放标准</w:t>
            </w:r>
            <w:r>
              <w:rPr>
                <w:rFonts w:hint="eastAsia" w:ascii="Times New Roman" w:hAnsi="Times New Roman"/>
                <w:color w:val="auto"/>
                <w:sz w:val="24"/>
                <w:lang w:eastAsia="zh-CN"/>
              </w:rPr>
              <w:t>》</w:t>
            </w:r>
            <w:r>
              <w:rPr>
                <w:rFonts w:hint="eastAsia" w:ascii="Times New Roman" w:hAnsi="Times New Roman"/>
                <w:color w:val="auto"/>
                <w:sz w:val="24"/>
              </w:rPr>
              <w:t>(GB18466-2005)中表2的预处理标准后，经市政污水管网进入平昌县第二污水处理厂进行处理达到</w:t>
            </w:r>
            <w:r>
              <w:rPr>
                <w:rFonts w:hint="eastAsia" w:ascii="Times New Roman" w:hAnsi="Times New Roman"/>
                <w:color w:val="auto"/>
                <w:sz w:val="24"/>
                <w:lang w:eastAsia="zh-CN"/>
              </w:rPr>
              <w:t>《</w:t>
            </w:r>
            <w:r>
              <w:rPr>
                <w:rFonts w:hint="eastAsia" w:ascii="Times New Roman" w:hAnsi="Times New Roman"/>
                <w:color w:val="auto"/>
                <w:sz w:val="24"/>
              </w:rPr>
              <w:t>城镇污水处理厂污染物排放标准</w:t>
            </w:r>
            <w:r>
              <w:rPr>
                <w:rFonts w:hint="eastAsia" w:ascii="Times New Roman" w:hAnsi="Times New Roman"/>
                <w:color w:val="auto"/>
                <w:sz w:val="24"/>
                <w:lang w:eastAsia="zh-CN"/>
              </w:rPr>
              <w:t>》（</w:t>
            </w:r>
            <w:r>
              <w:rPr>
                <w:rFonts w:hint="eastAsia" w:ascii="Times New Roman" w:hAnsi="Times New Roman"/>
                <w:color w:val="auto"/>
                <w:sz w:val="24"/>
              </w:rPr>
              <w:t>GB18918-2002</w:t>
            </w:r>
            <w:r>
              <w:rPr>
                <w:rFonts w:hint="eastAsia" w:ascii="Times New Roman" w:hAnsi="Times New Roman"/>
                <w:color w:val="auto"/>
                <w:sz w:val="24"/>
                <w:lang w:eastAsia="zh-CN"/>
              </w:rPr>
              <w:t>）</w:t>
            </w:r>
            <w:r>
              <w:rPr>
                <w:rFonts w:hint="eastAsia" w:ascii="Times New Roman" w:hAnsi="Times New Roman"/>
                <w:color w:val="auto"/>
                <w:sz w:val="24"/>
              </w:rPr>
              <w:t>中一级A标准后排入巴河。</w:t>
            </w:r>
          </w:p>
          <w:p w14:paraId="3F93AD14">
            <w:pPr>
              <w:spacing w:line="360" w:lineRule="auto"/>
              <w:ind w:left="420" w:leftChars="200"/>
              <w:rPr>
                <w:rFonts w:ascii="Times New Roman" w:hAnsi="Times New Roman"/>
                <w:b/>
                <w:bCs/>
                <w:sz w:val="24"/>
              </w:rPr>
            </w:pPr>
            <w:r>
              <w:rPr>
                <w:rFonts w:ascii="Times New Roman" w:hAnsi="Times New Roman"/>
                <w:b/>
                <w:bCs/>
                <w:sz w:val="24"/>
              </w:rPr>
              <w:t>⑤固体废物</w:t>
            </w:r>
          </w:p>
          <w:p w14:paraId="405F0739">
            <w:pPr>
              <w:autoSpaceDE w:val="0"/>
              <w:autoSpaceDN w:val="0"/>
              <w:adjustRightInd w:val="0"/>
              <w:spacing w:line="360" w:lineRule="auto"/>
              <w:ind w:firstLine="480" w:firstLineChars="200"/>
              <w:rPr>
                <w:rFonts w:ascii="Times New Roman" w:hAnsi="Times New Roman"/>
                <w:sz w:val="24"/>
              </w:rPr>
            </w:pPr>
            <w:r>
              <w:rPr>
                <w:rFonts w:ascii="Times New Roman" w:hAnsi="Times New Roman"/>
                <w:sz w:val="24"/>
              </w:rPr>
              <w:t>施工过程中固体废物主要为建筑垃圾、装修垃圾、包装垃圾、施工人员产生的生活垃圾等。建筑垃圾由施工单位经收集后运送至指定的建筑垃圾堆放点暂存；装修期间和设备安装期间的产生的包装垃圾经过分类收集，能回收利用部分回收处理，不能回收部分，作为建筑垃圾进行处理；生活垃圾经统一收集后由环卫部门定期清运。</w:t>
            </w:r>
          </w:p>
          <w:p w14:paraId="4A50FC6B">
            <w:pPr>
              <w:spacing w:line="360" w:lineRule="auto"/>
              <w:jc w:val="left"/>
              <w:rPr>
                <w:rFonts w:ascii="Times New Roman" w:hAnsi="Times New Roman"/>
                <w:sz w:val="24"/>
              </w:rPr>
            </w:pPr>
            <w:r>
              <w:rPr>
                <w:rFonts w:hint="eastAsia" w:ascii="Times New Roman" w:hAnsi="Times New Roman"/>
                <w:b/>
                <w:bCs/>
                <w:sz w:val="24"/>
              </w:rPr>
              <w:t>3</w:t>
            </w:r>
            <w:r>
              <w:rPr>
                <w:rFonts w:ascii="Times New Roman" w:hAnsi="Times New Roman"/>
                <w:b/>
                <w:bCs/>
                <w:sz w:val="24"/>
              </w:rPr>
              <w:t xml:space="preserve">、设备安装调试期间的环境影响分析 </w:t>
            </w:r>
          </w:p>
          <w:p w14:paraId="4523A71B">
            <w:pPr>
              <w:autoSpaceDE w:val="0"/>
              <w:autoSpaceDN w:val="0"/>
              <w:adjustRightInd w:val="0"/>
              <w:spacing w:line="360" w:lineRule="auto"/>
              <w:ind w:firstLine="480" w:firstLineChars="200"/>
              <w:rPr>
                <w:rFonts w:ascii="Times New Roman" w:hAnsi="Times New Roman"/>
                <w:sz w:val="24"/>
              </w:rPr>
            </w:pPr>
            <w:r>
              <w:rPr>
                <w:rFonts w:ascii="Times New Roman" w:hAnsi="Times New Roman"/>
                <w:sz w:val="24"/>
              </w:rPr>
              <w:t>本</w:t>
            </w:r>
            <w:r>
              <w:rPr>
                <w:rFonts w:hint="eastAsia" w:ascii="Times New Roman" w:hAnsi="Times New Roman"/>
                <w:sz w:val="24"/>
              </w:rPr>
              <w:t>项目</w:t>
            </w:r>
            <w:r>
              <w:rPr>
                <w:rFonts w:ascii="Times New Roman" w:hAnsi="Times New Roman"/>
                <w:sz w:val="24"/>
              </w:rPr>
              <w:t>设备安装、调试由设备厂家专业人员操作，同时加强辐射防护管理，严格限制无关人员靠近，防止辐射事故发生。本项目DSA调试阶段，会产生X射线，造成一定的电离辐射影响；产生少量的臭氧</w:t>
            </w:r>
            <w:r>
              <w:rPr>
                <w:rFonts w:hint="eastAsia" w:ascii="Times New Roman" w:hAnsi="Times New Roman"/>
                <w:sz w:val="24"/>
              </w:rPr>
              <w:t>和氮氧化物。</w:t>
            </w:r>
            <w:r>
              <w:rPr>
                <w:rFonts w:ascii="Times New Roman" w:hAnsi="Times New Roman"/>
                <w:sz w:val="24"/>
              </w:rPr>
              <w:t>由于设备的安装和调试均在</w:t>
            </w:r>
            <w:r>
              <w:rPr>
                <w:rFonts w:hint="eastAsia" w:ascii="Times New Roman" w:hAnsi="Times New Roman"/>
                <w:sz w:val="24"/>
              </w:rPr>
              <w:t>DSA机房</w:t>
            </w:r>
            <w:r>
              <w:rPr>
                <w:rFonts w:ascii="Times New Roman" w:hAnsi="Times New Roman"/>
                <w:sz w:val="24"/>
              </w:rPr>
              <w:t>内进行，调试过程中产生的X射线经过墙体的屏蔽和距离衰减后对环境的影响是可接受的。设备安装完成后，建设单位需及时回收包装材料及其它固体废物，作为一般固体废物进行处置，不随意丢弃。</w:t>
            </w:r>
          </w:p>
          <w:p w14:paraId="6405050F">
            <w:pPr>
              <w:numPr>
                <w:ilvl w:val="0"/>
                <w:numId w:val="10"/>
              </w:numPr>
              <w:spacing w:line="360" w:lineRule="auto"/>
              <w:jc w:val="left"/>
              <w:rPr>
                <w:rFonts w:ascii="Times New Roman" w:hAnsi="Times New Roman"/>
                <w:b/>
                <w:bCs/>
                <w:sz w:val="28"/>
                <w:szCs w:val="28"/>
              </w:rPr>
            </w:pPr>
            <w:r>
              <w:rPr>
                <w:rFonts w:ascii="Times New Roman" w:hAnsi="Times New Roman"/>
                <w:b/>
                <w:bCs/>
                <w:sz w:val="28"/>
                <w:szCs w:val="28"/>
              </w:rPr>
              <w:t>运营期污染源项分析</w:t>
            </w:r>
          </w:p>
          <w:p w14:paraId="4B7E2223">
            <w:pPr>
              <w:spacing w:line="360" w:lineRule="auto"/>
              <w:rPr>
                <w:rFonts w:ascii="Times New Roman" w:hAnsi="Times New Roman"/>
                <w:b/>
                <w:bCs/>
                <w:sz w:val="24"/>
              </w:rPr>
            </w:pPr>
            <w:r>
              <w:rPr>
                <w:rFonts w:ascii="Times New Roman" w:hAnsi="Times New Roman"/>
                <w:b/>
                <w:bCs/>
                <w:sz w:val="24"/>
              </w:rPr>
              <w:t>1、设备组成及工作原理</w:t>
            </w:r>
          </w:p>
          <w:p w14:paraId="496EBC39">
            <w:pPr>
              <w:pStyle w:val="11"/>
              <w:bidi w:val="0"/>
            </w:pPr>
            <w:r>
              <w:rPr>
                <w:rFonts w:hint="eastAsia"/>
              </w:rPr>
              <w:t>DSA（数字减影血管造影装置）</w:t>
            </w:r>
            <w:r>
              <w:t>是影像增强器技术、电视技术和计算机科学技术相结合的产物，是应用最多的数字化X射线透视设备。</w:t>
            </w:r>
            <w:r>
              <w:rPr>
                <w:rFonts w:hint="eastAsia"/>
              </w:rPr>
              <w:t>DSA（数字减影血管造影装置）</w:t>
            </w:r>
            <w:r>
              <w:t>主要由</w:t>
            </w:r>
            <w:r>
              <w:rPr>
                <w:rFonts w:hint="eastAsia"/>
              </w:rPr>
              <w:t>机架系统、导管床、床旁液晶触摸屏控制系统、高压发生器、X射线球管、平板探测器、图像显示器、图像系统、检查</w:t>
            </w:r>
            <w:r>
              <w:t>床、操作台、磁盘或磁带机和多幅照相机组成。</w:t>
            </w:r>
          </w:p>
          <w:p w14:paraId="7B5C009A">
            <w:pPr>
              <w:pStyle w:val="11"/>
              <w:bidi w:val="0"/>
            </w:pPr>
            <w:r>
              <w:t>DSA（数字减影血管造影装置）是通过电子计算机进行辅助成像的血管造影方法，它是应用计算机程序进行两次成像完成的。在注入造影剂之前，首先进行第一次成像，并用计算机将图像转换成数字信号储存起来。注入造影剂后，再次成像并转换成数字信号。两次数字相减，消除相同的信号，得到一个只有造影剂的血管图像。这种图像较以往所用的常规脑血管造影所显示的图像更清晰和直观，一些精细的血管结构亦能显示出来。且对比度分辨率高，减去了血管以外的背景，尤其</w:t>
            </w:r>
            <w:r>
              <w:rPr>
                <w:rFonts w:hint="eastAsia"/>
                <w:lang w:eastAsia="zh-CN"/>
              </w:rPr>
              <w:t>是</w:t>
            </w:r>
            <w:r>
              <w:t>与骨骼重叠的血管能清</w:t>
            </w:r>
            <w:r>
              <w:rPr>
                <w:rFonts w:hint="eastAsia"/>
                <w:lang w:eastAsia="zh-CN"/>
              </w:rPr>
              <w:t>楚地</w:t>
            </w:r>
            <w:r>
              <w:t>显示；由于造影剂用量少，浓度低，损伤小、较安全。通过医用血管造影X射线机处理的图像，使血管的影像更为清晰，在进行介入手术时更为安全。</w:t>
            </w:r>
          </w:p>
          <w:p w14:paraId="6026B876">
            <w:pPr>
              <w:spacing w:line="360" w:lineRule="auto"/>
              <w:rPr>
                <w:rFonts w:ascii="Times New Roman" w:hAnsi="Times New Roman"/>
                <w:b/>
                <w:bCs/>
                <w:sz w:val="24"/>
              </w:rPr>
            </w:pPr>
            <w:r>
              <w:rPr>
                <w:rFonts w:ascii="Times New Roman" w:hAnsi="Times New Roman"/>
                <w:b/>
                <w:bCs/>
                <w:sz w:val="24"/>
              </w:rPr>
              <w:t>2、诊断及</w:t>
            </w:r>
            <w:r>
              <w:rPr>
                <w:rFonts w:hint="eastAsia" w:ascii="Times New Roman" w:hAnsi="Times New Roman"/>
                <w:b/>
                <w:bCs/>
                <w:sz w:val="24"/>
              </w:rPr>
              <w:t>检查</w:t>
            </w:r>
            <w:r>
              <w:rPr>
                <w:rFonts w:ascii="Times New Roman" w:hAnsi="Times New Roman"/>
                <w:b/>
                <w:bCs/>
                <w:sz w:val="24"/>
              </w:rPr>
              <w:t>流程简述</w:t>
            </w:r>
          </w:p>
          <w:p w14:paraId="3CE7B593">
            <w:pPr>
              <w:pStyle w:val="11"/>
              <w:bidi w:val="0"/>
            </w:pPr>
            <w:r>
              <w:rPr>
                <w:rFonts w:hint="eastAsia"/>
              </w:rPr>
              <w:t>DSA（数字减影血管造影装置）</w:t>
            </w:r>
            <w:r>
              <w:t>在进行曝光时分为拍片和透视两种情况，对应的治疗流程及产污图见图9-2：</w:t>
            </w:r>
          </w:p>
          <w:p w14:paraId="1A9C7B6F">
            <w:pPr>
              <w:spacing w:line="360" w:lineRule="auto"/>
              <w:jc w:val="center"/>
              <w:rPr>
                <w:rFonts w:ascii="Times New Roman" w:hAnsi="Times New Roman"/>
              </w:rPr>
            </w:pPr>
            <w:r>
              <w:rPr>
                <w:rFonts w:ascii="Times New Roman" w:hAnsi="Times New Roman"/>
              </w:rPr>
              <w:object>
                <v:shape id="_x0000_i1026" o:spt="75" type="#_x0000_t75" style="height:402.55pt;width:441.4pt;" o:ole="t" filled="f" o:preferrelative="t" stroked="f" coordsize="21600,21600">
                  <v:path/>
                  <v:fill on="f" focussize="0,0"/>
                  <v:stroke on="f"/>
                  <v:imagedata r:id="rId19" o:title=""/>
                  <o:lock v:ext="edit" aspectratio="f"/>
                  <w10:wrap type="none"/>
                  <w10:anchorlock/>
                </v:shape>
                <o:OLEObject Type="Embed" ProgID="Visio.Drawing.15" ShapeID="_x0000_i1026" DrawAspect="Content" ObjectID="_1468075726" r:id="rId18">
                  <o:LockedField>false</o:LockedField>
                </o:OLEObject>
              </w:object>
            </w:r>
          </w:p>
          <w:p w14:paraId="6D43760D">
            <w:pPr>
              <w:spacing w:line="360" w:lineRule="auto"/>
              <w:jc w:val="center"/>
              <w:rPr>
                <w:rFonts w:ascii="Times New Roman" w:hAnsi="Times New Roman"/>
                <w:b/>
                <w:bCs/>
                <w:sz w:val="24"/>
              </w:rPr>
            </w:pPr>
            <w:r>
              <w:rPr>
                <w:rFonts w:ascii="Times New Roman" w:hAnsi="Times New Roman"/>
                <w:b/>
                <w:bCs/>
                <w:sz w:val="24"/>
              </w:rPr>
              <w:t>图9-</w:t>
            </w:r>
            <w:r>
              <w:rPr>
                <w:rFonts w:hint="eastAsia" w:ascii="Times New Roman" w:hAnsi="Times New Roman"/>
                <w:b/>
                <w:bCs/>
                <w:sz w:val="24"/>
              </w:rPr>
              <w:t>2</w:t>
            </w:r>
            <w:r>
              <w:rPr>
                <w:rFonts w:ascii="Times New Roman" w:hAnsi="Times New Roman"/>
                <w:b/>
                <w:bCs/>
                <w:sz w:val="24"/>
              </w:rPr>
              <w:t xml:space="preserve"> DSA</w:t>
            </w:r>
            <w:r>
              <w:rPr>
                <w:rFonts w:hint="eastAsia" w:ascii="Times New Roman" w:hAnsi="Times New Roman"/>
                <w:b/>
                <w:bCs/>
                <w:sz w:val="24"/>
              </w:rPr>
              <w:t>检查</w:t>
            </w:r>
            <w:r>
              <w:rPr>
                <w:rFonts w:ascii="Times New Roman" w:hAnsi="Times New Roman"/>
                <w:b/>
                <w:bCs/>
                <w:sz w:val="24"/>
              </w:rPr>
              <w:t>流程及产污环节示意图</w:t>
            </w:r>
          </w:p>
          <w:p w14:paraId="224F0F46">
            <w:pPr>
              <w:pStyle w:val="11"/>
              <w:bidi w:val="0"/>
            </w:pPr>
            <w:r>
              <w:rPr>
                <w:rFonts w:hint="eastAsia"/>
              </w:rPr>
              <w:t>本项目放射介入检查诊疗流程如下所示：</w:t>
            </w:r>
          </w:p>
          <w:p w14:paraId="59C3C160">
            <w:pPr>
              <w:pStyle w:val="11"/>
              <w:bidi w:val="0"/>
            </w:pPr>
            <w:r>
              <w:rPr>
                <w:rFonts w:hint="eastAsia"/>
              </w:rPr>
              <w:t>（</w:t>
            </w:r>
            <w:r>
              <w:t>1</w:t>
            </w:r>
            <w:r>
              <w:rPr>
                <w:rFonts w:hint="eastAsia"/>
              </w:rPr>
              <w:t>）病人经医生诊断、确定需要介入检查的病人进行手术前洁净准备。</w:t>
            </w:r>
          </w:p>
          <w:p w14:paraId="186E7186">
            <w:pPr>
              <w:pStyle w:val="11"/>
              <w:bidi w:val="0"/>
            </w:pPr>
            <w:r>
              <w:rPr>
                <w:rFonts w:hint="eastAsia"/>
              </w:rPr>
              <w:t>（</w:t>
            </w:r>
            <w:r>
              <w:t>2</w:t>
            </w:r>
            <w:r>
              <w:rPr>
                <w:rFonts w:hint="eastAsia"/>
              </w:rPr>
              <w:t>）医生向病人告知可能受到的辐射危害。</w:t>
            </w:r>
          </w:p>
          <w:p w14:paraId="1DB269C1">
            <w:pPr>
              <w:pStyle w:val="11"/>
              <w:bidi w:val="0"/>
            </w:pPr>
            <w:r>
              <w:rPr>
                <w:rFonts w:hint="eastAsia"/>
              </w:rPr>
              <w:t>（</w:t>
            </w:r>
            <w:r>
              <w:t>3</w:t>
            </w:r>
            <w:r>
              <w:rPr>
                <w:rFonts w:hint="eastAsia"/>
              </w:rPr>
              <w:t>）设置参数，病人进入DSA（数字减影血管造影装置）机房、摆位。</w:t>
            </w:r>
          </w:p>
          <w:p w14:paraId="2FBC96BD">
            <w:pPr>
              <w:pStyle w:val="11"/>
              <w:bidi w:val="0"/>
            </w:pPr>
            <w:r>
              <w:rPr>
                <w:rFonts w:hint="eastAsia"/>
              </w:rPr>
              <w:t>（</w:t>
            </w:r>
            <w:r>
              <w:t>4</w:t>
            </w:r>
            <w:r>
              <w:rPr>
                <w:rFonts w:hint="eastAsia"/>
              </w:rPr>
              <w:t>）根据不同的治疗方案，医生及护士密切配合，完成介入手术或检查。DSA（数字减影血管造影装置）</w:t>
            </w:r>
            <w:r>
              <w:t>在进行曝光时分为拍片</w:t>
            </w:r>
            <w:r>
              <w:rPr>
                <w:rFonts w:hint="eastAsia"/>
              </w:rPr>
              <w:t>检查（隔室操作）</w:t>
            </w:r>
            <w:r>
              <w:t>和</w:t>
            </w:r>
            <w:r>
              <w:rPr>
                <w:rFonts w:hint="eastAsia"/>
              </w:rPr>
              <w:t>介入检查</w:t>
            </w:r>
            <w:r>
              <w:t>透视</w:t>
            </w:r>
            <w:r>
              <w:rPr>
                <w:rFonts w:hint="eastAsia"/>
              </w:rPr>
              <w:t>（近台同室操作，间歇透视）</w:t>
            </w:r>
            <w:r>
              <w:t>两种情况</w:t>
            </w:r>
            <w:r>
              <w:rPr>
                <w:rFonts w:hint="eastAsia"/>
              </w:rPr>
              <w:t>：</w:t>
            </w:r>
          </w:p>
          <w:p w14:paraId="26F76B13">
            <w:pPr>
              <w:spacing w:line="360" w:lineRule="auto"/>
              <w:ind w:firstLine="482" w:firstLineChars="200"/>
              <w:rPr>
                <w:rFonts w:ascii="Times New Roman" w:hAnsi="Times New Roman"/>
                <w:b/>
                <w:bCs/>
                <w:sz w:val="24"/>
              </w:rPr>
            </w:pPr>
            <w:r>
              <w:rPr>
                <w:rFonts w:ascii="Times New Roman" w:hAnsi="Times New Roman"/>
                <w:b/>
                <w:bCs/>
                <w:sz w:val="24"/>
              </w:rPr>
              <w:t>（1）DSA拍片检查</w:t>
            </w:r>
          </w:p>
          <w:p w14:paraId="7A702E3E">
            <w:pPr>
              <w:pStyle w:val="11"/>
              <w:bidi w:val="0"/>
            </w:pPr>
            <w:r>
              <w:rPr>
                <w:rFonts w:hint="eastAsia"/>
              </w:rPr>
              <w:t>DSA（数字减影血管造影装置）</w:t>
            </w:r>
            <w:r>
              <w:t>检查采用隔室操作方式，通过控制</w:t>
            </w:r>
            <w:r>
              <w:rPr>
                <w:rFonts w:hint="eastAsia"/>
              </w:rPr>
              <w:t>DSA（数字减影血管造影装置）</w:t>
            </w:r>
            <w:r>
              <w:t>的</w:t>
            </w:r>
            <w:r>
              <w:rPr>
                <w:rFonts w:hint="eastAsia"/>
              </w:rPr>
              <w:t>X射线</w:t>
            </w:r>
            <w:r>
              <w:t>系统曝光，采集造影部位图像。具体方式是受检者位于检查床上，医护人员调整</w:t>
            </w:r>
            <w:r>
              <w:rPr>
                <w:rFonts w:hint="eastAsia"/>
              </w:rPr>
              <w:t>X射线</w:t>
            </w:r>
            <w:r>
              <w:t>球管、人体、影像增强器三者之间的距离，然后进入控制室，关好防护门。操作人员通过控制室的计算机系统控制</w:t>
            </w:r>
            <w:r>
              <w:rPr>
                <w:rFonts w:hint="eastAsia"/>
              </w:rPr>
              <w:t>DSA（数字减影血管造影装置）</w:t>
            </w:r>
            <w:r>
              <w:t>的X系统曝光，采集造影部位图像。医师根据该图像确诊患者病变的范围、程度，选择治疗</w:t>
            </w:r>
            <w:r>
              <w:rPr>
                <w:rFonts w:hint="eastAsia"/>
              </w:rPr>
              <w:t>方</w:t>
            </w:r>
            <w:r>
              <w:t>案。</w:t>
            </w:r>
          </w:p>
          <w:p w14:paraId="66331A69">
            <w:pPr>
              <w:numPr>
                <w:ilvl w:val="0"/>
                <w:numId w:val="11"/>
              </w:numPr>
              <w:spacing w:line="360" w:lineRule="auto"/>
              <w:ind w:firstLine="482" w:firstLineChars="200"/>
              <w:rPr>
                <w:rFonts w:ascii="Times New Roman" w:hAnsi="Times New Roman"/>
                <w:b/>
                <w:bCs/>
                <w:sz w:val="24"/>
              </w:rPr>
            </w:pPr>
            <w:r>
              <w:rPr>
                <w:rFonts w:ascii="Times New Roman" w:hAnsi="Times New Roman"/>
                <w:b/>
                <w:bCs/>
                <w:sz w:val="24"/>
              </w:rPr>
              <w:t>DSA介入</w:t>
            </w:r>
            <w:r>
              <w:rPr>
                <w:rFonts w:hint="eastAsia" w:ascii="Times New Roman" w:hAnsi="Times New Roman"/>
                <w:b/>
                <w:bCs/>
                <w:sz w:val="24"/>
              </w:rPr>
              <w:t>检查</w:t>
            </w:r>
          </w:p>
          <w:p w14:paraId="2F9851F3">
            <w:pPr>
              <w:pStyle w:val="11"/>
              <w:bidi w:val="0"/>
            </w:pPr>
            <w:r>
              <w:rPr>
                <w:rFonts w:hint="eastAsia"/>
              </w:rPr>
              <w:t>DSA（数字减影血管造影装置）介入检查</w:t>
            </w:r>
            <w:r>
              <w:t>采用近台同室操作方式</w:t>
            </w:r>
            <w:r>
              <w:rPr>
                <w:rFonts w:hint="eastAsia"/>
              </w:rPr>
              <w:t>，间歇透视</w:t>
            </w:r>
            <w:r>
              <w:t>。通过控制</w:t>
            </w:r>
            <w:r>
              <w:rPr>
                <w:rFonts w:hint="eastAsia"/>
              </w:rPr>
              <w:t>DSA（数字减影血管造影装置）</w:t>
            </w:r>
            <w:r>
              <w:t>的</w:t>
            </w:r>
            <w:r>
              <w:rPr>
                <w:rFonts w:hint="eastAsia"/>
              </w:rPr>
              <w:t>X射线</w:t>
            </w:r>
            <w:r>
              <w:t>系统曝光，对患者的部位进行间歇式透视。具体方式是受检者位于手术床上，介入手术医师位于手术床一旁，距</w:t>
            </w:r>
            <w:r>
              <w:rPr>
                <w:rFonts w:hint="eastAsia"/>
              </w:rPr>
              <w:t>DSA（数字减影血管造影装置）</w:t>
            </w:r>
            <w:r>
              <w:t>的</w:t>
            </w:r>
            <w:r>
              <w:rPr>
                <w:rFonts w:hint="eastAsia"/>
              </w:rPr>
              <w:t>X射线</w:t>
            </w:r>
            <w:r>
              <w:t>管0.5~1.</w:t>
            </w:r>
            <w:r>
              <w:rPr>
                <w:rFonts w:hint="eastAsia"/>
                <w:lang w:val="en-US" w:eastAsia="zh-CN"/>
              </w:rPr>
              <w:t>3</w:t>
            </w:r>
            <w:r>
              <w:t>m处，在非主射束方向。受检者在进入</w:t>
            </w:r>
            <w:r>
              <w:rPr>
                <w:rFonts w:hint="eastAsia"/>
              </w:rPr>
              <w:t>DSA（数字减影血管造影装置）机房</w:t>
            </w:r>
            <w:r>
              <w:t>前穿戴个人防护用品（如铅</w:t>
            </w:r>
            <w:r>
              <w:rPr>
                <w:rFonts w:hint="eastAsia"/>
              </w:rPr>
              <w:t>橡胶性腺防护围裙或方巾</w:t>
            </w:r>
            <w:r>
              <w:t>、铅橡胶颈套</w:t>
            </w:r>
            <w:r>
              <w:rPr>
                <w:rFonts w:hint="eastAsia"/>
              </w:rPr>
              <w:t>、铅橡胶帽子</w:t>
            </w:r>
            <w:r>
              <w:t>等）</w:t>
            </w:r>
            <w:r>
              <w:rPr>
                <w:rFonts w:hint="eastAsia"/>
              </w:rPr>
              <w:t>，</w:t>
            </w:r>
            <w:r>
              <w:t>医护人员在进入</w:t>
            </w:r>
            <w:r>
              <w:rPr>
                <w:rFonts w:hint="eastAsia"/>
              </w:rPr>
              <w:t>DSA（数字减影血管造影装置）机房</w:t>
            </w:r>
            <w:r>
              <w:t>前穿戴个人防护用品（如</w:t>
            </w:r>
            <w:r>
              <w:rPr>
                <w:rFonts w:hint="eastAsia"/>
              </w:rPr>
              <w:t>铅橡胶围裙</w:t>
            </w:r>
            <w:r>
              <w:t>、铅橡胶颈套、铅防护眼镜、介入防护手套等），手术床旁设有屏蔽挂帘和移动式防护帘，介入手术人员位于屏蔽铅帘和移动式防护帘后方。</w:t>
            </w:r>
            <w:r>
              <w:rPr>
                <w:rFonts w:hint="eastAsia"/>
              </w:rPr>
              <w:t>介入检查</w:t>
            </w:r>
            <w:r>
              <w:t>中，手术医生根据操作需求，踩动手术床下的脚踏开关启动</w:t>
            </w:r>
            <w:r>
              <w:rPr>
                <w:rFonts w:hint="eastAsia"/>
              </w:rPr>
              <w:t>DSA（数字减影血管造影装置）</w:t>
            </w:r>
            <w:r>
              <w:t>的</w:t>
            </w:r>
            <w:r>
              <w:rPr>
                <w:rFonts w:hint="eastAsia"/>
              </w:rPr>
              <w:t>X射线</w:t>
            </w:r>
            <w:r>
              <w:t>系统进行透视（DSA的</w:t>
            </w:r>
            <w:r>
              <w:rPr>
                <w:rFonts w:hint="eastAsia"/>
              </w:rPr>
              <w:t>X射线</w:t>
            </w:r>
            <w:r>
              <w:t>系统连续发射X射线），通过悬挂显示屏上显示的连续画面，完成介入手术操作。每台手术DSA系统的</w:t>
            </w:r>
            <w:r>
              <w:rPr>
                <w:rFonts w:hint="eastAsia"/>
              </w:rPr>
              <w:t>X射线</w:t>
            </w:r>
            <w:r>
              <w:t>系统进行透视的次数及每次透视时间因患者的部位、手术的复杂程度而不同。介入手术</w:t>
            </w:r>
            <w:r>
              <w:rPr>
                <w:rFonts w:hint="eastAsia"/>
                <w:lang w:eastAsia="zh-CN"/>
              </w:rPr>
              <w:t>完成</w:t>
            </w:r>
            <w:r>
              <w:t>后关机，病人离开</w:t>
            </w:r>
            <w:r>
              <w:rPr>
                <w:rFonts w:hint="eastAsia"/>
              </w:rPr>
              <w:t>DSA机房</w:t>
            </w:r>
            <w:r>
              <w:t>。</w:t>
            </w:r>
          </w:p>
          <w:p w14:paraId="1F5376A5">
            <w:pPr>
              <w:pStyle w:val="11"/>
              <w:bidi w:val="0"/>
              <w:rPr>
                <w:rFonts w:ascii="Times New Roman" w:hAnsi="Times New Roman"/>
                <w:bCs/>
                <w:color w:val="auto"/>
              </w:rPr>
            </w:pPr>
            <w:r>
              <w:rPr>
                <w:rFonts w:hint="eastAsia"/>
              </w:rPr>
              <w:t>在</w:t>
            </w:r>
            <w:r>
              <w:t>DSA拍片检查</w:t>
            </w:r>
            <w:r>
              <w:rPr>
                <w:rFonts w:hint="eastAsia"/>
              </w:rPr>
              <w:t>和介入检查过程中技师位于控制室内，主要完成以下工作，</w:t>
            </w:r>
            <w:r>
              <w:fldChar w:fldCharType="begin"/>
            </w:r>
            <w:r>
              <w:instrText xml:space="preserve"> HYPERLINK "https://zq.zhaopin.com/answer/10862956/" </w:instrText>
            </w:r>
            <w:r>
              <w:fldChar w:fldCharType="separate"/>
            </w:r>
            <w:r>
              <w:t>在手术医生的指导下，做好</w:t>
            </w:r>
            <w:r>
              <w:rPr>
                <w:rFonts w:hint="eastAsia"/>
                <w:lang w:val="en-US" w:eastAsia="zh-CN"/>
              </w:rPr>
              <w:t>图像</w:t>
            </w:r>
            <w:r>
              <w:t>的采集，后处理，透视</w:t>
            </w:r>
            <w:r>
              <w:rPr>
                <w:rFonts w:hint="eastAsia"/>
                <w:lang w:val="en-US" w:eastAsia="zh-CN"/>
              </w:rPr>
              <w:t>图像</w:t>
            </w:r>
            <w:r>
              <w:t>的处理等工作，为手术医生提供优质的操作界面。负责手术病人的登记、归档及电脑存挡的工作。操作中发现机器异常，应停止使用并及时报告</w:t>
            </w:r>
            <w:r>
              <w:rPr>
                <w:rFonts w:hint="eastAsia"/>
              </w:rPr>
              <w:t>及通知</w:t>
            </w:r>
            <w:r>
              <w:t>维修，做好故障记录及维修记录。</w:t>
            </w:r>
            <w:r>
              <w:fldChar w:fldCharType="end"/>
            </w:r>
          </w:p>
          <w:p w14:paraId="33A58652">
            <w:pPr>
              <w:spacing w:line="360" w:lineRule="auto"/>
              <w:rPr>
                <w:rFonts w:ascii="Times New Roman" w:hAnsi="Times New Roman"/>
                <w:b/>
                <w:bCs/>
                <w:sz w:val="24"/>
              </w:rPr>
            </w:pPr>
            <w:r>
              <w:rPr>
                <w:rFonts w:ascii="Times New Roman" w:hAnsi="Times New Roman"/>
                <w:b/>
                <w:bCs/>
                <w:sz w:val="24"/>
              </w:rPr>
              <w:t>3、产污环节</w:t>
            </w:r>
          </w:p>
          <w:p w14:paraId="3C276B01">
            <w:pPr>
              <w:pStyle w:val="11"/>
              <w:bidi w:val="0"/>
            </w:pPr>
            <w:r>
              <w:t>本项目拟在</w:t>
            </w:r>
            <w:r>
              <w:rPr>
                <w:rFonts w:hint="eastAsia"/>
              </w:rPr>
              <w:t>DSA机房</w:t>
            </w:r>
            <w:r>
              <w:t>内使用1台DSA，属于Ⅱ类射线装置。产污环节为：在注入造影剂之前拍片产生的X射线和臭氧</w:t>
            </w:r>
            <w:r>
              <w:rPr>
                <w:rFonts w:hint="eastAsia"/>
              </w:rPr>
              <w:t>、氮氧化物</w:t>
            </w:r>
            <w:r>
              <w:t>，注入造影剂之后产生的X射线和臭氧</w:t>
            </w:r>
            <w:r>
              <w:rPr>
                <w:rFonts w:hint="eastAsia"/>
              </w:rPr>
              <w:t>、氮氧化物</w:t>
            </w:r>
            <w:r>
              <w:t>，</w:t>
            </w:r>
            <w:r>
              <w:rPr>
                <w:rFonts w:hint="eastAsia"/>
              </w:rPr>
              <w:t>介入检查</w:t>
            </w:r>
            <w:r>
              <w:t>过程中间歇透视产生的X射线和臭氧</w:t>
            </w:r>
            <w:r>
              <w:rPr>
                <w:rFonts w:hint="eastAsia"/>
              </w:rPr>
              <w:t>、氮氧化物</w:t>
            </w:r>
            <w:r>
              <w:t>。在手术时，产生医疗包装物和容器和药棉、纱布、手套等医疗废物。注入的造影剂不含放射性，同时射线装置采用先进的数字显影技术，不会产生废显影液、废定影液和废胶片。</w:t>
            </w:r>
          </w:p>
          <w:p w14:paraId="30F54BF7">
            <w:pPr>
              <w:spacing w:line="360" w:lineRule="auto"/>
              <w:rPr>
                <w:rFonts w:ascii="Times New Roman" w:hAnsi="Times New Roman"/>
                <w:b/>
                <w:bCs/>
                <w:sz w:val="24"/>
              </w:rPr>
            </w:pPr>
            <w:r>
              <w:rPr>
                <w:rFonts w:ascii="Times New Roman" w:hAnsi="Times New Roman"/>
                <w:b/>
                <w:bCs/>
                <w:sz w:val="24"/>
              </w:rPr>
              <w:t>4、本项目医护人员、患者、污物路径分析</w:t>
            </w:r>
          </w:p>
          <w:p w14:paraId="5E9F01F0">
            <w:pPr>
              <w:pStyle w:val="11"/>
              <w:bidi w:val="0"/>
            </w:pPr>
            <w:r>
              <w:rPr>
                <w:rFonts w:hint="eastAsia"/>
              </w:rPr>
              <w:t>医护人员路径：本项目医护人员做好术前消毒后经过</w:t>
            </w:r>
            <w:r>
              <w:rPr>
                <w:rFonts w:hint="eastAsia"/>
                <w:lang w:val="en-US" w:eastAsia="zh-CN"/>
              </w:rPr>
              <w:t>医生</w:t>
            </w:r>
            <w:r>
              <w:rPr>
                <w:rFonts w:hint="eastAsia"/>
              </w:rPr>
              <w:t>通道</w:t>
            </w:r>
            <w:r>
              <w:rPr>
                <w:rFonts w:hint="eastAsia"/>
                <w:lang w:val="en-US" w:eastAsia="zh-CN"/>
              </w:rPr>
              <w:t>、刷手准备、更衣</w:t>
            </w:r>
            <w:r>
              <w:rPr>
                <w:rFonts w:hint="eastAsia"/>
              </w:rPr>
              <w:t>、控制室进入DSA机房开展介入检查手术；手术结束后，按照原路径返回。</w:t>
            </w:r>
          </w:p>
          <w:p w14:paraId="0AFF29E3">
            <w:pPr>
              <w:pStyle w:val="11"/>
              <w:bidi w:val="0"/>
            </w:pPr>
            <w:r>
              <w:rPr>
                <w:rFonts w:hint="eastAsia"/>
              </w:rPr>
              <w:t>患者路径：患者在陪护人员陪同下，从</w:t>
            </w:r>
            <w:r>
              <w:rPr>
                <w:rFonts w:hint="eastAsia"/>
                <w:lang w:val="en-US" w:eastAsia="zh-CN"/>
              </w:rPr>
              <w:t>走道</w:t>
            </w:r>
            <w:r>
              <w:rPr>
                <w:rFonts w:hint="eastAsia"/>
              </w:rPr>
              <w:t>进入</w:t>
            </w:r>
            <w:r>
              <w:rPr>
                <w:rFonts w:hint="eastAsia"/>
                <w:lang w:val="en-US" w:eastAsia="zh-CN"/>
              </w:rPr>
              <w:t>病人准备间后进入</w:t>
            </w:r>
            <w:r>
              <w:rPr>
                <w:rFonts w:hint="eastAsia"/>
              </w:rPr>
              <w:t>DSA机房；手术结束后，按照原路径返回。</w:t>
            </w:r>
          </w:p>
          <w:p w14:paraId="629851E5">
            <w:pPr>
              <w:pStyle w:val="11"/>
              <w:bidi w:val="0"/>
            </w:pPr>
            <w:r>
              <w:rPr>
                <w:rFonts w:hint="eastAsia"/>
              </w:rPr>
              <w:t>污物路径：手术过程中产生的医疗废物经打包后从污物门运输出DSA机房经过</w:t>
            </w:r>
            <w:r>
              <w:rPr>
                <w:rFonts w:hint="eastAsia"/>
                <w:lang w:val="en-US" w:eastAsia="zh-CN"/>
              </w:rPr>
              <w:t>走</w:t>
            </w:r>
            <w:r>
              <w:rPr>
                <w:rFonts w:hint="eastAsia"/>
              </w:rPr>
              <w:t>道运</w:t>
            </w:r>
            <w:r>
              <w:rPr>
                <w:rFonts w:hint="eastAsia"/>
                <w:lang w:val="en-US" w:eastAsia="zh-CN"/>
              </w:rPr>
              <w:t>至污物暂存间</w:t>
            </w:r>
            <w:r>
              <w:rPr>
                <w:rFonts w:hint="eastAsia"/>
              </w:rPr>
              <w:t>，再运到医院医疗废物暂存站，最终交由有资质的单位回收处理。</w:t>
            </w:r>
          </w:p>
          <w:p w14:paraId="0B107712">
            <w:pPr>
              <w:pStyle w:val="11"/>
              <w:bidi w:val="0"/>
            </w:pPr>
            <w:r>
              <w:t>本项目医生、患者、污物路径示意</w:t>
            </w:r>
            <w:r>
              <w:rPr>
                <w:rFonts w:hint="eastAsia"/>
                <w:lang w:val="en-US" w:eastAsia="zh-CN"/>
              </w:rPr>
              <w:t>图</w:t>
            </w:r>
            <w:r>
              <w:t>见</w:t>
            </w:r>
            <w:r>
              <w:rPr>
                <w:rFonts w:hint="eastAsia"/>
              </w:rPr>
              <w:t>附</w:t>
            </w:r>
            <w:r>
              <w:t>图</w:t>
            </w:r>
            <w:r>
              <w:rPr>
                <w:rFonts w:hint="eastAsia"/>
                <w:lang w:val="en-US" w:eastAsia="zh-CN"/>
              </w:rPr>
              <w:t>8</w:t>
            </w:r>
            <w:r>
              <w:t>。</w:t>
            </w:r>
          </w:p>
          <w:p w14:paraId="11A93B58">
            <w:pPr>
              <w:spacing w:line="360" w:lineRule="auto"/>
              <w:rPr>
                <w:rFonts w:ascii="Times New Roman" w:hAnsi="Times New Roman"/>
                <w:b/>
                <w:bCs/>
                <w:sz w:val="24"/>
              </w:rPr>
            </w:pPr>
            <w:r>
              <w:rPr>
                <w:rFonts w:ascii="Times New Roman" w:hAnsi="Times New Roman"/>
                <w:b/>
                <w:bCs/>
                <w:sz w:val="24"/>
              </w:rPr>
              <w:t>5、主要污染源</w:t>
            </w:r>
            <w:r>
              <w:rPr>
                <w:rFonts w:hint="eastAsia" w:ascii="Times New Roman" w:hAnsi="Times New Roman"/>
                <w:b/>
                <w:bCs/>
                <w:sz w:val="24"/>
              </w:rPr>
              <w:t>项描述</w:t>
            </w:r>
          </w:p>
          <w:p w14:paraId="6D65AE38">
            <w:pPr>
              <w:spacing w:line="360" w:lineRule="auto"/>
              <w:ind w:firstLine="482" w:firstLineChars="200"/>
              <w:jc w:val="left"/>
              <w:rPr>
                <w:rFonts w:ascii="Times New Roman" w:hAnsi="Times New Roman"/>
                <w:b/>
                <w:bCs/>
                <w:sz w:val="24"/>
              </w:rPr>
            </w:pPr>
            <w:r>
              <w:rPr>
                <w:rFonts w:ascii="Times New Roman" w:hAnsi="Times New Roman"/>
                <w:b/>
                <w:bCs/>
                <w:sz w:val="24"/>
              </w:rPr>
              <w:t>（1）电离辐射</w:t>
            </w:r>
          </w:p>
          <w:p w14:paraId="69888857">
            <w:pPr>
              <w:pStyle w:val="11"/>
              <w:bidi w:val="0"/>
              <w:rPr>
                <w:rFonts w:ascii="Times New Roman" w:hAnsi="Times New Roman"/>
              </w:rPr>
            </w:pPr>
            <w:r>
              <w:t>DSA在开机状态下产生的X射线，不开机状态下不产生X射线。</w:t>
            </w:r>
          </w:p>
          <w:p w14:paraId="1282AA46">
            <w:pPr>
              <w:spacing w:line="360" w:lineRule="auto"/>
              <w:ind w:firstLine="465"/>
              <w:jc w:val="left"/>
              <w:rPr>
                <w:rFonts w:ascii="Times New Roman" w:hAnsi="Times New Roman"/>
                <w:b/>
                <w:bCs/>
                <w:sz w:val="24"/>
              </w:rPr>
            </w:pPr>
            <w:r>
              <w:rPr>
                <w:rFonts w:ascii="Times New Roman" w:hAnsi="Times New Roman"/>
                <w:b/>
                <w:bCs/>
                <w:sz w:val="24"/>
              </w:rPr>
              <w:t>（2）废气</w:t>
            </w:r>
          </w:p>
          <w:p w14:paraId="5D7AC3DF">
            <w:pPr>
              <w:pStyle w:val="11"/>
              <w:bidi w:val="0"/>
              <w:rPr>
                <w:rFonts w:hint="default"/>
                <w:color w:val="auto"/>
                <w:lang w:val="en-US" w:eastAsia="zh-CN"/>
              </w:rPr>
            </w:pPr>
            <w:r>
              <w:rPr>
                <w:color w:val="auto"/>
              </w:rPr>
              <w:t>DSA曝光过程中臭氧</w:t>
            </w:r>
            <w:r>
              <w:rPr>
                <w:rFonts w:hint="eastAsia"/>
                <w:color w:val="auto"/>
              </w:rPr>
              <w:t>、氮氧化物</w:t>
            </w:r>
            <w:r>
              <w:rPr>
                <w:color w:val="auto"/>
              </w:rPr>
              <w:t>产生量很小，项目产生的臭氧</w:t>
            </w:r>
            <w:r>
              <w:rPr>
                <w:rFonts w:hint="eastAsia"/>
                <w:color w:val="auto"/>
              </w:rPr>
              <w:t>、氮氧化物</w:t>
            </w:r>
            <w:r>
              <w:rPr>
                <w:rFonts w:hint="eastAsia"/>
                <w:color w:val="auto"/>
                <w:lang w:val="en-US" w:eastAsia="zh-CN"/>
              </w:rPr>
              <w:t>经</w:t>
            </w:r>
            <w:r>
              <w:rPr>
                <w:rFonts w:hint="eastAsia"/>
                <w:color w:val="auto"/>
              </w:rPr>
              <w:t>DSA机房排风管道</w:t>
            </w:r>
            <w:r>
              <w:rPr>
                <w:rFonts w:hint="eastAsia"/>
                <w:color w:val="auto"/>
                <w:lang w:val="en-US" w:eastAsia="zh-CN"/>
              </w:rPr>
              <w:t>排至2号住院综合楼北侧2楼室外</w:t>
            </w:r>
            <w:r>
              <w:rPr>
                <w:rFonts w:hint="eastAsia"/>
                <w:color w:val="auto"/>
              </w:rPr>
              <w:t>排</w:t>
            </w:r>
            <w:r>
              <w:rPr>
                <w:rFonts w:hint="eastAsia"/>
                <w:color w:val="auto"/>
                <w:lang w:val="en-US" w:eastAsia="zh-CN"/>
              </w:rPr>
              <w:t>放，距地高度4.7m</w:t>
            </w:r>
            <w:r>
              <w:rPr>
                <w:color w:val="auto"/>
              </w:rPr>
              <w:t>。</w:t>
            </w:r>
          </w:p>
          <w:p w14:paraId="3D9CB0A7">
            <w:pPr>
              <w:spacing w:line="360" w:lineRule="auto"/>
              <w:ind w:firstLine="482" w:firstLineChars="200"/>
              <w:jc w:val="left"/>
              <w:rPr>
                <w:rFonts w:ascii="Times New Roman" w:hAnsi="Times New Roman"/>
                <w:b/>
                <w:bCs/>
                <w:sz w:val="24"/>
              </w:rPr>
            </w:pPr>
            <w:r>
              <w:rPr>
                <w:rFonts w:ascii="Times New Roman" w:hAnsi="Times New Roman"/>
                <w:b/>
                <w:bCs/>
                <w:sz w:val="24"/>
              </w:rPr>
              <w:t>（</w:t>
            </w:r>
            <w:r>
              <w:rPr>
                <w:rFonts w:hint="eastAsia" w:ascii="Times New Roman" w:hAnsi="Times New Roman"/>
                <w:b/>
                <w:bCs/>
                <w:sz w:val="24"/>
              </w:rPr>
              <w:t>3</w:t>
            </w:r>
            <w:r>
              <w:rPr>
                <w:rFonts w:ascii="Times New Roman" w:hAnsi="Times New Roman"/>
                <w:b/>
                <w:bCs/>
                <w:sz w:val="24"/>
              </w:rPr>
              <w:t>）废水</w:t>
            </w:r>
          </w:p>
          <w:p w14:paraId="5526CE6C">
            <w:pPr>
              <w:pStyle w:val="11"/>
              <w:bidi w:val="0"/>
              <w:rPr>
                <w:rFonts w:hint="eastAsia"/>
                <w:lang w:val="en-US" w:eastAsia="zh-CN"/>
              </w:rPr>
            </w:pPr>
            <w:r>
              <w:t>本项目运行后，废水主要为辐射工作人员和患者产生的生活污水和</w:t>
            </w:r>
            <w:r>
              <w:rPr>
                <w:rFonts w:hint="eastAsia"/>
              </w:rPr>
              <w:t>少量</w:t>
            </w:r>
            <w:r>
              <w:t>医疗废水。本项目</w:t>
            </w:r>
            <w:r>
              <w:rPr>
                <w:rFonts w:hint="eastAsia"/>
              </w:rPr>
              <w:t>新增</w:t>
            </w:r>
            <w:r>
              <w:t>工作人员</w:t>
            </w:r>
            <w:r>
              <w:rPr>
                <w:rFonts w:hint="eastAsia"/>
                <w:lang w:val="en-US" w:eastAsia="zh-CN"/>
              </w:rPr>
              <w:t>14</w:t>
            </w:r>
            <w:r>
              <w:rPr>
                <w:rFonts w:hint="eastAsia"/>
              </w:rPr>
              <w:t>人</w:t>
            </w:r>
            <w:r>
              <w:t>，</w:t>
            </w:r>
            <w:r>
              <w:rPr>
                <w:rFonts w:hint="eastAsia"/>
              </w:rPr>
              <w:t>患者及陪护人员以每天5人计，</w:t>
            </w:r>
            <w:r>
              <w:t>用水量按120L/人·天计，废水排放系数为0.8，则每天产生生活污水</w:t>
            </w:r>
            <w:r>
              <w:rPr>
                <w:rFonts w:hint="eastAsia"/>
                <w:lang w:val="en-US" w:eastAsia="zh-CN"/>
              </w:rPr>
              <w:t>1.44</w:t>
            </w:r>
            <w:r>
              <w:t>m</w:t>
            </w:r>
            <w:r>
              <w:rPr>
                <w:vertAlign w:val="superscript"/>
              </w:rPr>
              <w:t>3</w:t>
            </w:r>
            <w:r>
              <w:t>/d（</w:t>
            </w:r>
            <w:r>
              <w:rPr>
                <w:rFonts w:hint="eastAsia"/>
                <w:lang w:val="en-US" w:eastAsia="zh-CN"/>
              </w:rPr>
              <w:t>432</w:t>
            </w:r>
            <w:r>
              <w:t>m</w:t>
            </w:r>
            <w:r>
              <w:rPr>
                <w:vertAlign w:val="superscript"/>
              </w:rPr>
              <w:t>3</w:t>
            </w:r>
            <w:r>
              <w:t>/a）。碘克沙醇注射液</w:t>
            </w:r>
            <w:r>
              <w:rPr>
                <w:rFonts w:hint="eastAsia"/>
                <w:lang w:val="en-US" w:eastAsia="zh-CN"/>
              </w:rPr>
              <w:t>为100ml/瓶，1000瓶，故医疗废水产生量以0.1</w:t>
            </w:r>
            <w:r>
              <w:t>m</w:t>
            </w:r>
            <w:r>
              <w:rPr>
                <w:vertAlign w:val="superscript"/>
              </w:rPr>
              <w:t>3</w:t>
            </w:r>
            <w:r>
              <w:t>/a</w:t>
            </w:r>
            <w:r>
              <w:rPr>
                <w:rFonts w:hint="eastAsia"/>
                <w:lang w:val="en-US" w:eastAsia="zh-CN"/>
              </w:rPr>
              <w:t>计。</w:t>
            </w:r>
          </w:p>
          <w:p w14:paraId="2876EB9E">
            <w:pPr>
              <w:pStyle w:val="11"/>
              <w:bidi w:val="0"/>
              <w:rPr>
                <w:rFonts w:hint="eastAsia"/>
              </w:rPr>
            </w:pPr>
            <w:r>
              <w:rPr>
                <w:rFonts w:hint="eastAsia"/>
                <w:lang w:val="en-US" w:eastAsia="zh-CN"/>
              </w:rPr>
              <w:t>运行期</w:t>
            </w:r>
            <w:r>
              <w:rPr>
                <w:rFonts w:hint="eastAsia"/>
              </w:rPr>
              <w:t>依托医院</w:t>
            </w:r>
            <w:r>
              <w:rPr>
                <w:rFonts w:hint="eastAsia"/>
                <w:lang w:val="en-US" w:eastAsia="zh-CN"/>
              </w:rPr>
              <w:t>现有</w:t>
            </w:r>
            <w:r>
              <w:rPr>
                <w:rFonts w:hint="eastAsia"/>
              </w:rPr>
              <w:t>地埋式污水处理站采用"调节池+A/O+沉淀+</w:t>
            </w:r>
            <w:r>
              <w:rPr>
                <w:rFonts w:hint="eastAsia"/>
                <w:lang w:eastAsia="zh-CN"/>
              </w:rPr>
              <w:t>次氯酸钠</w:t>
            </w:r>
            <w:r>
              <w:rPr>
                <w:rFonts w:hint="eastAsia"/>
              </w:rPr>
              <w:t>消毒"处理工艺，设计日废水处理能力500m</w:t>
            </w:r>
            <w:r>
              <w:rPr>
                <w:rFonts w:hint="eastAsia"/>
                <w:vertAlign w:val="superscript"/>
              </w:rPr>
              <w:t>3</w:t>
            </w:r>
            <w:r>
              <w:rPr>
                <w:rFonts w:hint="eastAsia"/>
                <w:vertAlign w:val="baseline"/>
                <w:lang w:val="en-US" w:eastAsia="zh-CN"/>
              </w:rPr>
              <w:t>/d</w:t>
            </w:r>
            <w:r>
              <w:rPr>
                <w:rFonts w:hint="eastAsia"/>
                <w:lang w:eastAsia="zh-CN"/>
              </w:rPr>
              <w:t>，（</w:t>
            </w:r>
            <w:r>
              <w:rPr>
                <w:rFonts w:hint="eastAsia"/>
              </w:rPr>
              <w:t>医院</w:t>
            </w:r>
            <w:r>
              <w:rPr>
                <w:rFonts w:hint="eastAsia"/>
                <w:lang w:val="en-US" w:eastAsia="zh-CN"/>
              </w:rPr>
              <w:t>现有废水</w:t>
            </w:r>
            <w:r>
              <w:rPr>
                <w:rFonts w:hint="eastAsia"/>
              </w:rPr>
              <w:t>量354.3m</w:t>
            </w:r>
            <w:r>
              <w:rPr>
                <w:rFonts w:hint="eastAsia"/>
                <w:vertAlign w:val="superscript"/>
              </w:rPr>
              <w:t>3</w:t>
            </w:r>
            <w:r>
              <w:rPr>
                <w:rFonts w:hint="eastAsia"/>
              </w:rPr>
              <w:t>/d</w:t>
            </w:r>
            <w:r>
              <w:rPr>
                <w:rFonts w:hint="eastAsia"/>
                <w:lang w:eastAsia="zh-CN"/>
              </w:rPr>
              <w:t>）</w:t>
            </w:r>
            <w:r>
              <w:rPr>
                <w:rFonts w:hint="eastAsia"/>
              </w:rPr>
              <w:t>，处理后废水达到</w:t>
            </w:r>
            <w:r>
              <w:rPr>
                <w:rFonts w:hint="eastAsia"/>
                <w:lang w:eastAsia="zh-CN"/>
              </w:rPr>
              <w:t>《</w:t>
            </w:r>
            <w:r>
              <w:rPr>
                <w:rFonts w:hint="eastAsia"/>
              </w:rPr>
              <w:t>医疗机构水污染物排放标准</w:t>
            </w:r>
            <w:r>
              <w:rPr>
                <w:rFonts w:hint="eastAsia"/>
                <w:lang w:eastAsia="zh-CN"/>
              </w:rPr>
              <w:t>》</w:t>
            </w:r>
            <w:r>
              <w:rPr>
                <w:rFonts w:hint="eastAsia"/>
              </w:rPr>
              <w:t>(GB18466-2005)中表2的预处理标准后，经市政污水管网进入平昌县第二污水处理厂进行处理达到</w:t>
            </w:r>
            <w:r>
              <w:rPr>
                <w:rFonts w:hint="eastAsia"/>
                <w:lang w:eastAsia="zh-CN"/>
              </w:rPr>
              <w:t>《</w:t>
            </w:r>
            <w:r>
              <w:rPr>
                <w:rFonts w:hint="eastAsia"/>
              </w:rPr>
              <w:t>城镇污水处理厂污染物排放标准</w:t>
            </w:r>
            <w:r>
              <w:rPr>
                <w:rFonts w:hint="eastAsia"/>
                <w:lang w:eastAsia="zh-CN"/>
              </w:rPr>
              <w:t>》（</w:t>
            </w:r>
            <w:r>
              <w:rPr>
                <w:rFonts w:hint="eastAsia"/>
              </w:rPr>
              <w:t>GB18918-2002</w:t>
            </w:r>
            <w:r>
              <w:rPr>
                <w:rFonts w:hint="eastAsia"/>
                <w:lang w:eastAsia="zh-CN"/>
              </w:rPr>
              <w:t>）</w:t>
            </w:r>
            <w:r>
              <w:rPr>
                <w:rFonts w:hint="eastAsia"/>
              </w:rPr>
              <w:t>中一级A标准后排入巴河。</w:t>
            </w:r>
          </w:p>
          <w:p w14:paraId="278D2D24">
            <w:pPr>
              <w:spacing w:line="360" w:lineRule="auto"/>
              <w:ind w:firstLine="482" w:firstLineChars="200"/>
              <w:jc w:val="left"/>
              <w:rPr>
                <w:rFonts w:ascii="Times New Roman" w:hAnsi="Times New Roman"/>
                <w:b/>
                <w:bCs/>
                <w:sz w:val="24"/>
              </w:rPr>
            </w:pPr>
            <w:r>
              <w:rPr>
                <w:rFonts w:ascii="Times New Roman" w:hAnsi="Times New Roman"/>
                <w:b/>
                <w:bCs/>
                <w:sz w:val="24"/>
              </w:rPr>
              <w:t>（</w:t>
            </w:r>
            <w:r>
              <w:rPr>
                <w:rFonts w:hint="eastAsia" w:ascii="Times New Roman" w:hAnsi="Times New Roman"/>
                <w:b/>
                <w:bCs/>
                <w:sz w:val="24"/>
              </w:rPr>
              <w:t>4</w:t>
            </w:r>
            <w:r>
              <w:rPr>
                <w:rFonts w:ascii="Times New Roman" w:hAnsi="Times New Roman"/>
                <w:b/>
                <w:bCs/>
                <w:sz w:val="24"/>
              </w:rPr>
              <w:t>）噪声</w:t>
            </w:r>
          </w:p>
          <w:p w14:paraId="53184D37">
            <w:pPr>
              <w:spacing w:line="360" w:lineRule="auto"/>
              <w:ind w:firstLine="465"/>
              <w:jc w:val="both"/>
              <w:rPr>
                <w:rFonts w:ascii="Times New Roman" w:hAnsi="Times New Roman"/>
                <w:color w:val="auto"/>
                <w:sz w:val="24"/>
              </w:rPr>
            </w:pPr>
            <w:r>
              <w:rPr>
                <w:rFonts w:ascii="Times New Roman" w:hAnsi="Times New Roman"/>
                <w:color w:val="auto"/>
                <w:sz w:val="24"/>
              </w:rPr>
              <w:t>本项目所有设备选用低噪声设备，</w:t>
            </w:r>
            <w:r>
              <w:rPr>
                <w:rFonts w:hint="eastAsia"/>
                <w:color w:val="auto"/>
                <w:sz w:val="24"/>
              </w:rPr>
              <w:t>进风口与出风口消声处理，机组加装防震垫圈等。</w:t>
            </w:r>
            <w:r>
              <w:rPr>
                <w:rFonts w:ascii="Times New Roman" w:hAnsi="Times New Roman"/>
                <w:color w:val="auto"/>
                <w:sz w:val="24"/>
              </w:rPr>
              <w:t>噪声主要为空调噪声和排风机，</w:t>
            </w:r>
            <w:r>
              <w:rPr>
                <w:rFonts w:hint="eastAsia" w:ascii="Times New Roman" w:hAnsi="Times New Roman"/>
                <w:color w:val="auto"/>
                <w:sz w:val="24"/>
              </w:rPr>
              <w:t>空调</w:t>
            </w:r>
            <w:r>
              <w:rPr>
                <w:rFonts w:hint="eastAsia" w:ascii="Times New Roman" w:hAnsi="Times New Roman"/>
                <w:color w:val="auto"/>
                <w:sz w:val="24"/>
                <w:lang w:val="en-US" w:eastAsia="zh-CN"/>
              </w:rPr>
              <w:t>新风</w:t>
            </w:r>
            <w:r>
              <w:rPr>
                <w:rFonts w:hint="eastAsia" w:ascii="Times New Roman" w:hAnsi="Times New Roman"/>
                <w:color w:val="auto"/>
                <w:sz w:val="24"/>
              </w:rPr>
              <w:t>为院区中央空调系统，</w:t>
            </w:r>
            <w:r>
              <w:rPr>
                <w:rFonts w:hint="eastAsia" w:ascii="Times New Roman" w:hAnsi="Times New Roman"/>
                <w:color w:val="auto"/>
                <w:sz w:val="24"/>
                <w:lang w:val="en-US" w:eastAsia="zh-CN"/>
              </w:rPr>
              <w:t>排风</w:t>
            </w:r>
            <w:r>
              <w:rPr>
                <w:rFonts w:hint="eastAsia" w:ascii="Times New Roman" w:hAnsi="Times New Roman"/>
                <w:color w:val="auto"/>
                <w:sz w:val="24"/>
              </w:rPr>
              <w:t>为院区通排风系统</w:t>
            </w:r>
            <w:r>
              <w:rPr>
                <w:rFonts w:hint="eastAsia" w:ascii="Times New Roman" w:hAnsi="Times New Roman"/>
                <w:bCs/>
                <w:color w:val="auto"/>
                <w:sz w:val="24"/>
                <w:lang w:val="en-US" w:eastAsia="zh-CN"/>
              </w:rPr>
              <w:t>（机房位于2号住院综合楼一楼东侧）</w:t>
            </w:r>
            <w:r>
              <w:rPr>
                <w:rFonts w:hint="eastAsia" w:ascii="Times New Roman" w:hAnsi="Times New Roman"/>
                <w:color w:val="auto"/>
                <w:sz w:val="24"/>
              </w:rPr>
              <w:t>，风口均在</w:t>
            </w:r>
            <w:r>
              <w:rPr>
                <w:rFonts w:hint="eastAsia" w:ascii="Times New Roman" w:hAnsi="Times New Roman"/>
                <w:color w:val="auto"/>
                <w:sz w:val="24"/>
                <w:lang w:eastAsia="zh-CN"/>
              </w:rPr>
              <w:t>DSA机房</w:t>
            </w:r>
            <w:r>
              <w:rPr>
                <w:rFonts w:hint="eastAsia" w:ascii="Times New Roman" w:hAnsi="Times New Roman"/>
                <w:color w:val="auto"/>
                <w:sz w:val="24"/>
              </w:rPr>
              <w:t>房间顶部。</w:t>
            </w:r>
            <w:r>
              <w:rPr>
                <w:rFonts w:hint="eastAsia" w:ascii="Times New Roman" w:hAnsi="Times New Roman"/>
                <w:color w:val="auto"/>
                <w:sz w:val="24"/>
                <w:lang w:val="en-US" w:eastAsia="zh-CN"/>
              </w:rPr>
              <w:t>其噪声源强低</w:t>
            </w:r>
            <w:r>
              <w:rPr>
                <w:rFonts w:hint="default" w:ascii="Times New Roman" w:hAnsi="Times New Roman" w:cs="Times New Roman"/>
                <w:color w:val="auto"/>
                <w:sz w:val="24"/>
                <w:lang w:val="en-US" w:eastAsia="zh-CN"/>
              </w:rPr>
              <w:t>于65d</w:t>
            </w:r>
            <w:r>
              <w:rPr>
                <w:rFonts w:hint="default" w:ascii="Times New Roman" w:hAnsi="Times New Roman" w:eastAsia="宋体" w:cs="Times New Roman"/>
                <w:color w:val="auto"/>
                <w:sz w:val="24"/>
                <w:lang w:val="en-US" w:eastAsia="zh-CN"/>
              </w:rPr>
              <w:t>B(A)</w:t>
            </w:r>
            <w:r>
              <w:rPr>
                <w:rFonts w:hint="default" w:ascii="Times New Roman" w:hAnsi="Times New Roman" w:eastAsia="宋体" w:cs="Times New Roman"/>
                <w:color w:val="auto"/>
                <w:sz w:val="24"/>
              </w:rPr>
              <w:t>。</w:t>
            </w:r>
            <w:r>
              <w:rPr>
                <w:rFonts w:hint="eastAsia" w:ascii="Times New Roman" w:hAnsi="Times New Roman"/>
                <w:color w:val="auto"/>
                <w:sz w:val="24"/>
              </w:rPr>
              <w:t>故本项目噪声</w:t>
            </w:r>
            <w:r>
              <w:rPr>
                <w:rFonts w:ascii="Times New Roman" w:hAnsi="Times New Roman"/>
                <w:color w:val="auto"/>
                <w:sz w:val="24"/>
              </w:rPr>
              <w:t>通过建筑墙体隔声及距离衰减后，运行期间厂界噪声可达到《工业企业厂界环境噪声排放标准》（GB12348-2008）2类标准要求。</w:t>
            </w:r>
          </w:p>
          <w:p w14:paraId="61BE54B3">
            <w:pPr>
              <w:spacing w:line="360" w:lineRule="auto"/>
              <w:ind w:firstLine="482" w:firstLineChars="200"/>
              <w:jc w:val="left"/>
              <w:rPr>
                <w:rFonts w:ascii="Times New Roman" w:hAnsi="Times New Roman"/>
                <w:b/>
                <w:bCs/>
                <w:sz w:val="24"/>
              </w:rPr>
            </w:pPr>
            <w:r>
              <w:rPr>
                <w:rFonts w:hint="eastAsia" w:ascii="Times New Roman" w:hAnsi="Times New Roman"/>
                <w:b/>
                <w:bCs/>
                <w:sz w:val="24"/>
              </w:rPr>
              <w:t>（5）</w:t>
            </w:r>
            <w:r>
              <w:rPr>
                <w:rFonts w:ascii="Times New Roman" w:hAnsi="Times New Roman"/>
                <w:b/>
                <w:bCs/>
                <w:sz w:val="24"/>
              </w:rPr>
              <w:t>固体废物</w:t>
            </w:r>
          </w:p>
          <w:p w14:paraId="2B11B569">
            <w:pPr>
              <w:spacing w:line="360" w:lineRule="auto"/>
              <w:ind w:firstLine="480" w:firstLineChars="200"/>
              <w:rPr>
                <w:rFonts w:ascii="Times New Roman" w:hAnsi="Times New Roman"/>
                <w:sz w:val="24"/>
              </w:rPr>
            </w:pPr>
            <w:r>
              <w:rPr>
                <w:rFonts w:ascii="Times New Roman" w:hAnsi="Times New Roman"/>
                <w:sz w:val="24"/>
              </w:rPr>
              <w:t>①本项目DSA采用数字成像，不打印胶片，因此不会有废胶片产生；</w:t>
            </w:r>
          </w:p>
          <w:p w14:paraId="1706E59F">
            <w:pPr>
              <w:widowControl/>
              <w:spacing w:line="360" w:lineRule="auto"/>
              <w:ind w:firstLine="480" w:firstLineChars="200"/>
              <w:rPr>
                <w:rFonts w:ascii="Times New Roman" w:hAnsi="Times New Roman"/>
                <w:sz w:val="24"/>
              </w:rPr>
            </w:pPr>
            <w:r>
              <w:rPr>
                <w:rFonts w:ascii="Times New Roman" w:hAnsi="Times New Roman"/>
                <w:sz w:val="24"/>
              </w:rPr>
              <w:t>②手术时产生一定量的医用器具和药棉、纱布、手套、废造影剂、废造影剂瓶等医用辅料及手术垃圾，按每台手术产生约</w:t>
            </w:r>
            <w:r>
              <w:rPr>
                <w:rFonts w:hint="eastAsia" w:ascii="Times New Roman" w:hAnsi="Times New Roman"/>
                <w:sz w:val="24"/>
              </w:rPr>
              <w:t>0.68</w:t>
            </w:r>
            <w:r>
              <w:rPr>
                <w:rFonts w:ascii="Times New Roman" w:hAnsi="Times New Roman"/>
                <w:sz w:val="24"/>
              </w:rPr>
              <w:t>kg的医疗废物，每年</w:t>
            </w:r>
            <w:r>
              <w:rPr>
                <w:rFonts w:hint="eastAsia" w:ascii="Times New Roman" w:hAnsi="Times New Roman"/>
                <w:sz w:val="24"/>
              </w:rPr>
              <w:t>DSA机房</w:t>
            </w:r>
            <w:r>
              <w:rPr>
                <w:rFonts w:ascii="Times New Roman" w:hAnsi="Times New Roman"/>
                <w:sz w:val="24"/>
              </w:rPr>
              <w:t>最大手术台数为</w:t>
            </w:r>
            <w:r>
              <w:rPr>
                <w:rFonts w:hint="eastAsia" w:ascii="Times New Roman" w:hAnsi="Times New Roman"/>
                <w:sz w:val="24"/>
                <w:lang w:val="en-US" w:eastAsia="zh-CN"/>
              </w:rPr>
              <w:t>5</w:t>
            </w:r>
            <w:r>
              <w:rPr>
                <w:rFonts w:hint="eastAsia" w:ascii="Times New Roman" w:hAnsi="Times New Roman"/>
                <w:sz w:val="24"/>
              </w:rPr>
              <w:t>00</w:t>
            </w:r>
            <w:r>
              <w:rPr>
                <w:rFonts w:ascii="Times New Roman" w:hAnsi="Times New Roman"/>
                <w:sz w:val="24"/>
              </w:rPr>
              <w:t>台，则每年固体废物产生量约为</w:t>
            </w:r>
            <w:r>
              <w:rPr>
                <w:rFonts w:hint="eastAsia" w:ascii="Times New Roman" w:hAnsi="Times New Roman"/>
                <w:sz w:val="24"/>
              </w:rPr>
              <w:t>0.</w:t>
            </w:r>
            <w:r>
              <w:rPr>
                <w:rFonts w:hint="eastAsia" w:ascii="Times New Roman" w:hAnsi="Times New Roman"/>
                <w:sz w:val="24"/>
                <w:lang w:val="en-US" w:eastAsia="zh-CN"/>
              </w:rPr>
              <w:t>34</w:t>
            </w:r>
            <w:r>
              <w:rPr>
                <w:rFonts w:hint="eastAsia" w:ascii="Times New Roman" w:hAnsi="Times New Roman"/>
                <w:sz w:val="24"/>
              </w:rPr>
              <w:t>t</w:t>
            </w:r>
            <w:r>
              <w:rPr>
                <w:rFonts w:ascii="Times New Roman" w:hAnsi="Times New Roman"/>
                <w:sz w:val="24"/>
              </w:rPr>
              <w:t>。这些医疗废物应严格按国家《医疗废物管理条例》的要求分类暂存于医疗废物暂存间，统一收集后交由有资质的单位处置</w:t>
            </w:r>
            <w:r>
              <w:rPr>
                <w:rFonts w:hint="eastAsia" w:ascii="Times New Roman" w:hAnsi="Times New Roman"/>
                <w:sz w:val="24"/>
              </w:rPr>
              <w:t>。本项目废水处理依托医院污水处理站，医院污水处理站污泥</w:t>
            </w:r>
            <w:r>
              <w:rPr>
                <w:rFonts w:hint="eastAsia" w:ascii="宋体" w:hAnsi="宋体" w:cs="宋体"/>
                <w:kern w:val="0"/>
                <w:sz w:val="24"/>
                <w:lang w:bidi="ar"/>
              </w:rPr>
              <w:t>经消毒后与其他医疗废物一同委托有资质单位处置。</w:t>
            </w:r>
          </w:p>
          <w:p w14:paraId="12D9E55E">
            <w:pPr>
              <w:snapToGrid w:val="0"/>
              <w:spacing w:line="360" w:lineRule="auto"/>
              <w:ind w:firstLine="480" w:firstLineChars="200"/>
              <w:rPr>
                <w:rFonts w:ascii="Times New Roman" w:hAnsi="Times New Roman"/>
                <w:color w:val="auto"/>
                <w:sz w:val="24"/>
              </w:rPr>
            </w:pPr>
            <w:r>
              <w:rPr>
                <w:rFonts w:ascii="Times New Roman" w:hAnsi="Times New Roman"/>
                <w:color w:val="auto"/>
                <w:sz w:val="24"/>
              </w:rPr>
              <w:t>③本项目拟配置</w:t>
            </w:r>
            <w:r>
              <w:rPr>
                <w:rFonts w:hint="eastAsia" w:ascii="Times New Roman" w:hAnsi="Times New Roman"/>
                <w:color w:val="auto"/>
                <w:sz w:val="24"/>
                <w:lang w:val="en-US" w:eastAsia="zh-CN"/>
              </w:rPr>
              <w:t>14</w:t>
            </w:r>
            <w:r>
              <w:rPr>
                <w:rFonts w:ascii="Times New Roman" w:hAnsi="Times New Roman"/>
                <w:color w:val="auto"/>
                <w:sz w:val="24"/>
              </w:rPr>
              <w:t>名辐射工作人员，工作人员产生的生活垃圾和办公垃圾不属于医疗废物，医院按照当地管理部门要求，进行统一收集后由环卫部门统一定期清运。</w:t>
            </w:r>
          </w:p>
          <w:p w14:paraId="3EA93E65">
            <w:pPr>
              <w:snapToGrid w:val="0"/>
              <w:spacing w:line="360" w:lineRule="auto"/>
              <w:ind w:firstLine="480" w:firstLineChars="200"/>
              <w:rPr>
                <w:rFonts w:ascii="Times New Roman" w:hAnsi="Times New Roman"/>
                <w:color w:val="auto"/>
                <w:sz w:val="24"/>
              </w:rPr>
            </w:pPr>
            <w:r>
              <w:rPr>
                <w:rFonts w:ascii="Times New Roman" w:hAnsi="Times New Roman"/>
                <w:color w:val="auto"/>
                <w:sz w:val="24"/>
              </w:rPr>
              <w:t>因此，本项目产生固废均得到合理处置，不会对周围环境产生明显影响。</w:t>
            </w:r>
          </w:p>
          <w:p w14:paraId="44C67DB2">
            <w:pPr>
              <w:spacing w:line="360" w:lineRule="auto"/>
              <w:ind w:firstLine="482" w:firstLineChars="200"/>
              <w:jc w:val="left"/>
              <w:rPr>
                <w:rFonts w:ascii="Times New Roman" w:hAnsi="Times New Roman"/>
                <w:b/>
                <w:bCs/>
                <w:sz w:val="24"/>
              </w:rPr>
            </w:pPr>
            <w:r>
              <w:rPr>
                <w:rFonts w:ascii="Times New Roman" w:hAnsi="Times New Roman"/>
                <w:b/>
                <w:bCs/>
                <w:sz w:val="24"/>
              </w:rPr>
              <w:t>（6）造影剂的存储、</w:t>
            </w:r>
            <w:r>
              <w:rPr>
                <w:rFonts w:hint="eastAsia" w:ascii="Times New Roman" w:hAnsi="Times New Roman"/>
                <w:b/>
                <w:bCs/>
                <w:sz w:val="24"/>
              </w:rPr>
              <w:t>泄漏</w:t>
            </w:r>
            <w:r>
              <w:rPr>
                <w:rFonts w:ascii="Times New Roman" w:hAnsi="Times New Roman"/>
                <w:b/>
                <w:bCs/>
                <w:sz w:val="24"/>
              </w:rPr>
              <w:t>风险</w:t>
            </w:r>
          </w:p>
          <w:p w14:paraId="515FECA7">
            <w:pPr>
              <w:spacing w:line="360" w:lineRule="auto"/>
              <w:ind w:firstLine="480" w:firstLineChars="200"/>
              <w:rPr>
                <w:rFonts w:ascii="Times New Roman" w:hAnsi="Times New Roman"/>
              </w:rPr>
            </w:pPr>
            <w:r>
              <w:rPr>
                <w:rFonts w:ascii="Times New Roman" w:hAnsi="Times New Roman"/>
                <w:sz w:val="24"/>
              </w:rPr>
              <w:t>造影剂（碘</w:t>
            </w:r>
            <w:r>
              <w:rPr>
                <w:rFonts w:hint="eastAsia" w:ascii="Times New Roman" w:hAnsi="Times New Roman"/>
                <w:sz w:val="24"/>
              </w:rPr>
              <w:t>克沙</w:t>
            </w:r>
            <w:r>
              <w:rPr>
                <w:rFonts w:ascii="Times New Roman" w:hAnsi="Times New Roman"/>
                <w:sz w:val="24"/>
              </w:rPr>
              <w:t>醇）是</w:t>
            </w:r>
            <w:r>
              <w:fldChar w:fldCharType="begin"/>
            </w:r>
            <w:r>
              <w:instrText xml:space="preserve"> HYPERLINK "https://baike.baidu.com/item/%E4%BB%8B%E5%85%A5%E6%94%BE%E5%B0%84%E5%AD%A6" \t "https://baike.baidu.com/item/%E9%80%A0%E5%BD%B1%E5%89%82/_blank" </w:instrText>
            </w:r>
            <w:r>
              <w:fldChar w:fldCharType="separate"/>
            </w:r>
            <w:r>
              <w:rPr>
                <w:rFonts w:ascii="Times New Roman" w:hAnsi="Times New Roman"/>
                <w:sz w:val="24"/>
              </w:rPr>
              <w:t>介入放射学</w:t>
            </w:r>
            <w:r>
              <w:rPr>
                <w:rFonts w:ascii="Times New Roman" w:hAnsi="Times New Roman"/>
                <w:sz w:val="24"/>
              </w:rPr>
              <w:fldChar w:fldCharType="end"/>
            </w:r>
            <w:r>
              <w:rPr>
                <w:rFonts w:ascii="Times New Roman" w:hAnsi="Times New Roman"/>
                <w:sz w:val="24"/>
              </w:rPr>
              <w:t>操作中最常使用的药物之一，医院将外购造影剂采用不锈钢药品柜作为普通药品单独密封保存</w:t>
            </w:r>
            <w:r>
              <w:rPr>
                <w:rFonts w:hint="eastAsia" w:ascii="Times New Roman" w:hAnsi="Times New Roman"/>
                <w:sz w:val="24"/>
                <w:lang w:val="en-US" w:eastAsia="zh-CN"/>
              </w:rPr>
              <w:t>，并加锁保存，钥匙交由专人保管</w:t>
            </w:r>
            <w:r>
              <w:rPr>
                <w:rFonts w:ascii="Times New Roman" w:hAnsi="Times New Roman"/>
                <w:sz w:val="24"/>
              </w:rPr>
              <w:t>；未使用完和过期的造影剂均作为医疗废物处理；在进行介入手术时，使用带托盘的不锈钢推车进行运送。在使用造影剂前由药剂师进行剂量核算后护士取药，医生用高压注射器按照血液流速注入病人血管内，在X射线的照射下达到血管造影的目的，最后由泌尿系统</w:t>
            </w:r>
            <w:r>
              <w:rPr>
                <w:rFonts w:hint="eastAsia" w:ascii="Times New Roman" w:hAnsi="Times New Roman"/>
                <w:sz w:val="24"/>
                <w:lang w:eastAsia="zh-CN"/>
              </w:rPr>
              <w:t>排出</w:t>
            </w:r>
            <w:r>
              <w:rPr>
                <w:rFonts w:ascii="Times New Roman" w:hAnsi="Times New Roman"/>
                <w:sz w:val="24"/>
              </w:rPr>
              <w:t>体外。医院未使用完和过期的造影剂作为医疗废物进行处理。造影剂不属于重金属和其他持久性有机物，不存在</w:t>
            </w:r>
            <w:r>
              <w:rPr>
                <w:rFonts w:hint="eastAsia" w:ascii="Times New Roman" w:hAnsi="Times New Roman"/>
                <w:sz w:val="24"/>
              </w:rPr>
              <w:t>泄漏</w:t>
            </w:r>
            <w:r>
              <w:rPr>
                <w:rFonts w:ascii="Times New Roman" w:hAnsi="Times New Roman"/>
                <w:sz w:val="24"/>
              </w:rPr>
              <w:t>风险。</w:t>
            </w:r>
          </w:p>
        </w:tc>
      </w:tr>
    </w:tbl>
    <w:p w14:paraId="39F21CFD">
      <w:pPr>
        <w:pStyle w:val="4"/>
        <w:numPr>
          <w:ilvl w:val="2"/>
          <w:numId w:val="0"/>
        </w:numPr>
      </w:pPr>
      <w:r>
        <w:rPr>
          <w:rFonts w:ascii="Times New Roman" w:hAnsi="Times New Roman"/>
          <w:sz w:val="28"/>
          <w:szCs w:val="28"/>
        </w:rPr>
        <w:br w:type="page"/>
      </w:r>
      <w:bookmarkStart w:id="27" w:name="_Toc16258"/>
      <w:r>
        <w:rPr>
          <w:rFonts w:ascii="Times New Roman" w:hAnsi="Times New Roman"/>
        </w:rPr>
        <w:t>表10 辐射安全与防护</w:t>
      </w:r>
      <w:bookmarkEnd w:id="27"/>
    </w:p>
    <w:tbl>
      <w:tblPr>
        <w:tblStyle w:val="23"/>
        <w:tblW w:w="921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5"/>
      </w:tblGrid>
      <w:tr w14:paraId="204A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15" w:type="dxa"/>
          </w:tcPr>
          <w:p w14:paraId="0C861214">
            <w:pPr>
              <w:jc w:val="left"/>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一、辐射工作场所两区划分</w:t>
            </w:r>
          </w:p>
          <w:p w14:paraId="791DE1C8">
            <w:pPr>
              <w:spacing w:line="360" w:lineRule="auto"/>
              <w:rPr>
                <w:rFonts w:ascii="Times New Roman" w:hAnsi="Times New Roman"/>
                <w:b/>
                <w:bCs/>
                <w:sz w:val="24"/>
              </w:rPr>
            </w:pPr>
            <w:r>
              <w:rPr>
                <w:rFonts w:ascii="Times New Roman" w:hAnsi="Times New Roman"/>
                <w:b/>
                <w:bCs/>
                <w:sz w:val="24"/>
              </w:rPr>
              <w:t>1、总平面布置分析</w:t>
            </w:r>
          </w:p>
          <w:p w14:paraId="6753844D">
            <w:pPr>
              <w:spacing w:line="360" w:lineRule="auto"/>
              <w:ind w:firstLine="480" w:firstLineChars="200"/>
              <w:rPr>
                <w:rFonts w:ascii="Times New Roman" w:hAnsi="Times New Roman"/>
                <w:sz w:val="24"/>
              </w:rPr>
            </w:pPr>
            <w:r>
              <w:rPr>
                <w:rFonts w:ascii="Times New Roman" w:hAnsi="Times New Roman"/>
                <w:sz w:val="24"/>
              </w:rPr>
              <w:t>本项目</w:t>
            </w:r>
            <w:r>
              <w:rPr>
                <w:rFonts w:hint="eastAsia" w:ascii="Times New Roman" w:hAnsi="Times New Roman"/>
                <w:sz w:val="24"/>
                <w:lang w:eastAsia="zh-CN"/>
              </w:rPr>
              <w:t>DSA机房</w:t>
            </w:r>
            <w:r>
              <w:rPr>
                <w:rFonts w:ascii="Times New Roman" w:hAnsi="Times New Roman"/>
                <w:sz w:val="24"/>
              </w:rPr>
              <w:t>设置于院区</w:t>
            </w:r>
            <w:r>
              <w:rPr>
                <w:rFonts w:hint="eastAsia" w:ascii="Times New Roman" w:hAnsi="Times New Roman"/>
                <w:sz w:val="24"/>
                <w:lang w:eastAsia="zh-CN"/>
              </w:rPr>
              <w:t>2号住院综合楼</w:t>
            </w:r>
            <w:r>
              <w:rPr>
                <w:rFonts w:ascii="Times New Roman" w:hAnsi="Times New Roman"/>
                <w:sz w:val="24"/>
              </w:rPr>
              <w:t>的</w:t>
            </w:r>
            <w:r>
              <w:rPr>
                <w:rFonts w:hint="eastAsia" w:ascii="Times New Roman" w:hAnsi="Times New Roman"/>
                <w:sz w:val="24"/>
                <w:lang w:val="en-US" w:eastAsia="zh-CN"/>
              </w:rPr>
              <w:t>一</w:t>
            </w:r>
            <w:r>
              <w:rPr>
                <w:rFonts w:ascii="Times New Roman" w:hAnsi="Times New Roman"/>
                <w:sz w:val="24"/>
              </w:rPr>
              <w:t>楼</w:t>
            </w:r>
            <w:r>
              <w:rPr>
                <w:rFonts w:hint="eastAsia" w:ascii="Times New Roman" w:hAnsi="Times New Roman"/>
                <w:sz w:val="24"/>
                <w:lang w:val="en-US" w:eastAsia="zh-CN"/>
              </w:rPr>
              <w:t>放射科</w:t>
            </w:r>
            <w:r>
              <w:rPr>
                <w:rFonts w:ascii="Times New Roman" w:hAnsi="Times New Roman"/>
                <w:sz w:val="24"/>
              </w:rPr>
              <w:t>，其辐射场所由</w:t>
            </w:r>
            <w:r>
              <w:rPr>
                <w:rFonts w:hint="eastAsia" w:ascii="Times New Roman" w:hAnsi="Times New Roman"/>
                <w:sz w:val="24"/>
                <w:lang w:eastAsia="zh-CN"/>
              </w:rPr>
              <w:t>DSA机房</w:t>
            </w:r>
            <w:r>
              <w:rPr>
                <w:rFonts w:ascii="Times New Roman" w:hAnsi="Times New Roman"/>
                <w:sz w:val="24"/>
              </w:rPr>
              <w:t>、控制室、设备间构成。</w:t>
            </w:r>
            <w:r>
              <w:rPr>
                <w:rFonts w:hint="eastAsia" w:ascii="Times New Roman" w:hAnsi="Times New Roman"/>
                <w:sz w:val="24"/>
                <w:lang w:eastAsia="zh-CN"/>
              </w:rPr>
              <w:t>DSA机房</w:t>
            </w:r>
            <w:r>
              <w:rPr>
                <w:rFonts w:hint="eastAsia" w:ascii="Times New Roman" w:hAnsi="Times New Roman"/>
                <w:b/>
                <w:bCs/>
                <w:sz w:val="24"/>
                <w:lang w:val="en-US" w:eastAsia="zh-CN"/>
              </w:rPr>
              <w:t>北侧</w:t>
            </w:r>
            <w:r>
              <w:rPr>
                <w:rFonts w:hint="eastAsia" w:ascii="Times New Roman" w:hAnsi="Times New Roman"/>
                <w:sz w:val="24"/>
                <w:lang w:val="en-US" w:eastAsia="zh-CN"/>
              </w:rPr>
              <w:t>为污物暂存间、设备间，</w:t>
            </w:r>
            <w:r>
              <w:rPr>
                <w:rFonts w:hint="eastAsia" w:ascii="Times New Roman" w:hAnsi="Times New Roman"/>
                <w:b/>
                <w:bCs/>
                <w:sz w:val="24"/>
                <w:lang w:val="en-US" w:eastAsia="zh-CN"/>
              </w:rPr>
              <w:t>西北侧为</w:t>
            </w:r>
            <w:r>
              <w:rPr>
                <w:rFonts w:hint="eastAsia" w:ascii="Times New Roman" w:hAnsi="Times New Roman"/>
                <w:sz w:val="24"/>
                <w:lang w:val="en-US" w:eastAsia="zh-CN"/>
              </w:rPr>
              <w:t>病人准备间</w:t>
            </w:r>
            <w:r>
              <w:rPr>
                <w:rFonts w:hint="eastAsia" w:ascii="Times New Roman" w:hAnsi="Times New Roman"/>
                <w:b/>
                <w:bCs/>
                <w:sz w:val="24"/>
                <w:lang w:val="en-US" w:eastAsia="zh-CN"/>
              </w:rPr>
              <w:t>，西侧</w:t>
            </w:r>
            <w:r>
              <w:rPr>
                <w:rFonts w:hint="eastAsia" w:ascii="Times New Roman" w:hAnsi="Times New Roman"/>
                <w:sz w:val="24"/>
                <w:lang w:val="en-US" w:eastAsia="zh-CN"/>
              </w:rPr>
              <w:t>对应放射科人员通道，</w:t>
            </w:r>
            <w:r>
              <w:rPr>
                <w:rFonts w:hint="eastAsia" w:ascii="Times New Roman" w:hAnsi="Times New Roman"/>
                <w:b/>
                <w:bCs/>
                <w:sz w:val="24"/>
                <w:lang w:val="en-US" w:eastAsia="zh-CN"/>
              </w:rPr>
              <w:t>南侧</w:t>
            </w:r>
            <w:r>
              <w:rPr>
                <w:rFonts w:hint="eastAsia" w:ascii="Times New Roman" w:hAnsi="Times New Roman"/>
                <w:sz w:val="24"/>
                <w:lang w:val="en-US" w:eastAsia="zh-CN"/>
              </w:rPr>
              <w:t>为控制室，</w:t>
            </w:r>
            <w:r>
              <w:rPr>
                <w:rFonts w:hint="eastAsia" w:ascii="Times New Roman" w:hAnsi="Times New Roman"/>
                <w:b/>
                <w:bCs/>
                <w:sz w:val="24"/>
                <w:lang w:val="en-US" w:eastAsia="zh-CN"/>
              </w:rPr>
              <w:t>东</w:t>
            </w:r>
            <w:r>
              <w:rPr>
                <w:rFonts w:ascii="Times New Roman" w:hAnsi="Times New Roman"/>
                <w:b/>
                <w:bCs/>
                <w:sz w:val="24"/>
              </w:rPr>
              <w:t>侧</w:t>
            </w:r>
            <w:r>
              <w:rPr>
                <w:rFonts w:ascii="Times New Roman" w:hAnsi="Times New Roman"/>
                <w:sz w:val="24"/>
              </w:rPr>
              <w:t>为</w:t>
            </w:r>
            <w:r>
              <w:rPr>
                <w:rFonts w:hint="eastAsia" w:ascii="Times New Roman" w:hAnsi="Times New Roman"/>
                <w:sz w:val="24"/>
                <w:lang w:eastAsia="zh-CN"/>
              </w:rPr>
              <w:t>2号住院综合楼</w:t>
            </w:r>
            <w:r>
              <w:rPr>
                <w:rFonts w:hint="eastAsia" w:ascii="Times New Roman" w:hAnsi="Times New Roman"/>
                <w:sz w:val="24"/>
                <w:lang w:val="en-US" w:eastAsia="zh-CN"/>
              </w:rPr>
              <w:t>室外通道。</w:t>
            </w:r>
            <w:r>
              <w:rPr>
                <w:rFonts w:ascii="Times New Roman" w:hAnsi="Times New Roman"/>
                <w:b/>
                <w:bCs/>
                <w:sz w:val="24"/>
              </w:rPr>
              <w:t>楼上</w:t>
            </w:r>
            <w:r>
              <w:rPr>
                <w:rFonts w:hint="eastAsia" w:ascii="Times New Roman" w:hAnsi="Times New Roman"/>
                <w:sz w:val="24"/>
                <w:lang w:val="en-US" w:eastAsia="zh-CN"/>
              </w:rPr>
              <w:t>2</w:t>
            </w:r>
            <w:r>
              <w:rPr>
                <w:rFonts w:ascii="Times New Roman" w:hAnsi="Times New Roman"/>
                <w:sz w:val="24"/>
              </w:rPr>
              <w:t>楼对应位置为</w:t>
            </w:r>
            <w:r>
              <w:rPr>
                <w:rFonts w:hint="eastAsia" w:ascii="Times New Roman" w:hAnsi="Times New Roman"/>
                <w:sz w:val="24"/>
                <w:lang w:val="en-US" w:eastAsia="zh-CN"/>
              </w:rPr>
              <w:t>发血窗口及值班室</w:t>
            </w:r>
            <w:r>
              <w:rPr>
                <w:rFonts w:ascii="Times New Roman" w:hAnsi="Times New Roman"/>
                <w:sz w:val="24"/>
              </w:rPr>
              <w:t>；</w:t>
            </w:r>
            <w:r>
              <w:rPr>
                <w:rFonts w:ascii="Times New Roman" w:hAnsi="Times New Roman"/>
                <w:b/>
                <w:bCs/>
                <w:sz w:val="24"/>
              </w:rPr>
              <w:t>楼下</w:t>
            </w:r>
            <w:r>
              <w:rPr>
                <w:rFonts w:hint="eastAsia" w:ascii="Times New Roman" w:hAnsi="Times New Roman"/>
                <w:sz w:val="24"/>
                <w:lang w:val="en-US" w:eastAsia="zh-CN"/>
              </w:rPr>
              <w:t>负一</w:t>
            </w:r>
            <w:r>
              <w:rPr>
                <w:rFonts w:ascii="Times New Roman" w:hAnsi="Times New Roman"/>
                <w:sz w:val="24"/>
              </w:rPr>
              <w:t>楼对应位置为</w:t>
            </w:r>
            <w:r>
              <w:rPr>
                <w:rFonts w:hint="eastAsia" w:ascii="Times New Roman" w:hAnsi="Times New Roman"/>
                <w:sz w:val="24"/>
                <w:lang w:val="en-US" w:eastAsia="zh-CN"/>
              </w:rPr>
              <w:t>消防水池</w:t>
            </w:r>
            <w:r>
              <w:rPr>
                <w:rFonts w:ascii="Times New Roman" w:hAnsi="Times New Roman"/>
                <w:sz w:val="24"/>
              </w:rPr>
              <w:t>。</w:t>
            </w:r>
          </w:p>
          <w:p w14:paraId="61376CAC">
            <w:pPr>
              <w:spacing w:line="360" w:lineRule="auto"/>
              <w:ind w:firstLine="480" w:firstLineChars="200"/>
              <w:rPr>
                <w:rFonts w:ascii="Times New Roman" w:hAnsi="Times New Roman"/>
                <w:sz w:val="24"/>
              </w:rPr>
            </w:pPr>
            <w:r>
              <w:rPr>
                <w:rFonts w:hint="eastAsia" w:ascii="Times New Roman" w:hAnsi="Times New Roman"/>
                <w:sz w:val="24"/>
                <w:lang w:eastAsia="zh-CN"/>
              </w:rPr>
              <w:t>（</w:t>
            </w:r>
            <w:r>
              <w:rPr>
                <w:rFonts w:ascii="Times New Roman" w:hAnsi="Times New Roman"/>
                <w:sz w:val="24"/>
              </w:rPr>
              <w:t>1</w:t>
            </w:r>
            <w:r>
              <w:rPr>
                <w:rFonts w:hint="eastAsia" w:ascii="Times New Roman" w:hAnsi="Times New Roman"/>
                <w:sz w:val="24"/>
                <w:lang w:eastAsia="zh-CN"/>
              </w:rPr>
              <w:t>）</w:t>
            </w:r>
            <w:r>
              <w:rPr>
                <w:rFonts w:ascii="Times New Roman" w:hAnsi="Times New Roman"/>
                <w:sz w:val="24"/>
              </w:rPr>
              <w:t>本项目DSA</w:t>
            </w:r>
            <w:r>
              <w:rPr>
                <w:rFonts w:hint="eastAsia" w:ascii="Times New Roman" w:hAnsi="Times New Roman"/>
                <w:sz w:val="24"/>
              </w:rPr>
              <w:t>介入检查</w:t>
            </w:r>
            <w:r>
              <w:rPr>
                <w:rFonts w:ascii="Times New Roman" w:hAnsi="Times New Roman"/>
                <w:sz w:val="24"/>
              </w:rPr>
              <w:t>区由</w:t>
            </w:r>
            <w:r>
              <w:rPr>
                <w:rFonts w:hint="eastAsia" w:ascii="Times New Roman" w:hAnsi="Times New Roman"/>
                <w:sz w:val="24"/>
                <w:lang w:val="en-US" w:eastAsia="zh-CN"/>
              </w:rPr>
              <w:t>DSA机房</w:t>
            </w:r>
            <w:r>
              <w:rPr>
                <w:rFonts w:ascii="Times New Roman" w:hAnsi="Times New Roman"/>
                <w:sz w:val="24"/>
              </w:rPr>
              <w:t>室、控制室、设备间</w:t>
            </w:r>
            <w:r>
              <w:rPr>
                <w:rFonts w:hint="eastAsia" w:ascii="Times New Roman" w:hAnsi="Times New Roman"/>
                <w:sz w:val="24"/>
                <w:lang w:eastAsia="zh-CN"/>
              </w:rPr>
              <w:t>、</w:t>
            </w:r>
            <w:r>
              <w:rPr>
                <w:rFonts w:hint="eastAsia" w:ascii="Times New Roman" w:hAnsi="Times New Roman"/>
                <w:sz w:val="24"/>
                <w:lang w:val="en-US" w:eastAsia="zh-CN"/>
              </w:rPr>
              <w:t>病人准备间</w:t>
            </w:r>
            <w:r>
              <w:rPr>
                <w:rFonts w:ascii="Times New Roman" w:hAnsi="Times New Roman"/>
                <w:sz w:val="24"/>
              </w:rPr>
              <w:t>构成。</w:t>
            </w:r>
            <w:r>
              <w:rPr>
                <w:rFonts w:hint="eastAsia" w:ascii="Times New Roman" w:hAnsi="Times New Roman"/>
                <w:sz w:val="24"/>
              </w:rPr>
              <w:t>介入检查</w:t>
            </w:r>
            <w:r>
              <w:rPr>
                <w:rFonts w:ascii="Times New Roman" w:hAnsi="Times New Roman"/>
                <w:sz w:val="24"/>
              </w:rPr>
              <w:t>室详细布局的平面布置图见附图</w:t>
            </w:r>
            <w:r>
              <w:rPr>
                <w:rFonts w:hint="eastAsia" w:ascii="Times New Roman" w:hAnsi="Times New Roman"/>
                <w:sz w:val="24"/>
                <w:lang w:val="en-US" w:eastAsia="zh-CN"/>
              </w:rPr>
              <w:t>4</w:t>
            </w:r>
            <w:r>
              <w:rPr>
                <w:rFonts w:ascii="Times New Roman" w:hAnsi="Times New Roman"/>
                <w:sz w:val="24"/>
              </w:rPr>
              <w:t>。</w:t>
            </w:r>
          </w:p>
          <w:p w14:paraId="5250588D">
            <w:pPr>
              <w:spacing w:line="360" w:lineRule="auto"/>
              <w:ind w:firstLine="480" w:firstLineChars="200"/>
              <w:rPr>
                <w:rFonts w:ascii="Times New Roman" w:hAnsi="Times New Roman"/>
                <w:sz w:val="24"/>
              </w:rPr>
            </w:pPr>
            <w:r>
              <w:rPr>
                <w:rFonts w:hint="eastAsia" w:ascii="Times New Roman" w:hAnsi="Times New Roman"/>
                <w:sz w:val="24"/>
                <w:lang w:eastAsia="zh-CN"/>
              </w:rPr>
              <w:t>（</w:t>
            </w:r>
            <w:r>
              <w:rPr>
                <w:rFonts w:ascii="Times New Roman" w:hAnsi="Times New Roman"/>
                <w:sz w:val="24"/>
              </w:rPr>
              <w:t>2</w:t>
            </w:r>
            <w:r>
              <w:rPr>
                <w:rFonts w:hint="eastAsia" w:ascii="Times New Roman" w:hAnsi="Times New Roman"/>
                <w:sz w:val="24"/>
                <w:lang w:eastAsia="zh-CN"/>
              </w:rPr>
              <w:t>）</w:t>
            </w:r>
            <w:r>
              <w:rPr>
                <w:rFonts w:ascii="Times New Roman" w:hAnsi="Times New Roman"/>
                <w:sz w:val="24"/>
              </w:rPr>
              <w:t>医院综合考虑项目特点和对周围环境可能存在的影响，拟将项目设置于</w:t>
            </w:r>
            <w:r>
              <w:rPr>
                <w:rFonts w:hint="eastAsia" w:ascii="Times New Roman" w:hAnsi="Times New Roman"/>
                <w:sz w:val="24"/>
                <w:lang w:eastAsia="zh-CN"/>
              </w:rPr>
              <w:t>2号住院综合楼一楼</w:t>
            </w:r>
            <w:r>
              <w:rPr>
                <w:rFonts w:hint="eastAsia" w:ascii="Times New Roman" w:hAnsi="Times New Roman"/>
                <w:sz w:val="24"/>
                <w:lang w:val="en-US" w:eastAsia="zh-CN"/>
              </w:rPr>
              <w:t>放射科</w:t>
            </w:r>
            <w:r>
              <w:rPr>
                <w:rFonts w:ascii="Times New Roman" w:hAnsi="Times New Roman"/>
                <w:sz w:val="24"/>
              </w:rPr>
              <w:t>，</w:t>
            </w:r>
            <w:r>
              <w:rPr>
                <w:rFonts w:hint="eastAsia" w:ascii="Times New Roman" w:hAnsi="Times New Roman"/>
                <w:sz w:val="24"/>
                <w:lang w:val="en-US" w:eastAsia="zh-CN"/>
              </w:rPr>
              <w:t>避开了人流量较大的门诊区域，</w:t>
            </w:r>
            <w:r>
              <w:rPr>
                <w:rFonts w:ascii="Times New Roman" w:hAnsi="Times New Roman"/>
                <w:sz w:val="24"/>
              </w:rPr>
              <w:t>区域内人流相对较少，有效降低了公众受照的可能性。</w:t>
            </w:r>
          </w:p>
          <w:p w14:paraId="1EF9F946">
            <w:pPr>
              <w:spacing w:line="360" w:lineRule="auto"/>
              <w:ind w:firstLine="480" w:firstLineChars="200"/>
              <w:rPr>
                <w:rFonts w:ascii="Times New Roman" w:hAnsi="Times New Roman"/>
                <w:sz w:val="24"/>
              </w:rPr>
            </w:pPr>
            <w:r>
              <w:rPr>
                <w:rFonts w:hint="eastAsia" w:ascii="Times New Roman" w:hAnsi="Times New Roman"/>
                <w:sz w:val="24"/>
                <w:lang w:eastAsia="zh-CN"/>
              </w:rPr>
              <w:t>（</w:t>
            </w:r>
            <w:r>
              <w:rPr>
                <w:rFonts w:ascii="Times New Roman" w:hAnsi="Times New Roman"/>
                <w:sz w:val="24"/>
              </w:rPr>
              <w:t>3</w:t>
            </w:r>
            <w:r>
              <w:rPr>
                <w:rFonts w:hint="eastAsia" w:ascii="Times New Roman" w:hAnsi="Times New Roman"/>
                <w:sz w:val="24"/>
                <w:lang w:eastAsia="zh-CN"/>
              </w:rPr>
              <w:t>）</w:t>
            </w:r>
            <w:r>
              <w:rPr>
                <w:rFonts w:hint="eastAsia" w:ascii="Times New Roman" w:hAnsi="Times New Roman"/>
                <w:sz w:val="24"/>
              </w:rPr>
              <w:t>介入检查</w:t>
            </w:r>
            <w:r>
              <w:rPr>
                <w:rFonts w:ascii="Times New Roman" w:hAnsi="Times New Roman"/>
                <w:sz w:val="24"/>
              </w:rPr>
              <w:t>室有效使用面积</w:t>
            </w:r>
            <w:r>
              <w:rPr>
                <w:rFonts w:hint="eastAsia" w:ascii="Times New Roman" w:hAnsi="Times New Roman"/>
                <w:sz w:val="24"/>
                <w:lang w:val="en-US" w:eastAsia="zh-CN"/>
              </w:rPr>
              <w:t>40</w:t>
            </w:r>
            <w:r>
              <w:rPr>
                <w:rFonts w:ascii="Times New Roman" w:hAnsi="Times New Roman"/>
                <w:sz w:val="24"/>
              </w:rPr>
              <w:t>m²</w:t>
            </w:r>
            <w:r>
              <w:rPr>
                <w:rFonts w:hint="eastAsia" w:ascii="Times New Roman" w:hAnsi="Times New Roman"/>
                <w:sz w:val="24"/>
              </w:rPr>
              <w:t>，</w:t>
            </w:r>
            <w:r>
              <w:rPr>
                <w:rFonts w:ascii="Times New Roman" w:hAnsi="Times New Roman"/>
                <w:sz w:val="24"/>
              </w:rPr>
              <w:t>对于开展手术而言空间</w:t>
            </w:r>
            <w:r>
              <w:rPr>
                <w:rFonts w:hint="eastAsia" w:ascii="Times New Roman" w:hAnsi="Times New Roman"/>
                <w:sz w:val="24"/>
                <w:lang w:val="en-US" w:eastAsia="zh-CN"/>
              </w:rPr>
              <w:t>足够</w:t>
            </w:r>
            <w:r>
              <w:rPr>
                <w:rFonts w:ascii="Times New Roman" w:hAnsi="Times New Roman"/>
                <w:sz w:val="24"/>
              </w:rPr>
              <w:t>宽敞。</w:t>
            </w:r>
          </w:p>
          <w:p w14:paraId="0E6957E7">
            <w:pPr>
              <w:spacing w:line="360" w:lineRule="auto"/>
              <w:ind w:firstLine="480" w:firstLineChars="200"/>
              <w:rPr>
                <w:rFonts w:ascii="Times New Roman" w:hAnsi="Times New Roman"/>
                <w:sz w:val="24"/>
              </w:rPr>
            </w:pPr>
            <w:r>
              <w:rPr>
                <w:rFonts w:hint="eastAsia" w:ascii="Times New Roman" w:hAnsi="Times New Roman"/>
                <w:sz w:val="24"/>
                <w:lang w:eastAsia="zh-CN"/>
              </w:rPr>
              <w:t>（</w:t>
            </w:r>
            <w:r>
              <w:rPr>
                <w:rFonts w:ascii="Times New Roman" w:hAnsi="Times New Roman"/>
                <w:sz w:val="24"/>
              </w:rPr>
              <w:t>4</w:t>
            </w:r>
            <w:r>
              <w:rPr>
                <w:rFonts w:hint="eastAsia" w:ascii="Times New Roman" w:hAnsi="Times New Roman"/>
                <w:sz w:val="24"/>
                <w:lang w:eastAsia="zh-CN"/>
              </w:rPr>
              <w:t>）</w:t>
            </w:r>
            <w:r>
              <w:rPr>
                <w:rFonts w:ascii="Times New Roman" w:hAnsi="Times New Roman"/>
                <w:sz w:val="24"/>
              </w:rPr>
              <w:t>从附图</w:t>
            </w:r>
            <w:r>
              <w:rPr>
                <w:rFonts w:hint="eastAsia" w:ascii="Times New Roman" w:hAnsi="Times New Roman"/>
                <w:sz w:val="24"/>
                <w:lang w:val="en-US" w:eastAsia="zh-CN"/>
              </w:rPr>
              <w:t>8</w:t>
            </w:r>
            <w:r>
              <w:rPr>
                <w:rFonts w:ascii="Times New Roman" w:hAnsi="Times New Roman"/>
                <w:sz w:val="24"/>
              </w:rPr>
              <w:t>来看，本项目</w:t>
            </w:r>
            <w:r>
              <w:rPr>
                <w:rFonts w:hint="eastAsia" w:ascii="Times New Roman" w:hAnsi="Times New Roman"/>
                <w:sz w:val="24"/>
              </w:rPr>
              <w:t>介入检查</w:t>
            </w:r>
            <w:r>
              <w:rPr>
                <w:rFonts w:ascii="Times New Roman" w:hAnsi="Times New Roman"/>
                <w:sz w:val="24"/>
              </w:rPr>
              <w:t>室整体实现了医护人员、患者、医疗废物的路线分流。人流和物流</w:t>
            </w:r>
            <w:r>
              <w:rPr>
                <w:rFonts w:hint="eastAsia" w:ascii="Times New Roman" w:hAnsi="Times New Roman"/>
                <w:sz w:val="24"/>
                <w:lang w:val="en-US" w:eastAsia="zh-CN"/>
              </w:rPr>
              <w:t>路径</w:t>
            </w:r>
            <w:r>
              <w:rPr>
                <w:rFonts w:ascii="Times New Roman" w:hAnsi="Times New Roman"/>
                <w:sz w:val="24"/>
              </w:rPr>
              <w:t>不交叉。</w:t>
            </w:r>
          </w:p>
          <w:p w14:paraId="4F2591CC">
            <w:pPr>
              <w:spacing w:line="360" w:lineRule="auto"/>
              <w:ind w:firstLine="480" w:firstLineChars="200"/>
              <w:rPr>
                <w:rFonts w:ascii="Times New Roman" w:hAnsi="Times New Roman"/>
                <w:sz w:val="24"/>
              </w:rPr>
            </w:pPr>
            <w:r>
              <w:rPr>
                <w:rFonts w:hint="eastAsia" w:ascii="Times New Roman" w:hAnsi="Times New Roman"/>
                <w:sz w:val="24"/>
                <w:lang w:eastAsia="zh-CN"/>
              </w:rPr>
              <w:t>（</w:t>
            </w:r>
            <w:r>
              <w:rPr>
                <w:rFonts w:ascii="Times New Roman" w:hAnsi="Times New Roman"/>
                <w:sz w:val="24"/>
              </w:rPr>
              <w:t>5</w:t>
            </w:r>
            <w:r>
              <w:rPr>
                <w:rFonts w:hint="eastAsia" w:ascii="Times New Roman" w:hAnsi="Times New Roman"/>
                <w:sz w:val="24"/>
                <w:lang w:eastAsia="zh-CN"/>
              </w:rPr>
              <w:t>）</w:t>
            </w:r>
            <w:r>
              <w:rPr>
                <w:rFonts w:ascii="Times New Roman" w:hAnsi="Times New Roman"/>
                <w:sz w:val="24"/>
              </w:rPr>
              <w:t>本项目</w:t>
            </w:r>
            <w:r>
              <w:rPr>
                <w:rFonts w:hint="eastAsia" w:ascii="Times New Roman" w:hAnsi="Times New Roman"/>
                <w:sz w:val="24"/>
              </w:rPr>
              <w:t>介入检查</w:t>
            </w:r>
            <w:r>
              <w:rPr>
                <w:rFonts w:ascii="Times New Roman" w:hAnsi="Times New Roman"/>
                <w:sz w:val="24"/>
              </w:rPr>
              <w:t>室的修建不影响消防通道，且不占用消防设施等任何公共安全设施。</w:t>
            </w:r>
          </w:p>
          <w:p w14:paraId="6F163450">
            <w:pPr>
              <w:spacing w:line="360" w:lineRule="auto"/>
              <w:ind w:firstLine="480" w:firstLineChars="200"/>
              <w:rPr>
                <w:rFonts w:ascii="Times New Roman" w:hAnsi="Times New Roman"/>
                <w:sz w:val="24"/>
              </w:rPr>
            </w:pPr>
            <w:r>
              <w:rPr>
                <w:rFonts w:ascii="Times New Roman" w:hAnsi="Times New Roman"/>
                <w:sz w:val="24"/>
              </w:rPr>
              <w:t>综上所述，本项目辐射工作场所外设有专用的候诊区域，就诊通道。且本项目各组成部分功能区明确，所在位置既方便就诊、满足科室诊疗需要，也能够降低人员受到意外照射的可能性，所以平面布置是合理的。</w:t>
            </w:r>
          </w:p>
          <w:p w14:paraId="61D0DC79">
            <w:pPr>
              <w:pStyle w:val="30"/>
              <w:spacing w:line="360" w:lineRule="auto"/>
              <w:rPr>
                <w:rFonts w:ascii="Times New Roman" w:hAnsi="Times New Roman"/>
                <w:b/>
                <w:bCs/>
                <w:color w:val="000000" w:themeColor="text1"/>
                <w14:textFill>
                  <w14:solidFill>
                    <w14:schemeClr w14:val="tx1"/>
                  </w14:solidFill>
                </w14:textFill>
              </w:rPr>
            </w:pPr>
            <w:r>
              <w:rPr>
                <w:rFonts w:hint="eastAsia" w:ascii="Times New Roman" w:hAnsi="Times New Roman"/>
                <w:b/>
                <w:bCs/>
                <w:color w:val="000000" w:themeColor="text1"/>
                <w14:textFill>
                  <w14:solidFill>
                    <w14:schemeClr w14:val="tx1"/>
                  </w14:solidFill>
                </w14:textFill>
              </w:rPr>
              <w:t>2、</w:t>
            </w:r>
            <w:r>
              <w:rPr>
                <w:rFonts w:ascii="Times New Roman" w:hAnsi="Times New Roman"/>
                <w:b/>
                <w:bCs/>
                <w:color w:val="000000" w:themeColor="text1"/>
                <w14:textFill>
                  <w14:solidFill>
                    <w14:schemeClr w14:val="tx1"/>
                  </w14:solidFill>
                </w14:textFill>
              </w:rPr>
              <w:t>辐射工作场所两区划分</w:t>
            </w:r>
          </w:p>
          <w:p w14:paraId="2B474242">
            <w:pPr>
              <w:pStyle w:val="11"/>
              <w:bidi w:val="0"/>
            </w:pPr>
            <w:r>
              <w:t>为了便于加强管理，切实做好辐射安全防范工作，按照《电离辐射防护与辐射源安全基本标准》（GB18871-2002）要求在辐射工作场所内划出控制区和监督区。</w:t>
            </w:r>
          </w:p>
          <w:p w14:paraId="0098A09B">
            <w:pPr>
              <w:pStyle w:val="11"/>
              <w:bidi w:val="0"/>
            </w:pPr>
            <w:r>
              <w:t>控制区：在正常工作情况下控制正常照射或防止污染扩散，以及在一定程度上预防或限制潜在照射，要求或可能要求专门防护手段和安全措施的限定区域。在控制区的进出口及其他适当位置处设立醒目的警告标志并给出相应的辐射水平和污染水平的指示。运用行政管理程序如进入控制区的工作许可和实体屏蔽（包括门锁和</w:t>
            </w:r>
            <w:r>
              <w:rPr>
                <w:rFonts w:hint="eastAsia"/>
                <w:lang w:eastAsia="zh-CN"/>
              </w:rPr>
              <w:t>联锁</w:t>
            </w:r>
            <w:r>
              <w:t>装置）限制进出控制区，放射性操作区应与非放射性工作区隔开。</w:t>
            </w:r>
          </w:p>
          <w:p w14:paraId="790CC3DE">
            <w:pPr>
              <w:pStyle w:val="11"/>
              <w:bidi w:val="0"/>
            </w:pPr>
            <w:r>
              <w:t>监督区：未被确定为控制区，正常情况下不需要采取专门防护手段或安全措施，但要不断检查其职业照射状况的</w:t>
            </w:r>
            <w:r>
              <w:rPr>
                <w:rFonts w:hint="eastAsia"/>
                <w:lang w:eastAsia="zh-CN"/>
              </w:rPr>
              <w:t>指定</w:t>
            </w:r>
            <w:r>
              <w:t>区域。在监督区入口处的合适位置张贴电离辐射警示标识；并定期检查工作状况，确认是否需要防护措施和安全条件，或是否需要更改监督区的边界。</w:t>
            </w:r>
          </w:p>
          <w:p w14:paraId="55BBA4C4">
            <w:pPr>
              <w:pStyle w:val="11"/>
              <w:bidi w:val="0"/>
              <w:rPr>
                <w:rFonts w:ascii="Times New Roman" w:hAnsi="Times New Roman"/>
                <w:color w:val="000000" w:themeColor="text1"/>
                <w14:textFill>
                  <w14:solidFill>
                    <w14:schemeClr w14:val="tx1"/>
                  </w14:solidFill>
                </w14:textFill>
              </w:rPr>
            </w:pPr>
            <w:r>
              <w:t>结合项目诊疗、辐射防护和环境情况特点，将本项目</w:t>
            </w:r>
            <w:r>
              <w:rPr>
                <w:rFonts w:hint="eastAsia"/>
                <w:lang w:eastAsia="zh-CN"/>
              </w:rPr>
              <w:t>DSA机房</w:t>
            </w:r>
            <w:r>
              <w:t>划为控制区，而相邻的控制室、</w:t>
            </w:r>
            <w:r>
              <w:rPr>
                <w:rFonts w:hint="eastAsia"/>
                <w:lang w:val="en-US" w:eastAsia="zh-CN"/>
              </w:rPr>
              <w:t>污物暂存间、设备间、病人准备间</w:t>
            </w:r>
            <w:r>
              <w:rPr>
                <w:rFonts w:hint="eastAsia"/>
              </w:rPr>
              <w:t>区域</w:t>
            </w:r>
            <w:r>
              <w:t>划为监督区。项目控制区和监督区划分情况见</w:t>
            </w:r>
            <w:r>
              <w:rPr>
                <w:rFonts w:hint="eastAsia"/>
              </w:rPr>
              <w:t>下</w:t>
            </w:r>
            <w:r>
              <w:t>表10-1，并在</w:t>
            </w:r>
            <w:r>
              <w:rPr>
                <w:rFonts w:hint="eastAsia"/>
              </w:rPr>
              <w:t>下</w:t>
            </w:r>
            <w:r>
              <w:t>图</w:t>
            </w:r>
            <w:r>
              <w:rPr>
                <w:rFonts w:hint="eastAsia"/>
              </w:rPr>
              <w:t>10-1</w:t>
            </w:r>
            <w:r>
              <w:t>上进行了标识</w:t>
            </w:r>
            <w:r>
              <w:rPr>
                <w:rFonts w:hint="eastAsia"/>
              </w:rPr>
              <w:t>，详见附图</w:t>
            </w:r>
            <w:r>
              <w:rPr>
                <w:rFonts w:hint="eastAsia"/>
                <w:lang w:val="en-US" w:eastAsia="zh-CN"/>
              </w:rPr>
              <w:t>6</w:t>
            </w:r>
            <w:r>
              <w:t>。</w:t>
            </w:r>
          </w:p>
          <w:p w14:paraId="206EAE5B">
            <w:pPr>
              <w:pStyle w:val="30"/>
              <w:jc w:val="center"/>
            </w:pPr>
            <w:r>
              <w:drawing>
                <wp:inline distT="0" distB="0" distL="114300" distR="114300">
                  <wp:extent cx="5710555" cy="4117340"/>
                  <wp:effectExtent l="0" t="0" r="4445" b="16510"/>
                  <wp:docPr id="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4"/>
                          <pic:cNvPicPr>
                            <a:picLocks noChangeAspect="1"/>
                          </pic:cNvPicPr>
                        </pic:nvPicPr>
                        <pic:blipFill>
                          <a:blip r:embed="rId20"/>
                          <a:stretch>
                            <a:fillRect/>
                          </a:stretch>
                        </pic:blipFill>
                        <pic:spPr>
                          <a:xfrm>
                            <a:off x="0" y="0"/>
                            <a:ext cx="5710555" cy="4117340"/>
                          </a:xfrm>
                          <a:prstGeom prst="rect">
                            <a:avLst/>
                          </a:prstGeom>
                          <a:noFill/>
                          <a:ln>
                            <a:noFill/>
                          </a:ln>
                        </pic:spPr>
                      </pic:pic>
                    </a:graphicData>
                  </a:graphic>
                </wp:inline>
              </w:drawing>
            </w:r>
          </w:p>
          <w:p w14:paraId="00837709">
            <w:pPr>
              <w:keepNext/>
              <w:spacing w:line="360" w:lineRule="auto"/>
              <w:ind w:firstLine="2841" w:firstLineChars="1179"/>
              <w:rPr>
                <w:rFonts w:ascii="Times New Roman" w:hAnsi="Times New Roman"/>
                <w:b/>
                <w:color w:val="000000" w:themeColor="text1"/>
                <w:sz w:val="24"/>
                <w14:textFill>
                  <w14:solidFill>
                    <w14:schemeClr w14:val="tx1"/>
                  </w14:solidFill>
                </w14:textFill>
              </w:rPr>
            </w:pPr>
            <w:r>
              <w:rPr>
                <w:rFonts w:hint="eastAsia" w:ascii="Times New Roman" w:hAnsi="Times New Roman"/>
                <w:b/>
                <w:color w:val="000000" w:themeColor="text1"/>
                <w:sz w:val="24"/>
                <w14:textFill>
                  <w14:solidFill>
                    <w14:schemeClr w14:val="tx1"/>
                  </w14:solidFill>
                </w14:textFill>
              </w:rPr>
              <w:t>图10-1  本项目两区划分示意图</w:t>
            </w:r>
          </w:p>
          <w:p w14:paraId="65A0080E">
            <w:pPr>
              <w:keepNext/>
              <w:numPr>
                <w:ilvl w:val="0"/>
                <w:numId w:val="12"/>
              </w:numPr>
              <w:spacing w:line="360" w:lineRule="auto"/>
              <w:ind w:left="425" w:hanging="425"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本项目控制区和监督区划分情况</w:t>
            </w:r>
          </w:p>
          <w:tbl>
            <w:tblPr>
              <w:tblStyle w:val="23"/>
              <w:tblW w:w="901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320"/>
              <w:gridCol w:w="2585"/>
              <w:gridCol w:w="4111"/>
            </w:tblGrid>
            <w:tr w14:paraId="628731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2320" w:type="dxa"/>
                  <w:vAlign w:val="center"/>
                </w:tcPr>
                <w:p w14:paraId="2BA8FBD9">
                  <w:pPr>
                    <w:keepNext/>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设备名称及位置</w:t>
                  </w:r>
                </w:p>
              </w:tc>
              <w:tc>
                <w:tcPr>
                  <w:tcW w:w="2585" w:type="dxa"/>
                  <w:vAlign w:val="center"/>
                </w:tcPr>
                <w:p w14:paraId="795E7FB5">
                  <w:pPr>
                    <w:keepNext/>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控制区</w:t>
                  </w:r>
                </w:p>
              </w:tc>
              <w:tc>
                <w:tcPr>
                  <w:tcW w:w="4111" w:type="dxa"/>
                  <w:vAlign w:val="center"/>
                </w:tcPr>
                <w:p w14:paraId="4447CBAD">
                  <w:pPr>
                    <w:keepNext/>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监督区</w:t>
                  </w:r>
                </w:p>
              </w:tc>
            </w:tr>
            <w:tr w14:paraId="7D9863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59" w:hRule="atLeast"/>
                <w:jc w:val="center"/>
              </w:trPr>
              <w:tc>
                <w:tcPr>
                  <w:tcW w:w="2320" w:type="dxa"/>
                  <w:vAlign w:val="center"/>
                </w:tcPr>
                <w:p w14:paraId="5A06BBC8">
                  <w:pPr>
                    <w:keepNext/>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DSA（</w:t>
                  </w:r>
                  <w:r>
                    <w:rPr>
                      <w:rFonts w:hint="eastAsia" w:ascii="Times New Roman" w:hAnsi="Times New Roman"/>
                      <w:color w:val="000000" w:themeColor="text1"/>
                      <w:szCs w:val="21"/>
                      <w14:textFill>
                        <w14:solidFill>
                          <w14:schemeClr w14:val="tx1"/>
                        </w14:solidFill>
                      </w14:textFill>
                    </w:rPr>
                    <w:t>DSA机房</w:t>
                  </w:r>
                  <w:r>
                    <w:rPr>
                      <w:rFonts w:ascii="Times New Roman" w:hAnsi="Times New Roman"/>
                      <w:color w:val="000000" w:themeColor="text1"/>
                      <w:szCs w:val="21"/>
                      <w14:textFill>
                        <w14:solidFill>
                          <w14:schemeClr w14:val="tx1"/>
                        </w14:solidFill>
                      </w14:textFill>
                    </w:rPr>
                    <w:t>）</w:t>
                  </w:r>
                </w:p>
              </w:tc>
              <w:tc>
                <w:tcPr>
                  <w:tcW w:w="2585" w:type="dxa"/>
                  <w:vAlign w:val="center"/>
                </w:tcPr>
                <w:p w14:paraId="4B14AB15">
                  <w:pPr>
                    <w:keepNext/>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DSA机房</w:t>
                  </w:r>
                </w:p>
              </w:tc>
              <w:tc>
                <w:tcPr>
                  <w:tcW w:w="4111" w:type="dxa"/>
                  <w:vAlign w:val="center"/>
                </w:tcPr>
                <w:p w14:paraId="5FB42BB3">
                  <w:pPr>
                    <w:keepNext/>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控制室、</w:t>
                  </w:r>
                  <w:r>
                    <w:rPr>
                      <w:rFonts w:hint="eastAsia" w:ascii="Times New Roman" w:hAnsi="Times New Roman"/>
                      <w:color w:val="000000" w:themeColor="text1"/>
                      <w:szCs w:val="21"/>
                      <w:lang w:val="en-US" w:eastAsia="zh-CN"/>
                      <w14:textFill>
                        <w14:solidFill>
                          <w14:schemeClr w14:val="tx1"/>
                        </w14:solidFill>
                      </w14:textFill>
                    </w:rPr>
                    <w:t>污物暂存间、设备间、病人准备间</w:t>
                  </w:r>
                </w:p>
              </w:tc>
            </w:tr>
          </w:tbl>
          <w:p w14:paraId="32A591AB">
            <w:pPr>
              <w:pStyle w:val="11"/>
              <w:bidi w:val="0"/>
              <w:rPr>
                <w:rFonts w:hint="default"/>
                <w:lang w:val="en-US" w:eastAsia="zh-CN"/>
              </w:rPr>
            </w:pPr>
            <w:r>
              <w:t>控制区内禁止外来人员进入，职业工作人员在进行日常工作时尽量不要在控制区内停留，以减少不必要的照射。监督区范围内应限制无关人员进入。</w:t>
            </w:r>
            <w:r>
              <w:rPr>
                <w:rFonts w:hint="eastAsia"/>
                <w:lang w:val="en-US" w:eastAsia="zh-CN"/>
              </w:rPr>
              <w:t>在做到上述要求后能减少人员照射影响。</w:t>
            </w:r>
          </w:p>
          <w:p w14:paraId="7F12E9BB">
            <w:pPr>
              <w:pStyle w:val="11"/>
              <w:bidi w:val="0"/>
            </w:pPr>
            <w:r>
              <w:t>建设单位应严格按照《电离辐射防护与辐射源安全基本标准》（GB18871-2002）的要求，结合医院实际情况，加强控制区和监督区的监管。</w:t>
            </w:r>
          </w:p>
          <w:p w14:paraId="4BACBEDE">
            <w:pPr>
              <w:pStyle w:val="31"/>
              <w:numPr>
                <w:ilvl w:val="255"/>
                <w:numId w:val="0"/>
              </w:numPr>
              <w:tabs>
                <w:tab w:val="left" w:pos="1322"/>
              </w:tabs>
              <w:spacing w:line="360" w:lineRule="auto"/>
              <w:ind w:left="420" w:leftChars="200"/>
              <w:jc w:val="left"/>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控制区防护手段与安全措施</w:t>
            </w:r>
          </w:p>
          <w:p w14:paraId="564C6593">
            <w:pPr>
              <w:pStyle w:val="11"/>
              <w:bidi w:val="0"/>
            </w:pPr>
            <w:r>
              <w:t>①控制区进出口及其它适当位置处设立醒目的警告标志，见</w:t>
            </w:r>
            <w:r>
              <w:rPr>
                <w:rFonts w:hint="eastAsia"/>
              </w:rPr>
              <w:t>下</w:t>
            </w:r>
            <w:r>
              <w:t>图10-2；</w:t>
            </w:r>
          </w:p>
          <w:p w14:paraId="5D05892A">
            <w:pPr>
              <w:pStyle w:val="11"/>
              <w:bidi w:val="0"/>
              <w:jc w:val="center"/>
              <w:rPr>
                <w:b/>
                <w:bCs/>
              </w:rPr>
            </w:pPr>
            <w:r>
              <w:rPr>
                <w:b/>
                <w:bCs/>
              </w:rPr>
              <w:drawing>
                <wp:anchor distT="0" distB="0" distL="114300" distR="114300" simplePos="0" relativeHeight="251659264" behindDoc="0" locked="0" layoutInCell="1" allowOverlap="1">
                  <wp:simplePos x="0" y="0"/>
                  <wp:positionH relativeFrom="page">
                    <wp:posOffset>2852420</wp:posOffset>
                  </wp:positionH>
                  <wp:positionV relativeFrom="paragraph">
                    <wp:posOffset>172720</wp:posOffset>
                  </wp:positionV>
                  <wp:extent cx="1238250" cy="1459230"/>
                  <wp:effectExtent l="0" t="0" r="0" b="7620"/>
                  <wp:wrapTopAndBottom/>
                  <wp:docPr id="14"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jpeg"/>
                          <pic:cNvPicPr>
                            <a:picLocks noChangeAspect="1"/>
                          </pic:cNvPicPr>
                        </pic:nvPicPr>
                        <pic:blipFill>
                          <a:blip r:embed="rId21"/>
                          <a:stretch>
                            <a:fillRect/>
                          </a:stretch>
                        </pic:blipFill>
                        <pic:spPr>
                          <a:xfrm>
                            <a:off x="0" y="0"/>
                            <a:ext cx="1238250" cy="1459230"/>
                          </a:xfrm>
                          <a:prstGeom prst="rect">
                            <a:avLst/>
                          </a:prstGeom>
                          <a:noFill/>
                          <a:ln>
                            <a:noFill/>
                          </a:ln>
                        </pic:spPr>
                      </pic:pic>
                    </a:graphicData>
                  </a:graphic>
                </wp:anchor>
              </w:drawing>
            </w:r>
            <w:r>
              <w:rPr>
                <w:b/>
                <w:bCs/>
              </w:rPr>
              <w:drawing>
                <wp:anchor distT="0" distB="0" distL="114300" distR="114300" simplePos="0" relativeHeight="251660288" behindDoc="0" locked="0" layoutInCell="1" allowOverlap="1">
                  <wp:simplePos x="0" y="0"/>
                  <wp:positionH relativeFrom="page">
                    <wp:posOffset>1497330</wp:posOffset>
                  </wp:positionH>
                  <wp:positionV relativeFrom="paragraph">
                    <wp:posOffset>176530</wp:posOffset>
                  </wp:positionV>
                  <wp:extent cx="1143000" cy="1450340"/>
                  <wp:effectExtent l="0" t="0" r="0" b="16510"/>
                  <wp:wrapTopAndBottom/>
                  <wp:docPr id="1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jpeg"/>
                          <pic:cNvPicPr>
                            <a:picLocks noChangeAspect="1"/>
                          </pic:cNvPicPr>
                        </pic:nvPicPr>
                        <pic:blipFill>
                          <a:blip r:embed="rId22"/>
                          <a:stretch>
                            <a:fillRect/>
                          </a:stretch>
                        </pic:blipFill>
                        <pic:spPr>
                          <a:xfrm>
                            <a:off x="0" y="0"/>
                            <a:ext cx="1143000" cy="1450340"/>
                          </a:xfrm>
                          <a:prstGeom prst="rect">
                            <a:avLst/>
                          </a:prstGeom>
                          <a:noFill/>
                          <a:ln>
                            <a:noFill/>
                          </a:ln>
                        </pic:spPr>
                      </pic:pic>
                    </a:graphicData>
                  </a:graphic>
                </wp:anchor>
              </w:drawing>
            </w:r>
            <w:r>
              <w:rPr>
                <w:rFonts w:hint="eastAsia"/>
                <w:b/>
                <w:bCs/>
              </w:rPr>
              <w:t>图10-</w:t>
            </w:r>
            <w:r>
              <w:rPr>
                <w:b/>
                <w:bCs/>
              </w:rPr>
              <w:t>2</w:t>
            </w:r>
            <w:r>
              <w:rPr>
                <w:rFonts w:hint="eastAsia"/>
                <w:b/>
                <w:bCs/>
              </w:rPr>
              <w:t xml:space="preserve"> 电离辐射标志和电离辐射警告标志</w:t>
            </w:r>
          </w:p>
          <w:p w14:paraId="2451B952">
            <w:pPr>
              <w:pStyle w:val="11"/>
              <w:bidi w:val="0"/>
            </w:pPr>
            <w:r>
              <w:t>②制定职业防护与安全管理措施，包括适用于控制区的规则和程序；</w:t>
            </w:r>
          </w:p>
          <w:p w14:paraId="3084D718">
            <w:pPr>
              <w:pStyle w:val="11"/>
              <w:bidi w:val="0"/>
            </w:pPr>
            <w:r>
              <w:t>③运用行政管理程序（如进入控制区的工作许可制度）和实体屏障（包括门禁）限制进出控制区；</w:t>
            </w:r>
          </w:p>
          <w:p w14:paraId="00F6975D">
            <w:pPr>
              <w:pStyle w:val="11"/>
              <w:bidi w:val="0"/>
            </w:pPr>
            <w:r>
              <w:t>④配备个人防护用品、工作服、</w:t>
            </w:r>
            <w:r>
              <w:rPr>
                <w:rFonts w:hint="eastAsia"/>
                <w:lang w:val="en-US" w:eastAsia="zh-CN"/>
              </w:rPr>
              <w:t>辐射</w:t>
            </w:r>
            <w:r>
              <w:t>监测仪和被污染防护衣具的贮存柜等；</w:t>
            </w:r>
          </w:p>
          <w:p w14:paraId="0557F11E">
            <w:pPr>
              <w:pStyle w:val="11"/>
              <w:bidi w:val="0"/>
            </w:pPr>
            <w:r>
              <w:t>⑤定期审查控制区的实际状况，以确保是否有必要改变该区的防护手段、安全措施</w:t>
            </w:r>
            <w:r>
              <w:rPr>
                <w:rFonts w:hint="eastAsia"/>
              </w:rPr>
              <w:t>；</w:t>
            </w:r>
          </w:p>
          <w:p w14:paraId="38231128">
            <w:pPr>
              <w:pStyle w:val="11"/>
              <w:bidi w:val="0"/>
            </w:pPr>
            <w:r>
              <w:rPr>
                <w:rFonts w:hint="eastAsia"/>
              </w:rPr>
              <w:t>⑥灯箱设置可视警句。</w:t>
            </w:r>
          </w:p>
          <w:p w14:paraId="1CDA7C1E">
            <w:pPr>
              <w:pStyle w:val="31"/>
              <w:numPr>
                <w:ilvl w:val="255"/>
                <w:numId w:val="0"/>
              </w:numPr>
              <w:tabs>
                <w:tab w:val="left" w:pos="1322"/>
              </w:tabs>
              <w:spacing w:line="360" w:lineRule="auto"/>
              <w:ind w:firstLine="482" w:firstLineChars="200"/>
              <w:jc w:val="left"/>
              <w:rPr>
                <w:rFonts w:ascii="Times New Roman" w:hAnsi="Times New Roman"/>
                <w:sz w:val="24"/>
                <w:szCs w:val="24"/>
              </w:rPr>
            </w:pPr>
            <w:r>
              <w:rPr>
                <w:rFonts w:hint="eastAsia" w:ascii="Times New Roman" w:hAnsi="Times New Roman"/>
                <w:sz w:val="24"/>
                <w:szCs w:val="24"/>
              </w:rPr>
              <w:t>4、</w:t>
            </w:r>
            <w:r>
              <w:rPr>
                <w:rFonts w:ascii="Times New Roman" w:hAnsi="Times New Roman"/>
                <w:sz w:val="24"/>
                <w:szCs w:val="24"/>
              </w:rPr>
              <w:t>监督区防护手段与安全措施</w:t>
            </w:r>
          </w:p>
          <w:p w14:paraId="7DAC339F">
            <w:pPr>
              <w:pStyle w:val="11"/>
              <w:bidi w:val="0"/>
            </w:pPr>
            <w:r>
              <w:t>①以黄线警示监督区为边界；</w:t>
            </w:r>
          </w:p>
          <w:p w14:paraId="4D2BABC8">
            <w:pPr>
              <w:pStyle w:val="11"/>
              <w:bidi w:val="0"/>
            </w:pPr>
            <w:r>
              <w:t>②在监督区的入口处的适当地点设立</w:t>
            </w:r>
            <w:r>
              <w:rPr>
                <w:rFonts w:hint="eastAsia"/>
                <w:lang w:eastAsia="zh-CN"/>
              </w:rPr>
              <w:t>标明</w:t>
            </w:r>
            <w:r>
              <w:t>监督区的标牌；</w:t>
            </w:r>
          </w:p>
          <w:p w14:paraId="3A2DE957">
            <w:pPr>
              <w:pStyle w:val="11"/>
              <w:bidi w:val="0"/>
            </w:pPr>
            <w:r>
              <w:t>③定期检查该区的条件，以确定是否需要采取防护措施和做出安全规定，或是否需要更改监督区的边界。</w:t>
            </w:r>
          </w:p>
          <w:p w14:paraId="012548C4">
            <w:pPr>
              <w:pStyle w:val="31"/>
              <w:numPr>
                <w:ilvl w:val="0"/>
                <w:numId w:val="13"/>
              </w:numPr>
              <w:tabs>
                <w:tab w:val="left" w:pos="1322"/>
              </w:tabs>
              <w:spacing w:line="360" w:lineRule="auto"/>
              <w:ind w:left="0" w:firstLine="482" w:firstLineChars="200"/>
              <w:jc w:val="left"/>
              <w:rPr>
                <w:rFonts w:ascii="Times New Roman" w:hAnsi="Times New Roman"/>
                <w:sz w:val="24"/>
                <w:szCs w:val="24"/>
              </w:rPr>
            </w:pPr>
            <w:r>
              <w:rPr>
                <w:rFonts w:hint="eastAsia" w:ascii="Times New Roman" w:hAnsi="Times New Roman"/>
                <w:sz w:val="24"/>
                <w:szCs w:val="24"/>
              </w:rPr>
              <w:t>本机房配套其他区域防护手段与安全措施</w:t>
            </w:r>
          </w:p>
          <w:p w14:paraId="3B6976CC">
            <w:pPr>
              <w:pStyle w:val="11"/>
              <w:bidi w:val="0"/>
            </w:pPr>
            <w:r>
              <w:t>①在候诊处应设置放射防护注意事项告知栏；</w:t>
            </w:r>
          </w:p>
          <w:p w14:paraId="278C5D2C">
            <w:pPr>
              <w:pStyle w:val="11"/>
              <w:bidi w:val="0"/>
            </w:pPr>
            <w:r>
              <w:t>②明确受检人员不应在机房内候检，非特殊情况陪检人员不得滞留机房；</w:t>
            </w:r>
          </w:p>
          <w:p w14:paraId="19C769BC">
            <w:pPr>
              <w:pStyle w:val="11"/>
              <w:bidi w:val="0"/>
              <w:rPr>
                <w:rFonts w:ascii="Times New Roman" w:hAnsi="Times New Roman"/>
              </w:rPr>
            </w:pPr>
            <w:r>
              <w:t>③陪检人员</w:t>
            </w:r>
            <w:r>
              <w:rPr>
                <w:rFonts w:hint="eastAsia"/>
              </w:rPr>
              <w:t>配备</w:t>
            </w:r>
            <w:r>
              <w:t>个人防护用品（如铅衣等）。</w:t>
            </w:r>
          </w:p>
          <w:p w14:paraId="6D66F0F4">
            <w:pPr>
              <w:spacing w:line="360" w:lineRule="auto"/>
              <w:jc w:val="left"/>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二、辐射安全与防护措施</w:t>
            </w:r>
          </w:p>
          <w:p w14:paraId="3C152454">
            <w:pPr>
              <w:pStyle w:val="11"/>
              <w:bidi w:val="0"/>
              <w:rPr>
                <w:rFonts w:ascii="Times New Roman" w:hAnsi="Times New Roman"/>
                <w:bCs/>
                <w:color w:val="000000" w:themeColor="text1"/>
                <w14:textFill>
                  <w14:solidFill>
                    <w14:schemeClr w14:val="tx1"/>
                  </w14:solidFill>
                </w14:textFill>
              </w:rPr>
            </w:pPr>
            <w:r>
              <w:t>在利用X射线进行放射检查和</w:t>
            </w:r>
            <w:r>
              <w:rPr>
                <w:rFonts w:hint="eastAsia"/>
              </w:rPr>
              <w:t>介入检查</w:t>
            </w:r>
            <w:r>
              <w:t>的同时，在无任何屏蔽设施的情况下，会对辐射源的周围环境及人员造成不应有的危害。为了减少这种辐射危害，以及避免辐射事故的发生，医院针对DSA的特点，采取了相应的辐射安全防护措施。</w:t>
            </w:r>
          </w:p>
          <w:p w14:paraId="7CC2FF6A">
            <w:pPr>
              <w:spacing w:line="360" w:lineRule="auto"/>
              <w:jc w:val="left"/>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1、DSA的固有安全性</w:t>
            </w:r>
          </w:p>
          <w:p w14:paraId="3DA3AF44">
            <w:pPr>
              <w:pStyle w:val="11"/>
              <w:bidi w:val="0"/>
            </w:pPr>
            <w:r>
              <w:t>本项目配备的DSA拟采取如下技术措施：</w:t>
            </w:r>
          </w:p>
          <w:p w14:paraId="2329CB97">
            <w:pPr>
              <w:pStyle w:val="11"/>
              <w:bidi w:val="0"/>
            </w:pPr>
            <w:r>
              <w:fldChar w:fldCharType="begin"/>
            </w:r>
            <w:r>
              <w:instrText xml:space="preserve"> = 1 \* GB3 \* MERGEFORMAT </w:instrText>
            </w:r>
            <w:r>
              <w:fldChar w:fldCharType="separate"/>
            </w:r>
            <w:r>
              <w:t>①</w:t>
            </w:r>
            <w:r>
              <w:fldChar w:fldCharType="end"/>
            </w:r>
            <w:r>
              <w:t>采用栅控技术：在每次脉冲曝光间隔向旋转阳极加一负电压，抵消曝光脉冲的启辉与余辉，起到消除软X射线、提高有用射线品质并减小脉冲宽度作用。</w:t>
            </w:r>
          </w:p>
          <w:p w14:paraId="2D3D0ABA">
            <w:pPr>
              <w:pStyle w:val="11"/>
              <w:bidi w:val="0"/>
            </w:pPr>
            <w:r>
              <w:fldChar w:fldCharType="begin"/>
            </w:r>
            <w:r>
              <w:instrText xml:space="preserve"> = 2 \* GB3 \* MERGEFORMAT </w:instrText>
            </w:r>
            <w:r>
              <w:fldChar w:fldCharType="separate"/>
            </w:r>
            <w:r>
              <w:t>②</w:t>
            </w:r>
            <w:r>
              <w:fldChar w:fldCharType="end"/>
            </w:r>
            <w:r>
              <w:t>采用光谱过滤技术：在X射线管头或影像增强器的窗口处放置合适铝</w:t>
            </w:r>
            <w:r>
              <w:rPr>
                <w:rFonts w:hint="eastAsia"/>
              </w:rPr>
              <w:t>或铜</w:t>
            </w:r>
            <w:r>
              <w:t>滤过板，以多消除软X射线以及减少二次散射，优化有用X射线谱。设备提供适应不同应用时所可以选用的各种形状与规格的准直器隔板和铝</w:t>
            </w:r>
            <w:r>
              <w:rPr>
                <w:rFonts w:hint="eastAsia"/>
              </w:rPr>
              <w:t>、铜</w:t>
            </w:r>
            <w:r>
              <w:t>滤过板。</w:t>
            </w:r>
          </w:p>
          <w:p w14:paraId="4780C36D">
            <w:pPr>
              <w:pStyle w:val="11"/>
              <w:bidi w:val="0"/>
            </w:pPr>
            <w:r>
              <w:fldChar w:fldCharType="begin"/>
            </w:r>
            <w:r>
              <w:instrText xml:space="preserve"> = 3 \* GB3 \* MERGEFORMAT </w:instrText>
            </w:r>
            <w:r>
              <w:fldChar w:fldCharType="separate"/>
            </w:r>
            <w:r>
              <w:t>③</w:t>
            </w:r>
            <w:r>
              <w:fldChar w:fldCharType="end"/>
            </w:r>
            <w:r>
              <w:t>采用脉冲透视技术：在透视图像数字化基础上实现脉冲透视（如每秒25帧、12.5帧、6帧等可供选择），改善图像清晰度；并能明显地减少透视剂量。</w:t>
            </w:r>
          </w:p>
          <w:p w14:paraId="799B19E5">
            <w:pPr>
              <w:pStyle w:val="11"/>
              <w:bidi w:val="0"/>
            </w:pPr>
            <w:r>
              <w:fldChar w:fldCharType="begin"/>
            </w:r>
            <w:r>
              <w:instrText xml:space="preserve"> = 4 \* GB3 \* MERGEFORMAT </w:instrText>
            </w:r>
            <w:r>
              <w:fldChar w:fldCharType="separate"/>
            </w:r>
            <w:r>
              <w:t>④</w:t>
            </w:r>
            <w:r>
              <w:fldChar w:fldCharType="end"/>
            </w:r>
            <w:r>
              <w:t>采用图像冻结技术：每次透视的最后一帧图像被暂存并保留于监视器上显示，即称之为图像冻结（last image hold，LiH）。充分利用此方法可以明显缩短总透视时间，达到减少不必要的照射。</w:t>
            </w:r>
          </w:p>
          <w:p w14:paraId="56F53FAF">
            <w:pPr>
              <w:pStyle w:val="11"/>
              <w:bidi w:val="0"/>
            </w:pPr>
            <w:r>
              <w:fldChar w:fldCharType="begin"/>
            </w:r>
            <w:r>
              <w:instrText xml:space="preserve"> = 5 \* GB3 \* MERGEFORMAT </w:instrText>
            </w:r>
            <w:r>
              <w:fldChar w:fldCharType="separate"/>
            </w:r>
            <w:r>
              <w:t>⑤</w:t>
            </w:r>
            <w:r>
              <w:fldChar w:fldCharType="end"/>
            </w:r>
            <w:r>
              <w:t>配备相应的表征剂量的指示装置：配备能在线监测表征输出剂量的指示装置，例如剂量面积乘积（DAP）仪等。</w:t>
            </w:r>
          </w:p>
          <w:p w14:paraId="11D96595">
            <w:pPr>
              <w:pStyle w:val="11"/>
              <w:bidi w:val="0"/>
            </w:pPr>
            <w:r>
              <w:fldChar w:fldCharType="begin"/>
            </w:r>
            <w:r>
              <w:instrText xml:space="preserve"> = 6 \* GB3 \* MERGEFORMAT </w:instrText>
            </w:r>
            <w:r>
              <w:fldChar w:fldCharType="separate"/>
            </w:r>
            <w:r>
              <w:t>⑥</w:t>
            </w:r>
            <w:r>
              <w:fldChar w:fldCharType="end"/>
            </w:r>
            <w:r>
              <w:t>配备辅助防护设施：DSA配备床下铅帘（0.5mmPb）和悬吊铅帘</w:t>
            </w:r>
            <w:r>
              <w:rPr>
                <w:rFonts w:hint="eastAsia"/>
                <w:lang w:eastAsia="zh-CN"/>
              </w:rPr>
              <w:t>（</w:t>
            </w:r>
            <w:r>
              <w:t>0.5mmPb</w:t>
            </w:r>
            <w:r>
              <w:rPr>
                <w:rFonts w:hint="eastAsia"/>
                <w:lang w:eastAsia="zh-CN"/>
              </w:rPr>
              <w:t>）</w:t>
            </w:r>
            <w:r>
              <w:t>、铅屏风等辅助防护用品与设施，则在设备运行中可用于加强对有关人员采取放射防护与安全措施。</w:t>
            </w:r>
          </w:p>
          <w:p w14:paraId="74F6BB15">
            <w:pPr>
              <w:pStyle w:val="11"/>
              <w:bidi w:val="0"/>
            </w:pPr>
            <w:r>
              <w:fldChar w:fldCharType="begin"/>
            </w:r>
            <w:r>
              <w:instrText xml:space="preserve"> = 7 \* GB3 </w:instrText>
            </w:r>
            <w:r>
              <w:fldChar w:fldCharType="separate"/>
            </w:r>
            <w:r>
              <w:t>⑦</w:t>
            </w:r>
            <w:r>
              <w:fldChar w:fldCharType="end"/>
            </w:r>
            <w:r>
              <w:t>正常情况下，必须按规定程序并经控制台确认验证设置无误时，才能由“启动”键启动照射；同时在操作台和介入手术床体旁上均设置“紧急止动”按钮，一旦发生异常情况，工作人员可立即按下此按钮来停止照射。</w:t>
            </w:r>
          </w:p>
          <w:p w14:paraId="758C247A">
            <w:pPr>
              <w:spacing w:line="360" w:lineRule="auto"/>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2、屏蔽防护措施</w:t>
            </w:r>
          </w:p>
          <w:p w14:paraId="30EF8B44">
            <w:pPr>
              <w:pStyle w:val="11"/>
              <w:bidi w:val="0"/>
            </w:pPr>
            <w:r>
              <w:t>根据医院提供的</w:t>
            </w:r>
            <w:r>
              <w:rPr>
                <w:rFonts w:hint="eastAsia"/>
              </w:rPr>
              <w:t>技术</w:t>
            </w:r>
            <w:r>
              <w:t>方案，</w:t>
            </w:r>
            <w:r>
              <w:rPr>
                <w:rFonts w:hint="eastAsia"/>
              </w:rPr>
              <w:t>DSA机房</w:t>
            </w:r>
            <w:r>
              <w:t>内拟使用DSA最大管电压为</w:t>
            </w:r>
            <w:r>
              <w:rPr>
                <w:rFonts w:hint="eastAsia"/>
              </w:rPr>
              <w:t>125kV</w:t>
            </w:r>
            <w:r>
              <w:t>、最大管电流为</w:t>
            </w:r>
            <w:r>
              <w:rPr>
                <w:rFonts w:hint="eastAsia"/>
              </w:rPr>
              <w:t>1000</w:t>
            </w:r>
            <w:r>
              <w:t>mA。</w:t>
            </w:r>
          </w:p>
          <w:p w14:paraId="0F9E1694">
            <w:pPr>
              <w:pStyle w:val="11"/>
              <w:bidi w:val="0"/>
            </w:pPr>
            <w:r>
              <w:rPr>
                <w:rFonts w:hint="eastAsia"/>
              </w:rPr>
              <w:t>混凝土的铅当量</w:t>
            </w:r>
            <w:r>
              <w:t>根据《放射诊断放射防护要求》（GBZ130-2020）附录C</w:t>
            </w:r>
            <w:r>
              <w:rPr>
                <w:rFonts w:hint="eastAsia"/>
              </w:rPr>
              <w:t>医用诊断</w:t>
            </w:r>
            <w:r>
              <w:t>X</w:t>
            </w:r>
            <w:r>
              <w:rPr>
                <w:rFonts w:hint="eastAsia"/>
              </w:rPr>
              <w:t>射线防护中不同屏蔽物质的铅当量公式C.1、C.2以及附录表C.2。</w:t>
            </w:r>
          </w:p>
          <w:p w14:paraId="5FB9EEE7">
            <w:pPr>
              <w:pStyle w:val="11"/>
              <w:bidi w:val="0"/>
            </w:pPr>
            <w:r>
              <w:t>屏蔽减弱因子B：</w:t>
            </w:r>
          </w:p>
          <w:p w14:paraId="7FE0CAD0">
            <w:pPr>
              <w:pStyle w:val="10"/>
              <w:jc w:val="center"/>
              <w:rPr>
                <w:rFonts w:hint="eastAsia" w:ascii="Times New Roman" w:hAnsi="Times New Roman" w:eastAsia="宋体"/>
                <w:b w:val="0"/>
                <w:bCs w:val="0"/>
                <w:color w:val="000000" w:themeColor="text1"/>
                <w:lang w:val="en-US" w:eastAsia="zh-CN"/>
                <w14:textFill>
                  <w14:solidFill>
                    <w14:schemeClr w14:val="tx1"/>
                  </w14:solidFill>
                </w14:textFill>
              </w:rPr>
            </w:pPr>
            <w:r>
              <w:rPr>
                <w:b w:val="0"/>
                <w:bCs w:val="0"/>
                <w:color w:val="000000" w:themeColor="text1"/>
                <w14:textFill>
                  <w14:solidFill>
                    <w14:schemeClr w14:val="tx1"/>
                  </w14:solidFill>
                </w14:textFill>
              </w:rPr>
              <w:drawing>
                <wp:inline distT="0" distB="0" distL="114300" distR="114300">
                  <wp:extent cx="2976880" cy="497205"/>
                  <wp:effectExtent l="0" t="0" r="13970" b="17145"/>
                  <wp:docPr id="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1"/>
                          <pic:cNvPicPr>
                            <a:picLocks noChangeAspect="1"/>
                          </pic:cNvPicPr>
                        </pic:nvPicPr>
                        <pic:blipFill>
                          <a:blip r:embed="rId23"/>
                          <a:stretch>
                            <a:fillRect/>
                          </a:stretch>
                        </pic:blipFill>
                        <pic:spPr>
                          <a:xfrm>
                            <a:off x="0" y="0"/>
                            <a:ext cx="2976880" cy="497205"/>
                          </a:xfrm>
                          <a:prstGeom prst="rect">
                            <a:avLst/>
                          </a:prstGeom>
                          <a:noFill/>
                          <a:ln>
                            <a:noFill/>
                          </a:ln>
                        </pic:spPr>
                      </pic:pic>
                    </a:graphicData>
                  </a:graphic>
                </wp:inline>
              </w:drawing>
            </w:r>
          </w:p>
          <w:p w14:paraId="5A860EB9">
            <w:pPr>
              <w:pStyle w:val="11"/>
              <w:bidi w:val="0"/>
            </w:pPr>
            <w:r>
              <w:rPr>
                <w:rFonts w:hint="eastAsia"/>
              </w:rPr>
              <w:t>式中，</w:t>
            </w:r>
            <w:r>
              <w:t>B—给定屏蔽材料厚度的屏蔽减弱因子；</w:t>
            </w:r>
          </w:p>
          <w:p w14:paraId="1D6404CE">
            <w:pPr>
              <w:pStyle w:val="11"/>
              <w:bidi w:val="0"/>
            </w:pPr>
            <w:r>
              <w:t>β—给定屏蔽材料对不同管电压X射线辐射衰减的有关的拟合参数；</w:t>
            </w:r>
          </w:p>
          <w:p w14:paraId="59318C8C">
            <w:pPr>
              <w:pStyle w:val="11"/>
              <w:bidi w:val="0"/>
            </w:pPr>
            <w:r>
              <w:t>α—给定屏蔽材料对不同管电压X射线辐射衰减的有关的拟合参数；</w:t>
            </w:r>
          </w:p>
          <w:p w14:paraId="66060360">
            <w:pPr>
              <w:pStyle w:val="11"/>
              <w:bidi w:val="0"/>
            </w:pPr>
            <w:r>
              <w:t>γ—给定屏蔽材料对不同管电压X射线辐射衰减的有关的拟合参数；</w:t>
            </w:r>
          </w:p>
          <w:p w14:paraId="6DC4DF1D">
            <w:pPr>
              <w:pStyle w:val="11"/>
              <w:bidi w:val="0"/>
            </w:pPr>
            <w:r>
              <w:t>X—屏蔽材料厚度。</w:t>
            </w:r>
          </w:p>
          <w:p w14:paraId="77912EED">
            <w:pPr>
              <w:pStyle w:val="11"/>
              <w:bidi w:val="0"/>
            </w:pPr>
            <w:r>
              <w:rPr>
                <w:rFonts w:hint="eastAsia"/>
              </w:rPr>
              <w:t>铅当量厚度</w:t>
            </w:r>
            <w:r>
              <w:t>X</w:t>
            </w:r>
            <w:r>
              <w:rPr>
                <w:rFonts w:hint="eastAsia"/>
              </w:rPr>
              <w:t>：</w:t>
            </w:r>
          </w:p>
          <w:p w14:paraId="38C7EAB2">
            <w:pPr>
              <w:pStyle w:val="3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332865" cy="803910"/>
                  <wp:effectExtent l="0" t="0" r="635" b="15240"/>
                  <wp:docPr id="2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2"/>
                          <pic:cNvPicPr>
                            <a:picLocks noChangeAspect="1"/>
                          </pic:cNvPicPr>
                        </pic:nvPicPr>
                        <pic:blipFill>
                          <a:blip r:embed="rId24"/>
                          <a:stretch>
                            <a:fillRect/>
                          </a:stretch>
                        </pic:blipFill>
                        <pic:spPr>
                          <a:xfrm>
                            <a:off x="0" y="0"/>
                            <a:ext cx="1332865" cy="803910"/>
                          </a:xfrm>
                          <a:prstGeom prst="rect">
                            <a:avLst/>
                          </a:prstGeom>
                          <a:noFill/>
                          <a:ln>
                            <a:noFill/>
                          </a:ln>
                        </pic:spPr>
                      </pic:pic>
                    </a:graphicData>
                  </a:graphic>
                </wp:inline>
              </w:drawing>
            </w:r>
          </w:p>
          <w:p w14:paraId="5D52AA9E">
            <w:pPr>
              <w:pStyle w:val="11"/>
              <w:bidi w:val="0"/>
            </w:pPr>
            <w:r>
              <w:t>B——</w:t>
            </w:r>
            <w:r>
              <w:rPr>
                <w:rFonts w:hint="eastAsia"/>
              </w:rPr>
              <w:t>给定材质厚度的屏蔽透射因子；</w:t>
            </w:r>
          </w:p>
          <w:p w14:paraId="36B9CE1F">
            <w:pPr>
              <w:pStyle w:val="11"/>
              <w:bidi w:val="0"/>
            </w:pPr>
            <w:r>
              <w:t>X——</w:t>
            </w:r>
            <w:r>
              <w:rPr>
                <w:rFonts w:hint="eastAsia"/>
              </w:rPr>
              <w:t>铅厚度（</w:t>
            </w:r>
            <w:r>
              <w:t>mm</w:t>
            </w:r>
            <w:r>
              <w:rPr>
                <w:rFonts w:hint="eastAsia"/>
              </w:rPr>
              <w:t>）；</w:t>
            </w:r>
          </w:p>
          <w:p w14:paraId="2CC71187">
            <w:pPr>
              <w:pStyle w:val="11"/>
              <w:bidi w:val="0"/>
            </w:pPr>
            <w:r>
              <w:t>α——</w:t>
            </w:r>
            <w:r>
              <w:rPr>
                <w:rFonts w:hint="eastAsia"/>
              </w:rPr>
              <w:t>铅对不同管电压</w:t>
            </w:r>
            <w:r>
              <w:t>X</w:t>
            </w:r>
            <w:r>
              <w:rPr>
                <w:rFonts w:hint="eastAsia"/>
              </w:rPr>
              <w:t>射线衰减的有关的拟合参数；</w:t>
            </w:r>
          </w:p>
          <w:p w14:paraId="322D7F2F">
            <w:pPr>
              <w:pStyle w:val="11"/>
              <w:bidi w:val="0"/>
            </w:pPr>
            <w:r>
              <w:t>β——</w:t>
            </w:r>
            <w:r>
              <w:rPr>
                <w:rFonts w:hint="eastAsia"/>
              </w:rPr>
              <w:t>铅对不同管电压</w:t>
            </w:r>
            <w:r>
              <w:t>X</w:t>
            </w:r>
            <w:r>
              <w:rPr>
                <w:rFonts w:hint="eastAsia"/>
              </w:rPr>
              <w:t>射线衰减的有关的拟合参数；</w:t>
            </w:r>
          </w:p>
          <w:p w14:paraId="7CA7F803">
            <w:pPr>
              <w:pStyle w:val="11"/>
              <w:bidi w:val="0"/>
            </w:pPr>
            <w:r>
              <w:t>γ——</w:t>
            </w:r>
            <w:r>
              <w:rPr>
                <w:rFonts w:hint="eastAsia"/>
              </w:rPr>
              <w:t>铅对不同管电压</w:t>
            </w:r>
            <w:r>
              <w:t>X</w:t>
            </w:r>
            <w:r>
              <w:rPr>
                <w:rFonts w:hint="eastAsia"/>
              </w:rPr>
              <w:t>射线衰减的有关的拟合参数。</w:t>
            </w:r>
          </w:p>
          <w:p w14:paraId="4947AA9B">
            <w:pPr>
              <w:pStyle w:val="11"/>
              <w:bidi w:val="0"/>
            </w:pPr>
            <w:r>
              <w:t>虽然根据机器特性，针对DSA主要考虑散射线和泄漏射线影响，但保守估计，在折合铅当量时，本项目机房墙体防护铅当量均采用最大管电压125kV进行考虑。表10-2数据来自GBZ130-2020中表C.2、C.3。</w:t>
            </w:r>
          </w:p>
          <w:p w14:paraId="076D0712">
            <w:pPr>
              <w:keepNext/>
              <w:numPr>
                <w:ilvl w:val="0"/>
                <w:numId w:val="12"/>
              </w:numPr>
              <w:spacing w:line="360" w:lineRule="auto"/>
              <w:ind w:left="425" w:hanging="425" w:firstLineChars="0"/>
              <w:jc w:val="center"/>
              <w:rPr>
                <w:rFonts w:ascii="Times New Roman" w:hAnsi="Times New Roman"/>
                <w:b/>
                <w:color w:val="000000" w:themeColor="text1"/>
                <w:sz w:val="24"/>
                <w14:textFill>
                  <w14:solidFill>
                    <w14:schemeClr w14:val="tx1"/>
                  </w14:solidFill>
                </w14:textFill>
              </w:rPr>
            </w:pPr>
            <w:r>
              <w:rPr>
                <w:rFonts w:hint="eastAsia" w:ascii="Times New Roman" w:hAnsi="Times New Roman"/>
                <w:b/>
                <w:color w:val="000000" w:themeColor="text1"/>
                <w:sz w:val="24"/>
                <w14:textFill>
                  <w14:solidFill>
                    <w14:schemeClr w14:val="tx1"/>
                  </w14:solidFill>
                </w14:textFill>
              </w:rPr>
              <w:t>铅、混凝土</w:t>
            </w:r>
            <w:r>
              <w:rPr>
                <w:rFonts w:ascii="Times New Roman" w:hAnsi="Times New Roman"/>
                <w:b/>
                <w:color w:val="000000" w:themeColor="text1"/>
                <w:sz w:val="24"/>
                <w14:textFill>
                  <w14:solidFill>
                    <w14:schemeClr w14:val="tx1"/>
                  </w14:solidFill>
                </w14:textFill>
              </w:rPr>
              <w:t>对</w:t>
            </w:r>
            <w:r>
              <w:rPr>
                <w:rFonts w:ascii="Times New Roman" w:hAnsi="Times New Roman" w:eastAsia="Times New Roman"/>
                <w:b/>
                <w:color w:val="000000" w:themeColor="text1"/>
                <w:sz w:val="24"/>
                <w14:textFill>
                  <w14:solidFill>
                    <w14:schemeClr w14:val="tx1"/>
                  </w14:solidFill>
                </w14:textFill>
              </w:rPr>
              <w:t>X</w:t>
            </w:r>
            <w:r>
              <w:rPr>
                <w:rFonts w:ascii="Times New Roman" w:hAnsi="Times New Roman"/>
                <w:b/>
                <w:color w:val="000000" w:themeColor="text1"/>
                <w:sz w:val="24"/>
                <w14:textFill>
                  <w14:solidFill>
                    <w14:schemeClr w14:val="tx1"/>
                  </w14:solidFill>
                </w14:textFill>
              </w:rPr>
              <w:t>射线的辐射衰减拟合参数</w:t>
            </w:r>
          </w:p>
          <w:tbl>
            <w:tblPr>
              <w:tblStyle w:val="23"/>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295"/>
              <w:gridCol w:w="2329"/>
              <w:gridCol w:w="2329"/>
              <w:gridCol w:w="2046"/>
            </w:tblGrid>
            <w:tr w14:paraId="6279A4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000" w:type="pct"/>
                  <w:gridSpan w:val="4"/>
                  <w:tcBorders>
                    <w:tl2br w:val="nil"/>
                    <w:tr2bl w:val="nil"/>
                  </w:tcBorders>
                  <w:vAlign w:val="center"/>
                </w:tcPr>
                <w:p w14:paraId="2248CE43">
                  <w:pPr>
                    <w:jc w:val="center"/>
                    <w:rPr>
                      <w:rFonts w:ascii="Times New Roman" w:hAnsi="Times New Roman"/>
                    </w:rPr>
                  </w:pPr>
                  <w:r>
                    <w:rPr>
                      <w:rFonts w:ascii="Times New Roman" w:hAnsi="Times New Roman"/>
                      <w:b/>
                      <w:bCs/>
                    </w:rPr>
                    <w:t>管电压125kV（主射）</w:t>
                  </w:r>
                </w:p>
              </w:tc>
            </w:tr>
            <w:tr w14:paraId="16F4DD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275" w:type="pct"/>
                  <w:tcBorders>
                    <w:tl2br w:val="nil"/>
                    <w:tr2bl w:val="nil"/>
                  </w:tcBorders>
                  <w:vAlign w:val="center"/>
                </w:tcPr>
                <w:p w14:paraId="6AE92F08">
                  <w:pPr>
                    <w:jc w:val="center"/>
                    <w:rPr>
                      <w:rFonts w:ascii="Times New Roman" w:hAnsi="Times New Roman"/>
                    </w:rPr>
                  </w:pPr>
                  <w:r>
                    <w:rPr>
                      <w:rFonts w:ascii="Times New Roman" w:hAnsi="Times New Roman"/>
                    </w:rPr>
                    <w:t>材料</w:t>
                  </w:r>
                </w:p>
              </w:tc>
              <w:tc>
                <w:tcPr>
                  <w:tcW w:w="1294" w:type="pct"/>
                  <w:tcBorders>
                    <w:tl2br w:val="nil"/>
                    <w:tr2bl w:val="nil"/>
                  </w:tcBorders>
                  <w:vAlign w:val="center"/>
                </w:tcPr>
                <w:p w14:paraId="54B625A9">
                  <w:pPr>
                    <w:jc w:val="center"/>
                    <w:rPr>
                      <w:rFonts w:ascii="Times New Roman" w:hAnsi="Times New Roman"/>
                    </w:rPr>
                  </w:pPr>
                  <w:r>
                    <w:rPr>
                      <w:rFonts w:ascii="Times New Roman" w:hAnsi="Times New Roman"/>
                    </w:rPr>
                    <w:t>α</w:t>
                  </w:r>
                </w:p>
              </w:tc>
              <w:tc>
                <w:tcPr>
                  <w:tcW w:w="1294" w:type="pct"/>
                  <w:tcBorders>
                    <w:tl2br w:val="nil"/>
                    <w:tr2bl w:val="nil"/>
                  </w:tcBorders>
                  <w:vAlign w:val="center"/>
                </w:tcPr>
                <w:p w14:paraId="3EFBC6BE">
                  <w:pPr>
                    <w:jc w:val="center"/>
                    <w:rPr>
                      <w:rFonts w:ascii="Times New Roman" w:hAnsi="Times New Roman"/>
                    </w:rPr>
                  </w:pPr>
                  <w:r>
                    <w:rPr>
                      <w:rFonts w:ascii="Times New Roman" w:hAnsi="Times New Roman"/>
                    </w:rPr>
                    <w:t>β</w:t>
                  </w:r>
                </w:p>
              </w:tc>
              <w:tc>
                <w:tcPr>
                  <w:tcW w:w="1136" w:type="pct"/>
                  <w:tcBorders>
                    <w:tl2br w:val="nil"/>
                    <w:tr2bl w:val="nil"/>
                  </w:tcBorders>
                  <w:vAlign w:val="center"/>
                </w:tcPr>
                <w:p w14:paraId="469549D8">
                  <w:pPr>
                    <w:jc w:val="center"/>
                    <w:rPr>
                      <w:rFonts w:ascii="Times New Roman" w:hAnsi="Times New Roman"/>
                    </w:rPr>
                  </w:pPr>
                  <w:r>
                    <w:rPr>
                      <w:rFonts w:ascii="Times New Roman" w:hAnsi="Times New Roman"/>
                    </w:rPr>
                    <w:t>γ</w:t>
                  </w:r>
                </w:p>
              </w:tc>
            </w:tr>
            <w:tr w14:paraId="48EEC2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275" w:type="pct"/>
                  <w:tcBorders>
                    <w:tl2br w:val="nil"/>
                    <w:tr2bl w:val="nil"/>
                  </w:tcBorders>
                  <w:vAlign w:val="center"/>
                </w:tcPr>
                <w:p w14:paraId="777B9EBA">
                  <w:pPr>
                    <w:jc w:val="center"/>
                    <w:rPr>
                      <w:rFonts w:ascii="Times New Roman" w:hAnsi="Times New Roman"/>
                    </w:rPr>
                  </w:pPr>
                  <w:r>
                    <w:rPr>
                      <w:rFonts w:ascii="Times New Roman" w:hAnsi="Times New Roman"/>
                    </w:rPr>
                    <w:t>铅</w:t>
                  </w:r>
                </w:p>
              </w:tc>
              <w:tc>
                <w:tcPr>
                  <w:tcW w:w="1294" w:type="pct"/>
                  <w:tcBorders>
                    <w:tl2br w:val="nil"/>
                    <w:tr2bl w:val="nil"/>
                  </w:tcBorders>
                  <w:vAlign w:val="center"/>
                </w:tcPr>
                <w:p w14:paraId="4E8B53C5">
                  <w:pPr>
                    <w:jc w:val="center"/>
                    <w:rPr>
                      <w:rFonts w:ascii="Times New Roman" w:hAnsi="Times New Roman"/>
                    </w:rPr>
                  </w:pPr>
                  <w:r>
                    <w:rPr>
                      <w:rFonts w:ascii="Times New Roman" w:hAnsi="Times New Roman"/>
                    </w:rPr>
                    <w:t>2.219</w:t>
                  </w:r>
                </w:p>
              </w:tc>
              <w:tc>
                <w:tcPr>
                  <w:tcW w:w="1294" w:type="pct"/>
                  <w:tcBorders>
                    <w:tl2br w:val="nil"/>
                    <w:tr2bl w:val="nil"/>
                  </w:tcBorders>
                  <w:vAlign w:val="center"/>
                </w:tcPr>
                <w:p w14:paraId="1FB577D0">
                  <w:pPr>
                    <w:jc w:val="center"/>
                    <w:rPr>
                      <w:rFonts w:ascii="Times New Roman" w:hAnsi="Times New Roman"/>
                    </w:rPr>
                  </w:pPr>
                  <w:r>
                    <w:rPr>
                      <w:rFonts w:ascii="Times New Roman" w:hAnsi="Times New Roman"/>
                    </w:rPr>
                    <w:t>7.923</w:t>
                  </w:r>
                </w:p>
              </w:tc>
              <w:tc>
                <w:tcPr>
                  <w:tcW w:w="1136" w:type="pct"/>
                  <w:tcBorders>
                    <w:tl2br w:val="nil"/>
                    <w:tr2bl w:val="nil"/>
                  </w:tcBorders>
                  <w:vAlign w:val="center"/>
                </w:tcPr>
                <w:p w14:paraId="04019B3D">
                  <w:pPr>
                    <w:jc w:val="center"/>
                    <w:rPr>
                      <w:rFonts w:ascii="Times New Roman" w:hAnsi="Times New Roman"/>
                    </w:rPr>
                  </w:pPr>
                  <w:r>
                    <w:rPr>
                      <w:rFonts w:ascii="Times New Roman" w:hAnsi="Times New Roman"/>
                    </w:rPr>
                    <w:t>0.5386</w:t>
                  </w:r>
                </w:p>
              </w:tc>
            </w:tr>
            <w:tr w14:paraId="0250C2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75" w:type="pct"/>
                  <w:tcBorders>
                    <w:tl2br w:val="nil"/>
                    <w:tr2bl w:val="nil"/>
                  </w:tcBorders>
                  <w:vAlign w:val="center"/>
                </w:tcPr>
                <w:p w14:paraId="4E059894">
                  <w:pPr>
                    <w:jc w:val="center"/>
                    <w:rPr>
                      <w:rFonts w:ascii="Times New Roman" w:hAnsi="Times New Roman"/>
                    </w:rPr>
                  </w:pPr>
                  <w:r>
                    <w:rPr>
                      <w:rFonts w:ascii="Times New Roman" w:hAnsi="Times New Roman"/>
                    </w:rPr>
                    <w:t>混凝土</w:t>
                  </w:r>
                </w:p>
              </w:tc>
              <w:tc>
                <w:tcPr>
                  <w:tcW w:w="1294" w:type="pct"/>
                  <w:tcBorders>
                    <w:tl2br w:val="nil"/>
                    <w:tr2bl w:val="nil"/>
                  </w:tcBorders>
                  <w:vAlign w:val="center"/>
                </w:tcPr>
                <w:p w14:paraId="3E3897F7">
                  <w:pPr>
                    <w:jc w:val="center"/>
                    <w:rPr>
                      <w:rFonts w:ascii="Times New Roman" w:hAnsi="Times New Roman"/>
                    </w:rPr>
                  </w:pPr>
                  <w:r>
                    <w:rPr>
                      <w:rFonts w:ascii="Times New Roman" w:hAnsi="Times New Roman"/>
                    </w:rPr>
                    <w:t>0.03502</w:t>
                  </w:r>
                </w:p>
              </w:tc>
              <w:tc>
                <w:tcPr>
                  <w:tcW w:w="1294" w:type="pct"/>
                  <w:tcBorders>
                    <w:tl2br w:val="nil"/>
                    <w:tr2bl w:val="nil"/>
                  </w:tcBorders>
                  <w:vAlign w:val="center"/>
                </w:tcPr>
                <w:p w14:paraId="4D22625A">
                  <w:pPr>
                    <w:jc w:val="center"/>
                    <w:rPr>
                      <w:rFonts w:ascii="Times New Roman" w:hAnsi="Times New Roman"/>
                    </w:rPr>
                  </w:pPr>
                  <w:r>
                    <w:rPr>
                      <w:rFonts w:ascii="Times New Roman" w:hAnsi="Times New Roman"/>
                    </w:rPr>
                    <w:t>0.07113</w:t>
                  </w:r>
                </w:p>
              </w:tc>
              <w:tc>
                <w:tcPr>
                  <w:tcW w:w="1136" w:type="pct"/>
                  <w:tcBorders>
                    <w:tl2br w:val="nil"/>
                    <w:tr2bl w:val="nil"/>
                  </w:tcBorders>
                  <w:vAlign w:val="center"/>
                </w:tcPr>
                <w:p w14:paraId="75DE707F">
                  <w:pPr>
                    <w:jc w:val="center"/>
                    <w:rPr>
                      <w:rFonts w:ascii="Times New Roman" w:hAnsi="Times New Roman"/>
                    </w:rPr>
                  </w:pPr>
                  <w:r>
                    <w:rPr>
                      <w:rFonts w:ascii="Times New Roman" w:hAnsi="Times New Roman"/>
                    </w:rPr>
                    <w:t>0.6974</w:t>
                  </w:r>
                </w:p>
              </w:tc>
            </w:tr>
            <w:tr w14:paraId="7980C4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75" w:type="pct"/>
                  <w:tcBorders>
                    <w:tl2br w:val="nil"/>
                    <w:tr2bl w:val="nil"/>
                  </w:tcBorders>
                  <w:vAlign w:val="center"/>
                </w:tcPr>
                <w:p w14:paraId="12C8A506">
                  <w:pPr>
                    <w:jc w:val="center"/>
                    <w:rPr>
                      <w:rFonts w:ascii="Times New Roman" w:hAnsi="Times New Roman"/>
                    </w:rPr>
                  </w:pPr>
                  <w:r>
                    <w:rPr>
                      <w:rFonts w:hint="eastAsia" w:ascii="Times New Roman" w:hAnsi="Times New Roman"/>
                    </w:rPr>
                    <w:t>砖（有用线束）</w:t>
                  </w:r>
                </w:p>
              </w:tc>
              <w:tc>
                <w:tcPr>
                  <w:tcW w:w="1294" w:type="pct"/>
                  <w:tcBorders>
                    <w:tl2br w:val="nil"/>
                    <w:tr2bl w:val="nil"/>
                  </w:tcBorders>
                  <w:vAlign w:val="center"/>
                </w:tcPr>
                <w:p w14:paraId="2E123C66">
                  <w:pPr>
                    <w:jc w:val="center"/>
                    <w:rPr>
                      <w:rFonts w:ascii="Times New Roman" w:hAnsi="Times New Roman"/>
                    </w:rPr>
                  </w:pPr>
                  <w:r>
                    <w:rPr>
                      <w:rFonts w:hint="eastAsia" w:ascii="Times New Roman" w:hAnsi="Times New Roman"/>
                    </w:rPr>
                    <w:t>0.02870</w:t>
                  </w:r>
                </w:p>
              </w:tc>
              <w:tc>
                <w:tcPr>
                  <w:tcW w:w="1294" w:type="pct"/>
                  <w:tcBorders>
                    <w:tl2br w:val="nil"/>
                    <w:tr2bl w:val="nil"/>
                  </w:tcBorders>
                  <w:vAlign w:val="center"/>
                </w:tcPr>
                <w:p w14:paraId="469CF758">
                  <w:pPr>
                    <w:jc w:val="center"/>
                    <w:rPr>
                      <w:rFonts w:ascii="Times New Roman" w:hAnsi="Times New Roman"/>
                    </w:rPr>
                  </w:pPr>
                  <w:r>
                    <w:rPr>
                      <w:rFonts w:hint="eastAsia" w:ascii="Times New Roman" w:hAnsi="Times New Roman"/>
                    </w:rPr>
                    <w:t>0.06700</w:t>
                  </w:r>
                </w:p>
              </w:tc>
              <w:tc>
                <w:tcPr>
                  <w:tcW w:w="1136" w:type="pct"/>
                  <w:tcBorders>
                    <w:tl2br w:val="nil"/>
                    <w:tr2bl w:val="nil"/>
                  </w:tcBorders>
                  <w:vAlign w:val="center"/>
                </w:tcPr>
                <w:p w14:paraId="55380908">
                  <w:pPr>
                    <w:jc w:val="center"/>
                    <w:rPr>
                      <w:rFonts w:ascii="Times New Roman" w:hAnsi="Times New Roman"/>
                    </w:rPr>
                  </w:pPr>
                  <w:r>
                    <w:rPr>
                      <w:rFonts w:hint="eastAsia" w:ascii="Times New Roman" w:hAnsi="Times New Roman"/>
                    </w:rPr>
                    <w:t>1.346</w:t>
                  </w:r>
                </w:p>
              </w:tc>
            </w:tr>
            <w:tr w14:paraId="605FA4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000" w:type="pct"/>
                  <w:gridSpan w:val="4"/>
                  <w:tcBorders>
                    <w:tl2br w:val="nil"/>
                    <w:tr2bl w:val="nil"/>
                  </w:tcBorders>
                  <w:vAlign w:val="center"/>
                </w:tcPr>
                <w:p w14:paraId="7A03614F">
                  <w:pPr>
                    <w:jc w:val="center"/>
                    <w:rPr>
                      <w:rFonts w:hint="eastAsia" w:ascii="Times New Roman" w:hAnsi="Times New Roman"/>
                    </w:rPr>
                  </w:pPr>
                  <w:r>
                    <w:rPr>
                      <w:rFonts w:ascii="Times New Roman" w:hAnsi="Times New Roman"/>
                      <w:b/>
                      <w:bCs/>
                    </w:rPr>
                    <w:t>管电压125kV（</w:t>
                  </w:r>
                  <w:r>
                    <w:rPr>
                      <w:rFonts w:hint="eastAsia" w:ascii="Times New Roman" w:hAnsi="Times New Roman"/>
                      <w:b/>
                      <w:bCs/>
                      <w:lang w:val="en-US" w:eastAsia="zh-CN"/>
                    </w:rPr>
                    <w:t>散</w:t>
                  </w:r>
                  <w:r>
                    <w:rPr>
                      <w:rFonts w:ascii="Times New Roman" w:hAnsi="Times New Roman"/>
                      <w:b/>
                      <w:bCs/>
                    </w:rPr>
                    <w:t>射）</w:t>
                  </w:r>
                </w:p>
              </w:tc>
            </w:tr>
            <w:tr w14:paraId="467FCB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95" w:type="dxa"/>
                  <w:tcBorders>
                    <w:tl2br w:val="nil"/>
                    <w:tr2bl w:val="nil"/>
                  </w:tcBorders>
                  <w:vAlign w:val="center"/>
                </w:tcPr>
                <w:p w14:paraId="2333C152">
                  <w:pPr>
                    <w:jc w:val="center"/>
                    <w:rPr>
                      <w:rFonts w:hint="eastAsia" w:ascii="Times New Roman" w:hAnsi="Times New Roman"/>
                    </w:rPr>
                  </w:pPr>
                  <w:r>
                    <w:rPr>
                      <w:rFonts w:ascii="Times New Roman" w:hAnsi="Times New Roman"/>
                    </w:rPr>
                    <w:t>铅</w:t>
                  </w:r>
                </w:p>
              </w:tc>
              <w:tc>
                <w:tcPr>
                  <w:tcW w:w="1294" w:type="pct"/>
                  <w:tcBorders>
                    <w:tl2br w:val="nil"/>
                    <w:tr2bl w:val="nil"/>
                  </w:tcBorders>
                  <w:vAlign w:val="center"/>
                </w:tcPr>
                <w:p w14:paraId="40E37B29">
                  <w:pPr>
                    <w:jc w:val="center"/>
                    <w:rPr>
                      <w:rFonts w:hint="eastAsia" w:ascii="Times New Roman" w:hAnsi="Times New Roman"/>
                    </w:rPr>
                  </w:pPr>
                  <w:r>
                    <w:rPr>
                      <w:rFonts w:hint="eastAsia" w:ascii="Times New Roman" w:hAnsi="Times New Roman"/>
                    </w:rPr>
                    <w:t>2.233</w:t>
                  </w:r>
                </w:p>
              </w:tc>
              <w:tc>
                <w:tcPr>
                  <w:tcW w:w="1294" w:type="pct"/>
                  <w:tcBorders>
                    <w:tl2br w:val="nil"/>
                    <w:tr2bl w:val="nil"/>
                  </w:tcBorders>
                  <w:vAlign w:val="center"/>
                </w:tcPr>
                <w:p w14:paraId="24707CF4">
                  <w:pPr>
                    <w:jc w:val="center"/>
                    <w:rPr>
                      <w:rFonts w:hint="eastAsia" w:ascii="Times New Roman" w:hAnsi="Times New Roman"/>
                    </w:rPr>
                  </w:pPr>
                  <w:r>
                    <w:rPr>
                      <w:rFonts w:hint="eastAsia" w:ascii="Times New Roman" w:hAnsi="Times New Roman"/>
                    </w:rPr>
                    <w:t>7.888</w:t>
                  </w:r>
                </w:p>
              </w:tc>
              <w:tc>
                <w:tcPr>
                  <w:tcW w:w="1136" w:type="pct"/>
                  <w:tcBorders>
                    <w:tl2br w:val="nil"/>
                    <w:tr2bl w:val="nil"/>
                  </w:tcBorders>
                  <w:vAlign w:val="center"/>
                </w:tcPr>
                <w:p w14:paraId="515E810A">
                  <w:pPr>
                    <w:jc w:val="center"/>
                    <w:rPr>
                      <w:rFonts w:hint="eastAsia" w:ascii="Times New Roman" w:hAnsi="Times New Roman"/>
                    </w:rPr>
                  </w:pPr>
                  <w:r>
                    <w:rPr>
                      <w:rFonts w:hint="eastAsia" w:ascii="Times New Roman" w:hAnsi="Times New Roman"/>
                    </w:rPr>
                    <w:t>0.7295</w:t>
                  </w:r>
                </w:p>
              </w:tc>
            </w:tr>
            <w:tr w14:paraId="0BD488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95" w:type="dxa"/>
                  <w:tcBorders>
                    <w:tl2br w:val="nil"/>
                    <w:tr2bl w:val="nil"/>
                  </w:tcBorders>
                  <w:vAlign w:val="center"/>
                </w:tcPr>
                <w:p w14:paraId="531F8A70">
                  <w:pPr>
                    <w:jc w:val="center"/>
                    <w:rPr>
                      <w:rFonts w:hint="eastAsia" w:ascii="Times New Roman" w:hAnsi="Times New Roman"/>
                    </w:rPr>
                  </w:pPr>
                  <w:r>
                    <w:rPr>
                      <w:rFonts w:ascii="Times New Roman" w:hAnsi="Times New Roman"/>
                    </w:rPr>
                    <w:t>混凝土</w:t>
                  </w:r>
                </w:p>
              </w:tc>
              <w:tc>
                <w:tcPr>
                  <w:tcW w:w="1294" w:type="pct"/>
                  <w:tcBorders>
                    <w:tl2br w:val="nil"/>
                    <w:tr2bl w:val="nil"/>
                  </w:tcBorders>
                  <w:vAlign w:val="center"/>
                </w:tcPr>
                <w:p w14:paraId="77D53653">
                  <w:pPr>
                    <w:jc w:val="center"/>
                    <w:rPr>
                      <w:rFonts w:hint="eastAsia" w:ascii="Times New Roman" w:hAnsi="Times New Roman"/>
                    </w:rPr>
                  </w:pPr>
                  <w:r>
                    <w:rPr>
                      <w:rFonts w:hint="eastAsia" w:ascii="Times New Roman" w:hAnsi="Times New Roman"/>
                    </w:rPr>
                    <w:t>0.03510</w:t>
                  </w:r>
                </w:p>
              </w:tc>
              <w:tc>
                <w:tcPr>
                  <w:tcW w:w="1294" w:type="pct"/>
                  <w:tcBorders>
                    <w:tl2br w:val="nil"/>
                    <w:tr2bl w:val="nil"/>
                  </w:tcBorders>
                  <w:vAlign w:val="center"/>
                </w:tcPr>
                <w:p w14:paraId="49779402">
                  <w:pPr>
                    <w:jc w:val="center"/>
                    <w:rPr>
                      <w:rFonts w:hint="eastAsia" w:ascii="Times New Roman" w:hAnsi="Times New Roman"/>
                    </w:rPr>
                  </w:pPr>
                  <w:r>
                    <w:rPr>
                      <w:rFonts w:hint="eastAsia" w:ascii="Times New Roman" w:hAnsi="Times New Roman"/>
                    </w:rPr>
                    <w:t>0.06600</w:t>
                  </w:r>
                </w:p>
              </w:tc>
              <w:tc>
                <w:tcPr>
                  <w:tcW w:w="1136" w:type="pct"/>
                  <w:tcBorders>
                    <w:tl2br w:val="nil"/>
                    <w:tr2bl w:val="nil"/>
                  </w:tcBorders>
                  <w:vAlign w:val="center"/>
                </w:tcPr>
                <w:p w14:paraId="7FDAA7F5">
                  <w:pPr>
                    <w:jc w:val="center"/>
                    <w:rPr>
                      <w:rFonts w:hint="eastAsia" w:ascii="Times New Roman" w:hAnsi="Times New Roman"/>
                    </w:rPr>
                  </w:pPr>
                  <w:r>
                    <w:rPr>
                      <w:rFonts w:hint="eastAsia" w:ascii="Times New Roman" w:hAnsi="Times New Roman"/>
                    </w:rPr>
                    <w:t>0.7832</w:t>
                  </w:r>
                </w:p>
              </w:tc>
            </w:tr>
            <w:tr w14:paraId="62F4FE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95" w:type="dxa"/>
                  <w:tcBorders>
                    <w:tl2br w:val="nil"/>
                    <w:tr2bl w:val="nil"/>
                  </w:tcBorders>
                  <w:vAlign w:val="center"/>
                </w:tcPr>
                <w:p w14:paraId="6E776489">
                  <w:pPr>
                    <w:jc w:val="center"/>
                    <w:rPr>
                      <w:rFonts w:hint="eastAsia" w:ascii="Times New Roman" w:hAnsi="Times New Roman"/>
                    </w:rPr>
                  </w:pPr>
                  <w:r>
                    <w:rPr>
                      <w:rFonts w:hint="eastAsia" w:ascii="Times New Roman" w:hAnsi="Times New Roman"/>
                    </w:rPr>
                    <w:t>砖（90°非有用线束）</w:t>
                  </w:r>
                </w:p>
              </w:tc>
              <w:tc>
                <w:tcPr>
                  <w:tcW w:w="1294" w:type="pct"/>
                  <w:tcBorders>
                    <w:tl2br w:val="nil"/>
                    <w:tr2bl w:val="nil"/>
                  </w:tcBorders>
                  <w:vAlign w:val="center"/>
                </w:tcPr>
                <w:p w14:paraId="2C9476A0">
                  <w:pPr>
                    <w:jc w:val="center"/>
                    <w:rPr>
                      <w:rFonts w:hint="eastAsia" w:ascii="Times New Roman" w:hAnsi="Times New Roman" w:eastAsia="宋体"/>
                      <w:lang w:val="en-US" w:eastAsia="zh-CN"/>
                    </w:rPr>
                  </w:pPr>
                  <w:r>
                    <w:rPr>
                      <w:rFonts w:hint="eastAsia" w:ascii="Times New Roman" w:hAnsi="Times New Roman"/>
                      <w:lang w:val="en-US" w:eastAsia="zh-CN"/>
                    </w:rPr>
                    <w:t>/</w:t>
                  </w:r>
                </w:p>
              </w:tc>
              <w:tc>
                <w:tcPr>
                  <w:tcW w:w="1294" w:type="pct"/>
                  <w:tcBorders>
                    <w:tl2br w:val="nil"/>
                    <w:tr2bl w:val="nil"/>
                  </w:tcBorders>
                  <w:vAlign w:val="center"/>
                </w:tcPr>
                <w:p w14:paraId="659EFDE3">
                  <w:pPr>
                    <w:jc w:val="center"/>
                    <w:rPr>
                      <w:rFonts w:hint="eastAsia" w:ascii="Times New Roman" w:hAnsi="Times New Roman" w:eastAsia="宋体"/>
                      <w:lang w:val="en-US" w:eastAsia="zh-CN"/>
                    </w:rPr>
                  </w:pPr>
                  <w:r>
                    <w:rPr>
                      <w:rFonts w:hint="eastAsia" w:ascii="Times New Roman" w:hAnsi="Times New Roman"/>
                      <w:lang w:val="en-US" w:eastAsia="zh-CN"/>
                    </w:rPr>
                    <w:t>/</w:t>
                  </w:r>
                </w:p>
              </w:tc>
              <w:tc>
                <w:tcPr>
                  <w:tcW w:w="1136" w:type="pct"/>
                  <w:tcBorders>
                    <w:tl2br w:val="nil"/>
                    <w:tr2bl w:val="nil"/>
                  </w:tcBorders>
                  <w:vAlign w:val="center"/>
                </w:tcPr>
                <w:p w14:paraId="69A96905">
                  <w:pPr>
                    <w:jc w:val="center"/>
                    <w:rPr>
                      <w:rFonts w:hint="eastAsia" w:ascii="Times New Roman" w:hAnsi="Times New Roman" w:eastAsia="宋体"/>
                      <w:lang w:val="en-US" w:eastAsia="zh-CN"/>
                    </w:rPr>
                  </w:pPr>
                  <w:r>
                    <w:rPr>
                      <w:rFonts w:hint="eastAsia" w:ascii="Times New Roman" w:hAnsi="Times New Roman"/>
                      <w:lang w:val="en-US" w:eastAsia="zh-CN"/>
                    </w:rPr>
                    <w:t>/</w:t>
                  </w:r>
                </w:p>
              </w:tc>
            </w:tr>
          </w:tbl>
          <w:p w14:paraId="5273C1E6">
            <w:pPr>
              <w:pStyle w:val="11"/>
              <w:bidi w:val="0"/>
            </w:pPr>
            <w:r>
              <w:t>本项目机房墙体防护铅当量均采用</w:t>
            </w:r>
            <w:r>
              <w:rPr>
                <w:rFonts w:hint="eastAsia"/>
              </w:rPr>
              <w:t>125</w:t>
            </w:r>
            <w:r>
              <w:t>kV，本项目</w:t>
            </w:r>
            <w:r>
              <w:rPr>
                <w:rFonts w:hint="eastAsia"/>
              </w:rPr>
              <w:t>DSA机房</w:t>
            </w:r>
            <w:r>
              <w:t>实体屏蔽与标准进行对照，折算结果见表10-</w:t>
            </w:r>
            <w:r>
              <w:rPr>
                <w:rFonts w:hint="eastAsia"/>
              </w:rPr>
              <w:t>3</w:t>
            </w:r>
            <w:r>
              <w:t>。</w:t>
            </w:r>
          </w:p>
          <w:p w14:paraId="034AAA2A">
            <w:pPr>
              <w:keepNext/>
              <w:numPr>
                <w:ilvl w:val="0"/>
                <w:numId w:val="12"/>
              </w:numPr>
              <w:spacing w:line="360" w:lineRule="auto"/>
              <w:ind w:left="425" w:hanging="425"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DSA机房的实体防护设施铅当量折合对照表</w:t>
            </w:r>
          </w:p>
          <w:tbl>
            <w:tblPr>
              <w:tblStyle w:val="23"/>
              <w:tblW w:w="885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489"/>
              <w:gridCol w:w="3330"/>
              <w:gridCol w:w="2445"/>
              <w:gridCol w:w="1591"/>
            </w:tblGrid>
            <w:tr w14:paraId="5C2896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89" w:type="dxa"/>
                  <w:tcBorders>
                    <w:bottom w:val="single" w:color="auto" w:sz="6" w:space="0"/>
                    <w:right w:val="single" w:color="auto" w:sz="6" w:space="0"/>
                  </w:tcBorders>
                  <w:vAlign w:val="center"/>
                </w:tcPr>
                <w:p w14:paraId="67EB4982">
                  <w:pPr>
                    <w:jc w:val="center"/>
                    <w:rPr>
                      <w:rFonts w:ascii="Times New Roman" w:hAnsi="Times New Roman"/>
                      <w:b/>
                      <w:bCs/>
                      <w:szCs w:val="21"/>
                    </w:rPr>
                  </w:pPr>
                  <w:r>
                    <w:rPr>
                      <w:rFonts w:ascii="Times New Roman" w:hAnsi="Times New Roman"/>
                      <w:b/>
                      <w:bCs/>
                      <w:szCs w:val="21"/>
                    </w:rPr>
                    <w:t>位置</w:t>
                  </w:r>
                </w:p>
              </w:tc>
              <w:tc>
                <w:tcPr>
                  <w:tcW w:w="3330" w:type="dxa"/>
                  <w:tcBorders>
                    <w:left w:val="single" w:color="auto" w:sz="6" w:space="0"/>
                    <w:bottom w:val="single" w:color="auto" w:sz="6" w:space="0"/>
                    <w:right w:val="single" w:color="auto" w:sz="6" w:space="0"/>
                  </w:tcBorders>
                  <w:vAlign w:val="center"/>
                </w:tcPr>
                <w:p w14:paraId="27FCA82F">
                  <w:pPr>
                    <w:jc w:val="center"/>
                    <w:rPr>
                      <w:rFonts w:ascii="Times New Roman" w:hAnsi="Times New Roman"/>
                      <w:b/>
                      <w:bCs/>
                      <w:szCs w:val="21"/>
                    </w:rPr>
                  </w:pPr>
                  <w:r>
                    <w:rPr>
                      <w:rFonts w:ascii="Times New Roman" w:hAnsi="Times New Roman"/>
                      <w:b/>
                      <w:bCs/>
                      <w:szCs w:val="21"/>
                    </w:rPr>
                    <w:t>实体结构</w:t>
                  </w:r>
                </w:p>
              </w:tc>
              <w:tc>
                <w:tcPr>
                  <w:tcW w:w="2445" w:type="dxa"/>
                  <w:tcBorders>
                    <w:left w:val="single" w:color="auto" w:sz="6" w:space="0"/>
                    <w:bottom w:val="single" w:color="auto" w:sz="6" w:space="0"/>
                    <w:right w:val="single" w:color="auto" w:sz="6" w:space="0"/>
                  </w:tcBorders>
                  <w:vAlign w:val="center"/>
                </w:tcPr>
                <w:p w14:paraId="23B9DE7A">
                  <w:pPr>
                    <w:jc w:val="center"/>
                    <w:rPr>
                      <w:rFonts w:ascii="Times New Roman" w:hAnsi="Times New Roman"/>
                      <w:b/>
                      <w:bCs/>
                      <w:szCs w:val="21"/>
                    </w:rPr>
                  </w:pPr>
                  <w:r>
                    <w:rPr>
                      <w:rFonts w:ascii="Times New Roman" w:hAnsi="Times New Roman"/>
                      <w:b/>
                      <w:bCs/>
                      <w:szCs w:val="21"/>
                    </w:rPr>
                    <w:t>折合铅当量</w:t>
                  </w:r>
                </w:p>
              </w:tc>
              <w:tc>
                <w:tcPr>
                  <w:tcW w:w="1591" w:type="dxa"/>
                  <w:tcBorders>
                    <w:left w:val="single" w:color="auto" w:sz="6" w:space="0"/>
                    <w:bottom w:val="single" w:color="auto" w:sz="6" w:space="0"/>
                  </w:tcBorders>
                  <w:vAlign w:val="center"/>
                </w:tcPr>
                <w:p w14:paraId="17C31AAD">
                  <w:pPr>
                    <w:jc w:val="center"/>
                    <w:rPr>
                      <w:rFonts w:ascii="Times New Roman" w:hAnsi="Times New Roman"/>
                      <w:b/>
                      <w:bCs/>
                      <w:szCs w:val="21"/>
                    </w:rPr>
                  </w:pPr>
                  <w:r>
                    <w:rPr>
                      <w:rFonts w:ascii="Times New Roman" w:hAnsi="Times New Roman"/>
                      <w:b/>
                      <w:bCs/>
                      <w:szCs w:val="21"/>
                    </w:rPr>
                    <w:t>约合铅当量</w:t>
                  </w:r>
                </w:p>
              </w:tc>
            </w:tr>
            <w:tr w14:paraId="011082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89" w:type="dxa"/>
                  <w:tcBorders>
                    <w:top w:val="single" w:color="auto" w:sz="6" w:space="0"/>
                    <w:bottom w:val="single" w:color="auto" w:sz="6" w:space="0"/>
                    <w:right w:val="single" w:color="auto" w:sz="6" w:space="0"/>
                  </w:tcBorders>
                  <w:vAlign w:val="center"/>
                </w:tcPr>
                <w:p w14:paraId="7D133FC1">
                  <w:pPr>
                    <w:jc w:val="center"/>
                    <w:rPr>
                      <w:rFonts w:ascii="Times New Roman" w:hAnsi="Times New Roman"/>
                      <w:szCs w:val="21"/>
                    </w:rPr>
                  </w:pPr>
                  <w:r>
                    <w:rPr>
                      <w:rFonts w:ascii="Times New Roman" w:hAnsi="Times New Roman"/>
                      <w:szCs w:val="21"/>
                    </w:rPr>
                    <w:t>四周墙体</w:t>
                  </w:r>
                </w:p>
              </w:tc>
              <w:tc>
                <w:tcPr>
                  <w:tcW w:w="3330" w:type="dxa"/>
                  <w:tcBorders>
                    <w:top w:val="single" w:color="auto" w:sz="6" w:space="0"/>
                    <w:left w:val="single" w:color="auto" w:sz="6" w:space="0"/>
                    <w:bottom w:val="single" w:color="auto" w:sz="6" w:space="0"/>
                    <w:right w:val="single" w:color="auto" w:sz="6" w:space="0"/>
                  </w:tcBorders>
                  <w:vAlign w:val="center"/>
                </w:tcPr>
                <w:p w14:paraId="76472C89">
                  <w:pPr>
                    <w:jc w:val="center"/>
                    <w:rPr>
                      <w:rFonts w:ascii="Times New Roman" w:hAnsi="Times New Roman"/>
                      <w:szCs w:val="21"/>
                    </w:rPr>
                  </w:pPr>
                  <w:r>
                    <w:rPr>
                      <w:rFonts w:ascii="Times New Roman" w:hAnsi="Times New Roman"/>
                      <w:szCs w:val="21"/>
                    </w:rPr>
                    <w:t>370mm</w:t>
                  </w:r>
                  <w:r>
                    <w:rPr>
                      <w:rFonts w:hint="eastAsia" w:ascii="Times New Roman" w:hAnsi="Times New Roman"/>
                      <w:szCs w:val="21"/>
                      <w:lang w:eastAsia="zh-CN"/>
                    </w:rPr>
                    <w:t>红色实心砖墙</w:t>
                  </w:r>
                  <w:r>
                    <w:rPr>
                      <w:rFonts w:ascii="Times New Roman" w:hAnsi="Times New Roman"/>
                      <w:szCs w:val="21"/>
                    </w:rPr>
                    <w:t>+10mm硫酸钡水泥砂浆</w:t>
                  </w:r>
                </w:p>
              </w:tc>
              <w:tc>
                <w:tcPr>
                  <w:tcW w:w="2445" w:type="dxa"/>
                  <w:tcBorders>
                    <w:top w:val="single" w:color="auto" w:sz="6" w:space="0"/>
                    <w:left w:val="single" w:color="auto" w:sz="6" w:space="0"/>
                    <w:bottom w:val="single" w:color="auto" w:sz="6" w:space="0"/>
                    <w:right w:val="single" w:color="auto" w:sz="6" w:space="0"/>
                  </w:tcBorders>
                  <w:vAlign w:val="center"/>
                </w:tcPr>
                <w:p w14:paraId="7B2394C4">
                  <w:pPr>
                    <w:jc w:val="center"/>
                    <w:rPr>
                      <w:rFonts w:ascii="Times New Roman" w:hAnsi="Times New Roman"/>
                      <w:szCs w:val="21"/>
                    </w:rPr>
                  </w:pPr>
                  <w:r>
                    <w:rPr>
                      <w:rFonts w:hint="eastAsia" w:ascii="Times New Roman" w:hAnsi="Times New Roman"/>
                      <w:szCs w:val="21"/>
                      <w:lang w:val="en-US" w:eastAsia="zh-CN"/>
                    </w:rPr>
                    <w:t>4.</w:t>
                  </w:r>
                  <w:r>
                    <w:rPr>
                      <w:rFonts w:hint="default" w:ascii="Times New Roman" w:hAnsi="Times New Roman"/>
                      <w:szCs w:val="21"/>
                      <w:lang w:val="en-US" w:eastAsia="zh-CN"/>
                    </w:rPr>
                    <w:t>1</w:t>
                  </w:r>
                  <w:r>
                    <w:rPr>
                      <w:rFonts w:hint="eastAsia" w:ascii="Times New Roman" w:hAnsi="Times New Roman"/>
                      <w:szCs w:val="21"/>
                      <w:lang w:val="en-US" w:eastAsia="zh-CN"/>
                    </w:rPr>
                    <w:t>4</w:t>
                  </w:r>
                  <w:r>
                    <w:rPr>
                      <w:rFonts w:ascii="Times New Roman" w:hAnsi="Times New Roman"/>
                      <w:szCs w:val="21"/>
                    </w:rPr>
                    <w:t>mm铅当量</w:t>
                  </w:r>
                </w:p>
              </w:tc>
              <w:tc>
                <w:tcPr>
                  <w:tcW w:w="1591" w:type="dxa"/>
                  <w:tcBorders>
                    <w:top w:val="single" w:color="auto" w:sz="6" w:space="0"/>
                    <w:left w:val="single" w:color="auto" w:sz="6" w:space="0"/>
                    <w:bottom w:val="single" w:color="auto" w:sz="6" w:space="0"/>
                  </w:tcBorders>
                  <w:vAlign w:val="center"/>
                </w:tcPr>
                <w:p w14:paraId="5D2F5E25">
                  <w:pPr>
                    <w:jc w:val="center"/>
                    <w:rPr>
                      <w:rFonts w:ascii="Times New Roman" w:hAnsi="Times New Roman"/>
                      <w:szCs w:val="21"/>
                    </w:rPr>
                  </w:pPr>
                  <w:r>
                    <w:rPr>
                      <w:rFonts w:hint="eastAsia" w:ascii="Times New Roman" w:hAnsi="Times New Roman"/>
                      <w:szCs w:val="21"/>
                      <w:lang w:val="en-US" w:eastAsia="zh-CN"/>
                    </w:rPr>
                    <w:t>4.</w:t>
                  </w:r>
                  <w:r>
                    <w:rPr>
                      <w:rFonts w:hint="default" w:ascii="Times New Roman" w:hAnsi="Times New Roman"/>
                      <w:szCs w:val="21"/>
                      <w:lang w:val="en-US" w:eastAsia="zh-CN"/>
                    </w:rPr>
                    <w:t>1</w:t>
                  </w:r>
                  <w:r>
                    <w:rPr>
                      <w:rFonts w:hint="eastAsia" w:ascii="Times New Roman" w:hAnsi="Times New Roman"/>
                      <w:szCs w:val="21"/>
                      <w:lang w:val="en-US" w:eastAsia="zh-CN"/>
                    </w:rPr>
                    <w:t>4</w:t>
                  </w:r>
                  <w:r>
                    <w:rPr>
                      <w:rFonts w:ascii="Times New Roman" w:hAnsi="Times New Roman"/>
                      <w:szCs w:val="21"/>
                    </w:rPr>
                    <w:t>mm铅当量</w:t>
                  </w:r>
                </w:p>
              </w:tc>
            </w:tr>
            <w:tr w14:paraId="0C7056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89" w:type="dxa"/>
                  <w:tcBorders>
                    <w:top w:val="single" w:color="auto" w:sz="6" w:space="0"/>
                    <w:bottom w:val="single" w:color="auto" w:sz="6" w:space="0"/>
                    <w:right w:val="single" w:color="auto" w:sz="6" w:space="0"/>
                  </w:tcBorders>
                  <w:vAlign w:val="center"/>
                </w:tcPr>
                <w:p w14:paraId="3EDDC7C1">
                  <w:pPr>
                    <w:jc w:val="center"/>
                    <w:rPr>
                      <w:rFonts w:ascii="Times New Roman" w:hAnsi="Times New Roman"/>
                      <w:szCs w:val="21"/>
                    </w:rPr>
                  </w:pPr>
                  <w:r>
                    <w:rPr>
                      <w:rFonts w:ascii="Times New Roman" w:hAnsi="Times New Roman"/>
                      <w:szCs w:val="21"/>
                    </w:rPr>
                    <w:t>楼板</w:t>
                  </w:r>
                </w:p>
              </w:tc>
              <w:tc>
                <w:tcPr>
                  <w:tcW w:w="3330" w:type="dxa"/>
                  <w:tcBorders>
                    <w:top w:val="single" w:color="auto" w:sz="6" w:space="0"/>
                    <w:left w:val="single" w:color="auto" w:sz="6" w:space="0"/>
                    <w:bottom w:val="single" w:color="auto" w:sz="6" w:space="0"/>
                    <w:right w:val="single" w:color="auto" w:sz="6" w:space="0"/>
                  </w:tcBorders>
                  <w:vAlign w:val="center"/>
                </w:tcPr>
                <w:p w14:paraId="5E15D7BF">
                  <w:pPr>
                    <w:jc w:val="center"/>
                    <w:rPr>
                      <w:rFonts w:hint="default" w:ascii="Times New Roman" w:hAnsi="Times New Roman"/>
                      <w:szCs w:val="21"/>
                      <w:lang w:val="en-US"/>
                    </w:rPr>
                  </w:pPr>
                  <w:r>
                    <w:rPr>
                      <w:rFonts w:hint="eastAsia" w:ascii="Times New Roman" w:hAnsi="Times New Roman"/>
                      <w:szCs w:val="21"/>
                      <w:lang w:val="en-US" w:eastAsia="zh-CN"/>
                    </w:rPr>
                    <w:t>260</w:t>
                  </w:r>
                  <w:r>
                    <w:rPr>
                      <w:rFonts w:ascii="Times New Roman" w:hAnsi="Times New Roman"/>
                      <w:szCs w:val="21"/>
                    </w:rPr>
                    <w:t>mm现浇混凝土+</w:t>
                  </w:r>
                  <w:r>
                    <w:rPr>
                      <w:rFonts w:hint="eastAsia" w:ascii="Times New Roman" w:hAnsi="Times New Roman"/>
                      <w:szCs w:val="21"/>
                      <w:lang w:val="en-US" w:eastAsia="zh-CN"/>
                    </w:rPr>
                    <w:t>3mm铅板</w:t>
                  </w:r>
                </w:p>
              </w:tc>
              <w:tc>
                <w:tcPr>
                  <w:tcW w:w="2445" w:type="dxa"/>
                  <w:tcBorders>
                    <w:top w:val="single" w:color="auto" w:sz="6" w:space="0"/>
                    <w:left w:val="single" w:color="auto" w:sz="6" w:space="0"/>
                    <w:bottom w:val="single" w:color="auto" w:sz="6" w:space="0"/>
                    <w:right w:val="single" w:color="auto" w:sz="6" w:space="0"/>
                  </w:tcBorders>
                  <w:vAlign w:val="center"/>
                </w:tcPr>
                <w:p w14:paraId="7DF01E5E">
                  <w:pPr>
                    <w:jc w:val="center"/>
                    <w:rPr>
                      <w:rFonts w:ascii="Times New Roman" w:hAnsi="Times New Roman"/>
                      <w:szCs w:val="21"/>
                    </w:rPr>
                  </w:pPr>
                  <w:r>
                    <w:rPr>
                      <w:rFonts w:hint="eastAsia" w:ascii="Times New Roman" w:hAnsi="Times New Roman"/>
                      <w:szCs w:val="21"/>
                      <w:lang w:val="en-US" w:eastAsia="zh-CN"/>
                    </w:rPr>
                    <w:t>6.56</w:t>
                  </w:r>
                  <w:r>
                    <w:rPr>
                      <w:rFonts w:ascii="Times New Roman" w:hAnsi="Times New Roman"/>
                      <w:szCs w:val="21"/>
                    </w:rPr>
                    <w:t>mm铅当量</w:t>
                  </w:r>
                </w:p>
              </w:tc>
              <w:tc>
                <w:tcPr>
                  <w:tcW w:w="1591" w:type="dxa"/>
                  <w:tcBorders>
                    <w:top w:val="single" w:color="auto" w:sz="6" w:space="0"/>
                    <w:left w:val="single" w:color="auto" w:sz="6" w:space="0"/>
                    <w:bottom w:val="single" w:color="auto" w:sz="6" w:space="0"/>
                  </w:tcBorders>
                  <w:vAlign w:val="center"/>
                </w:tcPr>
                <w:p w14:paraId="28A8FD77">
                  <w:pPr>
                    <w:jc w:val="center"/>
                    <w:rPr>
                      <w:rFonts w:ascii="Times New Roman" w:hAnsi="Times New Roman"/>
                      <w:szCs w:val="21"/>
                    </w:rPr>
                  </w:pPr>
                  <w:r>
                    <w:rPr>
                      <w:rFonts w:hint="eastAsia" w:ascii="Times New Roman" w:hAnsi="Times New Roman"/>
                      <w:szCs w:val="21"/>
                      <w:lang w:val="en-US" w:eastAsia="zh-CN"/>
                    </w:rPr>
                    <w:t>6.56</w:t>
                  </w:r>
                  <w:r>
                    <w:rPr>
                      <w:rFonts w:ascii="Times New Roman" w:hAnsi="Times New Roman"/>
                      <w:szCs w:val="21"/>
                    </w:rPr>
                    <w:t>mm铅当量</w:t>
                  </w:r>
                </w:p>
              </w:tc>
            </w:tr>
            <w:tr w14:paraId="03819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89" w:type="dxa"/>
                  <w:tcBorders>
                    <w:top w:val="single" w:color="auto" w:sz="6" w:space="0"/>
                    <w:bottom w:val="single" w:color="auto" w:sz="6" w:space="0"/>
                    <w:right w:val="single" w:color="auto" w:sz="6" w:space="0"/>
                  </w:tcBorders>
                  <w:vAlign w:val="center"/>
                </w:tcPr>
                <w:p w14:paraId="6DCD3595">
                  <w:pPr>
                    <w:jc w:val="center"/>
                    <w:rPr>
                      <w:rFonts w:ascii="Times New Roman" w:hAnsi="Times New Roman"/>
                      <w:szCs w:val="21"/>
                    </w:rPr>
                  </w:pPr>
                  <w:r>
                    <w:rPr>
                      <w:rFonts w:ascii="Times New Roman" w:hAnsi="Times New Roman"/>
                      <w:szCs w:val="21"/>
                    </w:rPr>
                    <w:t>地面</w:t>
                  </w:r>
                </w:p>
              </w:tc>
              <w:tc>
                <w:tcPr>
                  <w:tcW w:w="3330" w:type="dxa"/>
                  <w:tcBorders>
                    <w:top w:val="single" w:color="auto" w:sz="6" w:space="0"/>
                    <w:left w:val="single" w:color="auto" w:sz="6" w:space="0"/>
                    <w:bottom w:val="single" w:color="auto" w:sz="6" w:space="0"/>
                    <w:right w:val="single" w:color="auto" w:sz="6" w:space="0"/>
                  </w:tcBorders>
                  <w:vAlign w:val="center"/>
                </w:tcPr>
                <w:p w14:paraId="19F41BC2">
                  <w:pPr>
                    <w:jc w:val="center"/>
                    <w:rPr>
                      <w:rFonts w:ascii="Times New Roman" w:hAnsi="Times New Roman"/>
                      <w:szCs w:val="21"/>
                    </w:rPr>
                  </w:pPr>
                  <w:r>
                    <w:rPr>
                      <w:rFonts w:hint="eastAsia" w:ascii="Times New Roman" w:hAnsi="Times New Roman"/>
                      <w:szCs w:val="21"/>
                      <w:lang w:val="en-US" w:eastAsia="zh-CN"/>
                    </w:rPr>
                    <w:t>26</w:t>
                  </w:r>
                  <w:r>
                    <w:rPr>
                      <w:rFonts w:hint="eastAsia" w:ascii="Times New Roman" w:hAnsi="Times New Roman"/>
                      <w:szCs w:val="21"/>
                    </w:rPr>
                    <w:t>0</w:t>
                  </w:r>
                  <w:r>
                    <w:rPr>
                      <w:rFonts w:ascii="Times New Roman" w:hAnsi="Times New Roman"/>
                      <w:szCs w:val="21"/>
                    </w:rPr>
                    <w:t>mm现浇混凝土+</w:t>
                  </w:r>
                  <w:r>
                    <w:rPr>
                      <w:rFonts w:hint="eastAsia" w:ascii="Times New Roman" w:hAnsi="Times New Roman"/>
                      <w:szCs w:val="21"/>
                      <w:lang w:val="en-US" w:eastAsia="zh-CN"/>
                    </w:rPr>
                    <w:t>1</w:t>
                  </w:r>
                  <w:r>
                    <w:rPr>
                      <w:rFonts w:ascii="Times New Roman" w:hAnsi="Times New Roman"/>
                      <w:szCs w:val="21"/>
                    </w:rPr>
                    <w:t>0mm硫酸钡水泥砂浆</w:t>
                  </w:r>
                </w:p>
              </w:tc>
              <w:tc>
                <w:tcPr>
                  <w:tcW w:w="2445" w:type="dxa"/>
                  <w:tcBorders>
                    <w:top w:val="single" w:color="auto" w:sz="6" w:space="0"/>
                    <w:left w:val="single" w:color="auto" w:sz="6" w:space="0"/>
                    <w:bottom w:val="single" w:color="auto" w:sz="6" w:space="0"/>
                    <w:right w:val="single" w:color="auto" w:sz="6" w:space="0"/>
                  </w:tcBorders>
                  <w:vAlign w:val="center"/>
                </w:tcPr>
                <w:p w14:paraId="5101CF74">
                  <w:pPr>
                    <w:jc w:val="center"/>
                    <w:rPr>
                      <w:rFonts w:ascii="Times New Roman" w:hAnsi="Times New Roman"/>
                      <w:szCs w:val="21"/>
                    </w:rPr>
                  </w:pPr>
                  <w:r>
                    <w:rPr>
                      <w:rFonts w:hint="eastAsia" w:ascii="Times New Roman" w:hAnsi="Times New Roman"/>
                      <w:szCs w:val="21"/>
                      <w:lang w:val="en-US" w:eastAsia="zh-CN"/>
                    </w:rPr>
                    <w:t>4.53</w:t>
                  </w:r>
                  <w:r>
                    <w:rPr>
                      <w:rFonts w:ascii="Times New Roman" w:hAnsi="Times New Roman"/>
                      <w:szCs w:val="21"/>
                    </w:rPr>
                    <w:t>mm铅当量</w:t>
                  </w:r>
                </w:p>
              </w:tc>
              <w:tc>
                <w:tcPr>
                  <w:tcW w:w="1591" w:type="dxa"/>
                  <w:tcBorders>
                    <w:top w:val="single" w:color="auto" w:sz="6" w:space="0"/>
                    <w:left w:val="single" w:color="auto" w:sz="6" w:space="0"/>
                    <w:bottom w:val="single" w:color="auto" w:sz="6" w:space="0"/>
                  </w:tcBorders>
                  <w:vAlign w:val="center"/>
                </w:tcPr>
                <w:p w14:paraId="0D2C4CCC">
                  <w:pPr>
                    <w:jc w:val="center"/>
                    <w:rPr>
                      <w:rFonts w:ascii="Times New Roman" w:hAnsi="Times New Roman"/>
                      <w:szCs w:val="21"/>
                    </w:rPr>
                  </w:pPr>
                  <w:r>
                    <w:rPr>
                      <w:rFonts w:hint="eastAsia" w:ascii="Times New Roman" w:hAnsi="Times New Roman"/>
                      <w:szCs w:val="21"/>
                      <w:lang w:val="en-US" w:eastAsia="zh-CN"/>
                    </w:rPr>
                    <w:t>4.53</w:t>
                  </w:r>
                  <w:r>
                    <w:rPr>
                      <w:rFonts w:ascii="Times New Roman" w:hAnsi="Times New Roman"/>
                      <w:szCs w:val="21"/>
                    </w:rPr>
                    <w:t>mm铅当量</w:t>
                  </w:r>
                </w:p>
              </w:tc>
            </w:tr>
            <w:tr w14:paraId="7BEA9F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89" w:type="dxa"/>
                  <w:tcBorders>
                    <w:top w:val="single" w:color="auto" w:sz="6" w:space="0"/>
                    <w:bottom w:val="single" w:color="auto" w:sz="6" w:space="0"/>
                    <w:right w:val="single" w:color="auto" w:sz="6" w:space="0"/>
                  </w:tcBorders>
                  <w:vAlign w:val="center"/>
                </w:tcPr>
                <w:p w14:paraId="76106116">
                  <w:pPr>
                    <w:jc w:val="center"/>
                    <w:rPr>
                      <w:rFonts w:ascii="Times New Roman" w:hAnsi="Times New Roman"/>
                      <w:szCs w:val="21"/>
                    </w:rPr>
                  </w:pPr>
                  <w:r>
                    <w:rPr>
                      <w:rFonts w:ascii="Times New Roman" w:hAnsi="Times New Roman"/>
                      <w:szCs w:val="21"/>
                    </w:rPr>
                    <w:t>屏蔽门</w:t>
                  </w:r>
                </w:p>
              </w:tc>
              <w:tc>
                <w:tcPr>
                  <w:tcW w:w="3330" w:type="dxa"/>
                  <w:tcBorders>
                    <w:top w:val="single" w:color="auto" w:sz="6" w:space="0"/>
                    <w:left w:val="single" w:color="auto" w:sz="6" w:space="0"/>
                    <w:bottom w:val="single" w:color="auto" w:sz="6" w:space="0"/>
                    <w:right w:val="single" w:color="auto" w:sz="6" w:space="0"/>
                  </w:tcBorders>
                  <w:vAlign w:val="center"/>
                </w:tcPr>
                <w:p w14:paraId="486C4409">
                  <w:pPr>
                    <w:jc w:val="center"/>
                    <w:rPr>
                      <w:rFonts w:ascii="Times New Roman" w:hAnsi="Times New Roman"/>
                      <w:szCs w:val="21"/>
                    </w:rPr>
                  </w:pPr>
                  <w:r>
                    <w:rPr>
                      <w:rFonts w:ascii="Times New Roman" w:hAnsi="Times New Roman"/>
                      <w:szCs w:val="21"/>
                    </w:rPr>
                    <w:t>3mm铅门</w:t>
                  </w:r>
                </w:p>
              </w:tc>
              <w:tc>
                <w:tcPr>
                  <w:tcW w:w="2445" w:type="dxa"/>
                  <w:tcBorders>
                    <w:top w:val="single" w:color="auto" w:sz="6" w:space="0"/>
                    <w:left w:val="single" w:color="auto" w:sz="6" w:space="0"/>
                    <w:bottom w:val="single" w:color="auto" w:sz="6" w:space="0"/>
                    <w:right w:val="single" w:color="auto" w:sz="6" w:space="0"/>
                  </w:tcBorders>
                  <w:vAlign w:val="center"/>
                </w:tcPr>
                <w:p w14:paraId="0F55C344">
                  <w:pPr>
                    <w:jc w:val="center"/>
                    <w:rPr>
                      <w:rFonts w:ascii="Times New Roman" w:hAnsi="Times New Roman"/>
                      <w:szCs w:val="21"/>
                    </w:rPr>
                  </w:pPr>
                  <w:r>
                    <w:rPr>
                      <w:rFonts w:ascii="Times New Roman" w:hAnsi="Times New Roman"/>
                      <w:szCs w:val="21"/>
                    </w:rPr>
                    <w:t>3mm铅当量</w:t>
                  </w:r>
                </w:p>
              </w:tc>
              <w:tc>
                <w:tcPr>
                  <w:tcW w:w="1591" w:type="dxa"/>
                  <w:tcBorders>
                    <w:top w:val="single" w:color="auto" w:sz="6" w:space="0"/>
                    <w:left w:val="single" w:color="auto" w:sz="6" w:space="0"/>
                    <w:bottom w:val="single" w:color="auto" w:sz="6" w:space="0"/>
                  </w:tcBorders>
                  <w:vAlign w:val="center"/>
                </w:tcPr>
                <w:p w14:paraId="30252277">
                  <w:pPr>
                    <w:jc w:val="center"/>
                    <w:rPr>
                      <w:rFonts w:ascii="Times New Roman" w:hAnsi="Times New Roman"/>
                      <w:szCs w:val="21"/>
                    </w:rPr>
                  </w:pPr>
                  <w:r>
                    <w:rPr>
                      <w:rFonts w:ascii="Times New Roman" w:hAnsi="Times New Roman"/>
                      <w:szCs w:val="21"/>
                    </w:rPr>
                    <w:t>3mmPb</w:t>
                  </w:r>
                </w:p>
              </w:tc>
            </w:tr>
            <w:tr w14:paraId="37C789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89" w:type="dxa"/>
                  <w:tcBorders>
                    <w:top w:val="single" w:color="auto" w:sz="6" w:space="0"/>
                    <w:bottom w:val="single" w:color="auto" w:sz="12" w:space="0"/>
                    <w:right w:val="single" w:color="auto" w:sz="6" w:space="0"/>
                  </w:tcBorders>
                  <w:vAlign w:val="center"/>
                </w:tcPr>
                <w:p w14:paraId="26B91819">
                  <w:pPr>
                    <w:jc w:val="center"/>
                    <w:rPr>
                      <w:rFonts w:ascii="Times New Roman" w:hAnsi="Times New Roman"/>
                      <w:szCs w:val="21"/>
                    </w:rPr>
                  </w:pPr>
                  <w:r>
                    <w:rPr>
                      <w:rFonts w:ascii="Times New Roman" w:hAnsi="Times New Roman"/>
                      <w:szCs w:val="21"/>
                    </w:rPr>
                    <w:t>观察窗</w:t>
                  </w:r>
                </w:p>
              </w:tc>
              <w:tc>
                <w:tcPr>
                  <w:tcW w:w="3330" w:type="dxa"/>
                  <w:tcBorders>
                    <w:top w:val="single" w:color="auto" w:sz="6" w:space="0"/>
                    <w:left w:val="single" w:color="auto" w:sz="6" w:space="0"/>
                    <w:bottom w:val="single" w:color="auto" w:sz="12" w:space="0"/>
                    <w:right w:val="single" w:color="auto" w:sz="6" w:space="0"/>
                  </w:tcBorders>
                  <w:vAlign w:val="center"/>
                </w:tcPr>
                <w:p w14:paraId="4CCACAA8">
                  <w:pPr>
                    <w:jc w:val="center"/>
                    <w:rPr>
                      <w:rFonts w:ascii="Times New Roman" w:hAnsi="Times New Roman"/>
                      <w:szCs w:val="21"/>
                    </w:rPr>
                  </w:pPr>
                  <w:r>
                    <w:rPr>
                      <w:rFonts w:ascii="Times New Roman" w:hAnsi="Times New Roman"/>
                      <w:szCs w:val="21"/>
                    </w:rPr>
                    <w:t>3mmPb铅玻璃</w:t>
                  </w:r>
                </w:p>
              </w:tc>
              <w:tc>
                <w:tcPr>
                  <w:tcW w:w="2445" w:type="dxa"/>
                  <w:tcBorders>
                    <w:top w:val="single" w:color="auto" w:sz="6" w:space="0"/>
                    <w:left w:val="single" w:color="auto" w:sz="6" w:space="0"/>
                    <w:bottom w:val="single" w:color="auto" w:sz="12" w:space="0"/>
                    <w:right w:val="single" w:color="auto" w:sz="6" w:space="0"/>
                  </w:tcBorders>
                  <w:vAlign w:val="center"/>
                </w:tcPr>
                <w:p w14:paraId="598BF35D">
                  <w:pPr>
                    <w:jc w:val="center"/>
                    <w:rPr>
                      <w:rFonts w:ascii="Times New Roman" w:hAnsi="Times New Roman"/>
                      <w:szCs w:val="21"/>
                    </w:rPr>
                  </w:pPr>
                  <w:r>
                    <w:rPr>
                      <w:rFonts w:ascii="Times New Roman" w:hAnsi="Times New Roman"/>
                      <w:szCs w:val="21"/>
                    </w:rPr>
                    <w:t>3mm铅当量</w:t>
                  </w:r>
                </w:p>
              </w:tc>
              <w:tc>
                <w:tcPr>
                  <w:tcW w:w="1591" w:type="dxa"/>
                  <w:tcBorders>
                    <w:top w:val="single" w:color="auto" w:sz="6" w:space="0"/>
                    <w:left w:val="single" w:color="auto" w:sz="6" w:space="0"/>
                    <w:bottom w:val="single" w:color="auto" w:sz="12" w:space="0"/>
                  </w:tcBorders>
                  <w:vAlign w:val="center"/>
                </w:tcPr>
                <w:p w14:paraId="5A6D947A">
                  <w:pPr>
                    <w:jc w:val="center"/>
                    <w:rPr>
                      <w:rFonts w:ascii="Times New Roman" w:hAnsi="Times New Roman"/>
                      <w:szCs w:val="21"/>
                    </w:rPr>
                  </w:pPr>
                  <w:r>
                    <w:rPr>
                      <w:rFonts w:ascii="Times New Roman" w:hAnsi="Times New Roman"/>
                      <w:szCs w:val="21"/>
                    </w:rPr>
                    <w:t>3mmPb</w:t>
                  </w:r>
                </w:p>
              </w:tc>
            </w:tr>
          </w:tbl>
          <w:p w14:paraId="384A1C3D">
            <w:pPr>
              <w:pStyle w:val="30"/>
              <w:spacing w:line="240" w:lineRule="auto"/>
              <w:ind w:firstLine="422" w:firstLineChars="200"/>
              <w:rPr>
                <w:rFonts w:hint="default" w:eastAsia="宋体"/>
                <w:sz w:val="21"/>
                <w:szCs w:val="21"/>
                <w:vertAlign w:val="baseline"/>
                <w:lang w:val="en-US" w:eastAsia="zh-CN"/>
              </w:rPr>
            </w:pPr>
            <w:r>
              <w:rPr>
                <w:rFonts w:hint="eastAsia" w:ascii="Times New Roman" w:hAnsi="Times New Roman"/>
                <w:b/>
                <w:color w:val="000000" w:themeColor="text1"/>
                <w:sz w:val="21"/>
                <w:szCs w:val="21"/>
                <w14:textFill>
                  <w14:solidFill>
                    <w14:schemeClr w14:val="tx1"/>
                  </w14:solidFill>
                </w14:textFill>
              </w:rPr>
              <w:t>注：注：</w:t>
            </w:r>
            <w:r>
              <w:rPr>
                <w:rFonts w:hint="eastAsia" w:ascii="宋体" w:hAnsi="宋体" w:cs="宋体"/>
                <w:b/>
                <w:color w:val="000000" w:themeColor="text1"/>
                <w:sz w:val="21"/>
                <w:szCs w:val="21"/>
                <w14:textFill>
                  <w14:solidFill>
                    <w14:schemeClr w14:val="tx1"/>
                  </w14:solidFill>
                </w14:textFill>
              </w:rPr>
              <w:t>①</w:t>
            </w:r>
            <w:r>
              <w:rPr>
                <w:rFonts w:hint="eastAsia" w:ascii="Helvetica" w:hAnsi="Helvetica" w:cs="Helvetica"/>
                <w:b/>
                <w:color w:val="000000" w:themeColor="text1"/>
                <w:sz w:val="21"/>
                <w:szCs w:val="21"/>
                <w:shd w:val="clear" w:color="auto" w:fill="FFFFFF"/>
                <w14:textFill>
                  <w14:solidFill>
                    <w14:schemeClr w14:val="tx1"/>
                  </w14:solidFill>
                </w14:textFill>
              </w:rPr>
              <w:t>混凝土密度为</w:t>
            </w:r>
            <w:r>
              <w:rPr>
                <w:rFonts w:ascii="Times New Roman" w:hAnsi="Times New Roman" w:eastAsia="Times New Roman"/>
                <w:b/>
                <w:color w:val="000000" w:themeColor="text1"/>
                <w:spacing w:val="5"/>
                <w:sz w:val="21"/>
                <w:szCs w:val="21"/>
                <w14:textFill>
                  <w14:solidFill>
                    <w14:schemeClr w14:val="tx1"/>
                  </w14:solidFill>
                </w14:textFill>
              </w:rPr>
              <w:t>2.35</w:t>
            </w:r>
            <w:r>
              <w:rPr>
                <w:rFonts w:ascii="Times New Roman" w:hAnsi="Times New Roman" w:eastAsia="Times New Roman"/>
                <w:b/>
                <w:color w:val="000000" w:themeColor="text1"/>
                <w:sz w:val="21"/>
                <w:szCs w:val="21"/>
                <w14:textFill>
                  <w14:solidFill>
                    <w14:schemeClr w14:val="tx1"/>
                  </w14:solidFill>
                </w14:textFill>
              </w:rPr>
              <w:t>g</w:t>
            </w:r>
            <w:r>
              <w:rPr>
                <w:rFonts w:ascii="Times New Roman" w:hAnsi="Times New Roman" w:eastAsia="Times New Roman"/>
                <w:b/>
                <w:color w:val="000000" w:themeColor="text1"/>
                <w:spacing w:val="5"/>
                <w:sz w:val="21"/>
                <w:szCs w:val="21"/>
                <w14:textFill>
                  <w14:solidFill>
                    <w14:schemeClr w14:val="tx1"/>
                  </w14:solidFill>
                </w14:textFill>
              </w:rPr>
              <w:t>/</w:t>
            </w:r>
            <w:r>
              <w:rPr>
                <w:rFonts w:ascii="Times New Roman" w:hAnsi="Times New Roman" w:eastAsia="Times New Roman"/>
                <w:b/>
                <w:color w:val="000000" w:themeColor="text1"/>
                <w:sz w:val="21"/>
                <w:szCs w:val="21"/>
                <w14:textFill>
                  <w14:solidFill>
                    <w14:schemeClr w14:val="tx1"/>
                  </w14:solidFill>
                </w14:textFill>
              </w:rPr>
              <w:t>cm</w:t>
            </w:r>
            <w:r>
              <w:rPr>
                <w:rFonts w:hint="eastAsia" w:ascii="Times New Roman" w:hAnsi="Times New Roman"/>
                <w:b/>
                <w:color w:val="000000" w:themeColor="text1"/>
                <w:sz w:val="21"/>
                <w:szCs w:val="21"/>
                <w:vertAlign w:val="superscript"/>
                <w14:textFill>
                  <w14:solidFill>
                    <w14:schemeClr w14:val="tx1"/>
                  </w14:solidFill>
                </w14:textFill>
              </w:rPr>
              <w:t>3</w:t>
            </w:r>
            <w:r>
              <w:rPr>
                <w:rFonts w:hint="eastAsia" w:ascii="Times New Roman" w:hAnsi="Times New Roman"/>
                <w:b/>
                <w:color w:val="000000" w:themeColor="text1"/>
                <w:sz w:val="21"/>
                <w:szCs w:val="21"/>
                <w14:textFill>
                  <w14:solidFill>
                    <w14:schemeClr w14:val="tx1"/>
                  </w14:solidFill>
                </w14:textFill>
              </w:rPr>
              <w:t>，铅密度为11.3</w:t>
            </w:r>
            <w:r>
              <w:rPr>
                <w:rFonts w:ascii="Times New Roman" w:hAnsi="Times New Roman" w:eastAsia="Times New Roman"/>
                <w:b/>
                <w:color w:val="000000" w:themeColor="text1"/>
                <w:sz w:val="21"/>
                <w:szCs w:val="21"/>
                <w14:textFill>
                  <w14:solidFill>
                    <w14:schemeClr w14:val="tx1"/>
                  </w14:solidFill>
                </w14:textFill>
              </w:rPr>
              <w:t>g</w:t>
            </w:r>
            <w:r>
              <w:rPr>
                <w:rFonts w:ascii="Times New Roman" w:hAnsi="Times New Roman" w:eastAsia="Times New Roman"/>
                <w:b/>
                <w:color w:val="000000" w:themeColor="text1"/>
                <w:spacing w:val="5"/>
                <w:sz w:val="21"/>
                <w:szCs w:val="21"/>
                <w14:textFill>
                  <w14:solidFill>
                    <w14:schemeClr w14:val="tx1"/>
                  </w14:solidFill>
                </w14:textFill>
              </w:rPr>
              <w:t>/</w:t>
            </w:r>
            <w:r>
              <w:rPr>
                <w:rFonts w:ascii="Times New Roman" w:hAnsi="Times New Roman" w:eastAsia="Times New Roman"/>
                <w:b/>
                <w:color w:val="000000" w:themeColor="text1"/>
                <w:sz w:val="21"/>
                <w:szCs w:val="21"/>
                <w14:textFill>
                  <w14:solidFill>
                    <w14:schemeClr w14:val="tx1"/>
                  </w14:solidFill>
                </w14:textFill>
              </w:rPr>
              <w:t>cm</w:t>
            </w:r>
            <w:r>
              <w:rPr>
                <w:rFonts w:hint="eastAsia" w:ascii="Times New Roman" w:hAnsi="Times New Roman"/>
                <w:b/>
                <w:color w:val="000000" w:themeColor="text1"/>
                <w:sz w:val="21"/>
                <w:szCs w:val="21"/>
                <w:vertAlign w:val="superscript"/>
                <w14:textFill>
                  <w14:solidFill>
                    <w14:schemeClr w14:val="tx1"/>
                  </w14:solidFill>
                </w14:textFill>
              </w:rPr>
              <w:t>3</w:t>
            </w:r>
            <w:r>
              <w:rPr>
                <w:rFonts w:hint="eastAsia" w:ascii="Times New Roman" w:hAnsi="Times New Roman"/>
                <w:b/>
                <w:color w:val="000000" w:themeColor="text1"/>
                <w:sz w:val="21"/>
                <w:szCs w:val="21"/>
                <w14:textFill>
                  <w14:solidFill>
                    <w14:schemeClr w14:val="tx1"/>
                  </w14:solidFill>
                </w14:textFill>
              </w:rPr>
              <w:t>，砖密度为1.</w:t>
            </w:r>
            <w:r>
              <w:rPr>
                <w:rFonts w:hint="eastAsia" w:ascii="Times New Roman" w:hAnsi="Times New Roman"/>
                <w:b/>
                <w:color w:val="000000" w:themeColor="text1"/>
                <w:sz w:val="21"/>
                <w:szCs w:val="21"/>
                <w:lang w:val="en-US" w:eastAsia="zh-CN"/>
                <w14:textFill>
                  <w14:solidFill>
                    <w14:schemeClr w14:val="tx1"/>
                  </w14:solidFill>
                </w14:textFill>
              </w:rPr>
              <w:t>65</w:t>
            </w:r>
            <w:r>
              <w:rPr>
                <w:rFonts w:ascii="Times New Roman" w:hAnsi="Times New Roman" w:eastAsia="Times New Roman"/>
                <w:b/>
                <w:color w:val="000000" w:themeColor="text1"/>
                <w:sz w:val="21"/>
                <w:szCs w:val="21"/>
                <w14:textFill>
                  <w14:solidFill>
                    <w14:schemeClr w14:val="tx1"/>
                  </w14:solidFill>
                </w14:textFill>
              </w:rPr>
              <w:t>g</w:t>
            </w:r>
            <w:r>
              <w:rPr>
                <w:rFonts w:ascii="Times New Roman" w:hAnsi="Times New Roman" w:eastAsia="Times New Roman"/>
                <w:b/>
                <w:color w:val="000000" w:themeColor="text1"/>
                <w:spacing w:val="5"/>
                <w:sz w:val="21"/>
                <w:szCs w:val="21"/>
                <w14:textFill>
                  <w14:solidFill>
                    <w14:schemeClr w14:val="tx1"/>
                  </w14:solidFill>
                </w14:textFill>
              </w:rPr>
              <w:t>/</w:t>
            </w:r>
            <w:r>
              <w:rPr>
                <w:rFonts w:ascii="Times New Roman" w:hAnsi="Times New Roman" w:eastAsia="Times New Roman"/>
                <w:b/>
                <w:color w:val="000000" w:themeColor="text1"/>
                <w:sz w:val="21"/>
                <w:szCs w:val="21"/>
                <w14:textFill>
                  <w14:solidFill>
                    <w14:schemeClr w14:val="tx1"/>
                  </w14:solidFill>
                </w14:textFill>
              </w:rPr>
              <w:t>cm</w:t>
            </w:r>
            <w:r>
              <w:rPr>
                <w:rFonts w:hint="eastAsia" w:ascii="Times New Roman" w:hAnsi="Times New Roman"/>
                <w:b/>
                <w:color w:val="000000" w:themeColor="text1"/>
                <w:sz w:val="21"/>
                <w:szCs w:val="21"/>
                <w:vertAlign w:val="superscript"/>
                <w14:textFill>
                  <w14:solidFill>
                    <w14:schemeClr w14:val="tx1"/>
                  </w14:solidFill>
                </w14:textFill>
              </w:rPr>
              <w:t>3</w:t>
            </w:r>
            <w:r>
              <w:rPr>
                <w:rFonts w:hint="eastAsia" w:ascii="Times New Roman" w:hAnsi="Times New Roman"/>
                <w:b/>
                <w:color w:val="000000" w:themeColor="text1"/>
                <w:sz w:val="21"/>
                <w:szCs w:val="21"/>
                <w:vertAlign w:val="baseline"/>
                <w:lang w:val="en-US" w:eastAsia="zh-CN"/>
                <w14:textFill>
                  <w14:solidFill>
                    <w14:schemeClr w14:val="tx1"/>
                  </w14:solidFill>
                </w14:textFill>
              </w:rPr>
              <w:t>。</w:t>
            </w:r>
          </w:p>
          <w:p w14:paraId="219869F8">
            <w:pPr>
              <w:pStyle w:val="11"/>
              <w:bidi w:val="0"/>
              <w:rPr>
                <w:rFonts w:hint="eastAsia" w:eastAsia="宋体"/>
                <w:lang w:val="en-US" w:eastAsia="zh-CN"/>
              </w:rPr>
            </w:pPr>
            <w:r>
              <w:rPr>
                <w:rFonts w:hint="eastAsia"/>
              </w:rPr>
              <w:t>①根据《放射诊断放射防护要求》（GBZ130-2020）附录C医用诊断X射线防护中不同屏蔽物质的铅当量，当管电压（有用线束）为125kV时，拟合得到125kV管电压下（有用线束）混凝土厚度对应铅当量的拟合函数计算</w:t>
            </w:r>
            <w:r>
              <w:rPr>
                <w:rFonts w:hint="eastAsia"/>
                <w:lang w:val="en-US" w:eastAsia="zh-CN"/>
              </w:rPr>
              <w:t>26</w:t>
            </w:r>
            <w:r>
              <w:rPr>
                <w:rFonts w:hint="eastAsia"/>
              </w:rPr>
              <w:t>0mm现浇混凝土楼板约折合为</w:t>
            </w:r>
            <w:r>
              <w:rPr>
                <w:rFonts w:hint="eastAsia"/>
                <w:lang w:val="en-US" w:eastAsia="zh-CN"/>
              </w:rPr>
              <w:t>3.56</w:t>
            </w:r>
            <w:r>
              <w:rPr>
                <w:rFonts w:hint="eastAsia"/>
              </w:rPr>
              <w:t>mm铅当量</w:t>
            </w:r>
            <w:r>
              <w:rPr>
                <w:rFonts w:hint="eastAsia"/>
                <w:lang w:eastAsia="zh-CN"/>
              </w:rPr>
              <w:t>；</w:t>
            </w:r>
            <w:r>
              <w:rPr>
                <w:rFonts w:hint="eastAsia"/>
              </w:rPr>
              <w:t>拟合得到125kV管电压下（</w:t>
            </w:r>
            <w:r>
              <w:rPr>
                <w:rFonts w:hint="eastAsia"/>
                <w:lang w:val="en-US" w:eastAsia="zh-CN"/>
              </w:rPr>
              <w:t>非</w:t>
            </w:r>
            <w:r>
              <w:rPr>
                <w:rFonts w:hint="eastAsia"/>
              </w:rPr>
              <w:t>有用线束）混凝土厚度对应铅当量的拟合函数计算</w:t>
            </w:r>
            <w:r>
              <w:rPr>
                <w:rFonts w:hint="eastAsia"/>
                <w:lang w:val="en-US" w:eastAsia="zh-CN"/>
              </w:rPr>
              <w:t>26</w:t>
            </w:r>
            <w:r>
              <w:rPr>
                <w:rFonts w:hint="eastAsia"/>
              </w:rPr>
              <w:t>0mm现浇混凝土楼板约折合为</w:t>
            </w:r>
            <w:r>
              <w:rPr>
                <w:rFonts w:hint="eastAsia"/>
                <w:lang w:val="en-US" w:eastAsia="zh-CN"/>
              </w:rPr>
              <w:t>3.76</w:t>
            </w:r>
            <w:r>
              <w:rPr>
                <w:rFonts w:hint="eastAsia"/>
              </w:rPr>
              <w:t>mm铅当量。</w:t>
            </w:r>
            <w:r>
              <w:rPr>
                <w:rFonts w:hint="eastAsia" w:ascii="Times New Roman" w:hAnsi="Times New Roman"/>
                <w:sz w:val="24"/>
              </w:rPr>
              <w:t>由于《放射诊断放射防护要求》（GBZ130-2020）附录C无125kV时砖非有用线束方向的等效铅当量的数据，故根据《辐射防护手册》(第三分册，李德平、潘自强主编) P62表3.3不同屏蔽材料在不同管电压的X射线下对应的铅当量数据，得到150kV管电压下砖厚度对应铅当量的拟合函数，采用密度为1.6g/cm</w:t>
            </w:r>
            <w:r>
              <w:rPr>
                <w:rFonts w:hint="eastAsia" w:ascii="Times New Roman" w:hAnsi="Times New Roman"/>
                <w:sz w:val="24"/>
                <w:vertAlign w:val="superscript"/>
              </w:rPr>
              <w:t>3</w:t>
            </w:r>
            <w:r>
              <w:rPr>
                <w:rFonts w:hint="eastAsia" w:ascii="Times New Roman" w:hAnsi="Times New Roman"/>
                <w:sz w:val="24"/>
              </w:rPr>
              <w:t>（无相应密度为1.65g/cm</w:t>
            </w:r>
            <w:r>
              <w:rPr>
                <w:rFonts w:hint="eastAsia" w:ascii="Times New Roman" w:hAnsi="Times New Roman"/>
                <w:sz w:val="24"/>
                <w:vertAlign w:val="superscript"/>
              </w:rPr>
              <w:t>3</w:t>
            </w:r>
            <w:r>
              <w:rPr>
                <w:rFonts w:hint="eastAsia" w:ascii="Times New Roman" w:hAnsi="Times New Roman"/>
                <w:sz w:val="24"/>
              </w:rPr>
              <w:t>实心砖数据，故保守采用黄砖1.6g/cm</w:t>
            </w:r>
            <w:r>
              <w:rPr>
                <w:rFonts w:hint="eastAsia" w:ascii="Times New Roman" w:hAnsi="Times New Roman"/>
                <w:sz w:val="24"/>
                <w:vertAlign w:val="superscript"/>
              </w:rPr>
              <w:t>3</w:t>
            </w:r>
            <w:r>
              <w:rPr>
                <w:rFonts w:hint="eastAsia" w:ascii="Times New Roman" w:hAnsi="Times New Roman"/>
                <w:sz w:val="24"/>
              </w:rPr>
              <w:t>进行计算）计算得到370mm实心砖约折合为3.37mmPb</w:t>
            </w:r>
            <w:r>
              <w:rPr>
                <w:rFonts w:hint="eastAsia"/>
                <w:lang w:eastAsia="zh-CN"/>
              </w:rPr>
              <w:t>。</w:t>
            </w:r>
          </w:p>
          <w:p w14:paraId="665C5DA3">
            <w:pPr>
              <w:pStyle w:val="11"/>
              <w:bidi w:val="0"/>
            </w:pPr>
            <w:r>
              <w:rPr>
                <w:rFonts w:hint="eastAsia"/>
              </w:rPr>
              <w:t>②</w:t>
            </w:r>
            <w:r>
              <w:t>鉴于实际施工时硫酸钡</w:t>
            </w:r>
            <w:r>
              <w:rPr>
                <w:rFonts w:hint="eastAsia"/>
              </w:rPr>
              <w:t>砂浆</w:t>
            </w:r>
            <w:r>
              <w:t>若达到标准钡水泥密度</w:t>
            </w:r>
            <w:r>
              <w:rPr>
                <w:rFonts w:hint="eastAsia"/>
              </w:rPr>
              <w:t>（</w:t>
            </w:r>
            <w:r>
              <w:t>3.2g/cm</w:t>
            </w:r>
            <w:r>
              <w:rPr>
                <w:rFonts w:hint="eastAsia"/>
                <w:vertAlign w:val="superscript"/>
              </w:rPr>
              <w:t>3</w:t>
            </w:r>
            <w:r>
              <w:rPr>
                <w:rFonts w:hint="eastAsia"/>
              </w:rPr>
              <w:t>）</w:t>
            </w:r>
            <w:r>
              <w:t>将容易在时间长久以后产生墙体开裂情况，针对本项目硫酸钡</w:t>
            </w:r>
            <w:r>
              <w:rPr>
                <w:rFonts w:hint="eastAsia"/>
              </w:rPr>
              <w:t>砂浆</w:t>
            </w:r>
            <w:r>
              <w:t>拟按照</w:t>
            </w:r>
            <w:r>
              <w:rPr>
                <w:rFonts w:hint="eastAsia"/>
              </w:rPr>
              <w:t>2.7</w:t>
            </w:r>
            <w:r>
              <w:t>g/cm</w:t>
            </w:r>
            <w:r>
              <w:rPr>
                <w:rFonts w:hint="eastAsia"/>
                <w:vertAlign w:val="superscript"/>
              </w:rPr>
              <w:t>3</w:t>
            </w:r>
            <w:r>
              <w:t>进行折算。根据《辐射防护手册》</w:t>
            </w:r>
            <w:r>
              <w:rPr>
                <w:rFonts w:hint="eastAsia"/>
              </w:rPr>
              <w:t>（</w:t>
            </w:r>
            <w:r>
              <w:t>第三分册，李德平、潘自强主编</w:t>
            </w:r>
            <w:r>
              <w:rPr>
                <w:rFonts w:hint="eastAsia"/>
              </w:rPr>
              <w:t>）</w:t>
            </w:r>
            <w:r>
              <w:t>P6</w:t>
            </w:r>
            <w:r>
              <w:rPr>
                <w:rFonts w:hint="eastAsia"/>
              </w:rPr>
              <w:t>3</w:t>
            </w:r>
            <w:r>
              <w:t>表3.4不同屏蔽材料在不同管电压的X射线下对应的铅当量数据，得到</w:t>
            </w:r>
            <w:r>
              <w:rPr>
                <w:rFonts w:hint="eastAsia"/>
              </w:rPr>
              <w:t>150kV</w:t>
            </w:r>
            <w:r>
              <w:t>管电压</w:t>
            </w:r>
            <w:r>
              <w:rPr>
                <w:rFonts w:hint="eastAsia"/>
              </w:rPr>
              <w:t>（无125kV</w:t>
            </w:r>
            <w:r>
              <w:t>管电压</w:t>
            </w:r>
            <w:r>
              <w:rPr>
                <w:rFonts w:hint="eastAsia"/>
              </w:rPr>
              <w:t>下数据）</w:t>
            </w:r>
            <w:r>
              <w:t>下钡水泥厚度对应铅当量的</w:t>
            </w:r>
            <w:r>
              <w:rPr>
                <w:rFonts w:hint="eastAsia"/>
              </w:rPr>
              <w:t>一次函数计算</w:t>
            </w:r>
            <w:r>
              <w:t>，从而可知钡水泥</w:t>
            </w:r>
            <w:r>
              <w:rPr>
                <w:rFonts w:hint="eastAsia"/>
              </w:rPr>
              <w:t>（</w:t>
            </w:r>
            <w:r>
              <w:t>密度约为2.7g/cm</w:t>
            </w:r>
            <w:r>
              <w:rPr>
                <w:vertAlign w:val="superscript"/>
              </w:rPr>
              <w:t>3</w:t>
            </w:r>
            <w:r>
              <w:rPr>
                <w:rFonts w:hint="eastAsia"/>
              </w:rPr>
              <w:t>）</w:t>
            </w:r>
            <w:r>
              <w:t>在不同电压下对应铅当量</w:t>
            </w:r>
            <w:r>
              <w:rPr>
                <w:rFonts w:hint="eastAsia"/>
              </w:rPr>
              <w:t>，10</w:t>
            </w:r>
            <w:r>
              <w:t>mm</w:t>
            </w:r>
            <w:r>
              <w:rPr>
                <w:rFonts w:hint="eastAsia"/>
              </w:rPr>
              <w:t>硫酸钡砂浆约折合为0.77</w:t>
            </w:r>
            <w:r>
              <w:t>mmPb</w:t>
            </w:r>
            <w:r>
              <w:rPr>
                <w:rFonts w:hint="eastAsia"/>
              </w:rPr>
              <w:t>。</w:t>
            </w:r>
          </w:p>
          <w:p w14:paraId="5A37CE95">
            <w:pPr>
              <w:keepNext/>
              <w:numPr>
                <w:ilvl w:val="0"/>
                <w:numId w:val="12"/>
              </w:numPr>
              <w:spacing w:line="360" w:lineRule="auto"/>
              <w:ind w:left="425" w:hanging="425" w:firstLineChars="0"/>
              <w:jc w:val="center"/>
              <w:rPr>
                <w:rFonts w:ascii="Times New Roman" w:hAnsi="Times New Roman"/>
                <w:b/>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机房的实体防护设施对照表</w:t>
            </w:r>
          </w:p>
          <w:tbl>
            <w:tblPr>
              <w:tblStyle w:val="23"/>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941"/>
              <w:gridCol w:w="1523"/>
              <w:gridCol w:w="1520"/>
              <w:gridCol w:w="1020"/>
              <w:gridCol w:w="1080"/>
              <w:gridCol w:w="1559"/>
              <w:gridCol w:w="1340"/>
            </w:tblGrid>
            <w:tr w14:paraId="7867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941" w:type="dxa"/>
                  <w:vMerge w:val="restart"/>
                  <w:tcBorders>
                    <w:top w:val="single" w:color="000000" w:sz="12" w:space="0"/>
                    <w:left w:val="nil"/>
                    <w:bottom w:val="single" w:color="000000" w:sz="4" w:space="0"/>
                  </w:tcBorders>
                  <w:vAlign w:val="center"/>
                </w:tcPr>
                <w:p w14:paraId="62BF6681">
                  <w:pPr>
                    <w:jc w:val="center"/>
                    <w:rPr>
                      <w:rFonts w:ascii="Times New Roman" w:hAnsi="Times New Roman"/>
                      <w:b/>
                      <w:bCs/>
                      <w:szCs w:val="21"/>
                    </w:rPr>
                  </w:pPr>
                  <w:r>
                    <w:rPr>
                      <w:rFonts w:ascii="Times New Roman" w:hAnsi="Times New Roman"/>
                      <w:b/>
                      <w:bCs/>
                      <w:szCs w:val="21"/>
                    </w:rPr>
                    <w:t>机房</w:t>
                  </w:r>
                </w:p>
              </w:tc>
              <w:tc>
                <w:tcPr>
                  <w:tcW w:w="1523" w:type="dxa"/>
                  <w:vMerge w:val="restart"/>
                  <w:tcBorders>
                    <w:top w:val="single" w:color="000000" w:sz="12" w:space="0"/>
                    <w:bottom w:val="single" w:color="000000" w:sz="4" w:space="0"/>
                  </w:tcBorders>
                  <w:vAlign w:val="center"/>
                </w:tcPr>
                <w:p w14:paraId="2DE61B48">
                  <w:pPr>
                    <w:jc w:val="center"/>
                    <w:rPr>
                      <w:rFonts w:ascii="Times New Roman" w:hAnsi="Times New Roman"/>
                      <w:b/>
                      <w:bCs/>
                      <w:szCs w:val="21"/>
                    </w:rPr>
                  </w:pPr>
                  <w:r>
                    <w:rPr>
                      <w:rFonts w:ascii="Times New Roman" w:hAnsi="Times New Roman"/>
                      <w:b/>
                      <w:bCs/>
                      <w:szCs w:val="21"/>
                    </w:rPr>
                    <w:t>机房规格</w:t>
                  </w:r>
                </w:p>
              </w:tc>
              <w:tc>
                <w:tcPr>
                  <w:tcW w:w="1520" w:type="dxa"/>
                  <w:tcBorders>
                    <w:top w:val="single" w:color="000000" w:sz="12" w:space="0"/>
                    <w:bottom w:val="single" w:color="000000" w:sz="4" w:space="0"/>
                  </w:tcBorders>
                  <w:vAlign w:val="center"/>
                </w:tcPr>
                <w:p w14:paraId="4513F71C">
                  <w:pPr>
                    <w:jc w:val="center"/>
                    <w:rPr>
                      <w:rFonts w:ascii="Times New Roman" w:hAnsi="Times New Roman"/>
                      <w:b/>
                      <w:bCs/>
                      <w:szCs w:val="21"/>
                    </w:rPr>
                  </w:pPr>
                  <w:r>
                    <w:rPr>
                      <w:rFonts w:ascii="Times New Roman" w:hAnsi="Times New Roman"/>
                      <w:b/>
                      <w:bCs/>
                      <w:szCs w:val="21"/>
                    </w:rPr>
                    <w:t>四周墙体</w:t>
                  </w:r>
                </w:p>
              </w:tc>
              <w:tc>
                <w:tcPr>
                  <w:tcW w:w="1020" w:type="dxa"/>
                  <w:tcBorders>
                    <w:top w:val="single" w:color="000000" w:sz="12" w:space="0"/>
                    <w:bottom w:val="single" w:color="000000" w:sz="4" w:space="0"/>
                  </w:tcBorders>
                  <w:vAlign w:val="center"/>
                </w:tcPr>
                <w:p w14:paraId="1B10FB3C">
                  <w:pPr>
                    <w:jc w:val="center"/>
                    <w:rPr>
                      <w:rFonts w:ascii="Times New Roman" w:hAnsi="Times New Roman"/>
                      <w:b/>
                      <w:bCs/>
                      <w:szCs w:val="21"/>
                    </w:rPr>
                  </w:pPr>
                  <w:r>
                    <w:rPr>
                      <w:rFonts w:ascii="Times New Roman" w:hAnsi="Times New Roman"/>
                      <w:b/>
                      <w:bCs/>
                      <w:szCs w:val="21"/>
                    </w:rPr>
                    <w:t>屏蔽门</w:t>
                  </w:r>
                </w:p>
              </w:tc>
              <w:tc>
                <w:tcPr>
                  <w:tcW w:w="1080" w:type="dxa"/>
                  <w:tcBorders>
                    <w:top w:val="single" w:color="000000" w:sz="12" w:space="0"/>
                    <w:bottom w:val="single" w:color="000000" w:sz="4" w:space="0"/>
                  </w:tcBorders>
                  <w:vAlign w:val="center"/>
                </w:tcPr>
                <w:p w14:paraId="1AB162CB">
                  <w:pPr>
                    <w:jc w:val="center"/>
                    <w:rPr>
                      <w:rFonts w:ascii="Times New Roman" w:hAnsi="Times New Roman"/>
                      <w:b/>
                      <w:bCs/>
                      <w:szCs w:val="21"/>
                    </w:rPr>
                  </w:pPr>
                  <w:r>
                    <w:rPr>
                      <w:rFonts w:ascii="Times New Roman" w:hAnsi="Times New Roman"/>
                      <w:b/>
                      <w:bCs/>
                      <w:szCs w:val="21"/>
                    </w:rPr>
                    <w:t>观察窗</w:t>
                  </w:r>
                </w:p>
              </w:tc>
              <w:tc>
                <w:tcPr>
                  <w:tcW w:w="1559" w:type="dxa"/>
                  <w:tcBorders>
                    <w:top w:val="single" w:color="000000" w:sz="12" w:space="0"/>
                    <w:bottom w:val="single" w:color="000000" w:sz="4" w:space="0"/>
                    <w:right w:val="nil"/>
                  </w:tcBorders>
                  <w:vAlign w:val="center"/>
                </w:tcPr>
                <w:p w14:paraId="400C3173">
                  <w:pPr>
                    <w:jc w:val="center"/>
                    <w:rPr>
                      <w:rFonts w:ascii="Times New Roman" w:hAnsi="Times New Roman"/>
                      <w:b/>
                      <w:bCs/>
                      <w:szCs w:val="21"/>
                    </w:rPr>
                  </w:pPr>
                  <w:r>
                    <w:rPr>
                      <w:rFonts w:ascii="Times New Roman" w:hAnsi="Times New Roman"/>
                      <w:b/>
                      <w:bCs/>
                      <w:szCs w:val="21"/>
                    </w:rPr>
                    <w:t>楼顶</w:t>
                  </w:r>
                </w:p>
              </w:tc>
              <w:tc>
                <w:tcPr>
                  <w:tcW w:w="1340" w:type="dxa"/>
                  <w:tcBorders>
                    <w:top w:val="single" w:color="000000" w:sz="12" w:space="0"/>
                    <w:bottom w:val="single" w:color="000000" w:sz="4" w:space="0"/>
                    <w:right w:val="nil"/>
                  </w:tcBorders>
                  <w:vAlign w:val="center"/>
                </w:tcPr>
                <w:p w14:paraId="3697D19D">
                  <w:pPr>
                    <w:jc w:val="center"/>
                    <w:rPr>
                      <w:rFonts w:ascii="Times New Roman" w:hAnsi="Times New Roman"/>
                      <w:b/>
                      <w:bCs/>
                      <w:szCs w:val="21"/>
                    </w:rPr>
                  </w:pPr>
                  <w:r>
                    <w:rPr>
                      <w:rFonts w:ascii="Times New Roman" w:hAnsi="Times New Roman"/>
                      <w:b/>
                      <w:bCs/>
                      <w:szCs w:val="21"/>
                    </w:rPr>
                    <w:t>地板</w:t>
                  </w:r>
                </w:p>
              </w:tc>
            </w:tr>
            <w:tr w14:paraId="3F47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941" w:type="dxa"/>
                  <w:vMerge w:val="continue"/>
                  <w:tcBorders>
                    <w:top w:val="single" w:color="000000" w:sz="4" w:space="0"/>
                    <w:left w:val="nil"/>
                    <w:bottom w:val="single" w:color="auto" w:sz="12" w:space="0"/>
                  </w:tcBorders>
                  <w:vAlign w:val="center"/>
                </w:tcPr>
                <w:p w14:paraId="6A56B4B5">
                  <w:pPr>
                    <w:jc w:val="center"/>
                    <w:rPr>
                      <w:rFonts w:ascii="Times New Roman" w:hAnsi="Times New Roman"/>
                      <w:b/>
                      <w:bCs/>
                      <w:szCs w:val="21"/>
                    </w:rPr>
                  </w:pPr>
                </w:p>
              </w:tc>
              <w:tc>
                <w:tcPr>
                  <w:tcW w:w="1523" w:type="dxa"/>
                  <w:vMerge w:val="continue"/>
                  <w:tcBorders>
                    <w:top w:val="single" w:color="000000" w:sz="4" w:space="0"/>
                    <w:bottom w:val="single" w:color="auto" w:sz="12" w:space="0"/>
                  </w:tcBorders>
                  <w:vAlign w:val="center"/>
                </w:tcPr>
                <w:p w14:paraId="6D8CE3C4">
                  <w:pPr>
                    <w:jc w:val="center"/>
                    <w:rPr>
                      <w:rFonts w:ascii="Times New Roman" w:hAnsi="Times New Roman"/>
                      <w:b/>
                      <w:bCs/>
                      <w:szCs w:val="21"/>
                    </w:rPr>
                  </w:pPr>
                </w:p>
              </w:tc>
              <w:tc>
                <w:tcPr>
                  <w:tcW w:w="1520" w:type="dxa"/>
                  <w:tcBorders>
                    <w:top w:val="single" w:color="000000" w:sz="4" w:space="0"/>
                    <w:bottom w:val="single" w:color="auto" w:sz="12" w:space="0"/>
                  </w:tcBorders>
                  <w:vAlign w:val="center"/>
                </w:tcPr>
                <w:p w14:paraId="0EFE2A82">
                  <w:pPr>
                    <w:jc w:val="center"/>
                    <w:rPr>
                      <w:rFonts w:ascii="Times New Roman" w:hAnsi="Times New Roman"/>
                      <w:b/>
                      <w:bCs/>
                      <w:szCs w:val="21"/>
                    </w:rPr>
                  </w:pPr>
                  <w:r>
                    <w:rPr>
                      <w:rFonts w:ascii="Times New Roman" w:hAnsi="Times New Roman"/>
                      <w:b/>
                      <w:bCs/>
                      <w:szCs w:val="21"/>
                    </w:rPr>
                    <w:t>结构及厚度</w:t>
                  </w:r>
                </w:p>
              </w:tc>
              <w:tc>
                <w:tcPr>
                  <w:tcW w:w="1020" w:type="dxa"/>
                  <w:tcBorders>
                    <w:top w:val="single" w:color="000000" w:sz="4" w:space="0"/>
                    <w:bottom w:val="single" w:color="auto" w:sz="12" w:space="0"/>
                  </w:tcBorders>
                  <w:vAlign w:val="center"/>
                </w:tcPr>
                <w:p w14:paraId="13DCEDC4">
                  <w:pPr>
                    <w:jc w:val="center"/>
                    <w:rPr>
                      <w:rFonts w:ascii="Times New Roman" w:hAnsi="Times New Roman"/>
                      <w:b/>
                      <w:bCs/>
                      <w:szCs w:val="21"/>
                    </w:rPr>
                  </w:pPr>
                  <w:r>
                    <w:rPr>
                      <w:rFonts w:ascii="Times New Roman" w:hAnsi="Times New Roman"/>
                      <w:b/>
                      <w:bCs/>
                      <w:szCs w:val="21"/>
                    </w:rPr>
                    <w:t>结构及厚度</w:t>
                  </w:r>
                </w:p>
              </w:tc>
              <w:tc>
                <w:tcPr>
                  <w:tcW w:w="1080" w:type="dxa"/>
                  <w:tcBorders>
                    <w:top w:val="single" w:color="000000" w:sz="4" w:space="0"/>
                    <w:bottom w:val="single" w:color="auto" w:sz="12" w:space="0"/>
                  </w:tcBorders>
                  <w:vAlign w:val="center"/>
                </w:tcPr>
                <w:p w14:paraId="656180BB">
                  <w:pPr>
                    <w:jc w:val="center"/>
                    <w:rPr>
                      <w:rFonts w:ascii="Times New Roman" w:hAnsi="Times New Roman"/>
                      <w:b/>
                      <w:bCs/>
                      <w:szCs w:val="21"/>
                    </w:rPr>
                  </w:pPr>
                  <w:r>
                    <w:rPr>
                      <w:rFonts w:ascii="Times New Roman" w:hAnsi="Times New Roman"/>
                      <w:b/>
                      <w:bCs/>
                      <w:szCs w:val="21"/>
                    </w:rPr>
                    <w:t>结构及厚度</w:t>
                  </w:r>
                </w:p>
              </w:tc>
              <w:tc>
                <w:tcPr>
                  <w:tcW w:w="1559" w:type="dxa"/>
                  <w:tcBorders>
                    <w:top w:val="single" w:color="000000" w:sz="4" w:space="0"/>
                    <w:bottom w:val="single" w:color="auto" w:sz="12" w:space="0"/>
                    <w:right w:val="nil"/>
                  </w:tcBorders>
                  <w:vAlign w:val="center"/>
                </w:tcPr>
                <w:p w14:paraId="0AE0562B">
                  <w:pPr>
                    <w:jc w:val="center"/>
                    <w:rPr>
                      <w:rFonts w:ascii="Times New Roman" w:hAnsi="Times New Roman"/>
                      <w:b/>
                      <w:bCs/>
                      <w:szCs w:val="21"/>
                    </w:rPr>
                  </w:pPr>
                  <w:r>
                    <w:rPr>
                      <w:rFonts w:ascii="Times New Roman" w:hAnsi="Times New Roman"/>
                      <w:b/>
                      <w:bCs/>
                      <w:szCs w:val="21"/>
                    </w:rPr>
                    <w:t>结构及厚度</w:t>
                  </w:r>
                </w:p>
              </w:tc>
              <w:tc>
                <w:tcPr>
                  <w:tcW w:w="1340" w:type="dxa"/>
                  <w:tcBorders>
                    <w:top w:val="single" w:color="000000" w:sz="4" w:space="0"/>
                    <w:bottom w:val="single" w:color="auto" w:sz="12" w:space="0"/>
                    <w:right w:val="nil"/>
                  </w:tcBorders>
                  <w:vAlign w:val="center"/>
                </w:tcPr>
                <w:p w14:paraId="0D9F5BE3">
                  <w:pPr>
                    <w:jc w:val="center"/>
                    <w:rPr>
                      <w:rFonts w:ascii="Times New Roman" w:hAnsi="Times New Roman"/>
                      <w:b/>
                      <w:bCs/>
                      <w:szCs w:val="21"/>
                    </w:rPr>
                  </w:pPr>
                  <w:r>
                    <w:rPr>
                      <w:rFonts w:ascii="Times New Roman" w:hAnsi="Times New Roman"/>
                      <w:b/>
                      <w:bCs/>
                      <w:szCs w:val="21"/>
                    </w:rPr>
                    <w:t>结构及厚度</w:t>
                  </w:r>
                </w:p>
              </w:tc>
            </w:tr>
            <w:tr w14:paraId="1D3F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37" w:hRule="atLeast"/>
                <w:jc w:val="center"/>
              </w:trPr>
              <w:tc>
                <w:tcPr>
                  <w:tcW w:w="941" w:type="dxa"/>
                  <w:tcBorders>
                    <w:top w:val="single" w:color="auto" w:sz="12" w:space="0"/>
                    <w:left w:val="nil"/>
                  </w:tcBorders>
                  <w:vAlign w:val="center"/>
                </w:tcPr>
                <w:p w14:paraId="15310E2F">
                  <w:pPr>
                    <w:jc w:val="center"/>
                    <w:rPr>
                      <w:rFonts w:ascii="Times New Roman" w:hAnsi="Times New Roman"/>
                      <w:szCs w:val="21"/>
                    </w:rPr>
                  </w:pPr>
                  <w:r>
                    <w:rPr>
                      <w:rFonts w:ascii="Times New Roman" w:hAnsi="Times New Roman"/>
                      <w:szCs w:val="21"/>
                    </w:rPr>
                    <w:t>DSA机房</w:t>
                  </w:r>
                </w:p>
              </w:tc>
              <w:tc>
                <w:tcPr>
                  <w:tcW w:w="1523" w:type="dxa"/>
                  <w:tcBorders>
                    <w:top w:val="single" w:color="auto" w:sz="12" w:space="0"/>
                  </w:tcBorders>
                  <w:vAlign w:val="center"/>
                </w:tcPr>
                <w:p w14:paraId="642CB223">
                  <w:pPr>
                    <w:jc w:val="center"/>
                    <w:rPr>
                      <w:rFonts w:ascii="Times New Roman" w:hAnsi="Times New Roman"/>
                      <w:szCs w:val="21"/>
                    </w:rPr>
                  </w:pPr>
                  <w:r>
                    <w:rPr>
                      <w:rFonts w:ascii="Times New Roman" w:hAnsi="Times New Roman"/>
                      <w:szCs w:val="21"/>
                    </w:rPr>
                    <w:t>机房</w:t>
                  </w:r>
                  <w:r>
                    <w:rPr>
                      <w:rFonts w:hint="eastAsia" w:ascii="Times New Roman" w:hAnsi="Times New Roman"/>
                      <w:szCs w:val="21"/>
                      <w:lang w:val="en-US" w:eastAsia="zh-CN"/>
                    </w:rPr>
                    <w:t>有效面积40</w:t>
                  </w:r>
                  <w:r>
                    <w:rPr>
                      <w:rFonts w:ascii="Times New Roman" w:hAnsi="Times New Roman"/>
                      <w:szCs w:val="21"/>
                    </w:rPr>
                    <w:t>m</w:t>
                  </w:r>
                  <w:r>
                    <w:rPr>
                      <w:rFonts w:ascii="Times New Roman" w:hAnsi="Times New Roman"/>
                      <w:szCs w:val="21"/>
                      <w:vertAlign w:val="superscript"/>
                    </w:rPr>
                    <w:t>2</w:t>
                  </w:r>
                  <w:r>
                    <w:rPr>
                      <w:rFonts w:ascii="Times New Roman" w:hAnsi="Times New Roman"/>
                      <w:szCs w:val="21"/>
                    </w:rPr>
                    <w:t>，机房内最小单边长度</w:t>
                  </w:r>
                  <w:r>
                    <w:rPr>
                      <w:rFonts w:hint="eastAsia" w:ascii="Times New Roman" w:hAnsi="Times New Roman"/>
                      <w:szCs w:val="21"/>
                      <w:lang w:val="en-US" w:eastAsia="zh-CN"/>
                    </w:rPr>
                    <w:t>5</w:t>
                  </w:r>
                  <w:r>
                    <w:rPr>
                      <w:rFonts w:ascii="Times New Roman" w:hAnsi="Times New Roman"/>
                      <w:szCs w:val="21"/>
                    </w:rPr>
                    <w:t>m</w:t>
                  </w:r>
                </w:p>
              </w:tc>
              <w:tc>
                <w:tcPr>
                  <w:tcW w:w="1520" w:type="dxa"/>
                  <w:tcBorders>
                    <w:top w:val="single" w:color="auto" w:sz="12" w:space="0"/>
                    <w:bottom w:val="single" w:color="auto" w:sz="4" w:space="0"/>
                  </w:tcBorders>
                  <w:vAlign w:val="center"/>
                </w:tcPr>
                <w:p w14:paraId="2C129380">
                  <w:pPr>
                    <w:jc w:val="center"/>
                    <w:rPr>
                      <w:rFonts w:ascii="Times New Roman" w:hAnsi="Times New Roman"/>
                      <w:szCs w:val="21"/>
                    </w:rPr>
                  </w:pPr>
                  <w:r>
                    <w:rPr>
                      <w:rFonts w:ascii="Times New Roman" w:hAnsi="Times New Roman"/>
                      <w:szCs w:val="21"/>
                    </w:rPr>
                    <w:t>370mm</w:t>
                  </w:r>
                  <w:r>
                    <w:rPr>
                      <w:rFonts w:hint="eastAsia" w:ascii="Times New Roman" w:hAnsi="Times New Roman"/>
                      <w:szCs w:val="21"/>
                      <w:lang w:eastAsia="zh-CN"/>
                    </w:rPr>
                    <w:t>红色实心砖墙</w:t>
                  </w:r>
                  <w:r>
                    <w:rPr>
                      <w:rFonts w:ascii="Times New Roman" w:hAnsi="Times New Roman"/>
                      <w:szCs w:val="21"/>
                    </w:rPr>
                    <w:t>+10mm硫酸钡水泥砂浆（4.</w:t>
                  </w:r>
                  <w:r>
                    <w:rPr>
                      <w:rFonts w:hint="default" w:ascii="Times New Roman" w:hAnsi="Times New Roman"/>
                      <w:szCs w:val="21"/>
                      <w:lang w:val="en-US" w:eastAsia="zh-CN"/>
                    </w:rPr>
                    <w:t>1</w:t>
                  </w:r>
                  <w:r>
                    <w:rPr>
                      <w:rFonts w:hint="eastAsia" w:ascii="Times New Roman" w:hAnsi="Times New Roman"/>
                      <w:szCs w:val="21"/>
                      <w:lang w:val="en-US" w:eastAsia="zh-CN"/>
                    </w:rPr>
                    <w:t>4</w:t>
                  </w:r>
                  <w:r>
                    <w:rPr>
                      <w:rFonts w:ascii="Times New Roman" w:hAnsi="Times New Roman"/>
                      <w:szCs w:val="21"/>
                    </w:rPr>
                    <w:t>mmPb）</w:t>
                  </w:r>
                </w:p>
              </w:tc>
              <w:tc>
                <w:tcPr>
                  <w:tcW w:w="1020" w:type="dxa"/>
                  <w:tcBorders>
                    <w:top w:val="single" w:color="auto" w:sz="12" w:space="0"/>
                  </w:tcBorders>
                  <w:vAlign w:val="center"/>
                </w:tcPr>
                <w:p w14:paraId="1DD9FEDD">
                  <w:pPr>
                    <w:jc w:val="center"/>
                    <w:rPr>
                      <w:rFonts w:ascii="Times New Roman" w:hAnsi="Times New Roman"/>
                      <w:szCs w:val="21"/>
                    </w:rPr>
                  </w:pPr>
                  <w:r>
                    <w:rPr>
                      <w:rFonts w:ascii="Times New Roman" w:hAnsi="Times New Roman"/>
                      <w:szCs w:val="21"/>
                    </w:rPr>
                    <w:t>3mmPb</w:t>
                  </w:r>
                </w:p>
              </w:tc>
              <w:tc>
                <w:tcPr>
                  <w:tcW w:w="1080" w:type="dxa"/>
                  <w:tcBorders>
                    <w:top w:val="single" w:color="auto" w:sz="12" w:space="0"/>
                  </w:tcBorders>
                  <w:vAlign w:val="center"/>
                </w:tcPr>
                <w:p w14:paraId="30B56E89">
                  <w:pPr>
                    <w:jc w:val="center"/>
                    <w:rPr>
                      <w:rFonts w:ascii="Times New Roman" w:hAnsi="Times New Roman"/>
                      <w:szCs w:val="21"/>
                    </w:rPr>
                  </w:pPr>
                  <w:r>
                    <w:rPr>
                      <w:rFonts w:ascii="Times New Roman" w:hAnsi="Times New Roman"/>
                      <w:szCs w:val="21"/>
                    </w:rPr>
                    <w:t>3mmPb</w:t>
                  </w:r>
                </w:p>
              </w:tc>
              <w:tc>
                <w:tcPr>
                  <w:tcW w:w="1559" w:type="dxa"/>
                  <w:tcBorders>
                    <w:top w:val="single" w:color="auto" w:sz="12" w:space="0"/>
                    <w:right w:val="nil"/>
                  </w:tcBorders>
                  <w:vAlign w:val="center"/>
                </w:tcPr>
                <w:p w14:paraId="0094A284">
                  <w:pPr>
                    <w:jc w:val="center"/>
                    <w:rPr>
                      <w:rFonts w:ascii="Times New Roman" w:hAnsi="Times New Roman"/>
                      <w:szCs w:val="21"/>
                    </w:rPr>
                  </w:pPr>
                  <w:r>
                    <w:rPr>
                      <w:rFonts w:hint="eastAsia" w:ascii="Times New Roman" w:hAnsi="Times New Roman"/>
                      <w:szCs w:val="21"/>
                      <w:lang w:val="en-US" w:eastAsia="zh-CN"/>
                    </w:rPr>
                    <w:t>26</w:t>
                  </w:r>
                  <w:r>
                    <w:rPr>
                      <w:rFonts w:ascii="Times New Roman" w:hAnsi="Times New Roman"/>
                      <w:szCs w:val="21"/>
                    </w:rPr>
                    <w:t>0mm现浇混凝土+</w:t>
                  </w:r>
                  <w:r>
                    <w:rPr>
                      <w:rFonts w:hint="eastAsia" w:ascii="Times New Roman" w:hAnsi="Times New Roman"/>
                      <w:szCs w:val="21"/>
                      <w:lang w:val="en-US" w:eastAsia="zh-CN"/>
                    </w:rPr>
                    <w:t>3mm铅板</w:t>
                  </w:r>
                  <w:r>
                    <w:rPr>
                      <w:rFonts w:ascii="Times New Roman" w:hAnsi="Times New Roman"/>
                      <w:szCs w:val="21"/>
                    </w:rPr>
                    <w:t>（</w:t>
                  </w:r>
                  <w:r>
                    <w:rPr>
                      <w:rFonts w:hint="eastAsia" w:ascii="Times New Roman" w:hAnsi="Times New Roman"/>
                      <w:szCs w:val="21"/>
                      <w:lang w:val="en-US" w:eastAsia="zh-CN"/>
                    </w:rPr>
                    <w:t>6.56</w:t>
                  </w:r>
                  <w:r>
                    <w:rPr>
                      <w:rFonts w:ascii="Times New Roman" w:hAnsi="Times New Roman"/>
                      <w:szCs w:val="21"/>
                    </w:rPr>
                    <w:t>mmPb）</w:t>
                  </w:r>
                </w:p>
              </w:tc>
              <w:tc>
                <w:tcPr>
                  <w:tcW w:w="1340" w:type="dxa"/>
                  <w:tcBorders>
                    <w:top w:val="single" w:color="auto" w:sz="12" w:space="0"/>
                    <w:right w:val="nil"/>
                  </w:tcBorders>
                  <w:vAlign w:val="center"/>
                </w:tcPr>
                <w:p w14:paraId="4A3E7E44">
                  <w:pPr>
                    <w:jc w:val="center"/>
                    <w:rPr>
                      <w:rFonts w:ascii="Times New Roman" w:hAnsi="Times New Roman"/>
                      <w:szCs w:val="21"/>
                    </w:rPr>
                  </w:pPr>
                  <w:r>
                    <w:rPr>
                      <w:rFonts w:hint="eastAsia" w:ascii="Times New Roman" w:hAnsi="Times New Roman"/>
                      <w:szCs w:val="21"/>
                      <w:lang w:val="en-US" w:eastAsia="zh-CN"/>
                    </w:rPr>
                    <w:t>26</w:t>
                  </w:r>
                  <w:r>
                    <w:rPr>
                      <w:rFonts w:hint="eastAsia" w:ascii="Times New Roman" w:hAnsi="Times New Roman"/>
                      <w:szCs w:val="21"/>
                    </w:rPr>
                    <w:t>0</w:t>
                  </w:r>
                  <w:r>
                    <w:rPr>
                      <w:rFonts w:ascii="Times New Roman" w:hAnsi="Times New Roman"/>
                      <w:szCs w:val="21"/>
                    </w:rPr>
                    <w:t>mm现浇混凝土+</w:t>
                  </w:r>
                  <w:r>
                    <w:rPr>
                      <w:rFonts w:hint="eastAsia" w:ascii="Times New Roman" w:hAnsi="Times New Roman"/>
                      <w:szCs w:val="21"/>
                      <w:lang w:val="en-US" w:eastAsia="zh-CN"/>
                    </w:rPr>
                    <w:t>1</w:t>
                  </w:r>
                  <w:r>
                    <w:rPr>
                      <w:rFonts w:ascii="Times New Roman" w:hAnsi="Times New Roman"/>
                      <w:szCs w:val="21"/>
                    </w:rPr>
                    <w:t>0mm硫酸钡水泥砂浆（</w:t>
                  </w:r>
                  <w:r>
                    <w:rPr>
                      <w:rFonts w:hint="eastAsia" w:ascii="Times New Roman" w:hAnsi="Times New Roman"/>
                      <w:szCs w:val="21"/>
                      <w:lang w:val="en-US" w:eastAsia="zh-CN"/>
                    </w:rPr>
                    <w:t>4.53</w:t>
                  </w:r>
                  <w:r>
                    <w:rPr>
                      <w:rFonts w:ascii="Times New Roman" w:hAnsi="Times New Roman"/>
                      <w:szCs w:val="21"/>
                    </w:rPr>
                    <w:t>mmPb）</w:t>
                  </w:r>
                </w:p>
              </w:tc>
            </w:tr>
            <w:tr w14:paraId="5476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941" w:type="dxa"/>
                  <w:tcBorders>
                    <w:left w:val="nil"/>
                  </w:tcBorders>
                  <w:vAlign w:val="center"/>
                </w:tcPr>
                <w:p w14:paraId="58A121CD">
                  <w:pPr>
                    <w:jc w:val="center"/>
                    <w:rPr>
                      <w:rFonts w:ascii="Times New Roman" w:hAnsi="Times New Roman"/>
                      <w:szCs w:val="21"/>
                    </w:rPr>
                  </w:pPr>
                  <w:r>
                    <w:rPr>
                      <w:rFonts w:ascii="Times New Roman" w:hAnsi="Times New Roman"/>
                      <w:szCs w:val="21"/>
                    </w:rPr>
                    <w:t>放射诊断放射防护要求</w:t>
                  </w:r>
                </w:p>
              </w:tc>
              <w:tc>
                <w:tcPr>
                  <w:tcW w:w="1523" w:type="dxa"/>
                  <w:vAlign w:val="center"/>
                </w:tcPr>
                <w:p w14:paraId="5FC187B4">
                  <w:pPr>
                    <w:jc w:val="center"/>
                    <w:rPr>
                      <w:rFonts w:ascii="Times New Roman" w:hAnsi="Times New Roman"/>
                      <w:szCs w:val="21"/>
                    </w:rPr>
                  </w:pPr>
                  <w:r>
                    <w:rPr>
                      <w:rFonts w:ascii="Times New Roman" w:hAnsi="Times New Roman"/>
                      <w:szCs w:val="21"/>
                    </w:rPr>
                    <w:t>最小有效使用面积20m</w:t>
                  </w:r>
                  <w:r>
                    <w:rPr>
                      <w:rFonts w:ascii="Times New Roman" w:hAnsi="Times New Roman"/>
                      <w:szCs w:val="21"/>
                      <w:vertAlign w:val="superscript"/>
                    </w:rPr>
                    <w:t>2</w:t>
                  </w:r>
                  <w:r>
                    <w:rPr>
                      <w:rFonts w:ascii="Times New Roman" w:hAnsi="Times New Roman"/>
                      <w:szCs w:val="21"/>
                    </w:rPr>
                    <w:t>，机房内最小单边长度3.5m</w:t>
                  </w:r>
                </w:p>
              </w:tc>
              <w:tc>
                <w:tcPr>
                  <w:tcW w:w="1520" w:type="dxa"/>
                  <w:vAlign w:val="center"/>
                </w:tcPr>
                <w:p w14:paraId="75CC8091">
                  <w:pPr>
                    <w:jc w:val="center"/>
                    <w:rPr>
                      <w:rFonts w:ascii="Times New Roman" w:hAnsi="Times New Roman"/>
                      <w:szCs w:val="21"/>
                    </w:rPr>
                  </w:pPr>
                  <w:r>
                    <w:rPr>
                      <w:rFonts w:ascii="Times New Roman" w:hAnsi="Times New Roman"/>
                      <w:szCs w:val="21"/>
                    </w:rPr>
                    <w:t>非有用线束2mm铅当量</w:t>
                  </w:r>
                </w:p>
              </w:tc>
              <w:tc>
                <w:tcPr>
                  <w:tcW w:w="1020" w:type="dxa"/>
                  <w:vAlign w:val="center"/>
                </w:tcPr>
                <w:p w14:paraId="22D9AC8D">
                  <w:pPr>
                    <w:jc w:val="center"/>
                    <w:rPr>
                      <w:rFonts w:ascii="Times New Roman" w:hAnsi="Times New Roman"/>
                      <w:szCs w:val="21"/>
                    </w:rPr>
                  </w:pPr>
                  <w:r>
                    <w:rPr>
                      <w:rFonts w:ascii="Times New Roman" w:hAnsi="Times New Roman"/>
                      <w:szCs w:val="21"/>
                    </w:rPr>
                    <w:t>非有用线束2mm铅当量</w:t>
                  </w:r>
                </w:p>
              </w:tc>
              <w:tc>
                <w:tcPr>
                  <w:tcW w:w="1080" w:type="dxa"/>
                  <w:vAlign w:val="center"/>
                </w:tcPr>
                <w:p w14:paraId="583D3277">
                  <w:pPr>
                    <w:jc w:val="center"/>
                    <w:rPr>
                      <w:rFonts w:ascii="Times New Roman" w:hAnsi="Times New Roman"/>
                      <w:szCs w:val="21"/>
                    </w:rPr>
                  </w:pPr>
                  <w:r>
                    <w:rPr>
                      <w:rFonts w:ascii="Times New Roman" w:hAnsi="Times New Roman"/>
                      <w:szCs w:val="21"/>
                    </w:rPr>
                    <w:t>非有用线束2mm铅当量</w:t>
                  </w:r>
                </w:p>
              </w:tc>
              <w:tc>
                <w:tcPr>
                  <w:tcW w:w="1559" w:type="dxa"/>
                  <w:tcBorders>
                    <w:right w:val="nil"/>
                  </w:tcBorders>
                  <w:vAlign w:val="center"/>
                </w:tcPr>
                <w:p w14:paraId="5F03AD40">
                  <w:pPr>
                    <w:jc w:val="center"/>
                    <w:rPr>
                      <w:rFonts w:ascii="Times New Roman" w:hAnsi="Times New Roman"/>
                      <w:szCs w:val="21"/>
                    </w:rPr>
                  </w:pPr>
                  <w:r>
                    <w:rPr>
                      <w:rFonts w:ascii="Times New Roman" w:hAnsi="Times New Roman"/>
                      <w:szCs w:val="21"/>
                    </w:rPr>
                    <w:t>有用线束2mm铅当量</w:t>
                  </w:r>
                </w:p>
              </w:tc>
              <w:tc>
                <w:tcPr>
                  <w:tcW w:w="1340" w:type="dxa"/>
                  <w:tcBorders>
                    <w:right w:val="nil"/>
                  </w:tcBorders>
                  <w:vAlign w:val="center"/>
                </w:tcPr>
                <w:p w14:paraId="1243F337">
                  <w:pPr>
                    <w:jc w:val="center"/>
                    <w:rPr>
                      <w:rFonts w:ascii="Times New Roman" w:hAnsi="Times New Roman"/>
                      <w:szCs w:val="21"/>
                    </w:rPr>
                  </w:pPr>
                  <w:r>
                    <w:rPr>
                      <w:rFonts w:ascii="Times New Roman" w:hAnsi="Times New Roman"/>
                      <w:szCs w:val="21"/>
                    </w:rPr>
                    <w:t>非有用线束2mm铅当量</w:t>
                  </w:r>
                </w:p>
              </w:tc>
            </w:tr>
            <w:tr w14:paraId="2836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941" w:type="dxa"/>
                  <w:tcBorders>
                    <w:left w:val="nil"/>
                    <w:bottom w:val="single" w:color="auto" w:sz="12" w:space="0"/>
                  </w:tcBorders>
                  <w:vAlign w:val="center"/>
                </w:tcPr>
                <w:p w14:paraId="0863B27A">
                  <w:pPr>
                    <w:jc w:val="center"/>
                    <w:rPr>
                      <w:rFonts w:ascii="Times New Roman" w:hAnsi="Times New Roman"/>
                      <w:szCs w:val="21"/>
                    </w:rPr>
                  </w:pPr>
                  <w:r>
                    <w:rPr>
                      <w:rFonts w:ascii="Times New Roman" w:hAnsi="Times New Roman"/>
                      <w:szCs w:val="21"/>
                    </w:rPr>
                    <w:t>备注</w:t>
                  </w:r>
                </w:p>
              </w:tc>
              <w:tc>
                <w:tcPr>
                  <w:tcW w:w="1523" w:type="dxa"/>
                  <w:tcBorders>
                    <w:bottom w:val="single" w:color="auto" w:sz="12" w:space="0"/>
                  </w:tcBorders>
                  <w:vAlign w:val="center"/>
                </w:tcPr>
                <w:p w14:paraId="13593EBC">
                  <w:pPr>
                    <w:jc w:val="center"/>
                    <w:rPr>
                      <w:rFonts w:ascii="Times New Roman" w:hAnsi="Times New Roman"/>
                      <w:szCs w:val="21"/>
                    </w:rPr>
                  </w:pPr>
                  <w:r>
                    <w:rPr>
                      <w:rFonts w:ascii="Times New Roman" w:hAnsi="Times New Roman"/>
                      <w:szCs w:val="21"/>
                    </w:rPr>
                    <w:t>满足要求</w:t>
                  </w:r>
                </w:p>
              </w:tc>
              <w:tc>
                <w:tcPr>
                  <w:tcW w:w="1520" w:type="dxa"/>
                  <w:tcBorders>
                    <w:bottom w:val="single" w:color="auto" w:sz="12" w:space="0"/>
                  </w:tcBorders>
                  <w:vAlign w:val="center"/>
                </w:tcPr>
                <w:p w14:paraId="40948DE1">
                  <w:pPr>
                    <w:jc w:val="center"/>
                    <w:rPr>
                      <w:rFonts w:ascii="Times New Roman" w:hAnsi="Times New Roman"/>
                      <w:szCs w:val="21"/>
                    </w:rPr>
                  </w:pPr>
                  <w:r>
                    <w:rPr>
                      <w:rFonts w:ascii="Times New Roman" w:hAnsi="Times New Roman"/>
                      <w:szCs w:val="21"/>
                    </w:rPr>
                    <w:t>满足要求</w:t>
                  </w:r>
                </w:p>
              </w:tc>
              <w:tc>
                <w:tcPr>
                  <w:tcW w:w="1020" w:type="dxa"/>
                  <w:tcBorders>
                    <w:bottom w:val="single" w:color="auto" w:sz="12" w:space="0"/>
                  </w:tcBorders>
                  <w:vAlign w:val="center"/>
                </w:tcPr>
                <w:p w14:paraId="52C908AE">
                  <w:pPr>
                    <w:jc w:val="center"/>
                    <w:rPr>
                      <w:rFonts w:ascii="Times New Roman" w:hAnsi="Times New Roman"/>
                      <w:szCs w:val="21"/>
                    </w:rPr>
                  </w:pPr>
                  <w:r>
                    <w:rPr>
                      <w:rFonts w:ascii="Times New Roman" w:hAnsi="Times New Roman"/>
                      <w:szCs w:val="21"/>
                    </w:rPr>
                    <w:t>满足要求</w:t>
                  </w:r>
                </w:p>
              </w:tc>
              <w:tc>
                <w:tcPr>
                  <w:tcW w:w="1080" w:type="dxa"/>
                  <w:tcBorders>
                    <w:bottom w:val="single" w:color="auto" w:sz="12" w:space="0"/>
                  </w:tcBorders>
                  <w:vAlign w:val="center"/>
                </w:tcPr>
                <w:p w14:paraId="2FB4CDD6">
                  <w:pPr>
                    <w:jc w:val="center"/>
                    <w:rPr>
                      <w:rFonts w:ascii="Times New Roman" w:hAnsi="Times New Roman"/>
                      <w:szCs w:val="21"/>
                    </w:rPr>
                  </w:pPr>
                  <w:r>
                    <w:rPr>
                      <w:rFonts w:ascii="Times New Roman" w:hAnsi="Times New Roman"/>
                      <w:szCs w:val="21"/>
                    </w:rPr>
                    <w:t>满足要求</w:t>
                  </w:r>
                </w:p>
              </w:tc>
              <w:tc>
                <w:tcPr>
                  <w:tcW w:w="1559" w:type="dxa"/>
                  <w:tcBorders>
                    <w:bottom w:val="single" w:color="auto" w:sz="12" w:space="0"/>
                    <w:right w:val="nil"/>
                  </w:tcBorders>
                  <w:vAlign w:val="center"/>
                </w:tcPr>
                <w:p w14:paraId="444D1F20">
                  <w:pPr>
                    <w:jc w:val="center"/>
                    <w:rPr>
                      <w:rFonts w:ascii="Times New Roman" w:hAnsi="Times New Roman"/>
                      <w:szCs w:val="21"/>
                    </w:rPr>
                  </w:pPr>
                  <w:r>
                    <w:rPr>
                      <w:rFonts w:ascii="Times New Roman" w:hAnsi="Times New Roman"/>
                      <w:szCs w:val="21"/>
                    </w:rPr>
                    <w:t>满足要求</w:t>
                  </w:r>
                </w:p>
              </w:tc>
              <w:tc>
                <w:tcPr>
                  <w:tcW w:w="1340" w:type="dxa"/>
                  <w:tcBorders>
                    <w:bottom w:val="single" w:color="auto" w:sz="12" w:space="0"/>
                    <w:right w:val="nil"/>
                  </w:tcBorders>
                  <w:vAlign w:val="center"/>
                </w:tcPr>
                <w:p w14:paraId="2EB86376">
                  <w:pPr>
                    <w:jc w:val="center"/>
                    <w:rPr>
                      <w:rFonts w:ascii="Times New Roman" w:hAnsi="Times New Roman"/>
                      <w:szCs w:val="21"/>
                    </w:rPr>
                  </w:pPr>
                  <w:r>
                    <w:rPr>
                      <w:rFonts w:ascii="Times New Roman" w:hAnsi="Times New Roman"/>
                      <w:szCs w:val="21"/>
                    </w:rPr>
                    <w:t>满足要求</w:t>
                  </w:r>
                </w:p>
              </w:tc>
            </w:tr>
          </w:tbl>
          <w:p w14:paraId="6751BFB4">
            <w:pPr>
              <w:pStyle w:val="11"/>
              <w:bidi w:val="0"/>
              <w:rPr>
                <w:rFonts w:hint="default"/>
                <w:lang w:val="en-US"/>
              </w:rPr>
            </w:pPr>
            <w:r>
              <w:rPr>
                <w:rFonts w:hint="eastAsia"/>
                <w:lang w:val="en-US" w:eastAsia="zh-CN"/>
              </w:rPr>
              <w:t>机房管线穿孔采用</w:t>
            </w:r>
            <w:r>
              <w:rPr>
                <w:rFonts w:hint="default"/>
                <w:lang w:val="en-US" w:eastAsia="zh-CN"/>
              </w:rPr>
              <w:t>穿墙屏蔽设计</w:t>
            </w:r>
            <w:r>
              <w:rPr>
                <w:rFonts w:hint="eastAsia"/>
                <w:lang w:val="en-US" w:eastAsia="zh-CN"/>
              </w:rPr>
              <w:t>，排风管道和电缆沟穿墙采用斜穿孔，并采用了3mm铅板屏蔽补偿。</w:t>
            </w:r>
          </w:p>
          <w:p w14:paraId="3AF25109">
            <w:pPr>
              <w:spacing w:line="360" w:lineRule="auto"/>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3、安全措施</w:t>
            </w:r>
          </w:p>
          <w:p w14:paraId="6877C9F7">
            <w:pPr>
              <w:pStyle w:val="30"/>
              <w:spacing w:line="360" w:lineRule="auto"/>
              <w:ind w:firstLine="435"/>
              <w:jc w:val="both"/>
              <w:rPr>
                <w:rFonts w:ascii="Times New Roman" w:hAnsi="Times New Roman"/>
                <w:color w:val="000000" w:themeColor="text1"/>
                <w:kern w:val="2"/>
                <w14:textFill>
                  <w14:solidFill>
                    <w14:schemeClr w14:val="tx1"/>
                  </w14:solidFill>
                </w14:textFill>
              </w:rPr>
            </w:pPr>
            <w:r>
              <w:rPr>
                <w:rFonts w:ascii="Times New Roman" w:hAnsi="Times New Roman"/>
                <w:color w:val="000000" w:themeColor="text1"/>
                <w:kern w:val="2"/>
                <w14:textFill>
                  <w14:solidFill>
                    <w14:schemeClr w14:val="tx1"/>
                  </w14:solidFill>
                </w14:textFill>
              </w:rPr>
              <w:fldChar w:fldCharType="begin"/>
            </w:r>
            <w:r>
              <w:rPr>
                <w:rFonts w:ascii="Times New Roman" w:hAnsi="Times New Roman"/>
                <w:color w:val="000000" w:themeColor="text1"/>
                <w:kern w:val="2"/>
                <w14:textFill>
                  <w14:solidFill>
                    <w14:schemeClr w14:val="tx1"/>
                  </w14:solidFill>
                </w14:textFill>
              </w:rPr>
              <w:instrText xml:space="preserve"> = 1 \* GB3 \* MERGEFORMAT </w:instrText>
            </w:r>
            <w:r>
              <w:rPr>
                <w:rFonts w:ascii="Times New Roman" w:hAnsi="Times New Roman"/>
                <w:color w:val="000000" w:themeColor="text1"/>
                <w:kern w:val="2"/>
                <w14:textFill>
                  <w14:solidFill>
                    <w14:schemeClr w14:val="tx1"/>
                  </w14:solidFill>
                </w14:textFill>
              </w:rPr>
              <w:fldChar w:fldCharType="separate"/>
            </w:r>
            <w:r>
              <w:rPr>
                <w:rFonts w:ascii="Times New Roman" w:hAnsi="Times New Roman"/>
                <w:color w:val="000000" w:themeColor="text1"/>
                <w:kern w:val="2"/>
                <w14:textFill>
                  <w14:solidFill>
                    <w14:schemeClr w14:val="tx1"/>
                  </w14:solidFill>
                </w14:textFill>
              </w:rPr>
              <w:t>①</w:t>
            </w:r>
            <w:r>
              <w:rPr>
                <w:rFonts w:ascii="Times New Roman" w:hAnsi="Times New Roman"/>
                <w:color w:val="000000" w:themeColor="text1"/>
                <w:kern w:val="2"/>
                <w14:textFill>
                  <w14:solidFill>
                    <w14:schemeClr w14:val="tx1"/>
                  </w14:solidFill>
                </w14:textFill>
              </w:rPr>
              <w:fldChar w:fldCharType="end"/>
            </w:r>
            <w:r>
              <w:rPr>
                <w:rFonts w:ascii="Times New Roman" w:hAnsi="Times New Roman"/>
                <w:bCs/>
                <w:color w:val="auto"/>
              </w:rPr>
              <w:t>工作状态指示灯</w:t>
            </w:r>
            <w:r>
              <w:rPr>
                <w:rFonts w:hint="eastAsia" w:ascii="Times New Roman" w:hAnsi="Times New Roman"/>
                <w:bCs/>
                <w:color w:val="auto"/>
                <w:lang w:eastAsia="zh-CN"/>
              </w:rPr>
              <w:t>（</w:t>
            </w:r>
            <w:r>
              <w:rPr>
                <w:rFonts w:hint="eastAsia" w:ascii="Times New Roman" w:hAnsi="Times New Roman"/>
                <w:bCs/>
                <w:color w:val="auto"/>
                <w:lang w:val="en-US" w:eastAsia="zh-CN"/>
              </w:rPr>
              <w:t>三色灯</w:t>
            </w:r>
            <w:r>
              <w:rPr>
                <w:rFonts w:hint="eastAsia" w:ascii="Times New Roman" w:hAnsi="Times New Roman"/>
                <w:bCs/>
                <w:color w:val="auto"/>
                <w:lang w:eastAsia="zh-CN"/>
              </w:rPr>
              <w:t>）</w:t>
            </w:r>
            <w:r>
              <w:rPr>
                <w:rFonts w:ascii="Times New Roman" w:hAnsi="Times New Roman"/>
                <w:bCs/>
                <w:color w:val="auto"/>
              </w:rPr>
              <w:t>及门灯联锁</w:t>
            </w:r>
            <w:r>
              <w:rPr>
                <w:rFonts w:ascii="Times New Roman" w:hAnsi="Times New Roman"/>
                <w:color w:val="000000" w:themeColor="text1"/>
                <w:kern w:val="2"/>
                <w14:textFill>
                  <w14:solidFill>
                    <w14:schemeClr w14:val="tx1"/>
                  </w14:solidFill>
                </w14:textFill>
              </w:rPr>
              <w:t>：平开机房门应有自动闭门装置，推拉式机房门应设有曝光时关闭机房门的管理措施。DSA机房门外顶部拟设置工作状态指示灯，</w:t>
            </w:r>
            <w:r>
              <w:rPr>
                <w:rFonts w:ascii="Times New Roman" w:hAnsi="Times New Roman"/>
              </w:rPr>
              <w:t>灯箱上设置“射线有害、灯亮勿入”可视警示语句，且工作状态指示灯和与机房相通的门能有效联动，防护门关闭，</w:t>
            </w:r>
            <w:r>
              <w:rPr>
                <w:rFonts w:hint="eastAsia" w:ascii="Times New Roman" w:hAnsi="Times New Roman"/>
                <w:lang w:val="en-US" w:eastAsia="zh-CN"/>
              </w:rPr>
              <w:t>工作时</w:t>
            </w:r>
            <w:r>
              <w:rPr>
                <w:rFonts w:ascii="Times New Roman" w:hAnsi="Times New Roman"/>
              </w:rPr>
              <w:t>指示灯亮</w:t>
            </w:r>
            <w:r>
              <w:rPr>
                <w:rFonts w:hint="eastAsia" w:ascii="Times New Roman" w:hAnsi="Times New Roman"/>
                <w:lang w:val="en-US" w:eastAsia="zh-CN"/>
              </w:rPr>
              <w:t>黄色</w:t>
            </w:r>
            <w:r>
              <w:rPr>
                <w:rFonts w:ascii="Times New Roman" w:hAnsi="Times New Roman"/>
                <w:color w:val="000000" w:themeColor="text1"/>
                <w:kern w:val="2"/>
                <w14:textFill>
                  <w14:solidFill>
                    <w14:schemeClr w14:val="tx1"/>
                  </w14:solidFill>
                </w14:textFill>
              </w:rPr>
              <w:t>，以警示人员注意安全；</w:t>
            </w:r>
            <w:r>
              <w:rPr>
                <w:rFonts w:hint="eastAsia" w:ascii="Times New Roman" w:hAnsi="Times New Roman"/>
                <w:color w:val="000000" w:themeColor="text1"/>
                <w:kern w:val="2"/>
                <w:lang w:val="en-US" w:eastAsia="zh-CN"/>
                <w14:textFill>
                  <w14:solidFill>
                    <w14:schemeClr w14:val="tx1"/>
                  </w14:solidFill>
                </w14:textFill>
              </w:rPr>
              <w:t>亮红灯时表示正在进行照射；亮绿灯时表示防护安全，人员可以进入</w:t>
            </w:r>
            <w:r>
              <w:rPr>
                <w:rFonts w:ascii="Times New Roman" w:hAnsi="Times New Roman"/>
                <w:color w:val="000000" w:themeColor="text1"/>
                <w:kern w:val="2"/>
                <w14:textFill>
                  <w14:solidFill>
                    <w14:schemeClr w14:val="tx1"/>
                  </w14:solidFill>
                </w14:textFill>
              </w:rPr>
              <w:t>。</w:t>
            </w:r>
          </w:p>
          <w:p w14:paraId="4AD1F925">
            <w:pPr>
              <w:pStyle w:val="30"/>
              <w:spacing w:line="360" w:lineRule="auto"/>
              <w:ind w:firstLine="435"/>
              <w:jc w:val="both"/>
              <w:rPr>
                <w:rFonts w:ascii="Times New Roman" w:hAnsi="Times New Roman"/>
                <w:color w:val="000000" w:themeColor="text1"/>
                <w:kern w:val="2"/>
                <w14:textFill>
                  <w14:solidFill>
                    <w14:schemeClr w14:val="tx1"/>
                  </w14:solidFill>
                </w14:textFill>
              </w:rPr>
            </w:pPr>
            <w:r>
              <w:rPr>
                <w:rFonts w:ascii="Times New Roman" w:hAnsi="Times New Roman"/>
                <w:color w:val="000000" w:themeColor="text1"/>
                <w:kern w:val="2"/>
                <w14:textFill>
                  <w14:solidFill>
                    <w14:schemeClr w14:val="tx1"/>
                  </w14:solidFill>
                </w14:textFill>
              </w:rPr>
              <w:t>②紧急止动装置：控制台上、介入手术床旁拟设置紧急止动按钮（各按钮分别与X射线系统连接）。DSA系统的X射线系统出束过程中，一旦出现异常，按动任一个</w:t>
            </w:r>
            <w:r>
              <w:rPr>
                <w:rFonts w:hint="eastAsia" w:ascii="Times New Roman" w:hAnsi="Times New Roman"/>
                <w:color w:val="000000" w:themeColor="text1"/>
                <w:kern w:val="2"/>
                <w:lang w:eastAsia="zh-CN"/>
                <w14:textFill>
                  <w14:solidFill>
                    <w14:schemeClr w14:val="tx1"/>
                  </w14:solidFill>
                </w14:textFill>
              </w:rPr>
              <w:t>紧急制动</w:t>
            </w:r>
            <w:r>
              <w:rPr>
                <w:rFonts w:ascii="Times New Roman" w:hAnsi="Times New Roman"/>
                <w:color w:val="000000" w:themeColor="text1"/>
                <w:kern w:val="2"/>
                <w14:textFill>
                  <w14:solidFill>
                    <w14:schemeClr w14:val="tx1"/>
                  </w14:solidFill>
                </w14:textFill>
              </w:rPr>
              <w:t>按钮，均可停止X射线系统出束。</w:t>
            </w:r>
          </w:p>
          <w:p w14:paraId="11AB3C8F">
            <w:pPr>
              <w:pStyle w:val="30"/>
              <w:spacing w:line="360" w:lineRule="auto"/>
              <w:ind w:firstLine="435"/>
              <w:jc w:val="both"/>
              <w:rPr>
                <w:rFonts w:ascii="Times New Roman" w:hAnsi="Times New Roman"/>
                <w:color w:val="000000" w:themeColor="text1"/>
                <w:kern w:val="2"/>
                <w14:textFill>
                  <w14:solidFill>
                    <w14:schemeClr w14:val="tx1"/>
                  </w14:solidFill>
                </w14:textFill>
              </w:rPr>
            </w:pPr>
            <w:r>
              <w:rPr>
                <w:rFonts w:ascii="Times New Roman" w:hAnsi="Times New Roman"/>
                <w:color w:val="000000" w:themeColor="text1"/>
                <w:kern w:val="2"/>
                <w14:textFill>
                  <w14:solidFill>
                    <w14:schemeClr w14:val="tx1"/>
                  </w14:solidFill>
                </w14:textFill>
              </w:rPr>
              <w:t>③操作警示装置：DSA系统的X射线系统出束时，控制台上的指示灯变色，同时蜂鸣器发出声音。</w:t>
            </w:r>
          </w:p>
          <w:p w14:paraId="73FD6AC3">
            <w:pPr>
              <w:pStyle w:val="30"/>
              <w:spacing w:line="360" w:lineRule="auto"/>
              <w:ind w:firstLine="435"/>
              <w:jc w:val="both"/>
              <w:rPr>
                <w:rFonts w:ascii="Times New Roman" w:hAnsi="Times New Roman"/>
                <w:color w:val="000000" w:themeColor="text1"/>
                <w:kern w:val="2"/>
                <w14:textFill>
                  <w14:solidFill>
                    <w14:schemeClr w14:val="tx1"/>
                  </w14:solidFill>
                </w14:textFill>
              </w:rPr>
            </w:pPr>
            <w:r>
              <w:rPr>
                <w:rFonts w:ascii="Times New Roman" w:hAnsi="Times New Roman"/>
                <w:color w:val="000000" w:themeColor="text1"/>
                <w:kern w:val="2"/>
                <w14:textFill>
                  <w14:solidFill>
                    <w14:schemeClr w14:val="tx1"/>
                  </w14:solidFill>
                </w14:textFill>
              </w:rPr>
              <w:t>④对讲装置：在DSA机房与操作间之间拟安装对讲装置，操作间的工作人员通过对讲机与放射科DSA机房内的手术人员联系。</w:t>
            </w:r>
          </w:p>
          <w:p w14:paraId="4C3F427E">
            <w:pPr>
              <w:pStyle w:val="30"/>
              <w:spacing w:line="360" w:lineRule="auto"/>
              <w:ind w:firstLine="435"/>
              <w:jc w:val="both"/>
              <w:rPr>
                <w:rFonts w:ascii="Times New Roman" w:hAnsi="Times New Roman"/>
                <w:color w:val="000000" w:themeColor="text1"/>
                <w:kern w:val="2"/>
                <w14:textFill>
                  <w14:solidFill>
                    <w14:schemeClr w14:val="tx1"/>
                  </w14:solidFill>
                </w14:textFill>
              </w:rPr>
            </w:pPr>
            <w:r>
              <w:rPr>
                <w:rFonts w:ascii="Times New Roman" w:hAnsi="Times New Roman"/>
                <w:color w:val="000000" w:themeColor="text1"/>
                <w:kern w:val="2"/>
                <w14:textFill>
                  <w14:solidFill>
                    <w14:schemeClr w14:val="tx1"/>
                  </w14:solidFill>
                </w14:textFill>
              </w:rPr>
              <w:t>⑤警告标志：拟在DSA机房的防护门外的醒目位置，分别设置明显的电离辐射警告标志及中文警示说明。</w:t>
            </w:r>
          </w:p>
          <w:p w14:paraId="795C7181">
            <w:pPr>
              <w:spacing w:line="360" w:lineRule="auto"/>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4、人员的安全与防护</w:t>
            </w:r>
          </w:p>
          <w:p w14:paraId="0BDFFD99">
            <w:pPr>
              <w:pStyle w:val="30"/>
              <w:spacing w:line="360" w:lineRule="auto"/>
              <w:ind w:firstLine="480"/>
              <w:jc w:val="both"/>
              <w:rPr>
                <w:rFonts w:ascii="Times New Roman" w:hAnsi="Times New Roman"/>
                <w:color w:val="000000" w:themeColor="text1"/>
                <w:kern w:val="2"/>
                <w14:textFill>
                  <w14:solidFill>
                    <w14:schemeClr w14:val="tx1"/>
                  </w14:solidFill>
                </w14:textFill>
              </w:rPr>
            </w:pPr>
            <w:r>
              <w:rPr>
                <w:rFonts w:ascii="Times New Roman" w:hAnsi="Times New Roman"/>
                <w:color w:val="000000" w:themeColor="text1"/>
                <w:kern w:val="2"/>
                <w14:textFill>
                  <w14:solidFill>
                    <w14:schemeClr w14:val="tx1"/>
                  </w14:solidFill>
                </w14:textFill>
              </w:rPr>
              <w:t>人员主要指本项目辐射工作人员、受检者或患者、本次评价范围内公众。</w:t>
            </w:r>
          </w:p>
          <w:p w14:paraId="6D7FACA1">
            <w:pPr>
              <w:pStyle w:val="30"/>
              <w:numPr>
                <w:ilvl w:val="0"/>
                <w:numId w:val="14"/>
              </w:numPr>
              <w:spacing w:line="360" w:lineRule="auto"/>
              <w:jc w:val="both"/>
              <w:rPr>
                <w:rFonts w:ascii="Times New Roman" w:hAnsi="Times New Roman"/>
                <w:b/>
                <w:color w:val="000000" w:themeColor="text1"/>
                <w:kern w:val="2"/>
                <w14:textFill>
                  <w14:solidFill>
                    <w14:schemeClr w14:val="tx1"/>
                  </w14:solidFill>
                </w14:textFill>
              </w:rPr>
            </w:pPr>
            <w:r>
              <w:rPr>
                <w:rFonts w:ascii="Times New Roman" w:hAnsi="Times New Roman"/>
                <w:b/>
                <w:color w:val="000000" w:themeColor="text1"/>
                <w:kern w:val="2"/>
                <w14:textFill>
                  <w14:solidFill>
                    <w14:schemeClr w14:val="tx1"/>
                  </w14:solidFill>
                </w14:textFill>
              </w:rPr>
              <w:t>辐射工作人员</w:t>
            </w:r>
          </w:p>
          <w:p w14:paraId="0AE6D33B">
            <w:pPr>
              <w:pStyle w:val="30"/>
              <w:spacing w:line="360" w:lineRule="auto"/>
              <w:ind w:firstLine="480"/>
              <w:jc w:val="both"/>
              <w:rPr>
                <w:rFonts w:ascii="Times New Roman" w:hAnsi="Times New Roman"/>
                <w:color w:val="000000" w:themeColor="text1"/>
                <w:kern w:val="2"/>
                <w14:textFill>
                  <w14:solidFill>
                    <w14:schemeClr w14:val="tx1"/>
                  </w14:solidFill>
                </w14:textFill>
              </w:rPr>
            </w:pPr>
            <w:r>
              <w:rPr>
                <w:rFonts w:ascii="Times New Roman" w:hAnsi="Times New Roman"/>
                <w:color w:val="000000" w:themeColor="text1"/>
                <w:kern w:val="2"/>
                <w14:textFill>
                  <w14:solidFill>
                    <w14:schemeClr w14:val="tx1"/>
                  </w14:solidFill>
                </w14:textFill>
              </w:rPr>
              <w:t>为减少辐射工作人员的照射剂量，采取防护X射线的主要方法有屏蔽防护、时间防护和距离防护，三种防护联合运用、合理调节。</w:t>
            </w:r>
          </w:p>
          <w:p w14:paraId="3B5C6EBE">
            <w:pPr>
              <w:pStyle w:val="30"/>
              <w:spacing w:line="360" w:lineRule="auto"/>
              <w:ind w:firstLine="482" w:firstLineChars="200"/>
              <w:jc w:val="both"/>
              <w:rPr>
                <w:rFonts w:ascii="Times New Roman" w:hAnsi="Times New Roman"/>
                <w:b/>
                <w:bCs/>
                <w:color w:val="000000" w:themeColor="text1"/>
                <w:kern w:val="2"/>
                <w14:textFill>
                  <w14:solidFill>
                    <w14:schemeClr w14:val="tx1"/>
                  </w14:solidFill>
                </w14:textFill>
              </w:rPr>
            </w:pPr>
            <w:r>
              <w:rPr>
                <w:rFonts w:ascii="Times New Roman" w:hAnsi="Times New Roman"/>
                <w:b/>
                <w:bCs/>
                <w:color w:val="000000" w:themeColor="text1"/>
                <w:kern w:val="2"/>
                <w14:textFill>
                  <w14:solidFill>
                    <w14:schemeClr w14:val="tx1"/>
                  </w14:solidFill>
                </w14:textFill>
              </w:rPr>
              <w:fldChar w:fldCharType="begin"/>
            </w:r>
            <w:r>
              <w:rPr>
                <w:rFonts w:ascii="Times New Roman" w:hAnsi="Times New Roman"/>
                <w:b/>
                <w:bCs/>
                <w:color w:val="000000" w:themeColor="text1"/>
                <w:kern w:val="2"/>
                <w14:textFill>
                  <w14:solidFill>
                    <w14:schemeClr w14:val="tx1"/>
                  </w14:solidFill>
                </w14:textFill>
              </w:rPr>
              <w:instrText xml:space="preserve"> = 1 \* GB3 </w:instrText>
            </w:r>
            <w:r>
              <w:rPr>
                <w:rFonts w:ascii="Times New Roman" w:hAnsi="Times New Roman"/>
                <w:b/>
                <w:bCs/>
                <w:color w:val="000000" w:themeColor="text1"/>
                <w:kern w:val="2"/>
                <w14:textFill>
                  <w14:solidFill>
                    <w14:schemeClr w14:val="tx1"/>
                  </w14:solidFill>
                </w14:textFill>
              </w:rPr>
              <w:fldChar w:fldCharType="separate"/>
            </w:r>
            <w:r>
              <w:rPr>
                <w:rFonts w:ascii="Times New Roman" w:hAnsi="Times New Roman"/>
                <w:b/>
                <w:bCs/>
                <w:color w:val="000000" w:themeColor="text1"/>
                <w:kern w:val="2"/>
                <w14:textFill>
                  <w14:solidFill>
                    <w14:schemeClr w14:val="tx1"/>
                  </w14:solidFill>
                </w14:textFill>
              </w:rPr>
              <w:t>①</w:t>
            </w:r>
            <w:r>
              <w:rPr>
                <w:rFonts w:ascii="Times New Roman" w:hAnsi="Times New Roman"/>
                <w:b/>
                <w:bCs/>
                <w:color w:val="000000" w:themeColor="text1"/>
                <w:kern w:val="2"/>
                <w14:textFill>
                  <w14:solidFill>
                    <w14:schemeClr w14:val="tx1"/>
                  </w14:solidFill>
                </w14:textFill>
              </w:rPr>
              <w:fldChar w:fldCharType="end"/>
            </w:r>
            <w:r>
              <w:rPr>
                <w:rFonts w:ascii="Times New Roman" w:hAnsi="Times New Roman"/>
                <w:b/>
                <w:bCs/>
                <w:color w:val="000000" w:themeColor="text1"/>
                <w:kern w:val="2"/>
                <w14:textFill>
                  <w14:solidFill>
                    <w14:schemeClr w14:val="tx1"/>
                  </w14:solidFill>
                </w14:textFill>
              </w:rPr>
              <w:t>距离防护</w:t>
            </w:r>
          </w:p>
          <w:p w14:paraId="76ECDE55">
            <w:pPr>
              <w:pStyle w:val="30"/>
              <w:spacing w:line="360" w:lineRule="auto"/>
              <w:ind w:firstLine="480"/>
              <w:jc w:val="both"/>
              <w:rPr>
                <w:rFonts w:ascii="Times New Roman" w:hAnsi="Times New Roman"/>
                <w:color w:val="000000" w:themeColor="text1"/>
                <w:kern w:val="2"/>
                <w14:textFill>
                  <w14:solidFill>
                    <w14:schemeClr w14:val="tx1"/>
                  </w14:solidFill>
                </w14:textFill>
              </w:rPr>
            </w:pPr>
            <w:r>
              <w:rPr>
                <w:rFonts w:hint="eastAsia" w:ascii="Times New Roman" w:hAnsi="Times New Roman"/>
                <w:color w:val="000000" w:themeColor="text1"/>
                <w:kern w:val="2"/>
                <w14:textFill>
                  <w14:solidFill>
                    <w14:schemeClr w14:val="tx1"/>
                  </w14:solidFill>
                </w14:textFill>
              </w:rPr>
              <w:t>DSA机房</w:t>
            </w:r>
            <w:r>
              <w:rPr>
                <w:rFonts w:ascii="Times New Roman" w:hAnsi="Times New Roman"/>
                <w:color w:val="000000" w:themeColor="text1"/>
                <w:kern w:val="2"/>
                <w14:textFill>
                  <w14:solidFill>
                    <w14:schemeClr w14:val="tx1"/>
                  </w14:solidFill>
                </w14:textFill>
              </w:rPr>
              <w:t>严格按照控制区和监督区划分实行“两区”管理，</w:t>
            </w:r>
            <w:r>
              <w:rPr>
                <w:rFonts w:ascii="Times New Roman" w:hAnsi="Times New Roman"/>
                <w:color w:val="000000" w:themeColor="text1"/>
                <w:sz w:val="24"/>
                <w14:textFill>
                  <w14:solidFill>
                    <w14:schemeClr w14:val="tx1"/>
                  </w14:solidFill>
                </w14:textFill>
              </w:rPr>
              <w:t>结合项目诊疗、辐射防护和环境情况特点，将本项目</w:t>
            </w:r>
            <w:r>
              <w:rPr>
                <w:rFonts w:hint="eastAsia" w:ascii="Times New Roman" w:hAnsi="Times New Roman"/>
                <w:color w:val="000000" w:themeColor="text1"/>
                <w:sz w:val="24"/>
                <w:lang w:eastAsia="zh-CN"/>
                <w14:textFill>
                  <w14:solidFill>
                    <w14:schemeClr w14:val="tx1"/>
                  </w14:solidFill>
                </w14:textFill>
              </w:rPr>
              <w:t>DSA机房</w:t>
            </w:r>
            <w:r>
              <w:rPr>
                <w:rFonts w:ascii="Times New Roman" w:hAnsi="Times New Roman"/>
                <w:color w:val="000000" w:themeColor="text1"/>
                <w:sz w:val="24"/>
                <w14:textFill>
                  <w14:solidFill>
                    <w14:schemeClr w14:val="tx1"/>
                  </w14:solidFill>
                </w14:textFill>
              </w:rPr>
              <w:t>划为控制区，而相邻的</w:t>
            </w:r>
            <w:r>
              <w:t>控制室、</w:t>
            </w:r>
            <w:r>
              <w:rPr>
                <w:rFonts w:hint="eastAsia"/>
                <w:lang w:val="en-US" w:eastAsia="zh-CN"/>
              </w:rPr>
              <w:t>污物暂存间、设备间、病人准备间</w:t>
            </w:r>
            <w:r>
              <w:rPr>
                <w:rFonts w:hint="eastAsia"/>
              </w:rPr>
              <w:t>区域</w:t>
            </w:r>
            <w:r>
              <w:rPr>
                <w:rFonts w:ascii="Times New Roman" w:hAnsi="Times New Roman"/>
                <w:color w:val="000000" w:themeColor="text1"/>
                <w:sz w:val="24"/>
                <w14:textFill>
                  <w14:solidFill>
                    <w14:schemeClr w14:val="tx1"/>
                  </w14:solidFill>
                </w14:textFill>
              </w:rPr>
              <w:t>划为监督区。</w:t>
            </w:r>
            <w:r>
              <w:rPr>
                <w:rFonts w:ascii="Times New Roman" w:hAnsi="Times New Roman"/>
                <w:color w:val="000000" w:themeColor="text1"/>
                <w:kern w:val="2"/>
                <w14:textFill>
                  <w14:solidFill>
                    <w14:schemeClr w14:val="tx1"/>
                  </w14:solidFill>
                </w14:textFill>
              </w:rPr>
              <w:t>且在机房的人员通道门的醒目位置将张贴固定的电离辐射警告标志并安装工作状态指示灯箱</w:t>
            </w:r>
            <w:r>
              <w:rPr>
                <w:rFonts w:hint="eastAsia" w:ascii="Times New Roman" w:hAnsi="Times New Roman"/>
                <w:color w:val="000000" w:themeColor="text1"/>
                <w:kern w:val="2"/>
                <w:lang w:eastAsia="zh-CN"/>
                <w14:textFill>
                  <w14:solidFill>
                    <w14:schemeClr w14:val="tx1"/>
                  </w14:solidFill>
                </w14:textFill>
              </w:rPr>
              <w:t>，</w:t>
            </w:r>
            <w:r>
              <w:rPr>
                <w:rFonts w:hint="eastAsia" w:ascii="Times New Roman" w:hAnsi="Times New Roman"/>
                <w:color w:val="000000" w:themeColor="text1"/>
                <w:kern w:val="2"/>
                <w:lang w:val="en-US" w:eastAsia="zh-CN"/>
                <w14:textFill>
                  <w14:solidFill>
                    <w14:schemeClr w14:val="tx1"/>
                  </w14:solidFill>
                </w14:textFill>
              </w:rPr>
              <w:t>门外</w:t>
            </w:r>
            <w:r>
              <w:rPr>
                <w:rFonts w:hint="eastAsia" w:ascii="Times New Roman" w:hAnsi="Times New Roman"/>
                <w:color w:val="000000" w:themeColor="text1"/>
                <w:sz w:val="24"/>
                <w14:textFill>
                  <w14:solidFill>
                    <w14:schemeClr w14:val="tx1"/>
                  </w14:solidFill>
                </w14:textFill>
              </w:rPr>
              <w:t>1m区域</w:t>
            </w:r>
            <w:r>
              <w:rPr>
                <w:rFonts w:hint="eastAsia" w:ascii="Times New Roman" w:hAnsi="Times New Roman"/>
                <w:color w:val="000000" w:themeColor="text1"/>
                <w:sz w:val="24"/>
                <w:lang w:val="en-US" w:eastAsia="zh-CN"/>
                <w14:textFill>
                  <w14:solidFill>
                    <w14:schemeClr w14:val="tx1"/>
                  </w14:solidFill>
                </w14:textFill>
              </w:rPr>
              <w:t>画</w:t>
            </w:r>
            <w:r>
              <w:rPr>
                <w:rFonts w:ascii="Times New Roman" w:hAnsi="Times New Roman"/>
                <w:color w:val="000000" w:themeColor="text1"/>
                <w:sz w:val="24"/>
                <w14:textFill>
                  <w14:solidFill>
                    <w14:schemeClr w14:val="tx1"/>
                  </w14:solidFill>
                </w14:textFill>
              </w:rPr>
              <w:t>监督区</w:t>
            </w:r>
            <w:r>
              <w:rPr>
                <w:rFonts w:hint="eastAsia" w:ascii="Times New Roman" w:hAnsi="Times New Roman"/>
                <w:color w:val="000000" w:themeColor="text1"/>
                <w:sz w:val="24"/>
                <w:lang w:val="en-US" w:eastAsia="zh-CN"/>
                <w14:textFill>
                  <w14:solidFill>
                    <w14:schemeClr w14:val="tx1"/>
                  </w14:solidFill>
                </w14:textFill>
              </w:rPr>
              <w:t>边界线</w:t>
            </w:r>
            <w:r>
              <w:rPr>
                <w:rFonts w:ascii="Times New Roman" w:hAnsi="Times New Roman"/>
                <w:color w:val="000000" w:themeColor="text1"/>
                <w:kern w:val="2"/>
                <w14:textFill>
                  <w14:solidFill>
                    <w14:schemeClr w14:val="tx1"/>
                  </w14:solidFill>
                </w14:textFill>
              </w:rPr>
              <w:t>。限制无关人员进入，以免受到不必要的照射。</w:t>
            </w:r>
          </w:p>
          <w:p w14:paraId="5A92F244">
            <w:pPr>
              <w:pStyle w:val="30"/>
              <w:spacing w:line="360" w:lineRule="auto"/>
              <w:ind w:firstLine="482" w:firstLineChars="200"/>
              <w:jc w:val="both"/>
              <w:rPr>
                <w:rFonts w:ascii="Times New Roman" w:hAnsi="Times New Roman"/>
                <w:b/>
                <w:bCs/>
                <w:color w:val="000000" w:themeColor="text1"/>
                <w:kern w:val="2"/>
                <w14:textFill>
                  <w14:solidFill>
                    <w14:schemeClr w14:val="tx1"/>
                  </w14:solidFill>
                </w14:textFill>
              </w:rPr>
            </w:pPr>
            <w:r>
              <w:rPr>
                <w:rFonts w:ascii="Times New Roman" w:hAnsi="Times New Roman"/>
                <w:b/>
                <w:bCs/>
                <w:color w:val="000000" w:themeColor="text1"/>
                <w:kern w:val="2"/>
                <w14:textFill>
                  <w14:solidFill>
                    <w14:schemeClr w14:val="tx1"/>
                  </w14:solidFill>
                </w14:textFill>
              </w:rPr>
              <w:fldChar w:fldCharType="begin"/>
            </w:r>
            <w:r>
              <w:rPr>
                <w:rFonts w:ascii="Times New Roman" w:hAnsi="Times New Roman"/>
                <w:b/>
                <w:bCs/>
                <w:color w:val="000000" w:themeColor="text1"/>
                <w:kern w:val="2"/>
                <w14:textFill>
                  <w14:solidFill>
                    <w14:schemeClr w14:val="tx1"/>
                  </w14:solidFill>
                </w14:textFill>
              </w:rPr>
              <w:instrText xml:space="preserve"> = 2 \* GB3 </w:instrText>
            </w:r>
            <w:r>
              <w:rPr>
                <w:rFonts w:ascii="Times New Roman" w:hAnsi="Times New Roman"/>
                <w:b/>
                <w:bCs/>
                <w:color w:val="000000" w:themeColor="text1"/>
                <w:kern w:val="2"/>
                <w14:textFill>
                  <w14:solidFill>
                    <w14:schemeClr w14:val="tx1"/>
                  </w14:solidFill>
                </w14:textFill>
              </w:rPr>
              <w:fldChar w:fldCharType="separate"/>
            </w:r>
            <w:r>
              <w:rPr>
                <w:rFonts w:ascii="Times New Roman" w:hAnsi="Times New Roman"/>
                <w:b/>
                <w:bCs/>
                <w:color w:val="000000" w:themeColor="text1"/>
                <w:kern w:val="2"/>
                <w14:textFill>
                  <w14:solidFill>
                    <w14:schemeClr w14:val="tx1"/>
                  </w14:solidFill>
                </w14:textFill>
              </w:rPr>
              <w:t>②</w:t>
            </w:r>
            <w:r>
              <w:rPr>
                <w:rFonts w:ascii="Times New Roman" w:hAnsi="Times New Roman"/>
                <w:b/>
                <w:bCs/>
                <w:color w:val="000000" w:themeColor="text1"/>
                <w:kern w:val="2"/>
                <w14:textFill>
                  <w14:solidFill>
                    <w14:schemeClr w14:val="tx1"/>
                  </w14:solidFill>
                </w14:textFill>
              </w:rPr>
              <w:fldChar w:fldCharType="end"/>
            </w:r>
            <w:r>
              <w:rPr>
                <w:rFonts w:ascii="Times New Roman" w:hAnsi="Times New Roman"/>
                <w:b/>
                <w:bCs/>
                <w:color w:val="000000" w:themeColor="text1"/>
                <w:kern w:val="2"/>
                <w14:textFill>
                  <w14:solidFill>
                    <w14:schemeClr w14:val="tx1"/>
                  </w14:solidFill>
                </w14:textFill>
              </w:rPr>
              <w:t>时间防护</w:t>
            </w:r>
          </w:p>
          <w:p w14:paraId="71DBAA7F">
            <w:pPr>
              <w:keepNext/>
              <w:spacing w:line="360" w:lineRule="auto"/>
              <w:ind w:firstLine="480" w:firstLineChars="200"/>
              <w:rPr>
                <w:rFonts w:ascii="Times New Roman" w:hAnsi="Times New Roman"/>
                <w:bCs/>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在满足诊断要求的前提下，在每次使用射线装置进行诊断之前，根据诊断要求和病人实际情况制定最优化的诊断方案，选择合理可行尽量低的射线照射参数，以及尽量短的曝光时间，减少工作人员和相关公众的受照射时间，也避免病人受到额外剂量的照射。根据医院的实际情况，医院的DSA主要用于介入手术</w:t>
            </w:r>
            <w:r>
              <w:rPr>
                <w:rFonts w:ascii="Times New Roman" w:hAnsi="Times New Roman"/>
                <w:bCs/>
                <w:color w:val="000000" w:themeColor="text1"/>
                <w:sz w:val="24"/>
                <w14:textFill>
                  <w14:solidFill>
                    <w14:schemeClr w14:val="tx1"/>
                  </w14:solidFill>
                </w14:textFill>
              </w:rPr>
              <w:t>、血管造影等。</w:t>
            </w:r>
          </w:p>
          <w:p w14:paraId="512432EB">
            <w:pPr>
              <w:keepNext/>
              <w:spacing w:line="360" w:lineRule="auto"/>
              <w:ind w:firstLine="482" w:firstLineChars="200"/>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fldChar w:fldCharType="begin"/>
            </w:r>
            <w:r>
              <w:rPr>
                <w:rFonts w:ascii="Times New Roman" w:hAnsi="Times New Roman"/>
                <w:b/>
                <w:bCs/>
                <w:color w:val="000000" w:themeColor="text1"/>
                <w:sz w:val="24"/>
                <w14:textFill>
                  <w14:solidFill>
                    <w14:schemeClr w14:val="tx1"/>
                  </w14:solidFill>
                </w14:textFill>
              </w:rPr>
              <w:instrText xml:space="preserve"> = 3 \* GB3 </w:instrText>
            </w:r>
            <w:r>
              <w:rPr>
                <w:rFonts w:ascii="Times New Roman" w:hAnsi="Times New Roman"/>
                <w:b/>
                <w:bCs/>
                <w:color w:val="000000" w:themeColor="text1"/>
                <w:sz w:val="24"/>
                <w14:textFill>
                  <w14:solidFill>
                    <w14:schemeClr w14:val="tx1"/>
                  </w14:solidFill>
                </w14:textFill>
              </w:rPr>
              <w:fldChar w:fldCharType="separate"/>
            </w:r>
            <w:r>
              <w:rPr>
                <w:rFonts w:ascii="Times New Roman" w:hAnsi="Times New Roman"/>
                <w:b/>
                <w:bCs/>
                <w:color w:val="000000" w:themeColor="text1"/>
                <w:sz w:val="24"/>
                <w14:textFill>
                  <w14:solidFill>
                    <w14:schemeClr w14:val="tx1"/>
                  </w14:solidFill>
                </w14:textFill>
              </w:rPr>
              <w:t>③</w:t>
            </w:r>
            <w:r>
              <w:rPr>
                <w:rFonts w:ascii="Times New Roman" w:hAnsi="Times New Roman"/>
                <w:b/>
                <w:bCs/>
                <w:color w:val="000000" w:themeColor="text1"/>
                <w:sz w:val="24"/>
                <w14:textFill>
                  <w14:solidFill>
                    <w14:schemeClr w14:val="tx1"/>
                  </w14:solidFill>
                </w14:textFill>
              </w:rPr>
              <w:fldChar w:fldCharType="end"/>
            </w:r>
            <w:r>
              <w:rPr>
                <w:rFonts w:ascii="Times New Roman" w:hAnsi="Times New Roman"/>
                <w:b/>
                <w:bCs/>
                <w:color w:val="000000" w:themeColor="text1"/>
                <w:sz w:val="24"/>
                <w14:textFill>
                  <w14:solidFill>
                    <w14:schemeClr w14:val="tx1"/>
                  </w14:solidFill>
                </w14:textFill>
              </w:rPr>
              <w:t>屏蔽防护</w:t>
            </w:r>
          </w:p>
          <w:p w14:paraId="7E503350">
            <w:pPr>
              <w:keepNext/>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隔室操作：辐射工作人员采取隔室操作方式，通过操作间与机房之间的墙体、铅门和铅玻璃窗屏蔽X射线，以减弱或消除射线对人体的危害。</w:t>
            </w:r>
          </w:p>
          <w:p w14:paraId="0EF4877C">
            <w:pPr>
              <w:widowControl/>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个人防护用品和辅助防护设施：辐射工作人员配备个人防护用品（铅橡胶颈套、铅</w:t>
            </w:r>
            <w:r>
              <w:rPr>
                <w:rFonts w:hint="eastAsia" w:ascii="Times New Roman" w:hAnsi="Times New Roman"/>
                <w:color w:val="000000" w:themeColor="text1"/>
                <w:sz w:val="24"/>
                <w14:textFill>
                  <w14:solidFill>
                    <w14:schemeClr w14:val="tx1"/>
                  </w14:solidFill>
                </w14:textFill>
              </w:rPr>
              <w:t>橡胶围裙</w:t>
            </w:r>
            <w:r>
              <w:rPr>
                <w:rFonts w:ascii="Times New Roman" w:hAnsi="Times New Roman"/>
                <w:color w:val="000000" w:themeColor="text1"/>
                <w:sz w:val="24"/>
                <w14:textFill>
                  <w14:solidFill>
                    <w14:schemeClr w14:val="tx1"/>
                  </w14:solidFill>
                </w14:textFill>
              </w:rPr>
              <w:t>、铅防护眼镜、</w:t>
            </w:r>
            <w:r>
              <w:rPr>
                <w:rFonts w:hint="eastAsia" w:ascii="Times New Roman" w:hAnsi="Times New Roman"/>
                <w:color w:val="000000" w:themeColor="text1"/>
                <w:sz w:val="24"/>
                <w14:textFill>
                  <w14:solidFill>
                    <w14:schemeClr w14:val="tx1"/>
                  </w14:solidFill>
                </w14:textFill>
              </w:rPr>
              <w:t>介入</w:t>
            </w:r>
            <w:r>
              <w:rPr>
                <w:rFonts w:ascii="Times New Roman" w:hAnsi="Times New Roman"/>
                <w:color w:val="000000" w:themeColor="text1"/>
                <w:sz w:val="24"/>
                <w14:textFill>
                  <w14:solidFill>
                    <w14:schemeClr w14:val="tx1"/>
                  </w14:solidFill>
                </w14:textFill>
              </w:rPr>
              <w:t>防护手套等），其中，铅橡胶颈套用于减小甲状腺受照剂量、铅</w:t>
            </w:r>
            <w:r>
              <w:rPr>
                <w:rFonts w:hint="eastAsia" w:ascii="Times New Roman" w:hAnsi="Times New Roman"/>
                <w:color w:val="000000" w:themeColor="text1"/>
                <w:sz w:val="24"/>
                <w14:textFill>
                  <w14:solidFill>
                    <w14:schemeClr w14:val="tx1"/>
                  </w14:solidFill>
                </w14:textFill>
              </w:rPr>
              <w:t>橡胶围裙</w:t>
            </w:r>
            <w:r>
              <w:rPr>
                <w:rFonts w:ascii="Times New Roman" w:hAnsi="Times New Roman"/>
                <w:color w:val="000000" w:themeColor="text1"/>
                <w:sz w:val="24"/>
                <w14:textFill>
                  <w14:solidFill>
                    <w14:schemeClr w14:val="tx1"/>
                  </w14:solidFill>
                </w14:textFill>
              </w:rPr>
              <w:t>用于减小人体躯干受照剂量、铅防护眼镜用于减小眼晶体受照剂量、</w:t>
            </w:r>
            <w:r>
              <w:rPr>
                <w:rFonts w:hint="eastAsia" w:ascii="Times New Roman" w:hAnsi="Times New Roman"/>
                <w:color w:val="000000" w:themeColor="text1"/>
                <w:sz w:val="24"/>
                <w14:textFill>
                  <w14:solidFill>
                    <w14:schemeClr w14:val="tx1"/>
                  </w14:solidFill>
                </w14:textFill>
              </w:rPr>
              <w:t>介入</w:t>
            </w:r>
            <w:r>
              <w:rPr>
                <w:rFonts w:ascii="Times New Roman" w:hAnsi="Times New Roman"/>
                <w:color w:val="000000" w:themeColor="text1"/>
                <w:sz w:val="24"/>
                <w14:textFill>
                  <w14:solidFill>
                    <w14:schemeClr w14:val="tx1"/>
                  </w14:solidFill>
                </w14:textFill>
              </w:rPr>
              <w:t>防护手套用于减小手部皮肤受照剂量。</w:t>
            </w:r>
            <w:r>
              <w:rPr>
                <w:rFonts w:ascii="Times New Roman" w:hAnsi="Times New Roman"/>
                <w:color w:val="000000" w:themeColor="text1"/>
                <w:kern w:val="0"/>
                <w:sz w:val="24"/>
                <w:lang w:bidi="ar"/>
                <w14:textFill>
                  <w14:solidFill>
                    <w14:schemeClr w14:val="tx1"/>
                  </w14:solidFill>
                </w14:textFill>
              </w:rPr>
              <w:t>除介入防护手套外，防护用品</w:t>
            </w:r>
            <w:r>
              <w:rPr>
                <w:rFonts w:ascii="Times New Roman" w:hAnsi="Times New Roman"/>
                <w:color w:val="000000" w:themeColor="text1"/>
                <w:sz w:val="24"/>
                <w14:textFill>
                  <w14:solidFill>
                    <w14:schemeClr w14:val="tx1"/>
                  </w14:solidFill>
                </w14:textFill>
              </w:rPr>
              <w:t>铅</w:t>
            </w:r>
            <w:r>
              <w:rPr>
                <w:rFonts w:hint="eastAsia" w:ascii="Times New Roman" w:hAnsi="Times New Roman"/>
                <w:color w:val="000000" w:themeColor="text1"/>
                <w:sz w:val="24"/>
                <w14:textFill>
                  <w14:solidFill>
                    <w14:schemeClr w14:val="tx1"/>
                  </w14:solidFill>
                </w14:textFill>
              </w:rPr>
              <w:t>橡胶围裙</w:t>
            </w:r>
            <w:r>
              <w:rPr>
                <w:rFonts w:ascii="Times New Roman" w:hAnsi="Times New Roman"/>
                <w:color w:val="000000" w:themeColor="text1"/>
                <w:kern w:val="0"/>
                <w:sz w:val="24"/>
                <w:lang w:bidi="ar"/>
                <w14:textFill>
                  <w14:solidFill>
                    <w14:schemeClr w14:val="tx1"/>
                  </w14:solidFill>
                </w14:textFill>
              </w:rPr>
              <w:t>和辅助防护设施</w:t>
            </w:r>
            <w:r>
              <w:rPr>
                <w:rFonts w:hint="eastAsia" w:ascii="Times New Roman" w:hAnsi="Times New Roman"/>
                <w:color w:val="000000" w:themeColor="text1"/>
                <w:kern w:val="0"/>
                <w:sz w:val="24"/>
                <w:lang w:bidi="ar"/>
                <w14:textFill>
                  <w14:solidFill>
                    <w14:schemeClr w14:val="tx1"/>
                  </w14:solidFill>
                </w14:textFill>
              </w:rPr>
              <w:t>铅帘</w:t>
            </w:r>
            <w:r>
              <w:rPr>
                <w:rFonts w:ascii="Times New Roman" w:hAnsi="Times New Roman"/>
                <w:color w:val="000000" w:themeColor="text1"/>
                <w:kern w:val="0"/>
                <w:sz w:val="24"/>
                <w:lang w:bidi="ar"/>
                <w14:textFill>
                  <w14:solidFill>
                    <w14:schemeClr w14:val="tx1"/>
                  </w14:solidFill>
                </w14:textFill>
              </w:rPr>
              <w:t>的铅当量</w:t>
            </w:r>
            <w:r>
              <w:rPr>
                <w:rFonts w:hint="eastAsia" w:ascii="Times New Roman" w:hAnsi="Times New Roman"/>
                <w:color w:val="000000" w:themeColor="text1"/>
                <w:kern w:val="0"/>
                <w:sz w:val="24"/>
                <w:lang w:bidi="ar"/>
                <w14:textFill>
                  <w14:solidFill>
                    <w14:schemeClr w14:val="tx1"/>
                  </w14:solidFill>
                </w14:textFill>
              </w:rPr>
              <w:t>为</w:t>
            </w:r>
            <w:r>
              <w:rPr>
                <w:rFonts w:ascii="Times New Roman" w:hAnsi="Times New Roman"/>
                <w:color w:val="000000" w:themeColor="text1"/>
                <w:kern w:val="0"/>
                <w:sz w:val="24"/>
                <w:lang w:bidi="ar"/>
                <w14:textFill>
                  <w14:solidFill>
                    <w14:schemeClr w14:val="tx1"/>
                  </w14:solidFill>
                </w14:textFill>
              </w:rPr>
              <w:t>0.</w:t>
            </w:r>
            <w:r>
              <w:rPr>
                <w:rFonts w:hint="eastAsia" w:ascii="Times New Roman" w:hAnsi="Times New Roman"/>
                <w:color w:val="000000" w:themeColor="text1"/>
                <w:kern w:val="0"/>
                <w:sz w:val="24"/>
                <w:lang w:bidi="ar"/>
                <w14:textFill>
                  <w14:solidFill>
                    <w14:schemeClr w14:val="tx1"/>
                  </w14:solidFill>
                </w14:textFill>
              </w:rPr>
              <w:t>50</w:t>
            </w:r>
            <w:r>
              <w:rPr>
                <w:rFonts w:ascii="Times New Roman" w:hAnsi="Times New Roman"/>
                <w:color w:val="000000" w:themeColor="text1"/>
                <w:kern w:val="0"/>
                <w:sz w:val="24"/>
                <w:lang w:bidi="ar"/>
                <w14:textFill>
                  <w14:solidFill>
                    <w14:schemeClr w14:val="tx1"/>
                  </w14:solidFill>
                </w14:textFill>
              </w:rPr>
              <w:t>mmPb；介入防护手套铅当量</w:t>
            </w:r>
            <w:r>
              <w:rPr>
                <w:rFonts w:hint="eastAsia" w:ascii="Times New Roman" w:hAnsi="Times New Roman"/>
                <w:color w:val="000000" w:themeColor="text1"/>
                <w:kern w:val="0"/>
                <w:sz w:val="24"/>
                <w:lang w:bidi="ar"/>
                <w14:textFill>
                  <w14:solidFill>
                    <w14:schemeClr w14:val="tx1"/>
                  </w14:solidFill>
                </w14:textFill>
              </w:rPr>
              <w:t>为</w:t>
            </w:r>
            <w:r>
              <w:rPr>
                <w:rFonts w:ascii="Times New Roman" w:hAnsi="Times New Roman"/>
                <w:color w:val="000000" w:themeColor="text1"/>
                <w:kern w:val="0"/>
                <w:sz w:val="24"/>
                <w:lang w:bidi="ar"/>
                <w14:textFill>
                  <w14:solidFill>
                    <w14:schemeClr w14:val="tx1"/>
                  </w14:solidFill>
                </w14:textFill>
              </w:rPr>
              <w:t>0.025mmPb；甲状腺、性腺防护用品铅当量</w:t>
            </w:r>
            <w:r>
              <w:rPr>
                <w:rFonts w:hint="eastAsia" w:ascii="Times New Roman" w:hAnsi="Times New Roman"/>
                <w:color w:val="000000" w:themeColor="text1"/>
                <w:kern w:val="0"/>
                <w:sz w:val="24"/>
                <w:lang w:bidi="ar"/>
                <w14:textFill>
                  <w14:solidFill>
                    <w14:schemeClr w14:val="tx1"/>
                  </w14:solidFill>
                </w14:textFill>
              </w:rPr>
              <w:t>为</w:t>
            </w:r>
            <w:r>
              <w:rPr>
                <w:rFonts w:ascii="Times New Roman" w:hAnsi="Times New Roman"/>
                <w:color w:val="000000" w:themeColor="text1"/>
                <w:kern w:val="0"/>
                <w:sz w:val="24"/>
                <w:lang w:bidi="ar"/>
                <w14:textFill>
                  <w14:solidFill>
                    <w14:schemeClr w14:val="tx1"/>
                  </w14:solidFill>
                </w14:textFill>
              </w:rPr>
              <w:t>0.5mmPb。</w:t>
            </w:r>
          </w:p>
          <w:p w14:paraId="0CB1952F">
            <w:pPr>
              <w:keepNext/>
              <w:spacing w:line="360" w:lineRule="auto"/>
              <w:ind w:firstLine="482" w:firstLineChars="200"/>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fldChar w:fldCharType="begin"/>
            </w:r>
            <w:r>
              <w:rPr>
                <w:rFonts w:ascii="Times New Roman" w:hAnsi="Times New Roman"/>
                <w:b/>
                <w:bCs/>
                <w:color w:val="000000" w:themeColor="text1"/>
                <w:sz w:val="24"/>
                <w14:textFill>
                  <w14:solidFill>
                    <w14:schemeClr w14:val="tx1"/>
                  </w14:solidFill>
                </w14:textFill>
              </w:rPr>
              <w:instrText xml:space="preserve"> = 4 \* GB3 </w:instrText>
            </w:r>
            <w:r>
              <w:rPr>
                <w:rFonts w:ascii="Times New Roman" w:hAnsi="Times New Roman"/>
                <w:b/>
                <w:bCs/>
                <w:color w:val="000000" w:themeColor="text1"/>
                <w:sz w:val="24"/>
                <w14:textFill>
                  <w14:solidFill>
                    <w14:schemeClr w14:val="tx1"/>
                  </w14:solidFill>
                </w14:textFill>
              </w:rPr>
              <w:fldChar w:fldCharType="separate"/>
            </w:r>
            <w:r>
              <w:rPr>
                <w:rFonts w:ascii="Times New Roman" w:hAnsi="Times New Roman"/>
                <w:b/>
                <w:bCs/>
                <w:color w:val="000000" w:themeColor="text1"/>
                <w:sz w:val="24"/>
                <w14:textFill>
                  <w14:solidFill>
                    <w14:schemeClr w14:val="tx1"/>
                  </w14:solidFill>
                </w14:textFill>
              </w:rPr>
              <w:t>④</w:t>
            </w:r>
            <w:r>
              <w:rPr>
                <w:rFonts w:ascii="Times New Roman" w:hAnsi="Times New Roman"/>
                <w:b/>
                <w:bCs/>
                <w:color w:val="000000" w:themeColor="text1"/>
                <w:sz w:val="24"/>
                <w14:textFill>
                  <w14:solidFill>
                    <w14:schemeClr w14:val="tx1"/>
                  </w14:solidFill>
                </w14:textFill>
              </w:rPr>
              <w:fldChar w:fldCharType="end"/>
            </w:r>
            <w:r>
              <w:rPr>
                <w:rFonts w:ascii="Times New Roman" w:hAnsi="Times New Roman"/>
                <w:b/>
                <w:bCs/>
                <w:color w:val="000000" w:themeColor="text1"/>
                <w:sz w:val="24"/>
                <w14:textFill>
                  <w14:solidFill>
                    <w14:schemeClr w14:val="tx1"/>
                  </w14:solidFill>
                </w14:textFill>
              </w:rPr>
              <w:t>个人剂量监测</w:t>
            </w:r>
          </w:p>
          <w:p w14:paraId="1421740D">
            <w:pPr>
              <w:keepNext/>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辐射工作人员均应配备有个人剂量计，并要求上班期间必须</w:t>
            </w:r>
            <w:r>
              <w:rPr>
                <w:rFonts w:hint="eastAsia" w:ascii="Times New Roman" w:hAnsi="Times New Roman"/>
                <w:color w:val="000000" w:themeColor="text1"/>
                <w:sz w:val="24"/>
                <w:lang w:val="en-US" w:eastAsia="zh-CN"/>
                <w14:textFill>
                  <w14:solidFill>
                    <w14:schemeClr w14:val="tx1"/>
                  </w14:solidFill>
                </w14:textFill>
              </w:rPr>
              <w:t>佩戴</w:t>
            </w:r>
            <w:r>
              <w:rPr>
                <w:rFonts w:ascii="Times New Roman" w:hAnsi="Times New Roman"/>
                <w:color w:val="000000" w:themeColor="text1"/>
                <w:sz w:val="24"/>
                <w14:textFill>
                  <w14:solidFill>
                    <w14:schemeClr w14:val="tx1"/>
                  </w14:solidFill>
                </w14:textFill>
              </w:rPr>
              <w:t>。医院定期（每季度一次）将个人剂量计送有资质单位进行检测，检测结果存入个人剂量档案。</w:t>
            </w:r>
          </w:p>
          <w:p w14:paraId="19600DD1">
            <w:pPr>
              <w:keepNext/>
              <w:spacing w:line="360" w:lineRule="auto"/>
              <w:ind w:firstLine="480" w:firstLineChars="200"/>
              <w:rPr>
                <w:color w:val="000000" w:themeColor="text1"/>
                <w14:textFill>
                  <w14:solidFill>
                    <w14:schemeClr w14:val="tx1"/>
                  </w14:solidFill>
                </w14:textFill>
              </w:rPr>
            </w:pPr>
            <w:r>
              <w:rPr>
                <w:rFonts w:ascii="Times New Roman" w:hAnsi="Times New Roman"/>
                <w:color w:val="000000" w:themeColor="text1"/>
                <w:sz w:val="24"/>
                <w14:textFill>
                  <w14:solidFill>
                    <w14:schemeClr w14:val="tx1"/>
                  </w14:solidFill>
                </w14:textFill>
              </w:rPr>
              <w:t>辐射工作人员必须在从事辐射工作时间内正确佩戴个人剂量计（介入辐射应佩戴双剂量计</w:t>
            </w:r>
            <w:r>
              <w:rPr>
                <w:rFonts w:hint="eastAsia" w:ascii="Times New Roman" w:hAnsi="Times New Roman"/>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一个佩戴在铅围裙内左胸前，另一个佩戴在铅围裙外衣领处）。个人剂量计专人专用，不得混用。个人剂量计不佩戴时，由本人保管。禁止放在有人工射线源照射、日晒和紫外照射的地方，同时避免受潮、有机溶剂浸泡和靠近热源。个人剂量计的检测周期最长不超过3个月。</w:t>
            </w:r>
          </w:p>
          <w:p w14:paraId="4A414936">
            <w:pPr>
              <w:pStyle w:val="53"/>
              <w:keepNext/>
              <w:numPr>
                <w:ilvl w:val="0"/>
                <w:numId w:val="14"/>
              </w:numPr>
              <w:spacing w:line="360" w:lineRule="auto"/>
              <w:ind w:firstLineChars="0"/>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受检者或患者的安全防护</w:t>
            </w:r>
          </w:p>
          <w:p w14:paraId="0E4E0633">
            <w:pPr>
              <w:keepNext/>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医院应配有铅橡胶性腺防护围裙（方形）或方巾、铅橡胶颈套，用于患者非照射部位进行防护，以避免病人受到不必要的照射。另外，在不影响工作质量的前提下，保持与射线装置尽可能大的距离。</w:t>
            </w:r>
          </w:p>
          <w:p w14:paraId="27ECEB61">
            <w:pPr>
              <w:pStyle w:val="53"/>
              <w:keepNext/>
              <w:numPr>
                <w:ilvl w:val="0"/>
                <w:numId w:val="14"/>
              </w:numPr>
              <w:spacing w:line="360" w:lineRule="auto"/>
              <w:ind w:firstLineChars="0"/>
              <w:rPr>
                <w:rFonts w:ascii="Times New Roman" w:hAnsi="Times New Roman"/>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机房周边公众的安全防护</w:t>
            </w:r>
          </w:p>
          <w:p w14:paraId="4DF950A0">
            <w:pPr>
              <w:pStyle w:val="53"/>
              <w:keepNext/>
              <w:spacing w:line="360" w:lineRule="auto"/>
              <w:ind w:firstLine="480"/>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机房周围公众主要依托辐射工作场所的屏蔽墙体、防护门窗和楼板屏蔽射线。同时，辐射工作场所严格实行辐射防护“两区”管理，在机房门外张贴电离辐射警告标志和工作状态指示灯箱，禁止无关人员进入，以增加公众与射线装置之间的防护距离，避免受到不必要的照射，定期对辐射安全设施的进行维护，确保实时有效。</w:t>
            </w:r>
          </w:p>
          <w:p w14:paraId="4165E967">
            <w:pPr>
              <w:spacing w:line="360" w:lineRule="auto"/>
              <w:jc w:val="left"/>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三、工作场所辐射安全防护设施</w:t>
            </w:r>
          </w:p>
          <w:p w14:paraId="2BFFF614">
            <w:pPr>
              <w:widowControl/>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kern w:val="0"/>
                <w:sz w:val="24"/>
              </w:rPr>
              <w:t>结合《放射诊断放射防护要求》（GBZ130-2020）和《核技术利用监督检查技术程序》（生态环境部（国家核安全局））和《四川省核技术利用辐射安全与防护监督检查大纲》（川环函</w:t>
            </w:r>
            <w:r>
              <w:rPr>
                <w:rFonts w:hint="eastAsia" w:ascii="Times New Roman" w:hAnsi="Times New Roman"/>
                <w:color w:val="000000"/>
                <w:kern w:val="0"/>
                <w:sz w:val="24"/>
                <w:lang w:eastAsia="zh-CN"/>
              </w:rPr>
              <w:t>〔</w:t>
            </w:r>
            <w:r>
              <w:rPr>
                <w:rFonts w:ascii="Times New Roman" w:hAnsi="Times New Roman"/>
                <w:color w:val="000000"/>
                <w:kern w:val="0"/>
                <w:sz w:val="24"/>
              </w:rPr>
              <w:t>2016</w:t>
            </w:r>
            <w:r>
              <w:rPr>
                <w:rFonts w:hint="eastAsia" w:ascii="Times New Roman" w:hAnsi="Times New Roman"/>
                <w:color w:val="000000"/>
                <w:kern w:val="0"/>
                <w:sz w:val="24"/>
                <w:lang w:eastAsia="zh-CN"/>
              </w:rPr>
              <w:t>〕</w:t>
            </w:r>
            <w:r>
              <w:rPr>
                <w:rFonts w:ascii="Times New Roman" w:hAnsi="Times New Roman"/>
                <w:color w:val="000000"/>
                <w:kern w:val="0"/>
                <w:sz w:val="24"/>
              </w:rPr>
              <w:t>1400号）</w:t>
            </w:r>
            <w:r>
              <w:rPr>
                <w:rFonts w:ascii="Times New Roman" w:hAnsi="Times New Roman"/>
                <w:color w:val="000000" w:themeColor="text1"/>
                <w:sz w:val="24"/>
                <w14:textFill>
                  <w14:solidFill>
                    <w14:schemeClr w14:val="tx1"/>
                  </w14:solidFill>
                </w14:textFill>
              </w:rPr>
              <w:t>对</w:t>
            </w:r>
            <w:r>
              <w:rPr>
                <w:rFonts w:ascii="Times New Roman" w:hAnsi="Times New Roman"/>
                <w:color w:val="000000" w:themeColor="text1"/>
                <w:sz w:val="24"/>
                <w14:textFill>
                  <w14:solidFill>
                    <w14:schemeClr w14:val="tx1"/>
                  </w14:solidFill>
                </w14:textFill>
              </w:rPr>
              <w:fldChar w:fldCharType="begin"/>
            </w:r>
            <w:r>
              <w:rPr>
                <w:rFonts w:ascii="Times New Roman" w:hAnsi="Times New Roman"/>
                <w:color w:val="000000" w:themeColor="text1"/>
                <w:sz w:val="24"/>
                <w14:textFill>
                  <w14:solidFill>
                    <w14:schemeClr w14:val="tx1"/>
                  </w14:solidFill>
                </w14:textFill>
              </w:rPr>
              <w:instrText xml:space="preserve"> = 2 \* ROMAN </w:instrText>
            </w:r>
            <w:r>
              <w:rPr>
                <w:rFonts w:ascii="Times New Roman" w:hAnsi="Times New Roman"/>
                <w:color w:val="000000" w:themeColor="text1"/>
                <w:sz w:val="24"/>
                <w14:textFill>
                  <w14:solidFill>
                    <w14:schemeClr w14:val="tx1"/>
                  </w14:solidFill>
                </w14:textFill>
              </w:rPr>
              <w:fldChar w:fldCharType="separate"/>
            </w:r>
            <w:r>
              <w:rPr>
                <w:rFonts w:ascii="Times New Roman" w:hAnsi="Times New Roman"/>
                <w:color w:val="000000" w:themeColor="text1"/>
                <w:sz w:val="24"/>
                <w14:textFill>
                  <w14:solidFill>
                    <w14:schemeClr w14:val="tx1"/>
                  </w14:solidFill>
                </w14:textFill>
              </w:rPr>
              <w:t>Ⅱ</w:t>
            </w:r>
            <w:r>
              <w:rPr>
                <w:rFonts w:ascii="Times New Roman" w:hAnsi="Times New Roman"/>
                <w:color w:val="000000" w:themeColor="text1"/>
                <w:sz w:val="24"/>
                <w14:textFill>
                  <w14:solidFill>
                    <w14:schemeClr w14:val="tx1"/>
                  </w14:solidFill>
                </w14:textFill>
              </w:rPr>
              <w:fldChar w:fldCharType="end"/>
            </w:r>
            <w:r>
              <w:rPr>
                <w:rFonts w:ascii="Times New Roman" w:hAnsi="Times New Roman"/>
                <w:color w:val="000000" w:themeColor="text1"/>
                <w:sz w:val="24"/>
                <w14:textFill>
                  <w14:solidFill>
                    <w14:schemeClr w14:val="tx1"/>
                  </w14:solidFill>
                </w14:textFill>
              </w:rPr>
              <w:t>医用射线装置的要求，根据建设单位拟采取的辐射安全措施进行了对照分析，具体情况见表10-</w:t>
            </w:r>
            <w:r>
              <w:rPr>
                <w:rFonts w:hint="eastAsia" w:ascii="Times New Roman" w:hAnsi="Times New Roman"/>
                <w:color w:val="000000" w:themeColor="text1"/>
                <w:sz w:val="24"/>
                <w14:textFill>
                  <w14:solidFill>
                    <w14:schemeClr w14:val="tx1"/>
                  </w14:solidFill>
                </w14:textFill>
              </w:rPr>
              <w:t>5</w:t>
            </w:r>
            <w:r>
              <w:rPr>
                <w:rFonts w:ascii="Times New Roman" w:hAnsi="Times New Roman"/>
                <w:color w:val="000000" w:themeColor="text1"/>
                <w:sz w:val="24"/>
                <w14:textFill>
                  <w14:solidFill>
                    <w14:schemeClr w14:val="tx1"/>
                  </w14:solidFill>
                </w14:textFill>
              </w:rPr>
              <w:t>：</w:t>
            </w:r>
          </w:p>
          <w:p w14:paraId="3E6D94AC">
            <w:pPr>
              <w:keepNext/>
              <w:numPr>
                <w:ilvl w:val="0"/>
                <w:numId w:val="12"/>
              </w:numPr>
              <w:spacing w:line="360" w:lineRule="auto"/>
              <w:ind w:left="425" w:hanging="425"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医用辐射安全防护设施对照分析表</w:t>
            </w:r>
          </w:p>
          <w:tbl>
            <w:tblPr>
              <w:tblStyle w:val="23"/>
              <w:tblW w:w="903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76"/>
              <w:gridCol w:w="800"/>
              <w:gridCol w:w="2438"/>
              <w:gridCol w:w="1745"/>
              <w:gridCol w:w="3580"/>
            </w:tblGrid>
            <w:tr w14:paraId="365B20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tcBorders>
                    <w:top w:val="single" w:color="auto" w:sz="12" w:space="0"/>
                  </w:tcBorders>
                  <w:vAlign w:val="center"/>
                </w:tcPr>
                <w:p w14:paraId="1DA4A636">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序号</w:t>
                  </w:r>
                </w:p>
              </w:tc>
              <w:tc>
                <w:tcPr>
                  <w:tcW w:w="800" w:type="dxa"/>
                  <w:tcBorders>
                    <w:top w:val="single" w:color="auto" w:sz="12" w:space="0"/>
                  </w:tcBorders>
                  <w:vAlign w:val="center"/>
                </w:tcPr>
                <w:p w14:paraId="47C0D105">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项目</w:t>
                  </w:r>
                </w:p>
              </w:tc>
              <w:tc>
                <w:tcPr>
                  <w:tcW w:w="2438" w:type="dxa"/>
                  <w:tcBorders>
                    <w:top w:val="single" w:color="auto" w:sz="12" w:space="0"/>
                  </w:tcBorders>
                  <w:vAlign w:val="center"/>
                </w:tcPr>
                <w:p w14:paraId="61852C30">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规定的措施和制度</w:t>
                  </w:r>
                </w:p>
              </w:tc>
              <w:tc>
                <w:tcPr>
                  <w:tcW w:w="1745" w:type="dxa"/>
                  <w:tcBorders>
                    <w:top w:val="single" w:color="auto" w:sz="12" w:space="0"/>
                  </w:tcBorders>
                  <w:vAlign w:val="center"/>
                </w:tcPr>
                <w:p w14:paraId="2AE93C29">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现有情况</w:t>
                  </w:r>
                </w:p>
              </w:tc>
              <w:tc>
                <w:tcPr>
                  <w:tcW w:w="3580" w:type="dxa"/>
                  <w:tcBorders>
                    <w:top w:val="single" w:color="auto" w:sz="12" w:space="0"/>
                  </w:tcBorders>
                  <w:vAlign w:val="center"/>
                </w:tcPr>
                <w:p w14:paraId="5637A11E">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应增加的措施</w:t>
                  </w:r>
                </w:p>
              </w:tc>
            </w:tr>
            <w:tr w14:paraId="19404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restart"/>
                  <w:vAlign w:val="center"/>
                </w:tcPr>
                <w:p w14:paraId="69893A7B">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1</w:t>
                  </w:r>
                </w:p>
              </w:tc>
              <w:tc>
                <w:tcPr>
                  <w:tcW w:w="800" w:type="dxa"/>
                  <w:vMerge w:val="restart"/>
                  <w:vAlign w:val="center"/>
                </w:tcPr>
                <w:p w14:paraId="03D5E115">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场所</w:t>
                  </w:r>
                </w:p>
                <w:p w14:paraId="4BB200A1">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设施</w:t>
                  </w:r>
                </w:p>
              </w:tc>
              <w:tc>
                <w:tcPr>
                  <w:tcW w:w="2438" w:type="dxa"/>
                  <w:vAlign w:val="center"/>
                </w:tcPr>
                <w:p w14:paraId="01F703B3">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操作位局部屏蔽防护设施</w:t>
                  </w:r>
                </w:p>
              </w:tc>
              <w:tc>
                <w:tcPr>
                  <w:tcW w:w="1745" w:type="dxa"/>
                  <w:vAlign w:val="center"/>
                </w:tcPr>
                <w:p w14:paraId="32715F75">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设备自带铅帘</w:t>
                  </w:r>
                </w:p>
              </w:tc>
              <w:tc>
                <w:tcPr>
                  <w:tcW w:w="3580" w:type="dxa"/>
                  <w:vAlign w:val="center"/>
                </w:tcPr>
                <w:p w14:paraId="1E208125">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r>
            <w:tr w14:paraId="4C07E3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476" w:type="dxa"/>
                  <w:vMerge w:val="continue"/>
                  <w:vAlign w:val="center"/>
                </w:tcPr>
                <w:p w14:paraId="4590C946">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63E4C3E1">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771AE4D7">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观察窗屏蔽</w:t>
                  </w:r>
                </w:p>
              </w:tc>
              <w:tc>
                <w:tcPr>
                  <w:tcW w:w="1745" w:type="dxa"/>
                  <w:vAlign w:val="center"/>
                </w:tcPr>
                <w:p w14:paraId="026B501C">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c>
                <w:tcPr>
                  <w:tcW w:w="3580" w:type="dxa"/>
                  <w:vAlign w:val="center"/>
                </w:tcPr>
                <w:p w14:paraId="22C9A745">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1扇</w:t>
                  </w:r>
                </w:p>
              </w:tc>
            </w:tr>
            <w:tr w14:paraId="50A97E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24B95D54">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6BB01446">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25ECCDEE">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机房防护门</w:t>
                  </w:r>
                </w:p>
              </w:tc>
              <w:tc>
                <w:tcPr>
                  <w:tcW w:w="1745" w:type="dxa"/>
                  <w:vAlign w:val="center"/>
                </w:tcPr>
                <w:p w14:paraId="6AD43EBA">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c>
                <w:tcPr>
                  <w:tcW w:w="3580" w:type="dxa"/>
                  <w:vAlign w:val="center"/>
                </w:tcPr>
                <w:p w14:paraId="3C049B8B">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3扇</w:t>
                  </w:r>
                </w:p>
              </w:tc>
            </w:tr>
            <w:tr w14:paraId="3D7C7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7905E2FA">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11CBD2E8">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29131439">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通风设施</w:t>
                  </w:r>
                </w:p>
              </w:tc>
              <w:tc>
                <w:tcPr>
                  <w:tcW w:w="1745" w:type="dxa"/>
                  <w:vAlign w:val="center"/>
                </w:tcPr>
                <w:p w14:paraId="52C84F5F">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1FF56772">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排风</w:t>
                  </w:r>
                  <w:r>
                    <w:rPr>
                      <w:rFonts w:hint="eastAsia" w:ascii="Times New Roman" w:hAnsi="Times New Roman"/>
                      <w:color w:val="000000" w:themeColor="text1"/>
                      <w:szCs w:val="21"/>
                      <w14:textFill>
                        <w14:solidFill>
                          <w14:schemeClr w14:val="tx1"/>
                        </w14:solidFill>
                      </w14:textFill>
                    </w:rPr>
                    <w:t>系统</w:t>
                  </w:r>
                </w:p>
              </w:tc>
            </w:tr>
            <w:tr w14:paraId="2438CB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0DC36099">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3A4D2608">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0D360E5E">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紧急停机按钮</w:t>
                  </w:r>
                </w:p>
              </w:tc>
              <w:tc>
                <w:tcPr>
                  <w:tcW w:w="1745" w:type="dxa"/>
                  <w:vAlign w:val="center"/>
                </w:tcPr>
                <w:p w14:paraId="7B3917E2">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设备自带</w:t>
                  </w:r>
                </w:p>
              </w:tc>
              <w:tc>
                <w:tcPr>
                  <w:tcW w:w="3580" w:type="dxa"/>
                  <w:vAlign w:val="center"/>
                </w:tcPr>
                <w:p w14:paraId="730978CD">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设计中已有</w:t>
                  </w:r>
                </w:p>
              </w:tc>
            </w:tr>
            <w:tr w14:paraId="5F8CA9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2C1141CD">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36A3E7DF">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6F4C4FCF">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DSA机房</w:t>
                  </w:r>
                  <w:r>
                    <w:rPr>
                      <w:rFonts w:ascii="Times New Roman" w:hAnsi="Times New Roman"/>
                      <w:color w:val="000000" w:themeColor="text1"/>
                      <w:szCs w:val="21"/>
                      <w14:textFill>
                        <w14:solidFill>
                          <w14:schemeClr w14:val="tx1"/>
                        </w14:solidFill>
                      </w14:textFill>
                    </w:rPr>
                    <w:t>电动防护移门</w:t>
                  </w:r>
                  <w:r>
                    <w:rPr>
                      <w:rFonts w:hint="eastAsia" w:ascii="Times New Roman" w:hAnsi="Times New Roman"/>
                      <w:color w:val="000000" w:themeColor="text1"/>
                      <w:szCs w:val="21"/>
                      <w14:textFill>
                        <w14:solidFill>
                          <w14:schemeClr w14:val="tx1"/>
                        </w14:solidFill>
                      </w14:textFill>
                    </w:rPr>
                    <w:t>设置防夹</w:t>
                  </w:r>
                  <w:r>
                    <w:rPr>
                      <w:rFonts w:ascii="Times New Roman" w:hAnsi="Times New Roman"/>
                      <w:color w:val="000000" w:themeColor="text1"/>
                      <w:szCs w:val="21"/>
                      <w14:textFill>
                        <w14:solidFill>
                          <w14:schemeClr w14:val="tx1"/>
                        </w14:solidFill>
                      </w14:textFill>
                    </w:rPr>
                    <w:t>装置</w:t>
                  </w:r>
                  <w:r>
                    <w:rPr>
                      <w:rFonts w:hint="eastAsia" w:ascii="Times New Roman" w:hAnsi="Times New Roman"/>
                      <w:color w:val="000000" w:themeColor="text1"/>
                      <w:szCs w:val="21"/>
                      <w14:textFill>
                        <w14:solidFill>
                          <w14:schemeClr w14:val="tx1"/>
                        </w14:solidFill>
                      </w14:textFill>
                    </w:rPr>
                    <w:t>，平开门设置闭门装置</w:t>
                  </w:r>
                </w:p>
              </w:tc>
              <w:tc>
                <w:tcPr>
                  <w:tcW w:w="1745" w:type="dxa"/>
                  <w:vAlign w:val="center"/>
                </w:tcPr>
                <w:p w14:paraId="4976D377">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6D3E202D">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DSA机房</w:t>
                  </w:r>
                  <w:r>
                    <w:rPr>
                      <w:rFonts w:ascii="Times New Roman" w:hAnsi="Times New Roman"/>
                      <w:color w:val="000000" w:themeColor="text1"/>
                      <w:szCs w:val="21"/>
                      <w14:textFill>
                        <w14:solidFill>
                          <w14:schemeClr w14:val="tx1"/>
                        </w14:solidFill>
                      </w14:textFill>
                    </w:rPr>
                    <w:t>电动防护移门</w:t>
                  </w:r>
                  <w:r>
                    <w:rPr>
                      <w:rFonts w:hint="eastAsia" w:ascii="Times New Roman" w:hAnsi="Times New Roman"/>
                      <w:color w:val="000000" w:themeColor="text1"/>
                      <w:szCs w:val="21"/>
                      <w14:textFill>
                        <w14:solidFill>
                          <w14:schemeClr w14:val="tx1"/>
                        </w14:solidFill>
                      </w14:textFill>
                    </w:rPr>
                    <w:t>设置防夹</w:t>
                  </w:r>
                  <w:r>
                    <w:rPr>
                      <w:rFonts w:ascii="Times New Roman" w:hAnsi="Times New Roman"/>
                      <w:color w:val="000000" w:themeColor="text1"/>
                      <w:szCs w:val="21"/>
                      <w14:textFill>
                        <w14:solidFill>
                          <w14:schemeClr w14:val="tx1"/>
                        </w14:solidFill>
                      </w14:textFill>
                    </w:rPr>
                    <w:t>装置</w:t>
                  </w:r>
                  <w:r>
                    <w:rPr>
                      <w:rFonts w:hint="eastAsia" w:ascii="Times New Roman" w:hAnsi="Times New Roman"/>
                      <w:color w:val="000000" w:themeColor="text1"/>
                      <w:szCs w:val="21"/>
                      <w14:textFill>
                        <w14:solidFill>
                          <w14:schemeClr w14:val="tx1"/>
                        </w14:solidFill>
                      </w14:textFill>
                    </w:rPr>
                    <w:t>，平开门设置闭门装置</w:t>
                  </w:r>
                </w:p>
              </w:tc>
            </w:tr>
            <w:tr w14:paraId="6B87A5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423A928E">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6D3FBABF">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76AA6069">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门灯</w:t>
                  </w:r>
                  <w:r>
                    <w:rPr>
                      <w:rFonts w:hint="eastAsia" w:ascii="Times New Roman" w:hAnsi="Times New Roman"/>
                      <w:color w:val="000000" w:themeColor="text1"/>
                      <w:szCs w:val="21"/>
                      <w:lang w:val="en-US" w:eastAsia="zh-CN"/>
                      <w14:textFill>
                        <w14:solidFill>
                          <w14:schemeClr w14:val="tx1"/>
                        </w14:solidFill>
                      </w14:textFill>
                    </w:rPr>
                    <w:t>联</w:t>
                  </w:r>
                  <w:r>
                    <w:rPr>
                      <w:rFonts w:ascii="Times New Roman" w:hAnsi="Times New Roman"/>
                      <w:color w:val="000000" w:themeColor="text1"/>
                      <w:szCs w:val="21"/>
                      <w14:textFill>
                        <w14:solidFill>
                          <w14:schemeClr w14:val="tx1"/>
                        </w14:solidFill>
                      </w14:textFill>
                    </w:rPr>
                    <w:t>锁</w:t>
                  </w:r>
                </w:p>
              </w:tc>
              <w:tc>
                <w:tcPr>
                  <w:tcW w:w="1745" w:type="dxa"/>
                  <w:vAlign w:val="center"/>
                </w:tcPr>
                <w:p w14:paraId="4B77EE6D">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7E45EF4C">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门灯</w:t>
                  </w:r>
                  <w:r>
                    <w:rPr>
                      <w:rFonts w:hint="eastAsia" w:ascii="Times New Roman" w:hAnsi="Times New Roman"/>
                      <w:color w:val="000000" w:themeColor="text1"/>
                      <w:szCs w:val="21"/>
                      <w:lang w:val="en-US" w:eastAsia="zh-CN"/>
                      <w14:textFill>
                        <w14:solidFill>
                          <w14:schemeClr w14:val="tx1"/>
                        </w14:solidFill>
                      </w14:textFill>
                    </w:rPr>
                    <w:t>联</w:t>
                  </w:r>
                  <w:r>
                    <w:rPr>
                      <w:rFonts w:hint="eastAsia" w:ascii="Times New Roman" w:hAnsi="Times New Roman"/>
                      <w:color w:val="000000" w:themeColor="text1"/>
                      <w:szCs w:val="21"/>
                      <w14:textFill>
                        <w14:solidFill>
                          <w14:schemeClr w14:val="tx1"/>
                        </w14:solidFill>
                      </w14:textFill>
                    </w:rPr>
                    <w:t>锁医护进出门、污物门、患者进出门</w:t>
                  </w:r>
                  <w:r>
                    <w:rPr>
                      <w:rFonts w:ascii="Times New Roman" w:hAnsi="Times New Roman"/>
                      <w:color w:val="000000" w:themeColor="text1"/>
                      <w:szCs w:val="21"/>
                      <w14:textFill>
                        <w14:solidFill>
                          <w14:schemeClr w14:val="tx1"/>
                        </w14:solidFill>
                      </w14:textFill>
                    </w:rPr>
                    <w:t>需</w:t>
                  </w:r>
                  <w:r>
                    <w:rPr>
                      <w:rFonts w:hint="eastAsia" w:ascii="Times New Roman" w:hAnsi="Times New Roman"/>
                      <w:color w:val="000000" w:themeColor="text1"/>
                      <w:szCs w:val="21"/>
                      <w14:textFill>
                        <w14:solidFill>
                          <w14:schemeClr w14:val="tx1"/>
                        </w14:solidFill>
                      </w14:textFill>
                    </w:rPr>
                    <w:t>各</w:t>
                  </w:r>
                  <w:r>
                    <w:rPr>
                      <w:rFonts w:ascii="Times New Roman" w:hAnsi="Times New Roman"/>
                      <w:color w:val="000000" w:themeColor="text1"/>
                      <w:szCs w:val="21"/>
                      <w14:textFill>
                        <w14:solidFill>
                          <w14:schemeClr w14:val="tx1"/>
                        </w14:solidFill>
                      </w14:textFill>
                    </w:rPr>
                    <w:t>配备1</w:t>
                  </w:r>
                  <w:r>
                    <w:rPr>
                      <w:rFonts w:hint="eastAsia" w:ascii="Times New Roman" w:hAnsi="Times New Roman"/>
                      <w:color w:val="000000" w:themeColor="text1"/>
                      <w:szCs w:val="21"/>
                      <w14:textFill>
                        <w14:solidFill>
                          <w14:schemeClr w14:val="tx1"/>
                        </w14:solidFill>
                      </w14:textFill>
                    </w:rPr>
                    <w:t>台</w:t>
                  </w:r>
                </w:p>
              </w:tc>
            </w:tr>
            <w:tr w14:paraId="5FD410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58140E0D">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406D5A74">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4CB69605">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防盗设施</w:t>
                  </w:r>
                </w:p>
              </w:tc>
              <w:tc>
                <w:tcPr>
                  <w:tcW w:w="1745" w:type="dxa"/>
                  <w:vAlign w:val="center"/>
                </w:tcPr>
                <w:p w14:paraId="0319654E">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45F373FE">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一套</w:t>
                  </w:r>
                </w:p>
              </w:tc>
            </w:tr>
            <w:tr w14:paraId="694511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590C0B68">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6084D082">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0CF9B5C6">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对讲系统</w:t>
                  </w:r>
                </w:p>
              </w:tc>
              <w:tc>
                <w:tcPr>
                  <w:tcW w:w="1745" w:type="dxa"/>
                  <w:vAlign w:val="center"/>
                </w:tcPr>
                <w:p w14:paraId="7AD7F303">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c>
                <w:tcPr>
                  <w:tcW w:w="3580" w:type="dxa"/>
                  <w:vAlign w:val="center"/>
                </w:tcPr>
                <w:p w14:paraId="52B9F68C">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需配备</w:t>
                  </w:r>
                  <w:r>
                    <w:rPr>
                      <w:rFonts w:ascii="Times New Roman" w:hAnsi="Times New Roman"/>
                      <w:bCs/>
                      <w:color w:val="000000" w:themeColor="text1"/>
                      <w:szCs w:val="21"/>
                      <w14:textFill>
                        <w14:solidFill>
                          <w14:schemeClr w14:val="tx1"/>
                        </w14:solidFill>
                      </w14:textFill>
                    </w:rPr>
                    <w:t>1台</w:t>
                  </w:r>
                </w:p>
              </w:tc>
            </w:tr>
            <w:tr w14:paraId="60A355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74C227CB">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1A16815D">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6658A4D2">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入口处电离辐射警告标志</w:t>
                  </w:r>
                </w:p>
              </w:tc>
              <w:tc>
                <w:tcPr>
                  <w:tcW w:w="1745" w:type="dxa"/>
                  <w:vAlign w:val="center"/>
                </w:tcPr>
                <w:p w14:paraId="13BF3C6A">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20F1D3E1">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医护进出门、污物门、患者进出门</w:t>
                  </w:r>
                  <w:r>
                    <w:rPr>
                      <w:rFonts w:ascii="Times New Roman" w:hAnsi="Times New Roman"/>
                      <w:color w:val="000000" w:themeColor="text1"/>
                      <w:szCs w:val="21"/>
                      <w14:textFill>
                        <w14:solidFill>
                          <w14:schemeClr w14:val="tx1"/>
                        </w14:solidFill>
                      </w14:textFill>
                    </w:rPr>
                    <w:t>需</w:t>
                  </w:r>
                  <w:r>
                    <w:rPr>
                      <w:rFonts w:hint="eastAsia" w:ascii="Times New Roman" w:hAnsi="Times New Roman"/>
                      <w:color w:val="000000" w:themeColor="text1"/>
                      <w:szCs w:val="21"/>
                      <w14:textFill>
                        <w14:solidFill>
                          <w14:schemeClr w14:val="tx1"/>
                        </w14:solidFill>
                      </w14:textFill>
                    </w:rPr>
                    <w:t>各</w:t>
                  </w:r>
                  <w:r>
                    <w:rPr>
                      <w:rFonts w:ascii="Times New Roman" w:hAnsi="Times New Roman"/>
                      <w:color w:val="000000" w:themeColor="text1"/>
                      <w:szCs w:val="21"/>
                      <w14:textFill>
                        <w14:solidFill>
                          <w14:schemeClr w14:val="tx1"/>
                        </w14:solidFill>
                      </w14:textFill>
                    </w:rPr>
                    <w:t>配备1</w:t>
                  </w:r>
                  <w:r>
                    <w:rPr>
                      <w:rFonts w:hint="eastAsia" w:ascii="Times New Roman" w:hAnsi="Times New Roman"/>
                      <w:color w:val="000000" w:themeColor="text1"/>
                      <w:szCs w:val="21"/>
                      <w14:textFill>
                        <w14:solidFill>
                          <w14:schemeClr w14:val="tx1"/>
                        </w14:solidFill>
                      </w14:textFill>
                    </w:rPr>
                    <w:t>套</w:t>
                  </w:r>
                </w:p>
              </w:tc>
            </w:tr>
            <w:tr w14:paraId="0C54B4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540C94F8">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293A7A4E">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258552CD">
                  <w:pPr>
                    <w:jc w:val="center"/>
                    <w:rPr>
                      <w:rFonts w:hint="eastAsia" w:ascii="Times New Roman" w:hAnsi="Times New Roman" w:eastAsia="宋体"/>
                      <w:color w:val="000000" w:themeColor="text1"/>
                      <w:szCs w:val="21"/>
                      <w:lang w:eastAsia="zh-CN"/>
                      <w14:textFill>
                        <w14:solidFill>
                          <w14:schemeClr w14:val="tx1"/>
                        </w14:solidFill>
                      </w14:textFill>
                    </w:rPr>
                  </w:pPr>
                  <w:r>
                    <w:rPr>
                      <w:rFonts w:ascii="Times New Roman" w:hAnsi="Times New Roman"/>
                      <w:color w:val="000000" w:themeColor="text1"/>
                      <w:szCs w:val="21"/>
                      <w14:textFill>
                        <w14:solidFill>
                          <w14:schemeClr w14:val="tx1"/>
                        </w14:solidFill>
                      </w14:textFill>
                    </w:rPr>
                    <w:t>入口处机器工作状态指示灯箱</w:t>
                  </w:r>
                  <w:r>
                    <w:rPr>
                      <w:rFonts w:hint="eastAsia" w:ascii="Times New Roman" w:hAnsi="Times New Roman"/>
                      <w:color w:val="000000" w:themeColor="text1"/>
                      <w:szCs w:val="21"/>
                      <w:lang w:eastAsia="zh-CN"/>
                      <w14:textFill>
                        <w14:solidFill>
                          <w14:schemeClr w14:val="tx1"/>
                        </w14:solidFill>
                      </w14:textFill>
                    </w:rPr>
                    <w:t>（</w:t>
                  </w:r>
                  <w:r>
                    <w:rPr>
                      <w:rFonts w:hint="eastAsia" w:ascii="Times New Roman" w:hAnsi="Times New Roman"/>
                      <w:color w:val="000000" w:themeColor="text1"/>
                      <w:szCs w:val="21"/>
                      <w:lang w:val="en-US" w:eastAsia="zh-CN"/>
                      <w14:textFill>
                        <w14:solidFill>
                          <w14:schemeClr w14:val="tx1"/>
                        </w14:solidFill>
                      </w14:textFill>
                    </w:rPr>
                    <w:t>三色灯</w:t>
                  </w:r>
                  <w:r>
                    <w:rPr>
                      <w:rFonts w:hint="eastAsia" w:ascii="Times New Roman" w:hAnsi="Times New Roman"/>
                      <w:color w:val="000000" w:themeColor="text1"/>
                      <w:szCs w:val="21"/>
                      <w:lang w:eastAsia="zh-CN"/>
                      <w14:textFill>
                        <w14:solidFill>
                          <w14:schemeClr w14:val="tx1"/>
                        </w14:solidFill>
                      </w14:textFill>
                    </w:rPr>
                    <w:t>）</w:t>
                  </w:r>
                </w:p>
              </w:tc>
              <w:tc>
                <w:tcPr>
                  <w:tcW w:w="1745" w:type="dxa"/>
                  <w:vAlign w:val="center"/>
                </w:tcPr>
                <w:p w14:paraId="54E5F917">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3339C025">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医护进出门、污物门、患者进出门</w:t>
                  </w:r>
                  <w:r>
                    <w:rPr>
                      <w:rFonts w:ascii="Times New Roman" w:hAnsi="Times New Roman"/>
                      <w:color w:val="000000" w:themeColor="text1"/>
                      <w:szCs w:val="21"/>
                      <w14:textFill>
                        <w14:solidFill>
                          <w14:schemeClr w14:val="tx1"/>
                        </w14:solidFill>
                      </w14:textFill>
                    </w:rPr>
                    <w:t>需</w:t>
                  </w:r>
                  <w:r>
                    <w:rPr>
                      <w:rFonts w:hint="eastAsia" w:ascii="Times New Roman" w:hAnsi="Times New Roman"/>
                      <w:color w:val="000000" w:themeColor="text1"/>
                      <w:szCs w:val="21"/>
                      <w14:textFill>
                        <w14:solidFill>
                          <w14:schemeClr w14:val="tx1"/>
                        </w14:solidFill>
                      </w14:textFill>
                    </w:rPr>
                    <w:t>各</w:t>
                  </w:r>
                  <w:r>
                    <w:rPr>
                      <w:rFonts w:ascii="Times New Roman" w:hAnsi="Times New Roman"/>
                      <w:color w:val="000000" w:themeColor="text1"/>
                      <w:szCs w:val="21"/>
                      <w14:textFill>
                        <w14:solidFill>
                          <w14:schemeClr w14:val="tx1"/>
                        </w14:solidFill>
                      </w14:textFill>
                    </w:rPr>
                    <w:t>配备1</w:t>
                  </w:r>
                  <w:r>
                    <w:rPr>
                      <w:rFonts w:hint="eastAsia" w:ascii="Times New Roman" w:hAnsi="Times New Roman"/>
                      <w:color w:val="000000" w:themeColor="text1"/>
                      <w:szCs w:val="21"/>
                      <w14:textFill>
                        <w14:solidFill>
                          <w14:schemeClr w14:val="tx1"/>
                        </w14:solidFill>
                      </w14:textFill>
                    </w:rPr>
                    <w:t>台</w:t>
                  </w:r>
                </w:p>
              </w:tc>
            </w:tr>
            <w:tr w14:paraId="17D6D2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4" w:hRule="atLeast"/>
                <w:jc w:val="center"/>
              </w:trPr>
              <w:tc>
                <w:tcPr>
                  <w:tcW w:w="476" w:type="dxa"/>
                  <w:vMerge w:val="restart"/>
                  <w:vAlign w:val="center"/>
                </w:tcPr>
                <w:p w14:paraId="75CC0258">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2</w:t>
                  </w:r>
                </w:p>
              </w:tc>
              <w:tc>
                <w:tcPr>
                  <w:tcW w:w="800" w:type="dxa"/>
                  <w:vMerge w:val="restart"/>
                  <w:vAlign w:val="center"/>
                </w:tcPr>
                <w:p w14:paraId="79D409C9">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监测设备</w:t>
                  </w:r>
                </w:p>
              </w:tc>
              <w:tc>
                <w:tcPr>
                  <w:tcW w:w="2438" w:type="dxa"/>
                  <w:vAlign w:val="center"/>
                </w:tcPr>
                <w:p w14:paraId="40686307">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便携式辐射</w:t>
                  </w:r>
                  <w:r>
                    <w:rPr>
                      <w:rFonts w:hint="eastAsia" w:ascii="Times New Roman" w:hAnsi="Times New Roman"/>
                      <w:color w:val="000000" w:themeColor="text1"/>
                      <w:szCs w:val="21"/>
                      <w14:textFill>
                        <w14:solidFill>
                          <w14:schemeClr w14:val="tx1"/>
                        </w14:solidFill>
                      </w14:textFill>
                    </w:rPr>
                    <w:t>水平</w:t>
                  </w:r>
                  <w:r>
                    <w:rPr>
                      <w:rFonts w:ascii="Times New Roman" w:hAnsi="Times New Roman"/>
                      <w:color w:val="000000" w:themeColor="text1"/>
                      <w:szCs w:val="21"/>
                      <w14:textFill>
                        <w14:solidFill>
                          <w14:schemeClr w14:val="tx1"/>
                        </w14:solidFill>
                      </w14:textFill>
                    </w:rPr>
                    <w:t>监测仪</w:t>
                  </w:r>
                </w:p>
              </w:tc>
              <w:tc>
                <w:tcPr>
                  <w:tcW w:w="1745" w:type="dxa"/>
                  <w:vAlign w:val="center"/>
                </w:tcPr>
                <w:p w14:paraId="58E1896D">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17D12797">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需配备</w:t>
                  </w:r>
                  <w:r>
                    <w:rPr>
                      <w:rFonts w:ascii="Times New Roman" w:hAnsi="Times New Roman"/>
                      <w:bCs/>
                      <w:color w:val="000000" w:themeColor="text1"/>
                      <w:szCs w:val="21"/>
                      <w14:textFill>
                        <w14:solidFill>
                          <w14:schemeClr w14:val="tx1"/>
                        </w14:solidFill>
                      </w14:textFill>
                    </w:rPr>
                    <w:t>1台</w:t>
                  </w:r>
                </w:p>
              </w:tc>
            </w:tr>
            <w:tr w14:paraId="60ED2D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3178F9E7">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5AE7C660">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2B128DFD">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个人剂量报警仪</w:t>
                  </w:r>
                </w:p>
              </w:tc>
              <w:tc>
                <w:tcPr>
                  <w:tcW w:w="1745" w:type="dxa"/>
                  <w:vAlign w:val="center"/>
                </w:tcPr>
                <w:p w14:paraId="387927C6">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0DEAB321">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需配备</w:t>
                  </w:r>
                  <w:r>
                    <w:rPr>
                      <w:rFonts w:hint="eastAsia" w:ascii="Times New Roman" w:hAnsi="Times New Roman"/>
                      <w:bCs/>
                      <w:color w:val="000000" w:themeColor="text1"/>
                      <w:szCs w:val="21"/>
                      <w14:textFill>
                        <w14:solidFill>
                          <w14:schemeClr w14:val="tx1"/>
                        </w14:solidFill>
                      </w14:textFill>
                    </w:rPr>
                    <w:t>3</w:t>
                  </w:r>
                  <w:r>
                    <w:rPr>
                      <w:rFonts w:ascii="Times New Roman" w:hAnsi="Times New Roman"/>
                      <w:bCs/>
                      <w:color w:val="000000" w:themeColor="text1"/>
                      <w:szCs w:val="21"/>
                      <w14:textFill>
                        <w14:solidFill>
                          <w14:schemeClr w14:val="tx1"/>
                        </w14:solidFill>
                      </w14:textFill>
                    </w:rPr>
                    <w:t>台</w:t>
                  </w:r>
                </w:p>
              </w:tc>
            </w:tr>
            <w:tr w14:paraId="23C22B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Merge w:val="continue"/>
                  <w:vAlign w:val="center"/>
                </w:tcPr>
                <w:p w14:paraId="47A1DDCD">
                  <w:pPr>
                    <w:jc w:val="center"/>
                    <w:rPr>
                      <w:rFonts w:ascii="Times New Roman" w:hAnsi="Times New Roman"/>
                      <w:color w:val="000000" w:themeColor="text1"/>
                      <w:szCs w:val="21"/>
                      <w14:textFill>
                        <w14:solidFill>
                          <w14:schemeClr w14:val="tx1"/>
                        </w14:solidFill>
                      </w14:textFill>
                    </w:rPr>
                  </w:pPr>
                </w:p>
              </w:tc>
              <w:tc>
                <w:tcPr>
                  <w:tcW w:w="800" w:type="dxa"/>
                  <w:vMerge w:val="continue"/>
                  <w:vAlign w:val="center"/>
                </w:tcPr>
                <w:p w14:paraId="2A985A13">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520328E8">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个人剂量计</w:t>
                  </w:r>
                </w:p>
              </w:tc>
              <w:tc>
                <w:tcPr>
                  <w:tcW w:w="1745" w:type="dxa"/>
                  <w:vAlign w:val="center"/>
                </w:tcPr>
                <w:p w14:paraId="53060068">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207D1408">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新增人员共计配备</w:t>
                  </w:r>
                  <w:r>
                    <w:rPr>
                      <w:rFonts w:hint="eastAsia" w:ascii="Times New Roman" w:hAnsi="Times New Roman"/>
                      <w:color w:val="000000" w:themeColor="text1"/>
                      <w:szCs w:val="21"/>
                      <w:lang w:val="en-US" w:eastAsia="zh-CN"/>
                      <w14:textFill>
                        <w14:solidFill>
                          <w14:schemeClr w14:val="tx1"/>
                        </w14:solidFill>
                      </w14:textFill>
                    </w:rPr>
                    <w:t>14</w:t>
                  </w:r>
                  <w:r>
                    <w:rPr>
                      <w:rFonts w:hint="eastAsia" w:ascii="Times New Roman" w:hAnsi="Times New Roman"/>
                      <w:color w:val="000000" w:themeColor="text1"/>
                      <w:szCs w:val="21"/>
                      <w14:textFill>
                        <w14:solidFill>
                          <w14:schemeClr w14:val="tx1"/>
                        </w14:solidFill>
                      </w14:textFill>
                    </w:rPr>
                    <w:t>套</w:t>
                  </w:r>
                </w:p>
              </w:tc>
            </w:tr>
            <w:tr w14:paraId="2A946F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Align w:val="center"/>
                </w:tcPr>
                <w:p w14:paraId="67281E8D">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3</w:t>
                  </w:r>
                </w:p>
              </w:tc>
              <w:tc>
                <w:tcPr>
                  <w:tcW w:w="800" w:type="dxa"/>
                  <w:vMerge w:val="restart"/>
                  <w:vAlign w:val="center"/>
                </w:tcPr>
                <w:p w14:paraId="56059027">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防护器材</w:t>
                  </w:r>
                </w:p>
              </w:tc>
              <w:tc>
                <w:tcPr>
                  <w:tcW w:w="2438" w:type="dxa"/>
                  <w:vAlign w:val="center"/>
                </w:tcPr>
                <w:p w14:paraId="079C8958">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医护人员个人防护</w:t>
                  </w:r>
                </w:p>
              </w:tc>
              <w:tc>
                <w:tcPr>
                  <w:tcW w:w="1745" w:type="dxa"/>
                  <w:vAlign w:val="center"/>
                </w:tcPr>
                <w:p w14:paraId="0AACD7D6">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3580" w:type="dxa"/>
                  <w:vAlign w:val="center"/>
                </w:tcPr>
                <w:p w14:paraId="1A9D1FD5">
                  <w:pPr>
                    <w:widowControl/>
                    <w:jc w:val="left"/>
                    <w:rPr>
                      <w:rFonts w:hint="default" w:ascii="Times New Roman" w:hAnsi="Times New Roman" w:eastAsia="宋体"/>
                      <w:color w:val="000000" w:themeColor="text1"/>
                      <w:szCs w:val="21"/>
                      <w:lang w:val="en-US" w:eastAsia="zh-CN"/>
                      <w14:textFill>
                        <w14:solidFill>
                          <w14:schemeClr w14:val="tx1"/>
                        </w14:solidFill>
                      </w14:textFill>
                    </w:rPr>
                  </w:pPr>
                  <w:r>
                    <w:rPr>
                      <w:rFonts w:ascii="Times New Roman" w:hAnsi="Times New Roman"/>
                      <w:color w:val="000000" w:themeColor="text1"/>
                      <w:szCs w:val="21"/>
                      <w14:textFill>
                        <w14:solidFill>
                          <w14:schemeClr w14:val="tx1"/>
                        </w14:solidFill>
                      </w14:textFill>
                    </w:rPr>
                    <w:t>配备</w:t>
                  </w:r>
                  <w:r>
                    <w:rPr>
                      <w:rFonts w:hint="eastAsia" w:ascii="Times New Roman" w:hAnsi="Times New Roman"/>
                      <w:color w:val="000000" w:themeColor="text1"/>
                      <w:szCs w:val="21"/>
                      <w14:textFill>
                        <w14:solidFill>
                          <w14:schemeClr w14:val="tx1"/>
                        </w14:solidFill>
                      </w14:textFill>
                    </w:rPr>
                    <w:t>0.5mm</w:t>
                  </w:r>
                  <w:r>
                    <w:rPr>
                      <w:rFonts w:ascii="Times New Roman" w:hAnsi="Times New Roman"/>
                      <w:color w:val="000000" w:themeColor="text1"/>
                      <w:kern w:val="0"/>
                      <w:szCs w:val="21"/>
                      <w:lang w:bidi="ar"/>
                      <w14:textFill>
                        <w14:solidFill>
                          <w14:schemeClr w14:val="tx1"/>
                        </w14:solidFill>
                      </w14:textFill>
                    </w:rPr>
                    <w:t>Pb</w:t>
                  </w:r>
                  <w:r>
                    <w:rPr>
                      <w:rFonts w:hint="eastAsia" w:ascii="宋体" w:hAnsi="宋体" w:cs="宋体"/>
                      <w:color w:val="000000" w:themeColor="text1"/>
                      <w:kern w:val="0"/>
                      <w:szCs w:val="21"/>
                      <w:lang w:bidi="ar"/>
                      <w14:textFill>
                        <w14:solidFill>
                          <w14:schemeClr w14:val="tx1"/>
                        </w14:solidFill>
                      </w14:textFill>
                    </w:rPr>
                    <w:t>的</w:t>
                  </w:r>
                  <w:r>
                    <w:rPr>
                      <w:rFonts w:ascii="Times New Roman" w:hAnsi="Times New Roman"/>
                      <w:color w:val="000000" w:themeColor="text1"/>
                      <w:szCs w:val="21"/>
                      <w14:textFill>
                        <w14:solidFill>
                          <w14:schemeClr w14:val="tx1"/>
                        </w14:solidFill>
                      </w14:textFill>
                    </w:rPr>
                    <w:t>铅橡胶围裙、铅橡胶帽子、铅橡胶颈套、铅防护眼镜</w:t>
                  </w:r>
                  <w:r>
                    <w:rPr>
                      <w:rFonts w:hint="eastAsia" w:ascii="Times New Roman" w:hAnsi="Times New Roman"/>
                      <w:color w:val="000000" w:themeColor="text1"/>
                      <w:szCs w:val="21"/>
                      <w14:textFill>
                        <w14:solidFill>
                          <w14:schemeClr w14:val="tx1"/>
                        </w14:solidFill>
                      </w14:textFill>
                    </w:rPr>
                    <w:t>0.5mm</w:t>
                  </w:r>
                  <w:r>
                    <w:rPr>
                      <w:rFonts w:ascii="Times New Roman" w:hAnsi="Times New Roman"/>
                      <w:color w:val="000000" w:themeColor="text1"/>
                      <w:kern w:val="0"/>
                      <w:szCs w:val="21"/>
                      <w:lang w:bidi="ar"/>
                      <w14:textFill>
                        <w14:solidFill>
                          <w14:schemeClr w14:val="tx1"/>
                        </w14:solidFill>
                      </w14:textFill>
                    </w:rPr>
                    <w:t>Pb</w:t>
                  </w:r>
                  <w:r>
                    <w:rPr>
                      <w:rFonts w:hint="eastAsia" w:ascii="Times New Roman" w:hAnsi="Times New Roman"/>
                      <w:color w:val="000000" w:themeColor="text1"/>
                      <w:szCs w:val="21"/>
                      <w14:textFill>
                        <w14:solidFill>
                          <w14:schemeClr w14:val="tx1"/>
                        </w14:solidFill>
                      </w14:textFill>
                    </w:rPr>
                    <w:t>、</w:t>
                  </w:r>
                  <w:r>
                    <w:rPr>
                      <w:rFonts w:ascii="Times New Roman" w:hAnsi="Times New Roman"/>
                      <w:color w:val="000000" w:themeColor="text1"/>
                      <w:kern w:val="0"/>
                      <w:szCs w:val="21"/>
                      <w:lang w:bidi="ar"/>
                      <w14:textFill>
                        <w14:solidFill>
                          <w14:schemeClr w14:val="tx1"/>
                        </w14:solidFill>
                      </w14:textFill>
                    </w:rPr>
                    <w:t>0.025mmPb</w:t>
                  </w:r>
                  <w:r>
                    <w:rPr>
                      <w:rFonts w:ascii="Times New Roman" w:hAnsi="Times New Roman"/>
                      <w:color w:val="000000" w:themeColor="text1"/>
                      <w:szCs w:val="21"/>
                      <w14:textFill>
                        <w14:solidFill>
                          <w14:schemeClr w14:val="tx1"/>
                        </w14:solidFill>
                      </w14:textFill>
                    </w:rPr>
                    <w:t>介入防护手套</w:t>
                  </w:r>
                  <w:r>
                    <w:rPr>
                      <w:rFonts w:hint="eastAsia" w:ascii="Times New Roman" w:hAnsi="Times New Roman"/>
                      <w:color w:val="000000" w:themeColor="text1"/>
                      <w:szCs w:val="21"/>
                      <w14:textFill>
                        <w14:solidFill>
                          <w14:schemeClr w14:val="tx1"/>
                        </w14:solidFill>
                      </w14:textFill>
                    </w:rPr>
                    <w:t>共3</w:t>
                  </w:r>
                  <w:r>
                    <w:rPr>
                      <w:rFonts w:ascii="Times New Roman" w:hAnsi="Times New Roman"/>
                      <w:color w:val="000000" w:themeColor="text1"/>
                      <w:szCs w:val="21"/>
                      <w14:textFill>
                        <w14:solidFill>
                          <w14:schemeClr w14:val="tx1"/>
                        </w14:solidFill>
                      </w14:textFill>
                    </w:rPr>
                    <w:t>套</w:t>
                  </w:r>
                  <w:r>
                    <w:rPr>
                      <w:rFonts w:hint="eastAsia" w:ascii="Times New Roman" w:hAnsi="Times New Roman"/>
                      <w:color w:val="000000" w:themeColor="text1"/>
                      <w:szCs w:val="21"/>
                      <w:lang w:eastAsia="zh-CN"/>
                      <w14:textFill>
                        <w14:solidFill>
                          <w14:schemeClr w14:val="tx1"/>
                        </w14:solidFill>
                      </w14:textFill>
                    </w:rPr>
                    <w:t>、</w:t>
                  </w:r>
                  <w:r>
                    <w:rPr>
                      <w:rFonts w:hint="eastAsia" w:ascii="Times New Roman" w:hAnsi="Times New Roman"/>
                      <w:color w:val="000000" w:themeColor="text1"/>
                      <w:szCs w:val="21"/>
                      <w:lang w:val="en-US" w:eastAsia="zh-CN"/>
                      <w14:textFill>
                        <w14:solidFill>
                          <w14:schemeClr w14:val="tx1"/>
                        </w14:solidFill>
                      </w14:textFill>
                    </w:rPr>
                    <w:t>辅助防护配备床下铅帘</w:t>
                  </w:r>
                  <w:r>
                    <w:rPr>
                      <w:rFonts w:hint="eastAsia" w:ascii="Times New Roman" w:hAnsi="Times New Roman"/>
                      <w:color w:val="000000" w:themeColor="text1"/>
                      <w:szCs w:val="21"/>
                      <w14:textFill>
                        <w14:solidFill>
                          <w14:schemeClr w14:val="tx1"/>
                        </w14:solidFill>
                      </w14:textFill>
                    </w:rPr>
                    <w:t>0.5mm</w:t>
                  </w:r>
                  <w:r>
                    <w:rPr>
                      <w:rFonts w:ascii="Times New Roman" w:hAnsi="Times New Roman"/>
                      <w:color w:val="000000" w:themeColor="text1"/>
                      <w:kern w:val="0"/>
                      <w:szCs w:val="21"/>
                      <w:lang w:bidi="ar"/>
                      <w14:textFill>
                        <w14:solidFill>
                          <w14:schemeClr w14:val="tx1"/>
                        </w14:solidFill>
                      </w14:textFill>
                    </w:rPr>
                    <w:t>Pb</w:t>
                  </w:r>
                  <w:r>
                    <w:rPr>
                      <w:rFonts w:hint="eastAsia" w:ascii="Times New Roman" w:hAnsi="Times New Roman"/>
                      <w:color w:val="000000" w:themeColor="text1"/>
                      <w:szCs w:val="21"/>
                      <w:lang w:val="en-US" w:eastAsia="zh-CN"/>
                      <w14:textFill>
                        <w14:solidFill>
                          <w14:schemeClr w14:val="tx1"/>
                        </w14:solidFill>
                      </w14:textFill>
                    </w:rPr>
                    <w:t>和悬吊铅帘</w:t>
                  </w:r>
                  <w:r>
                    <w:rPr>
                      <w:rFonts w:hint="eastAsia" w:ascii="Times New Roman" w:hAnsi="Times New Roman"/>
                      <w:color w:val="000000" w:themeColor="text1"/>
                      <w:szCs w:val="21"/>
                      <w14:textFill>
                        <w14:solidFill>
                          <w14:schemeClr w14:val="tx1"/>
                        </w14:solidFill>
                      </w14:textFill>
                    </w:rPr>
                    <w:t>0.5mm</w:t>
                  </w:r>
                  <w:r>
                    <w:rPr>
                      <w:rFonts w:ascii="Times New Roman" w:hAnsi="Times New Roman"/>
                      <w:color w:val="000000" w:themeColor="text1"/>
                      <w:kern w:val="0"/>
                      <w:szCs w:val="21"/>
                      <w:lang w:bidi="ar"/>
                      <w14:textFill>
                        <w14:solidFill>
                          <w14:schemeClr w14:val="tx1"/>
                        </w14:solidFill>
                      </w14:textFill>
                    </w:rPr>
                    <w:t>Pb</w:t>
                  </w:r>
                  <w:r>
                    <w:rPr>
                      <w:rFonts w:hint="eastAsia" w:ascii="Times New Roman" w:hAnsi="Times New Roman"/>
                      <w:color w:val="000000" w:themeColor="text1"/>
                      <w:szCs w:val="21"/>
                      <w:lang w:val="en-US" w:eastAsia="zh-CN"/>
                      <w14:textFill>
                        <w14:solidFill>
                          <w14:schemeClr w14:val="tx1"/>
                        </w14:solidFill>
                      </w14:textFill>
                    </w:rPr>
                    <w:t>、铅屏风</w:t>
                  </w:r>
                  <w:r>
                    <w:rPr>
                      <w:rFonts w:hint="eastAsia" w:ascii="Times New Roman" w:hAnsi="Times New Roman"/>
                      <w:color w:val="000000" w:themeColor="text1"/>
                      <w:szCs w:val="21"/>
                      <w14:textFill>
                        <w14:solidFill>
                          <w14:schemeClr w14:val="tx1"/>
                        </w14:solidFill>
                      </w14:textFill>
                    </w:rPr>
                    <w:t>0.5mm</w:t>
                  </w:r>
                  <w:r>
                    <w:rPr>
                      <w:rFonts w:ascii="Times New Roman" w:hAnsi="Times New Roman"/>
                      <w:color w:val="000000" w:themeColor="text1"/>
                      <w:kern w:val="0"/>
                      <w:szCs w:val="21"/>
                      <w:lang w:bidi="ar"/>
                      <w14:textFill>
                        <w14:solidFill>
                          <w14:schemeClr w14:val="tx1"/>
                        </w14:solidFill>
                      </w14:textFill>
                    </w:rPr>
                    <w:t>Pb</w:t>
                  </w:r>
                </w:p>
              </w:tc>
            </w:tr>
            <w:tr w14:paraId="0DF83E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476" w:type="dxa"/>
                  <w:vAlign w:val="center"/>
                </w:tcPr>
                <w:p w14:paraId="21DB90EC">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4</w:t>
                  </w:r>
                </w:p>
              </w:tc>
              <w:tc>
                <w:tcPr>
                  <w:tcW w:w="800" w:type="dxa"/>
                  <w:vMerge w:val="continue"/>
                  <w:vAlign w:val="center"/>
                </w:tcPr>
                <w:p w14:paraId="0126E251">
                  <w:pPr>
                    <w:jc w:val="center"/>
                    <w:rPr>
                      <w:rFonts w:ascii="Times New Roman" w:hAnsi="Times New Roman"/>
                      <w:color w:val="000000" w:themeColor="text1"/>
                      <w:szCs w:val="21"/>
                      <w14:textFill>
                        <w14:solidFill>
                          <w14:schemeClr w14:val="tx1"/>
                        </w14:solidFill>
                      </w14:textFill>
                    </w:rPr>
                  </w:pPr>
                </w:p>
              </w:tc>
              <w:tc>
                <w:tcPr>
                  <w:tcW w:w="2438" w:type="dxa"/>
                  <w:vAlign w:val="center"/>
                </w:tcPr>
                <w:p w14:paraId="7ABF0E91">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患者防护</w:t>
                  </w:r>
                </w:p>
              </w:tc>
              <w:tc>
                <w:tcPr>
                  <w:tcW w:w="1745" w:type="dxa"/>
                  <w:vAlign w:val="center"/>
                </w:tcPr>
                <w:p w14:paraId="7F76102D">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c>
                <w:tcPr>
                  <w:tcW w:w="3580" w:type="dxa"/>
                  <w:vAlign w:val="center"/>
                </w:tcPr>
                <w:p w14:paraId="2DD8FDCF">
                  <w:pPr>
                    <w:widowControl/>
                    <w:jc w:val="lef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患者</w:t>
                  </w:r>
                  <w:r>
                    <w:rPr>
                      <w:rFonts w:hint="eastAsia" w:ascii="Times New Roman" w:hAnsi="Times New Roman"/>
                      <w:color w:val="000000" w:themeColor="text1"/>
                      <w:szCs w:val="21"/>
                      <w:lang w:eastAsia="zh-CN"/>
                      <w14:textFill>
                        <w14:solidFill>
                          <w14:schemeClr w14:val="tx1"/>
                        </w14:solidFill>
                      </w14:textFill>
                    </w:rPr>
                    <w:t>配备</w:t>
                  </w:r>
                  <w:r>
                    <w:rPr>
                      <w:rFonts w:hint="eastAsia" w:ascii="Times New Roman" w:hAnsi="Times New Roman"/>
                      <w:color w:val="000000" w:themeColor="text1"/>
                      <w:szCs w:val="21"/>
                      <w14:textFill>
                        <w14:solidFill>
                          <w14:schemeClr w14:val="tx1"/>
                        </w14:solidFill>
                      </w14:textFill>
                    </w:rPr>
                    <w:t>不小于</w:t>
                  </w:r>
                  <w:r>
                    <w:rPr>
                      <w:rFonts w:ascii="Times New Roman" w:hAnsi="Times New Roman"/>
                      <w:color w:val="000000" w:themeColor="text1"/>
                      <w:szCs w:val="21"/>
                      <w14:textFill>
                        <w14:solidFill>
                          <w14:schemeClr w14:val="tx1"/>
                        </w14:solidFill>
                      </w14:textFill>
                    </w:rPr>
                    <w:t>0.5mm</w:t>
                  </w:r>
                  <w:r>
                    <w:rPr>
                      <w:rFonts w:ascii="Times New Roman" w:hAnsi="Times New Roman"/>
                      <w:color w:val="000000" w:themeColor="text1"/>
                      <w:kern w:val="0"/>
                      <w:szCs w:val="21"/>
                      <w:lang w:bidi="ar"/>
                      <w14:textFill>
                        <w14:solidFill>
                          <w14:schemeClr w14:val="tx1"/>
                        </w14:solidFill>
                      </w14:textFill>
                    </w:rPr>
                    <w:t>Pb</w:t>
                  </w:r>
                  <w:r>
                    <w:rPr>
                      <w:rFonts w:hint="eastAsia" w:ascii="Times New Roman" w:hAnsi="Times New Roman"/>
                      <w:color w:val="000000" w:themeColor="text1"/>
                      <w:kern w:val="0"/>
                      <w:szCs w:val="21"/>
                      <w:lang w:bidi="ar"/>
                      <w14:textFill>
                        <w14:solidFill>
                          <w14:schemeClr w14:val="tx1"/>
                        </w14:solidFill>
                      </w14:textFill>
                    </w:rPr>
                    <w:t>的</w:t>
                  </w:r>
                  <w:r>
                    <w:rPr>
                      <w:rFonts w:ascii="Times New Roman" w:hAnsi="Times New Roman"/>
                      <w:color w:val="000000" w:themeColor="text1"/>
                      <w:szCs w:val="21"/>
                      <w14:textFill>
                        <w14:solidFill>
                          <w14:schemeClr w14:val="tx1"/>
                        </w14:solidFill>
                      </w14:textFill>
                    </w:rPr>
                    <w:t>铅橡胶性腺防护围裙（方形）或方巾、铅橡胶颈套</w:t>
                  </w:r>
                  <w:r>
                    <w:rPr>
                      <w:rFonts w:hint="eastAsia" w:ascii="Times New Roman" w:hAnsi="Times New Roman"/>
                      <w:color w:val="000000" w:themeColor="text1"/>
                      <w:szCs w:val="21"/>
                      <w14:textFill>
                        <w14:solidFill>
                          <w14:schemeClr w14:val="tx1"/>
                        </w14:solidFill>
                      </w14:textFill>
                    </w:rPr>
                    <w:t>、铅橡胶帽子（儿童、成人尺寸各一套，共两套）</w:t>
                  </w:r>
                </w:p>
              </w:tc>
            </w:tr>
          </w:tbl>
          <w:p w14:paraId="312CE0D4">
            <w:pPr>
              <w:pStyle w:val="11"/>
              <w:rPr>
                <w:color w:val="000000" w:themeColor="text1"/>
                <w14:textFill>
                  <w14:solidFill>
                    <w14:schemeClr w14:val="tx1"/>
                  </w14:solidFill>
                </w14:textFill>
              </w:rPr>
            </w:pPr>
            <w:r>
              <w:rPr>
                <w:rFonts w:hint="eastAsia"/>
                <w:color w:val="000000" w:themeColor="text1"/>
                <w14:textFill>
                  <w14:solidFill>
                    <w14:schemeClr w14:val="tx1"/>
                  </w14:solidFill>
                </w14:textFill>
              </w:rPr>
              <w:t>根据《四川省核技术利用单位辐射安全工作指引》（2025年版）</w:t>
            </w:r>
            <w:r>
              <w:rPr>
                <w:color w:val="000000" w:themeColor="text1"/>
                <w14:textFill>
                  <w14:solidFill>
                    <w14:schemeClr w14:val="tx1"/>
                  </w14:solidFill>
                </w14:textFill>
              </w:rPr>
              <w:t>对</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2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Ⅱ</w:t>
            </w:r>
            <w:r>
              <w:rPr>
                <w:color w:val="000000" w:themeColor="text1"/>
                <w14:textFill>
                  <w14:solidFill>
                    <w14:schemeClr w14:val="tx1"/>
                  </w14:solidFill>
                </w14:textFill>
              </w:rPr>
              <w:fldChar w:fldCharType="end"/>
            </w:r>
            <w:r>
              <w:rPr>
                <w:color w:val="000000" w:themeColor="text1"/>
                <w14:textFill>
                  <w14:solidFill>
                    <w14:schemeClr w14:val="tx1"/>
                  </w14:solidFill>
                </w14:textFill>
              </w:rPr>
              <w:t>医用射线装置的要求</w:t>
            </w:r>
            <w:r>
              <w:rPr>
                <w:rFonts w:hint="eastAsia"/>
                <w:color w:val="000000" w:themeColor="text1"/>
                <w14:textFill>
                  <w14:solidFill>
                    <w14:schemeClr w14:val="tx1"/>
                  </w14:solidFill>
                </w14:textFill>
              </w:rPr>
              <w:t>与项目对比分析见表10-6。</w:t>
            </w:r>
          </w:p>
          <w:p w14:paraId="3B87098E">
            <w:pPr>
              <w:keepNext/>
              <w:numPr>
                <w:ilvl w:val="0"/>
                <w:numId w:val="12"/>
              </w:numPr>
              <w:spacing w:line="360" w:lineRule="auto"/>
              <w:ind w:left="425" w:hanging="425" w:firstLineChars="0"/>
              <w:jc w:val="center"/>
              <w:rPr>
                <w:rFonts w:ascii="Times New Roman" w:hAnsi="Times New Roman"/>
                <w:b/>
                <w:color w:val="000000" w:themeColor="text1"/>
                <w:sz w:val="24"/>
                <w14:textFill>
                  <w14:solidFill>
                    <w14:schemeClr w14:val="tx1"/>
                  </w14:solidFill>
                </w14:textFill>
              </w:rPr>
            </w:pPr>
            <w:r>
              <w:rPr>
                <w:rFonts w:hint="eastAsia" w:ascii="Times New Roman" w:hAnsi="Times New Roman"/>
                <w:b/>
                <w:color w:val="000000" w:themeColor="text1"/>
                <w:sz w:val="24"/>
                <w:lang w:val="en-US" w:eastAsia="zh-CN"/>
                <w14:textFill>
                  <w14:solidFill>
                    <w14:schemeClr w14:val="tx1"/>
                  </w14:solidFill>
                </w14:textFill>
              </w:rPr>
              <w:t>辐射安全工作指引对照分析表</w:t>
            </w:r>
          </w:p>
          <w:tbl>
            <w:tblPr>
              <w:tblStyle w:val="2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2"/>
              <w:gridCol w:w="3646"/>
              <w:gridCol w:w="3727"/>
              <w:gridCol w:w="774"/>
            </w:tblGrid>
            <w:tr w14:paraId="06AA9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93" w:type="dxa"/>
                  <w:gridSpan w:val="2"/>
                  <w:tcBorders>
                    <w:tl2br w:val="nil"/>
                    <w:tr2bl w:val="nil"/>
                  </w:tcBorders>
                  <w:vAlign w:val="center"/>
                </w:tcPr>
                <w:p w14:paraId="0B85A98D">
                  <w:pPr>
                    <w:pStyle w:val="52"/>
                    <w:rPr>
                      <w:b/>
                      <w:bCs/>
                    </w:rPr>
                  </w:pPr>
                  <w:r>
                    <w:rPr>
                      <w:rFonts w:hint="eastAsia"/>
                      <w:b/>
                      <w:bCs/>
                    </w:rPr>
                    <w:t>辐射安全管理工作指引要求</w:t>
                  </w:r>
                </w:p>
              </w:tc>
              <w:tc>
                <w:tcPr>
                  <w:tcW w:w="3723" w:type="dxa"/>
                  <w:tcBorders>
                    <w:tl2br w:val="nil"/>
                    <w:tr2bl w:val="nil"/>
                  </w:tcBorders>
                  <w:vAlign w:val="center"/>
                </w:tcPr>
                <w:p w14:paraId="069830C7">
                  <w:pPr>
                    <w:pStyle w:val="52"/>
                    <w:rPr>
                      <w:b/>
                      <w:bCs/>
                    </w:rPr>
                  </w:pPr>
                  <w:r>
                    <w:rPr>
                      <w:rFonts w:hint="eastAsia"/>
                      <w:b/>
                      <w:bCs/>
                    </w:rPr>
                    <w:t>落实情况</w:t>
                  </w:r>
                </w:p>
              </w:tc>
              <w:tc>
                <w:tcPr>
                  <w:tcW w:w="773" w:type="dxa"/>
                  <w:tcBorders>
                    <w:tl2br w:val="nil"/>
                    <w:tr2bl w:val="nil"/>
                  </w:tcBorders>
                  <w:vAlign w:val="center"/>
                </w:tcPr>
                <w:p w14:paraId="72FF6ECD">
                  <w:pPr>
                    <w:pStyle w:val="52"/>
                    <w:rPr>
                      <w:b/>
                      <w:bCs/>
                    </w:rPr>
                  </w:pPr>
                  <w:r>
                    <w:rPr>
                      <w:rFonts w:hint="eastAsia"/>
                      <w:b/>
                      <w:bCs/>
                    </w:rPr>
                    <w:t>备注</w:t>
                  </w:r>
                </w:p>
              </w:tc>
            </w:tr>
            <w:tr w14:paraId="5428F3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tcBorders>
                    <w:tl2br w:val="nil"/>
                    <w:tr2bl w:val="nil"/>
                  </w:tcBorders>
                  <w:vAlign w:val="center"/>
                </w:tcPr>
                <w:p w14:paraId="79938C6F">
                  <w:pPr>
                    <w:pStyle w:val="52"/>
                  </w:pPr>
                  <w:r>
                    <w:rPr>
                      <w:rFonts w:hint="eastAsia"/>
                    </w:rPr>
                    <w:t>1.设施维保</w:t>
                  </w:r>
                </w:p>
              </w:tc>
              <w:tc>
                <w:tcPr>
                  <w:tcW w:w="3642" w:type="dxa"/>
                  <w:tcBorders>
                    <w:tl2br w:val="nil"/>
                    <w:tr2bl w:val="nil"/>
                  </w:tcBorders>
                  <w:vAlign w:val="center"/>
                </w:tcPr>
                <w:p w14:paraId="7BA14045">
                  <w:pPr>
                    <w:pStyle w:val="52"/>
                  </w:pPr>
                  <w:r>
                    <w:rPr>
                      <w:rFonts w:hint="eastAsia"/>
                    </w:rPr>
                    <w:t>建议每季度按照辐射安全管理制度开展辐射安全防护设施设备的日常检查和维护，检查工作状态指示灯、急停开关、门-灯联锁、门-机联锁、固定式剂量报警仪及相关设施设备的完好性，测试联锁装置功能确保正常，并做好记录。发现辐射防护设施设备存在隐患或问题，应及时维修，待功能恢复正常后再开展辐射工作。</w:t>
                  </w:r>
                </w:p>
              </w:tc>
              <w:tc>
                <w:tcPr>
                  <w:tcW w:w="3723" w:type="dxa"/>
                  <w:tcBorders>
                    <w:tl2br w:val="nil"/>
                    <w:tr2bl w:val="nil"/>
                  </w:tcBorders>
                  <w:vAlign w:val="center"/>
                </w:tcPr>
                <w:p w14:paraId="3B9B763C">
                  <w:pPr>
                    <w:pStyle w:val="52"/>
                  </w:pPr>
                  <w:r>
                    <w:rPr>
                      <w:rFonts w:hint="eastAsia"/>
                    </w:rPr>
                    <w:t>建设单位将进行每季度按照辐射安全管理制度开展辐射安全防护设施设备的日常检查和维护，检查工作状态指示灯、急停开关、门-灯联锁、门-机联锁、固定式剂量报警仪及相关设施设备的完好性，测试联锁装置功能确保正常，并做好记录。发现辐射防护设施设备存在隐患或问题，应及时维修，待功能恢复正常后再开展辐射工作。</w:t>
                  </w:r>
                </w:p>
              </w:tc>
              <w:tc>
                <w:tcPr>
                  <w:tcW w:w="773" w:type="dxa"/>
                  <w:tcBorders>
                    <w:tl2br w:val="nil"/>
                    <w:tr2bl w:val="nil"/>
                  </w:tcBorders>
                  <w:vAlign w:val="center"/>
                </w:tcPr>
                <w:p w14:paraId="380F3569">
                  <w:pPr>
                    <w:pStyle w:val="52"/>
                  </w:pPr>
                  <w:r>
                    <w:rPr>
                      <w:rFonts w:hint="eastAsia"/>
                    </w:rPr>
                    <w:t>拟落实</w:t>
                  </w:r>
                </w:p>
              </w:tc>
            </w:tr>
            <w:tr w14:paraId="0FE5CE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tcBorders>
                    <w:tl2br w:val="nil"/>
                    <w:tr2bl w:val="nil"/>
                  </w:tcBorders>
                  <w:vAlign w:val="center"/>
                </w:tcPr>
                <w:p w14:paraId="10AAB1AD">
                  <w:pPr>
                    <w:pStyle w:val="52"/>
                  </w:pPr>
                  <w:r>
                    <w:rPr>
                      <w:rFonts w:hint="eastAsia"/>
                    </w:rPr>
                    <w:t>2.监测仪器</w:t>
                  </w:r>
                </w:p>
              </w:tc>
              <w:tc>
                <w:tcPr>
                  <w:tcW w:w="3642" w:type="dxa"/>
                  <w:tcBorders>
                    <w:tl2br w:val="nil"/>
                    <w:tr2bl w:val="nil"/>
                  </w:tcBorders>
                  <w:vAlign w:val="center"/>
                </w:tcPr>
                <w:p w14:paraId="6FCDDB73">
                  <w:pPr>
                    <w:pStyle w:val="52"/>
                  </w:pPr>
                  <w:r>
                    <w:rPr>
                      <w:rFonts w:hint="eastAsia"/>
                    </w:rPr>
                    <w:t>按环评文件要求配置X-</w:t>
                  </w:r>
                  <w:r>
                    <w:t>γ</w:t>
                  </w:r>
                  <w:r>
                    <w:rPr>
                      <w:rFonts w:hint="eastAsia"/>
                    </w:rPr>
                    <w:t>辐射监测仪，并每年对监测仪器开展校准或比对，确保仪器正常使用。</w:t>
                  </w:r>
                </w:p>
              </w:tc>
              <w:tc>
                <w:tcPr>
                  <w:tcW w:w="3723" w:type="dxa"/>
                  <w:tcBorders>
                    <w:tl2br w:val="nil"/>
                    <w:tr2bl w:val="nil"/>
                  </w:tcBorders>
                  <w:vAlign w:val="center"/>
                </w:tcPr>
                <w:p w14:paraId="7C96E00E">
                  <w:pPr>
                    <w:pStyle w:val="52"/>
                  </w:pPr>
                  <w:r>
                    <w:rPr>
                      <w:rFonts w:hint="eastAsia"/>
                    </w:rPr>
                    <w:t>建设单位将配置X-</w:t>
                  </w:r>
                  <w:r>
                    <w:t>γ</w:t>
                  </w:r>
                  <w:r>
                    <w:rPr>
                      <w:rFonts w:hint="eastAsia"/>
                    </w:rPr>
                    <w:t>辐射监测仪，并每年对监测仪器开展校准或比对，确保仪器正常使用。</w:t>
                  </w:r>
                </w:p>
              </w:tc>
              <w:tc>
                <w:tcPr>
                  <w:tcW w:w="773" w:type="dxa"/>
                  <w:tcBorders>
                    <w:tl2br w:val="nil"/>
                    <w:tr2bl w:val="nil"/>
                  </w:tcBorders>
                  <w:vAlign w:val="center"/>
                </w:tcPr>
                <w:p w14:paraId="5442543F">
                  <w:pPr>
                    <w:pStyle w:val="52"/>
                  </w:pPr>
                  <w:r>
                    <w:rPr>
                      <w:rFonts w:hint="eastAsia"/>
                    </w:rPr>
                    <w:t>拟落实</w:t>
                  </w:r>
                </w:p>
              </w:tc>
            </w:tr>
            <w:tr w14:paraId="179B7B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tcBorders>
                    <w:tl2br w:val="nil"/>
                    <w:tr2bl w:val="nil"/>
                  </w:tcBorders>
                  <w:vAlign w:val="center"/>
                </w:tcPr>
                <w:p w14:paraId="208663CC">
                  <w:pPr>
                    <w:pStyle w:val="52"/>
                  </w:pPr>
                  <w:r>
                    <w:rPr>
                      <w:rFonts w:hint="eastAsia"/>
                    </w:rPr>
                    <w:t>3.剂量管理</w:t>
                  </w:r>
                </w:p>
              </w:tc>
              <w:tc>
                <w:tcPr>
                  <w:tcW w:w="3642" w:type="dxa"/>
                  <w:tcBorders>
                    <w:tl2br w:val="nil"/>
                    <w:tr2bl w:val="nil"/>
                  </w:tcBorders>
                  <w:vAlign w:val="center"/>
                </w:tcPr>
                <w:p w14:paraId="688B338C">
                  <w:pPr>
                    <w:pStyle w:val="52"/>
                  </w:pPr>
                  <w:r>
                    <w:rPr>
                      <w:rFonts w:hint="eastAsia"/>
                    </w:rPr>
                    <w:t>对于开展DSA项目的工作人员，应在铅围裙外锁骨对应的领口位置佩戴剂量计；同时，建议采用双剂量计监测方法(在铅围裙内躯干上再佩戴另一个剂量计)，且宜在身体可能受到较大照射的部位佩戴局部剂量计(如腕部剂量计和指环剂量计等)。</w:t>
                  </w:r>
                </w:p>
              </w:tc>
              <w:tc>
                <w:tcPr>
                  <w:tcW w:w="3723" w:type="dxa"/>
                  <w:tcBorders>
                    <w:tl2br w:val="nil"/>
                    <w:tr2bl w:val="nil"/>
                  </w:tcBorders>
                  <w:vAlign w:val="center"/>
                </w:tcPr>
                <w:p w14:paraId="365810F7">
                  <w:pPr>
                    <w:pStyle w:val="52"/>
                  </w:pPr>
                  <w:r>
                    <w:rPr>
                      <w:rFonts w:hint="eastAsia"/>
                    </w:rPr>
                    <w:t>建设单位将为DSA项目的工作人员，应在铅围裙外锁骨对应的领口位置佩戴剂量计；同时，建议采用双剂量计监测方法(在铅围裙内躯干上再佩戴另一个剂量计)，且宜在身体可能受到较大照射的部位佩戴局部剂量计(如腕部剂量计和指环剂量计等)</w:t>
                  </w:r>
                </w:p>
              </w:tc>
              <w:tc>
                <w:tcPr>
                  <w:tcW w:w="773" w:type="dxa"/>
                  <w:tcBorders>
                    <w:tl2br w:val="nil"/>
                    <w:tr2bl w:val="nil"/>
                  </w:tcBorders>
                  <w:vAlign w:val="center"/>
                </w:tcPr>
                <w:p w14:paraId="47E48415">
                  <w:pPr>
                    <w:pStyle w:val="52"/>
                  </w:pPr>
                  <w:r>
                    <w:rPr>
                      <w:rFonts w:hint="eastAsia"/>
                    </w:rPr>
                    <w:t>拟落实</w:t>
                  </w:r>
                </w:p>
              </w:tc>
            </w:tr>
            <w:tr w14:paraId="059479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tcBorders>
                    <w:tl2br w:val="nil"/>
                    <w:tr2bl w:val="nil"/>
                  </w:tcBorders>
                  <w:vAlign w:val="center"/>
                </w:tcPr>
                <w:p w14:paraId="11DB2FE9">
                  <w:pPr>
                    <w:pStyle w:val="52"/>
                  </w:pPr>
                  <w:r>
                    <w:rPr>
                      <w:rFonts w:hint="eastAsia"/>
                    </w:rPr>
                    <w:t>4.自行监测</w:t>
                  </w:r>
                </w:p>
              </w:tc>
              <w:tc>
                <w:tcPr>
                  <w:tcW w:w="3642" w:type="dxa"/>
                  <w:tcBorders>
                    <w:tl2br w:val="nil"/>
                    <w:tr2bl w:val="nil"/>
                  </w:tcBorders>
                  <w:vAlign w:val="center"/>
                </w:tcPr>
                <w:p w14:paraId="2DFCFAA3">
                  <w:pPr>
                    <w:pStyle w:val="52"/>
                  </w:pPr>
                  <w:r>
                    <w:rPr>
                      <w:rFonts w:hint="eastAsia"/>
                    </w:rPr>
                    <w:t>按照标准规范和环评文件要求制定监测方案，开展辐射工作场所和环境辐射水平监测，并做好记录存档。(1)监测频率和方式。应自行或委托有能力的监测机构对工作场所运行工况下周围环境的辐射水平进行监测，监测频次应不少于1次/年；建议每季度对辐射工作场所开展辐射环境自行监测。(2)监测点位。机房四周屏蔽墙外30cmn处、顶棚、机房门、管线洞口、观察窗和工作人员操作位置等人员长时间居留场所，具体可参照环评监测和验收监测点位。(3)监测因子。X-y辐射空气吸收剂量率</w:t>
                  </w:r>
                </w:p>
              </w:tc>
              <w:tc>
                <w:tcPr>
                  <w:tcW w:w="3723" w:type="dxa"/>
                  <w:tcBorders>
                    <w:tl2br w:val="nil"/>
                    <w:tr2bl w:val="nil"/>
                  </w:tcBorders>
                  <w:vAlign w:val="center"/>
                </w:tcPr>
                <w:p w14:paraId="03ACB13D">
                  <w:pPr>
                    <w:pStyle w:val="52"/>
                  </w:pPr>
                  <w:r>
                    <w:rPr>
                      <w:rFonts w:hint="eastAsia"/>
                    </w:rPr>
                    <w:t>建设单位将按照标准规范和环评文件要求制定监测方案，开展辐射工作场所和环境辐射水平监测，并做好记录存档。(1)监测频率和方式。应自行或委托有能力的监测机构对工作场所运行工况下周围环境的辐射水平进行监测，监测频次应不少于1次/年；建议每季度对辐射工作场所开展辐射环境自行监测。(2)监测点位。机房四周屏蔽墙外30cmn处、顶棚、机房门、管线洞口、观察窗和工作人员操作位置等人员长时间居留场所，具体可参照环评监测和验收监测点位。(3)监测因子。X-y辐射空气吸收剂量率</w:t>
                  </w:r>
                </w:p>
              </w:tc>
              <w:tc>
                <w:tcPr>
                  <w:tcW w:w="773" w:type="dxa"/>
                  <w:tcBorders>
                    <w:tl2br w:val="nil"/>
                    <w:tr2bl w:val="nil"/>
                  </w:tcBorders>
                  <w:vAlign w:val="center"/>
                </w:tcPr>
                <w:p w14:paraId="18AF99CE">
                  <w:pPr>
                    <w:pStyle w:val="52"/>
                  </w:pPr>
                  <w:r>
                    <w:rPr>
                      <w:rFonts w:hint="eastAsia"/>
                    </w:rPr>
                    <w:t>拟落实</w:t>
                  </w:r>
                </w:p>
              </w:tc>
            </w:tr>
            <w:tr w14:paraId="0C5BFD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tcBorders>
                    <w:tl2br w:val="nil"/>
                    <w:tr2bl w:val="nil"/>
                  </w:tcBorders>
                  <w:vAlign w:val="center"/>
                </w:tcPr>
                <w:p w14:paraId="1F8F656E">
                  <w:pPr>
                    <w:pStyle w:val="52"/>
                  </w:pPr>
                  <w:r>
                    <w:rPr>
                      <w:rFonts w:hint="eastAsia"/>
                    </w:rPr>
                    <w:t>5.年度监测</w:t>
                  </w:r>
                </w:p>
                <w:p w14:paraId="7A1D1DC4">
                  <w:pPr>
                    <w:pStyle w:val="52"/>
                  </w:pPr>
                </w:p>
              </w:tc>
              <w:tc>
                <w:tcPr>
                  <w:tcW w:w="3642" w:type="dxa"/>
                  <w:tcBorders>
                    <w:tl2br w:val="nil"/>
                    <w:tr2bl w:val="nil"/>
                  </w:tcBorders>
                  <w:vAlign w:val="center"/>
                </w:tcPr>
                <w:p w14:paraId="32135B0F">
                  <w:pPr>
                    <w:pStyle w:val="52"/>
                  </w:pPr>
                  <w:r>
                    <w:rPr>
                      <w:rFonts w:hint="eastAsia"/>
                    </w:rPr>
                    <w:t>每年至少委托有资质的监测机构进行1次年度监测，并将监测结果随年度评估报告报发证机关。</w:t>
                  </w:r>
                </w:p>
              </w:tc>
              <w:tc>
                <w:tcPr>
                  <w:tcW w:w="3723" w:type="dxa"/>
                  <w:tcBorders>
                    <w:tl2br w:val="nil"/>
                    <w:tr2bl w:val="nil"/>
                  </w:tcBorders>
                  <w:vAlign w:val="center"/>
                </w:tcPr>
                <w:p w14:paraId="62F4756C">
                  <w:pPr>
                    <w:pStyle w:val="52"/>
                  </w:pPr>
                  <w:r>
                    <w:rPr>
                      <w:rFonts w:hint="eastAsia"/>
                    </w:rPr>
                    <w:t>每年至少委托有资质的监测机构进行1次年度监测，并将监测结果随年度评估报告报发证机关。</w:t>
                  </w:r>
                </w:p>
              </w:tc>
              <w:tc>
                <w:tcPr>
                  <w:tcW w:w="773" w:type="dxa"/>
                  <w:tcBorders>
                    <w:tl2br w:val="nil"/>
                    <w:tr2bl w:val="nil"/>
                  </w:tcBorders>
                  <w:vAlign w:val="center"/>
                </w:tcPr>
                <w:p w14:paraId="7D772244">
                  <w:pPr>
                    <w:pStyle w:val="52"/>
                  </w:pPr>
                  <w:r>
                    <w:rPr>
                      <w:rFonts w:hint="eastAsia"/>
                    </w:rPr>
                    <w:t>拟落实</w:t>
                  </w:r>
                </w:p>
              </w:tc>
            </w:tr>
            <w:tr w14:paraId="27952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93" w:type="dxa"/>
                  <w:gridSpan w:val="2"/>
                  <w:tcBorders>
                    <w:tl2br w:val="nil"/>
                    <w:tr2bl w:val="nil"/>
                  </w:tcBorders>
                  <w:vAlign w:val="center"/>
                </w:tcPr>
                <w:p w14:paraId="1090D912">
                  <w:pPr>
                    <w:pStyle w:val="52"/>
                    <w:rPr>
                      <w:b/>
                      <w:bCs/>
                    </w:rPr>
                  </w:pPr>
                  <w:r>
                    <w:rPr>
                      <w:rFonts w:hint="eastAsia"/>
                      <w:b/>
                      <w:bCs/>
                    </w:rPr>
                    <w:t>辐射安全管理要点</w:t>
                  </w:r>
                </w:p>
              </w:tc>
              <w:tc>
                <w:tcPr>
                  <w:tcW w:w="3723" w:type="dxa"/>
                  <w:tcBorders>
                    <w:tl2br w:val="nil"/>
                    <w:tr2bl w:val="nil"/>
                  </w:tcBorders>
                  <w:vAlign w:val="center"/>
                </w:tcPr>
                <w:p w14:paraId="7E9CF785">
                  <w:pPr>
                    <w:pStyle w:val="52"/>
                    <w:rPr>
                      <w:b/>
                      <w:bCs/>
                    </w:rPr>
                  </w:pPr>
                  <w:r>
                    <w:rPr>
                      <w:rFonts w:hint="eastAsia"/>
                      <w:b/>
                      <w:bCs/>
                    </w:rPr>
                    <w:t>落实情况</w:t>
                  </w:r>
                </w:p>
              </w:tc>
              <w:tc>
                <w:tcPr>
                  <w:tcW w:w="773" w:type="dxa"/>
                  <w:tcBorders>
                    <w:tl2br w:val="nil"/>
                    <w:tr2bl w:val="nil"/>
                  </w:tcBorders>
                  <w:vAlign w:val="center"/>
                </w:tcPr>
                <w:p w14:paraId="4F2230A8">
                  <w:pPr>
                    <w:pStyle w:val="52"/>
                    <w:rPr>
                      <w:b/>
                      <w:bCs/>
                    </w:rPr>
                  </w:pPr>
                  <w:r>
                    <w:rPr>
                      <w:rFonts w:hint="eastAsia"/>
                      <w:b/>
                      <w:bCs/>
                    </w:rPr>
                    <w:t>备注</w:t>
                  </w:r>
                </w:p>
              </w:tc>
            </w:tr>
            <w:tr w14:paraId="30644F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tcBorders>
                    <w:tl2br w:val="nil"/>
                    <w:tr2bl w:val="nil"/>
                  </w:tcBorders>
                  <w:vAlign w:val="center"/>
                </w:tcPr>
                <w:p w14:paraId="39943589">
                  <w:pPr>
                    <w:pStyle w:val="52"/>
                  </w:pPr>
                  <w:r>
                    <w:rPr>
                      <w:rFonts w:hint="eastAsia"/>
                    </w:rPr>
                    <w:t>6.防护用品</w:t>
                  </w:r>
                </w:p>
                <w:p w14:paraId="42A8D65D">
                  <w:pPr>
                    <w:pStyle w:val="52"/>
                  </w:pPr>
                </w:p>
              </w:tc>
              <w:tc>
                <w:tcPr>
                  <w:tcW w:w="3642" w:type="dxa"/>
                  <w:tcBorders>
                    <w:tl2br w:val="nil"/>
                    <w:tr2bl w:val="nil"/>
                  </w:tcBorders>
                  <w:vAlign w:val="center"/>
                </w:tcPr>
                <w:p w14:paraId="03CBCAD8">
                  <w:pPr>
                    <w:pStyle w:val="52"/>
                  </w:pPr>
                  <w:r>
                    <w:rPr>
                      <w:rFonts w:hint="eastAsia"/>
                    </w:rPr>
                    <w:t>按照行业和环评要求为医护人员配备并正确使用必要的个人剂量报警仪和个人剂量计等辐射防护用品。医护人员应配备铅橡胶围裙、铅橡胶颈套、铅防护眼镜、介入防护手套(DSA项目适用)，或配备可调节防护窗口的立位防护屏；选配铅橡胶帽子。对于DSA项目，工作人员在治疗室内开展辐射工作过程中，一间治疗室内至少应携带1台剂量报警仪。</w:t>
                  </w:r>
                </w:p>
              </w:tc>
              <w:tc>
                <w:tcPr>
                  <w:tcW w:w="3723" w:type="dxa"/>
                  <w:tcBorders>
                    <w:tl2br w:val="nil"/>
                    <w:tr2bl w:val="nil"/>
                  </w:tcBorders>
                  <w:vAlign w:val="center"/>
                </w:tcPr>
                <w:p w14:paraId="0D506BFD">
                  <w:pPr>
                    <w:pStyle w:val="52"/>
                  </w:pPr>
                  <w:r>
                    <w:rPr>
                      <w:rFonts w:hint="eastAsia"/>
                    </w:rPr>
                    <w:t>按照行业和环评要求为医护人员配备并正确使用必要的个人剂量报警仪和个人剂量计等辐射防护用品。医护人员应配备铅橡胶围裙、铅橡胶颈套、铅防护眼镜、介入防护手套(DSA项目适用)，或配备可调节防护窗口的立位防护屏；选配铅橡胶帽子。对于DSA项目，工作人员在治疗室内开展辐射工作过程中，一间治疗室内至少应携带1台剂量报警仪。</w:t>
                  </w:r>
                </w:p>
              </w:tc>
              <w:tc>
                <w:tcPr>
                  <w:tcW w:w="773" w:type="dxa"/>
                  <w:tcBorders>
                    <w:tl2br w:val="nil"/>
                    <w:tr2bl w:val="nil"/>
                  </w:tcBorders>
                  <w:vAlign w:val="center"/>
                </w:tcPr>
                <w:p w14:paraId="4B06B94D">
                  <w:pPr>
                    <w:pStyle w:val="52"/>
                  </w:pPr>
                  <w:r>
                    <w:rPr>
                      <w:rFonts w:hint="eastAsia"/>
                    </w:rPr>
                    <w:t>拟落实</w:t>
                  </w:r>
                </w:p>
              </w:tc>
            </w:tr>
            <w:tr w14:paraId="6C0B1E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 w:type="dxa"/>
                  <w:tcBorders>
                    <w:tl2br w:val="nil"/>
                    <w:tr2bl w:val="nil"/>
                  </w:tcBorders>
                  <w:vAlign w:val="center"/>
                </w:tcPr>
                <w:p w14:paraId="4B8F0AD8">
                  <w:pPr>
                    <w:pStyle w:val="52"/>
                  </w:pPr>
                  <w:r>
                    <w:rPr>
                      <w:rFonts w:hint="eastAsia"/>
                    </w:rPr>
                    <w:t>7.三废管理</w:t>
                  </w:r>
                </w:p>
              </w:tc>
              <w:tc>
                <w:tcPr>
                  <w:tcW w:w="3642" w:type="dxa"/>
                  <w:tcBorders>
                    <w:tl2br w:val="nil"/>
                    <w:tr2bl w:val="nil"/>
                  </w:tcBorders>
                  <w:vAlign w:val="center"/>
                </w:tcPr>
                <w:p w14:paraId="08D6FE5B">
                  <w:pPr>
                    <w:pStyle w:val="52"/>
                  </w:pPr>
                  <w:r>
                    <w:rPr>
                      <w:rFonts w:hint="eastAsia"/>
                    </w:rPr>
                    <w:t>产生感生放射性“三废”的，应按环评文件及批复要求做好放射性“三废”管理，建立放射性“三废”收集、贮存和排放管理台账，参照《核医学辐射防护与安全要求》(HJ1188)确保放射性“三废”妥善处置，并做好记录存档。</w:t>
                  </w:r>
                </w:p>
              </w:tc>
              <w:tc>
                <w:tcPr>
                  <w:tcW w:w="3723" w:type="dxa"/>
                  <w:tcBorders>
                    <w:tl2br w:val="nil"/>
                    <w:tr2bl w:val="nil"/>
                  </w:tcBorders>
                  <w:vAlign w:val="center"/>
                </w:tcPr>
                <w:p w14:paraId="07A2CAD3">
                  <w:pPr>
                    <w:pStyle w:val="52"/>
                  </w:pPr>
                  <w:r>
                    <w:rPr>
                      <w:rFonts w:hint="eastAsia"/>
                    </w:rPr>
                    <w:t>本项目不产生放射性废物，非放射性废物按照环评要求处理</w:t>
                  </w:r>
                </w:p>
              </w:tc>
              <w:tc>
                <w:tcPr>
                  <w:tcW w:w="773" w:type="dxa"/>
                  <w:tcBorders>
                    <w:tl2br w:val="nil"/>
                    <w:tr2bl w:val="nil"/>
                  </w:tcBorders>
                  <w:vAlign w:val="center"/>
                </w:tcPr>
                <w:p w14:paraId="6DAC267A">
                  <w:pPr>
                    <w:pStyle w:val="52"/>
                  </w:pPr>
                  <w:r>
                    <w:rPr>
                      <w:rFonts w:hint="eastAsia"/>
                    </w:rPr>
                    <w:t>拟落实</w:t>
                  </w:r>
                </w:p>
              </w:tc>
            </w:tr>
          </w:tbl>
          <w:p w14:paraId="6B585FE4">
            <w:pPr>
              <w:pStyle w:val="11"/>
            </w:pPr>
          </w:p>
          <w:p w14:paraId="5F5E2896">
            <w:pPr>
              <w:spacing w:line="360" w:lineRule="auto"/>
              <w:jc w:val="left"/>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四、投资估算</w:t>
            </w:r>
          </w:p>
          <w:p w14:paraId="4888DDD6">
            <w:pPr>
              <w:pStyle w:val="11"/>
              <w:bidi w:val="0"/>
            </w:pPr>
            <w:r>
              <w:t>本核技术应用项目总投资</w:t>
            </w:r>
            <w:r>
              <w:rPr>
                <w:rFonts w:hint="eastAsia"/>
              </w:rPr>
              <w:t>850</w:t>
            </w:r>
            <w:r>
              <w:t>万元，其中环保投资</w:t>
            </w:r>
            <w:r>
              <w:rPr>
                <w:rFonts w:hint="eastAsia"/>
                <w:lang w:val="en-US" w:eastAsia="zh-CN"/>
              </w:rPr>
              <w:t>26</w:t>
            </w:r>
            <w:r>
              <w:rPr>
                <w:rFonts w:hint="eastAsia"/>
              </w:rPr>
              <w:t>.7</w:t>
            </w:r>
            <w:r>
              <w:t>万元，占总投资约</w:t>
            </w:r>
            <w:r>
              <w:rPr>
                <w:rFonts w:hint="eastAsia"/>
                <w:lang w:val="en-US" w:eastAsia="zh-CN"/>
              </w:rPr>
              <w:t>3.14</w:t>
            </w:r>
            <w:r>
              <w:t>%，具体环保设施及投资见下表10-</w:t>
            </w:r>
            <w:r>
              <w:rPr>
                <w:rFonts w:hint="eastAsia"/>
                <w:lang w:val="en-US" w:eastAsia="zh-CN"/>
              </w:rPr>
              <w:t>7</w:t>
            </w:r>
            <w:r>
              <w:t>。</w:t>
            </w:r>
          </w:p>
          <w:p w14:paraId="34F3804B">
            <w:pPr>
              <w:keepNext/>
              <w:numPr>
                <w:ilvl w:val="0"/>
                <w:numId w:val="12"/>
              </w:numPr>
              <w:spacing w:line="360" w:lineRule="auto"/>
              <w:ind w:left="425" w:hanging="425" w:firstLineChars="0"/>
              <w:jc w:val="center"/>
              <w:rPr>
                <w:rFonts w:ascii="Times New Roman" w:hAnsi="Times New Roman"/>
                <w:b/>
                <w:color w:val="000000" w:themeColor="text1"/>
                <w:sz w:val="24"/>
                <w14:textFill>
                  <w14:solidFill>
                    <w14:schemeClr w14:val="tx1"/>
                  </w14:solidFill>
                </w14:textFill>
              </w:rPr>
            </w:pPr>
            <w:bookmarkStart w:id="28" w:name="OLE_LINK11"/>
            <w:r>
              <w:rPr>
                <w:rFonts w:ascii="Times New Roman" w:hAnsi="Times New Roman"/>
                <w:b/>
                <w:color w:val="000000" w:themeColor="text1"/>
                <w:sz w:val="24"/>
                <w14:textFill>
                  <w14:solidFill>
                    <w14:schemeClr w14:val="tx1"/>
                  </w14:solidFill>
                </w14:textFill>
              </w:rPr>
              <w:t>辐射防护设施（措施）及投资估算一览表</w:t>
            </w:r>
          </w:p>
          <w:tbl>
            <w:tblPr>
              <w:tblStyle w:val="2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9"/>
              <w:gridCol w:w="803"/>
              <w:gridCol w:w="4333"/>
              <w:gridCol w:w="840"/>
              <w:gridCol w:w="1171"/>
              <w:gridCol w:w="1233"/>
            </w:tblGrid>
            <w:tr w14:paraId="188A1B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22" w:type="dxa"/>
                  <w:gridSpan w:val="2"/>
                  <w:tcBorders>
                    <w:top w:val="single" w:color="auto" w:sz="12" w:space="0"/>
                    <w:bottom w:val="single" w:color="auto" w:sz="12" w:space="0"/>
                  </w:tcBorders>
                  <w:vAlign w:val="center"/>
                </w:tcPr>
                <w:p w14:paraId="3A4A3744">
                  <w:pPr>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项目</w:t>
                  </w:r>
                </w:p>
              </w:tc>
              <w:tc>
                <w:tcPr>
                  <w:tcW w:w="4332" w:type="dxa"/>
                  <w:tcBorders>
                    <w:top w:val="single" w:color="auto" w:sz="12" w:space="0"/>
                    <w:bottom w:val="single" w:color="auto" w:sz="12" w:space="0"/>
                  </w:tcBorders>
                  <w:vAlign w:val="center"/>
                </w:tcPr>
                <w:p w14:paraId="1DC1F953">
                  <w:pPr>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设施</w:t>
                  </w:r>
                </w:p>
              </w:tc>
              <w:tc>
                <w:tcPr>
                  <w:tcW w:w="840" w:type="dxa"/>
                  <w:tcBorders>
                    <w:top w:val="single" w:color="auto" w:sz="12" w:space="0"/>
                    <w:bottom w:val="single" w:color="auto" w:sz="12" w:space="0"/>
                  </w:tcBorders>
                  <w:vAlign w:val="center"/>
                </w:tcPr>
                <w:p w14:paraId="3061F487">
                  <w:pPr>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数量</w:t>
                  </w:r>
                </w:p>
              </w:tc>
              <w:tc>
                <w:tcPr>
                  <w:tcW w:w="1170" w:type="dxa"/>
                  <w:tcBorders>
                    <w:top w:val="single" w:color="auto" w:sz="12" w:space="0"/>
                    <w:bottom w:val="single" w:color="auto" w:sz="12" w:space="0"/>
                  </w:tcBorders>
                  <w:vAlign w:val="center"/>
                </w:tcPr>
                <w:p w14:paraId="2379F2E4">
                  <w:pPr>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金额（万元）</w:t>
                  </w:r>
                </w:p>
              </w:tc>
              <w:tc>
                <w:tcPr>
                  <w:tcW w:w="1232" w:type="dxa"/>
                  <w:tcBorders>
                    <w:top w:val="single" w:color="auto" w:sz="12" w:space="0"/>
                    <w:bottom w:val="single" w:color="auto" w:sz="12" w:space="0"/>
                  </w:tcBorders>
                  <w:vAlign w:val="center"/>
                </w:tcPr>
                <w:p w14:paraId="0E7CE3F5">
                  <w:pPr>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备注</w:t>
                  </w:r>
                </w:p>
              </w:tc>
            </w:tr>
            <w:tr w14:paraId="10D36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restart"/>
                  <w:vAlign w:val="center"/>
                </w:tcPr>
                <w:p w14:paraId="3A49DAFF">
                  <w:pPr>
                    <w:jc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DSA机房</w:t>
                  </w:r>
                </w:p>
              </w:tc>
              <w:tc>
                <w:tcPr>
                  <w:tcW w:w="803" w:type="dxa"/>
                  <w:vMerge w:val="restart"/>
                  <w:vAlign w:val="center"/>
                </w:tcPr>
                <w:p w14:paraId="62BF0BB7">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辐射屏蔽措施</w:t>
                  </w:r>
                </w:p>
              </w:tc>
              <w:tc>
                <w:tcPr>
                  <w:tcW w:w="4332" w:type="dxa"/>
                  <w:vAlign w:val="center"/>
                </w:tcPr>
                <w:p w14:paraId="4BB83A2E">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铅防护门3扇（3mm铅当量）</w:t>
                  </w:r>
                </w:p>
              </w:tc>
              <w:tc>
                <w:tcPr>
                  <w:tcW w:w="840" w:type="dxa"/>
                  <w:vAlign w:val="center"/>
                </w:tcPr>
                <w:p w14:paraId="0CF6C846">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3</w:t>
                  </w:r>
                </w:p>
              </w:tc>
              <w:tc>
                <w:tcPr>
                  <w:tcW w:w="1170" w:type="dxa"/>
                  <w:vAlign w:val="center"/>
                </w:tcPr>
                <w:p w14:paraId="4256978E">
                  <w:pPr>
                    <w:widowControl/>
                    <w:jc w:val="center"/>
                    <w:textAlignment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3</w:t>
                  </w:r>
                </w:p>
              </w:tc>
              <w:tc>
                <w:tcPr>
                  <w:tcW w:w="1232" w:type="dxa"/>
                  <w:vAlign w:val="center"/>
                </w:tcPr>
                <w:p w14:paraId="76514373">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r>
            <w:tr w14:paraId="15B187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1C5DAC54">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581F996C">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4F6FCA9C">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铅玻璃观察窗1扇（3mm铅当量）</w:t>
                  </w:r>
                </w:p>
              </w:tc>
              <w:tc>
                <w:tcPr>
                  <w:tcW w:w="840" w:type="dxa"/>
                  <w:vAlign w:val="center"/>
                </w:tcPr>
                <w:p w14:paraId="5FF22B7B">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1</w:t>
                  </w:r>
                </w:p>
              </w:tc>
              <w:tc>
                <w:tcPr>
                  <w:tcW w:w="1170" w:type="dxa"/>
                  <w:vAlign w:val="center"/>
                </w:tcPr>
                <w:p w14:paraId="4E0FFD80">
                  <w:pPr>
                    <w:widowControl/>
                    <w:jc w:val="center"/>
                    <w:textAlignment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1</w:t>
                  </w:r>
                </w:p>
              </w:tc>
              <w:tc>
                <w:tcPr>
                  <w:tcW w:w="1232" w:type="dxa"/>
                  <w:vAlign w:val="center"/>
                </w:tcPr>
                <w:p w14:paraId="0BBE470E">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r>
            <w:tr w14:paraId="48D81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51E2756B">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5F3BB22F">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1F651DF4">
                  <w:pPr>
                    <w:jc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370mm</w:t>
                  </w:r>
                  <w:r>
                    <w:rPr>
                      <w:rFonts w:hint="eastAsia" w:ascii="Times New Roman" w:hAnsi="Times New Roman"/>
                      <w:color w:val="000000" w:themeColor="text1"/>
                      <w:szCs w:val="21"/>
                      <w:lang w:eastAsia="zh-CN"/>
                      <w14:textFill>
                        <w14:solidFill>
                          <w14:schemeClr w14:val="tx1"/>
                        </w14:solidFill>
                      </w14:textFill>
                    </w:rPr>
                    <w:t>红色实心砖墙</w:t>
                  </w:r>
                  <w:r>
                    <w:rPr>
                      <w:rFonts w:ascii="Times New Roman" w:hAnsi="Times New Roman"/>
                      <w:szCs w:val="21"/>
                    </w:rPr>
                    <w:t>+10mm硫酸钡水泥砂浆</w:t>
                  </w:r>
                </w:p>
              </w:tc>
              <w:tc>
                <w:tcPr>
                  <w:tcW w:w="840" w:type="dxa"/>
                  <w:vAlign w:val="center"/>
                </w:tcPr>
                <w:p w14:paraId="22C0DA4C">
                  <w:pPr>
                    <w:widowControl/>
                    <w:jc w:val="center"/>
                    <w:textAlignment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w:t>
                  </w:r>
                </w:p>
              </w:tc>
              <w:tc>
                <w:tcPr>
                  <w:tcW w:w="1170" w:type="dxa"/>
                  <w:vAlign w:val="center"/>
                </w:tcPr>
                <w:p w14:paraId="6126317A">
                  <w:pPr>
                    <w:widowControl/>
                    <w:jc w:val="center"/>
                    <w:textAlignment w:val="center"/>
                    <w:rPr>
                      <w:rFonts w:hint="eastAsia" w:ascii="Times New Roman" w:hAnsi="Times New Roman" w:eastAsia="宋体"/>
                      <w:bCs/>
                      <w:color w:val="000000" w:themeColor="text1"/>
                      <w:szCs w:val="21"/>
                      <w:lang w:eastAsia="zh-CN"/>
                      <w14:textFill>
                        <w14:solidFill>
                          <w14:schemeClr w14:val="tx1"/>
                        </w14:solidFill>
                      </w14:textFill>
                    </w:rPr>
                  </w:pPr>
                  <w:r>
                    <w:rPr>
                      <w:rFonts w:hint="eastAsia" w:ascii="Times New Roman" w:hAnsi="Times New Roman"/>
                      <w:bCs/>
                      <w:color w:val="000000" w:themeColor="text1"/>
                      <w:szCs w:val="21"/>
                      <w:lang w:val="en-US" w:eastAsia="zh-CN"/>
                      <w14:textFill>
                        <w14:solidFill>
                          <w14:schemeClr w14:val="tx1"/>
                        </w14:solidFill>
                      </w14:textFill>
                    </w:rPr>
                    <w:t>5</w:t>
                  </w:r>
                </w:p>
              </w:tc>
              <w:tc>
                <w:tcPr>
                  <w:tcW w:w="1232" w:type="dxa"/>
                  <w:vAlign w:val="center"/>
                </w:tcPr>
                <w:p w14:paraId="7FB3C07C">
                  <w:pPr>
                    <w:widowControl/>
                    <w:jc w:val="center"/>
                    <w:textAlignment w:val="center"/>
                    <w:rPr>
                      <w:rFonts w:ascii="Times New Roman" w:hAnsi="Times New Roman"/>
                      <w:bCs/>
                      <w:color w:val="000000" w:themeColor="text1"/>
                      <w:szCs w:val="21"/>
                      <w14:textFill>
                        <w14:solidFill>
                          <w14:schemeClr w14:val="tx1"/>
                        </w14:solidFill>
                      </w14:textFill>
                    </w:rPr>
                  </w:pPr>
                  <w:r>
                    <w:rPr>
                      <w:rFonts w:hint="eastAsia"/>
                      <w:lang w:val="en-US" w:eastAsia="zh-CN"/>
                    </w:rPr>
                    <w:t>新增砂浆</w:t>
                  </w:r>
                </w:p>
              </w:tc>
            </w:tr>
            <w:tr w14:paraId="351269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27DC7E46">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00BE33FE">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467524DE">
                  <w:pPr>
                    <w:jc w:val="center"/>
                    <w:rPr>
                      <w:rFonts w:hint="eastAsia" w:ascii="Times New Roman" w:hAnsi="Times New Roman" w:eastAsia="宋体"/>
                      <w:bCs/>
                      <w:color w:val="000000" w:themeColor="text1"/>
                      <w:szCs w:val="21"/>
                      <w:lang w:eastAsia="zh-CN"/>
                      <w14:textFill>
                        <w14:solidFill>
                          <w14:schemeClr w14:val="tx1"/>
                        </w14:solidFill>
                      </w14:textFill>
                    </w:rPr>
                  </w:pPr>
                  <w:r>
                    <w:rPr>
                      <w:rFonts w:ascii="Times New Roman" w:hAnsi="Times New Roman"/>
                      <w:bCs/>
                      <w:color w:val="000000" w:themeColor="text1"/>
                      <w:szCs w:val="21"/>
                      <w14:textFill>
                        <w14:solidFill>
                          <w14:schemeClr w14:val="tx1"/>
                        </w14:solidFill>
                      </w14:textFill>
                    </w:rPr>
                    <w:t>屋顶为</w:t>
                  </w:r>
                  <w:r>
                    <w:rPr>
                      <w:rFonts w:hint="eastAsia" w:ascii="Times New Roman" w:hAnsi="Times New Roman"/>
                      <w:bCs/>
                      <w:color w:val="000000" w:themeColor="text1"/>
                      <w:szCs w:val="21"/>
                      <w:lang w:val="en-US" w:eastAsia="zh-CN"/>
                      <w14:textFill>
                        <w14:solidFill>
                          <w14:schemeClr w14:val="tx1"/>
                        </w14:solidFill>
                      </w14:textFill>
                    </w:rPr>
                    <w:t>26</w:t>
                  </w:r>
                  <w:r>
                    <w:rPr>
                      <w:rFonts w:hint="eastAsia" w:ascii="Times New Roman" w:hAnsi="Times New Roman"/>
                      <w:bCs/>
                      <w:color w:val="000000" w:themeColor="text1"/>
                      <w:szCs w:val="21"/>
                      <w14:textFill>
                        <w14:solidFill>
                          <w14:schemeClr w14:val="tx1"/>
                        </w14:solidFill>
                      </w14:textFill>
                    </w:rPr>
                    <w:t>0mm现浇混凝土楼板</w:t>
                  </w:r>
                  <w:r>
                    <w:rPr>
                      <w:rFonts w:ascii="Times New Roman" w:hAnsi="Times New Roman"/>
                      <w:szCs w:val="21"/>
                    </w:rPr>
                    <w:t>+</w:t>
                  </w:r>
                  <w:r>
                    <w:rPr>
                      <w:rFonts w:hint="eastAsia" w:ascii="Times New Roman" w:hAnsi="Times New Roman"/>
                      <w:szCs w:val="21"/>
                      <w:lang w:val="en-US" w:eastAsia="zh-CN"/>
                    </w:rPr>
                    <w:t>3</w:t>
                  </w:r>
                  <w:r>
                    <w:rPr>
                      <w:rFonts w:ascii="Times New Roman" w:hAnsi="Times New Roman"/>
                      <w:szCs w:val="21"/>
                    </w:rPr>
                    <w:t>mm</w:t>
                  </w:r>
                  <w:r>
                    <w:rPr>
                      <w:rFonts w:hint="eastAsia" w:ascii="Times New Roman" w:hAnsi="Times New Roman"/>
                      <w:szCs w:val="21"/>
                      <w:lang w:val="en-US" w:eastAsia="zh-CN"/>
                    </w:rPr>
                    <w:t>铅板</w:t>
                  </w:r>
                </w:p>
                <w:p w14:paraId="65533CDA">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地板为</w:t>
                  </w:r>
                  <w:r>
                    <w:rPr>
                      <w:rFonts w:hint="eastAsia" w:ascii="Times New Roman" w:hAnsi="Times New Roman"/>
                      <w:bCs/>
                      <w:color w:val="000000" w:themeColor="text1"/>
                      <w:szCs w:val="21"/>
                      <w:lang w:val="en-US" w:eastAsia="zh-CN"/>
                      <w14:textFill>
                        <w14:solidFill>
                          <w14:schemeClr w14:val="tx1"/>
                        </w14:solidFill>
                      </w14:textFill>
                    </w:rPr>
                    <w:t>26</w:t>
                  </w:r>
                  <w:r>
                    <w:rPr>
                      <w:rFonts w:hint="eastAsia" w:ascii="Times New Roman" w:hAnsi="Times New Roman"/>
                      <w:bCs/>
                      <w:color w:val="000000" w:themeColor="text1"/>
                      <w:szCs w:val="21"/>
                      <w14:textFill>
                        <w14:solidFill>
                          <w14:schemeClr w14:val="tx1"/>
                        </w14:solidFill>
                      </w14:textFill>
                    </w:rPr>
                    <w:t>0mm现浇混凝土楼板</w:t>
                  </w:r>
                  <w:r>
                    <w:rPr>
                      <w:rFonts w:ascii="Times New Roman" w:hAnsi="Times New Roman"/>
                      <w:szCs w:val="21"/>
                    </w:rPr>
                    <w:t>+</w:t>
                  </w:r>
                  <w:r>
                    <w:rPr>
                      <w:rFonts w:hint="eastAsia" w:ascii="Times New Roman" w:hAnsi="Times New Roman"/>
                      <w:szCs w:val="21"/>
                      <w:lang w:val="en-US" w:eastAsia="zh-CN"/>
                    </w:rPr>
                    <w:t>1</w:t>
                  </w:r>
                  <w:r>
                    <w:rPr>
                      <w:rFonts w:ascii="Times New Roman" w:hAnsi="Times New Roman"/>
                      <w:szCs w:val="21"/>
                    </w:rPr>
                    <w:t>0mm硫酸钡水泥砂浆</w:t>
                  </w:r>
                </w:p>
              </w:tc>
              <w:tc>
                <w:tcPr>
                  <w:tcW w:w="840" w:type="dxa"/>
                  <w:vAlign w:val="center"/>
                </w:tcPr>
                <w:p w14:paraId="3C1FA805">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170" w:type="dxa"/>
                  <w:vAlign w:val="center"/>
                </w:tcPr>
                <w:p w14:paraId="7CB565FA">
                  <w:pPr>
                    <w:widowControl/>
                    <w:jc w:val="center"/>
                    <w:textAlignment w:val="center"/>
                    <w:rPr>
                      <w:rFonts w:hint="eastAsia" w:ascii="Times New Roman" w:hAnsi="Times New Roman" w:eastAsia="宋体"/>
                      <w:bCs/>
                      <w:color w:val="000000" w:themeColor="text1"/>
                      <w:szCs w:val="21"/>
                      <w:lang w:eastAsia="zh-CN"/>
                      <w14:textFill>
                        <w14:solidFill>
                          <w14:schemeClr w14:val="tx1"/>
                        </w14:solidFill>
                      </w14:textFill>
                    </w:rPr>
                  </w:pPr>
                  <w:r>
                    <w:rPr>
                      <w:rFonts w:hint="eastAsia" w:ascii="Times New Roman" w:hAnsi="Times New Roman"/>
                      <w:bCs/>
                      <w:color w:val="000000" w:themeColor="text1"/>
                      <w:szCs w:val="21"/>
                      <w:lang w:val="en-US" w:eastAsia="zh-CN"/>
                      <w14:textFill>
                        <w14:solidFill>
                          <w14:schemeClr w14:val="tx1"/>
                        </w14:solidFill>
                      </w14:textFill>
                    </w:rPr>
                    <w:t>5</w:t>
                  </w:r>
                </w:p>
              </w:tc>
              <w:tc>
                <w:tcPr>
                  <w:tcW w:w="1232" w:type="dxa"/>
                  <w:vAlign w:val="center"/>
                </w:tcPr>
                <w:p w14:paraId="4F599F8E">
                  <w:pPr>
                    <w:widowControl/>
                    <w:jc w:val="center"/>
                    <w:textAlignment w:val="center"/>
                    <w:rPr>
                      <w:rFonts w:hint="default" w:ascii="Times New Roman" w:hAnsi="Times New Roman"/>
                      <w:color w:val="000000" w:themeColor="text1"/>
                      <w:kern w:val="0"/>
                      <w:szCs w:val="21"/>
                      <w:lang w:val="en-US" w:bidi="ar"/>
                      <w14:textFill>
                        <w14:solidFill>
                          <w14:schemeClr w14:val="tx1"/>
                        </w14:solidFill>
                      </w14:textFill>
                    </w:rPr>
                  </w:pPr>
                  <w:r>
                    <w:rPr>
                      <w:rFonts w:hint="eastAsia"/>
                      <w:lang w:val="en-US" w:eastAsia="zh-CN"/>
                    </w:rPr>
                    <w:t>新增砂浆、铅板</w:t>
                  </w:r>
                </w:p>
              </w:tc>
            </w:tr>
            <w:tr w14:paraId="2E6F78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3AB93D4F">
                  <w:pPr>
                    <w:jc w:val="center"/>
                    <w:rPr>
                      <w:rFonts w:ascii="Times New Roman" w:hAnsi="Times New Roman"/>
                      <w:bCs/>
                      <w:color w:val="000000" w:themeColor="text1"/>
                      <w:szCs w:val="21"/>
                      <w14:textFill>
                        <w14:solidFill>
                          <w14:schemeClr w14:val="tx1"/>
                        </w14:solidFill>
                      </w14:textFill>
                    </w:rPr>
                  </w:pPr>
                </w:p>
              </w:tc>
              <w:tc>
                <w:tcPr>
                  <w:tcW w:w="803" w:type="dxa"/>
                  <w:vMerge w:val="restart"/>
                  <w:vAlign w:val="center"/>
                </w:tcPr>
                <w:p w14:paraId="7F0B1C48">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安全装置</w:t>
                  </w:r>
                </w:p>
              </w:tc>
              <w:tc>
                <w:tcPr>
                  <w:tcW w:w="4332" w:type="dxa"/>
                  <w:vAlign w:val="center"/>
                </w:tcPr>
                <w:p w14:paraId="7E495172">
                  <w:pPr>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工作状态指示灯箱</w:t>
                  </w:r>
                  <w:r>
                    <w:rPr>
                      <w:rFonts w:hint="eastAsia" w:ascii="Times New Roman" w:hAnsi="Times New Roman"/>
                      <w:color w:val="000000" w:themeColor="text1"/>
                      <w:szCs w:val="21"/>
                      <w:lang w:eastAsia="zh-CN"/>
                      <w14:textFill>
                        <w14:solidFill>
                          <w14:schemeClr w14:val="tx1"/>
                        </w14:solidFill>
                      </w14:textFill>
                    </w:rPr>
                    <w:t>（</w:t>
                  </w:r>
                  <w:r>
                    <w:rPr>
                      <w:rFonts w:hint="eastAsia" w:ascii="Times New Roman" w:hAnsi="Times New Roman"/>
                      <w:color w:val="000000" w:themeColor="text1"/>
                      <w:szCs w:val="21"/>
                      <w:lang w:val="en-US" w:eastAsia="zh-CN"/>
                      <w14:textFill>
                        <w14:solidFill>
                          <w14:schemeClr w14:val="tx1"/>
                        </w14:solidFill>
                      </w14:textFill>
                    </w:rPr>
                    <w:t>三色灯</w:t>
                  </w:r>
                  <w:r>
                    <w:rPr>
                      <w:rFonts w:hint="eastAsia" w:ascii="Times New Roman" w:hAnsi="Times New Roman"/>
                      <w:color w:val="000000" w:themeColor="text1"/>
                      <w:szCs w:val="21"/>
                      <w:lang w:eastAsia="zh-CN"/>
                      <w14:textFill>
                        <w14:solidFill>
                          <w14:schemeClr w14:val="tx1"/>
                        </w14:solidFill>
                      </w14:textFill>
                    </w:rPr>
                    <w:t>）</w:t>
                  </w:r>
                  <w:r>
                    <w:rPr>
                      <w:rFonts w:ascii="Times New Roman" w:hAnsi="Times New Roman"/>
                      <w:color w:val="000000" w:themeColor="text1"/>
                      <w:szCs w:val="21"/>
                      <w14:textFill>
                        <w14:solidFill>
                          <w14:schemeClr w14:val="tx1"/>
                        </w14:solidFill>
                      </w14:textFill>
                    </w:rPr>
                    <w:t>：患者进出门、医护进出门、污物门各一个，</w:t>
                  </w:r>
                  <w:r>
                    <w:rPr>
                      <w:rFonts w:ascii="Times New Roman" w:hAnsi="Times New Roman"/>
                      <w:bCs/>
                      <w:color w:val="000000" w:themeColor="text1"/>
                      <w:szCs w:val="21"/>
                      <w14:textFill>
                        <w14:solidFill>
                          <w14:schemeClr w14:val="tx1"/>
                        </w14:solidFill>
                      </w14:textFill>
                    </w:rPr>
                    <w:t>共计3个</w:t>
                  </w:r>
                </w:p>
              </w:tc>
              <w:tc>
                <w:tcPr>
                  <w:tcW w:w="840" w:type="dxa"/>
                  <w:vAlign w:val="center"/>
                </w:tcPr>
                <w:p w14:paraId="1CDBBE82">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3</w:t>
                  </w:r>
                </w:p>
              </w:tc>
              <w:tc>
                <w:tcPr>
                  <w:tcW w:w="1170" w:type="dxa"/>
                  <w:vMerge w:val="restart"/>
                  <w:vAlign w:val="center"/>
                </w:tcPr>
                <w:p w14:paraId="07E0D4D5">
                  <w:pPr>
                    <w:widowControl/>
                    <w:jc w:val="center"/>
                    <w:textAlignment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0.5</w:t>
                  </w:r>
                </w:p>
              </w:tc>
              <w:tc>
                <w:tcPr>
                  <w:tcW w:w="1232" w:type="dxa"/>
                  <w:vAlign w:val="center"/>
                </w:tcPr>
                <w:p w14:paraId="7A9BFDA4">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r>
            <w:tr w14:paraId="3B8F86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42C6A681">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1B0DFA1E">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19417F7B">
                  <w:pPr>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电离辐射警告标志：患者进出门、医护进出门、污物门各一个，</w:t>
                  </w:r>
                  <w:r>
                    <w:rPr>
                      <w:rFonts w:ascii="Times New Roman" w:hAnsi="Times New Roman"/>
                      <w:bCs/>
                      <w:color w:val="000000" w:themeColor="text1"/>
                      <w:szCs w:val="21"/>
                      <w14:textFill>
                        <w14:solidFill>
                          <w14:schemeClr w14:val="tx1"/>
                        </w14:solidFill>
                      </w14:textFill>
                    </w:rPr>
                    <w:t>共计3个</w:t>
                  </w:r>
                </w:p>
              </w:tc>
              <w:tc>
                <w:tcPr>
                  <w:tcW w:w="840" w:type="dxa"/>
                  <w:vAlign w:val="center"/>
                </w:tcPr>
                <w:p w14:paraId="20DD8CD6">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3</w:t>
                  </w:r>
                </w:p>
              </w:tc>
              <w:tc>
                <w:tcPr>
                  <w:tcW w:w="1170" w:type="dxa"/>
                  <w:vMerge w:val="continue"/>
                  <w:vAlign w:val="center"/>
                </w:tcPr>
                <w:p w14:paraId="6B0D8E26">
                  <w:pPr>
                    <w:jc w:val="center"/>
                    <w:rPr>
                      <w:rFonts w:ascii="Times New Roman" w:hAnsi="Times New Roman"/>
                      <w:bCs/>
                      <w:color w:val="000000" w:themeColor="text1"/>
                      <w:szCs w:val="21"/>
                      <w14:textFill>
                        <w14:solidFill>
                          <w14:schemeClr w14:val="tx1"/>
                        </w14:solidFill>
                      </w14:textFill>
                    </w:rPr>
                  </w:pPr>
                </w:p>
              </w:tc>
              <w:tc>
                <w:tcPr>
                  <w:tcW w:w="1232" w:type="dxa"/>
                  <w:vAlign w:val="center"/>
                </w:tcPr>
                <w:p w14:paraId="47720131">
                  <w:pPr>
                    <w:jc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r>
            <w:tr w14:paraId="37237F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37C66C54">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73DE3CA5">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07CF7D67">
                  <w:pPr>
                    <w:pStyle w:val="37"/>
                    <w:snapToGrid w:val="0"/>
                    <w:spacing w:line="276" w:lineRule="auto"/>
                    <w:ind w:left="0"/>
                    <w:jc w:val="center"/>
                    <w:rPr>
                      <w:rFonts w:ascii="Times New Roman" w:hAnsi="Times New Roman"/>
                      <w:b w:val="0"/>
                      <w:color w:val="000000" w:themeColor="text1"/>
                      <w:szCs w:val="21"/>
                      <w14:textFill>
                        <w14:solidFill>
                          <w14:schemeClr w14:val="tx1"/>
                        </w14:solidFill>
                      </w14:textFill>
                    </w:rPr>
                  </w:pPr>
                  <w:r>
                    <w:rPr>
                      <w:rFonts w:ascii="Times New Roman" w:hAnsi="Times New Roman"/>
                      <w:b w:val="0"/>
                      <w:color w:val="000000" w:themeColor="text1"/>
                      <w:szCs w:val="21"/>
                      <w14:textFill>
                        <w14:solidFill>
                          <w14:schemeClr w14:val="tx1"/>
                        </w14:solidFill>
                      </w14:textFill>
                    </w:rPr>
                    <w:t>铅悬挂防护屏/铅防护吊帘1副（0.5mmPb）</w:t>
                  </w:r>
                </w:p>
              </w:tc>
              <w:tc>
                <w:tcPr>
                  <w:tcW w:w="840" w:type="dxa"/>
                  <w:vAlign w:val="center"/>
                </w:tcPr>
                <w:p w14:paraId="16B44556">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1</w:t>
                  </w:r>
                </w:p>
              </w:tc>
              <w:tc>
                <w:tcPr>
                  <w:tcW w:w="1170" w:type="dxa"/>
                  <w:vMerge w:val="restart"/>
                  <w:vAlign w:val="center"/>
                </w:tcPr>
                <w:p w14:paraId="29CCDFB6">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w:t>
                  </w:r>
                </w:p>
              </w:tc>
              <w:tc>
                <w:tcPr>
                  <w:tcW w:w="1232" w:type="dxa"/>
                  <w:vAlign w:val="center"/>
                </w:tcPr>
                <w:p w14:paraId="36CAE367">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机器自带</w:t>
                  </w:r>
                </w:p>
              </w:tc>
            </w:tr>
            <w:tr w14:paraId="32FDD1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62621CB5">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34777370">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7018463F">
                  <w:pPr>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床侧防护帘/床侧防护屏1副（0.5mmPb）</w:t>
                  </w:r>
                </w:p>
              </w:tc>
              <w:tc>
                <w:tcPr>
                  <w:tcW w:w="840" w:type="dxa"/>
                  <w:vAlign w:val="center"/>
                </w:tcPr>
                <w:p w14:paraId="18E9ECD5">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1</w:t>
                  </w:r>
                </w:p>
              </w:tc>
              <w:tc>
                <w:tcPr>
                  <w:tcW w:w="1170" w:type="dxa"/>
                  <w:vMerge w:val="continue"/>
                  <w:vAlign w:val="center"/>
                </w:tcPr>
                <w:p w14:paraId="467B39FC">
                  <w:pPr>
                    <w:jc w:val="center"/>
                    <w:rPr>
                      <w:rFonts w:ascii="Times New Roman" w:hAnsi="Times New Roman"/>
                      <w:bCs/>
                      <w:color w:val="000000" w:themeColor="text1"/>
                      <w:szCs w:val="21"/>
                      <w14:textFill>
                        <w14:solidFill>
                          <w14:schemeClr w14:val="tx1"/>
                        </w14:solidFill>
                      </w14:textFill>
                    </w:rPr>
                  </w:pPr>
                </w:p>
              </w:tc>
              <w:tc>
                <w:tcPr>
                  <w:tcW w:w="1232" w:type="dxa"/>
                  <w:vAlign w:val="center"/>
                </w:tcPr>
                <w:p w14:paraId="32AB1D22">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机器自带</w:t>
                  </w:r>
                </w:p>
              </w:tc>
            </w:tr>
            <w:tr w14:paraId="090ED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5730D912">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4FB75138">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63CE8149">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门灯联锁装置：患者、医护人员进出门、污物门各设置1个，共计3个</w:t>
                  </w:r>
                  <w:r>
                    <w:rPr>
                      <w:rFonts w:hint="eastAsia" w:ascii="Times New Roman" w:hAnsi="Times New Roman"/>
                      <w:bCs/>
                      <w:color w:val="000000" w:themeColor="text1"/>
                      <w:szCs w:val="21"/>
                      <w14:textFill>
                        <w14:solidFill>
                          <w14:schemeClr w14:val="tx1"/>
                        </w14:solidFill>
                      </w14:textFill>
                    </w:rPr>
                    <w:t>。</w:t>
                  </w:r>
                </w:p>
              </w:tc>
              <w:tc>
                <w:tcPr>
                  <w:tcW w:w="840" w:type="dxa"/>
                  <w:vAlign w:val="center"/>
                </w:tcPr>
                <w:p w14:paraId="6BA9DDB8">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3</w:t>
                  </w:r>
                </w:p>
              </w:tc>
              <w:tc>
                <w:tcPr>
                  <w:tcW w:w="1170" w:type="dxa"/>
                  <w:vAlign w:val="center"/>
                </w:tcPr>
                <w:p w14:paraId="34832BE7">
                  <w:pPr>
                    <w:jc w:val="center"/>
                    <w:rPr>
                      <w:rFonts w:ascii="Times New Roman" w:hAnsi="Times New Roman"/>
                      <w:bCs/>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1</w:t>
                  </w:r>
                </w:p>
              </w:tc>
              <w:tc>
                <w:tcPr>
                  <w:tcW w:w="1232" w:type="dxa"/>
                  <w:vAlign w:val="center"/>
                </w:tcPr>
                <w:p w14:paraId="2EA29C1F">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w:t>
                  </w:r>
                </w:p>
              </w:tc>
            </w:tr>
            <w:tr w14:paraId="19A802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7B4AF713">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0322C7D5">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131B3546">
                  <w:pPr>
                    <w:jc w:val="center"/>
                    <w:rPr>
                      <w:rFonts w:hint="default" w:ascii="Times New Roman" w:hAnsi="Times New Roman" w:eastAsia="宋体"/>
                      <w:bCs/>
                      <w:color w:val="000000" w:themeColor="text1"/>
                      <w:szCs w:val="21"/>
                      <w:lang w:val="en-US" w:eastAsia="zh-CN"/>
                      <w14:textFill>
                        <w14:solidFill>
                          <w14:schemeClr w14:val="tx1"/>
                        </w14:solidFill>
                      </w14:textFill>
                    </w:rPr>
                  </w:pPr>
                  <w:r>
                    <w:rPr>
                      <w:rFonts w:ascii="Times New Roman" w:hAnsi="Times New Roman"/>
                      <w:bCs/>
                      <w:color w:val="000000" w:themeColor="text1"/>
                      <w:szCs w:val="21"/>
                      <w14:textFill>
                        <w14:solidFill>
                          <w14:schemeClr w14:val="tx1"/>
                        </w14:solidFill>
                      </w14:textFill>
                    </w:rPr>
                    <w:t>DSA机房</w:t>
                  </w:r>
                  <w:r>
                    <w:rPr>
                      <w:rFonts w:ascii="Times New Roman" w:hAnsi="Times New Roman"/>
                      <w:color w:val="000000" w:themeColor="text1"/>
                      <w:szCs w:val="21"/>
                      <w14:textFill>
                        <w14:solidFill>
                          <w14:schemeClr w14:val="tx1"/>
                        </w14:solidFill>
                      </w14:textFill>
                    </w:rPr>
                    <w:t>电动防护移门设置防夹装置，平开门设置闭门装置</w:t>
                  </w:r>
                </w:p>
              </w:tc>
              <w:tc>
                <w:tcPr>
                  <w:tcW w:w="840" w:type="dxa"/>
                  <w:vAlign w:val="center"/>
                </w:tcPr>
                <w:p w14:paraId="00E7E340">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3</w:t>
                  </w:r>
                  <w:r>
                    <w:rPr>
                      <w:rFonts w:ascii="Times New Roman" w:hAnsi="Times New Roman"/>
                      <w:szCs w:val="21"/>
                    </w:rPr>
                    <w:t>套</w:t>
                  </w:r>
                </w:p>
              </w:tc>
              <w:tc>
                <w:tcPr>
                  <w:tcW w:w="1170" w:type="dxa"/>
                  <w:vAlign w:val="center"/>
                </w:tcPr>
                <w:p w14:paraId="3D72D1E4">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0.3</w:t>
                  </w:r>
                </w:p>
              </w:tc>
              <w:tc>
                <w:tcPr>
                  <w:tcW w:w="1232" w:type="dxa"/>
                  <w:vAlign w:val="center"/>
                </w:tcPr>
                <w:p w14:paraId="46D7C77A">
                  <w:pPr>
                    <w:jc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r>
            <w:tr w14:paraId="0035AB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0494A619">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6E588F37">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222B78F9">
                  <w:pPr>
                    <w:jc w:val="center"/>
                    <w:rPr>
                      <w:rFonts w:ascii="Times New Roman" w:hAnsi="Times New Roman"/>
                      <w:bCs/>
                      <w:color w:val="000000" w:themeColor="text1"/>
                      <w:szCs w:val="21"/>
                      <w14:textFill>
                        <w14:solidFill>
                          <w14:schemeClr w14:val="tx1"/>
                        </w14:solidFill>
                      </w14:textFill>
                    </w:rPr>
                  </w:pPr>
                  <w:r>
                    <w:rPr>
                      <w:rFonts w:hint="eastAsia" w:ascii="Times New Roman" w:hAnsi="Times New Roman"/>
                      <w:bCs/>
                      <w:color w:val="000000" w:themeColor="text1"/>
                      <w:szCs w:val="21"/>
                      <w:lang w:eastAsia="zh-CN"/>
                      <w14:textFill>
                        <w14:solidFill>
                          <w14:schemeClr w14:val="tx1"/>
                        </w14:solidFill>
                      </w14:textFill>
                    </w:rPr>
                    <w:t>紧急制动</w:t>
                  </w:r>
                  <w:r>
                    <w:rPr>
                      <w:rFonts w:ascii="Times New Roman" w:hAnsi="Times New Roman"/>
                      <w:bCs/>
                      <w:color w:val="000000" w:themeColor="text1"/>
                      <w:szCs w:val="21"/>
                      <w14:textFill>
                        <w14:solidFill>
                          <w14:schemeClr w14:val="tx1"/>
                        </w14:solidFill>
                      </w14:textFill>
                    </w:rPr>
                    <w:t>装置1套（操作台及床体上各1个）</w:t>
                  </w:r>
                </w:p>
              </w:tc>
              <w:tc>
                <w:tcPr>
                  <w:tcW w:w="840" w:type="dxa"/>
                  <w:vAlign w:val="center"/>
                </w:tcPr>
                <w:p w14:paraId="0030915F">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2</w:t>
                  </w:r>
                </w:p>
              </w:tc>
              <w:tc>
                <w:tcPr>
                  <w:tcW w:w="1170" w:type="dxa"/>
                  <w:vMerge w:val="restart"/>
                  <w:vAlign w:val="center"/>
                </w:tcPr>
                <w:p w14:paraId="2B63982C">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1</w:t>
                  </w:r>
                </w:p>
              </w:tc>
              <w:tc>
                <w:tcPr>
                  <w:tcW w:w="1232" w:type="dxa"/>
                  <w:vAlign w:val="center"/>
                </w:tcPr>
                <w:p w14:paraId="3FE7D13F">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w:t>
                  </w:r>
                </w:p>
              </w:tc>
            </w:tr>
            <w:tr w14:paraId="1EF7F3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52DFCA78">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5F0BA0B0">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245FD36A">
                  <w:pPr>
                    <w:jc w:val="center"/>
                    <w:rPr>
                      <w:rFonts w:ascii="Times New Roman" w:hAnsi="Times New Roman"/>
                      <w:bCs/>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防盗设施</w:t>
                  </w:r>
                </w:p>
              </w:tc>
              <w:tc>
                <w:tcPr>
                  <w:tcW w:w="840" w:type="dxa"/>
                  <w:vAlign w:val="center"/>
                </w:tcPr>
                <w:p w14:paraId="1860D6EA">
                  <w:pPr>
                    <w:jc w:val="center"/>
                    <w:rPr>
                      <w:rFonts w:hint="eastAsia" w:ascii="Times New Roman" w:hAnsi="Times New Roman" w:eastAsia="宋体"/>
                      <w:bCs/>
                      <w:color w:val="000000" w:themeColor="text1"/>
                      <w:szCs w:val="21"/>
                      <w:lang w:val="en-US" w:eastAsia="zh-CN"/>
                      <w14:textFill>
                        <w14:solidFill>
                          <w14:schemeClr w14:val="tx1"/>
                        </w14:solidFill>
                      </w14:textFill>
                    </w:rPr>
                  </w:pPr>
                  <w:r>
                    <w:rPr>
                      <w:rFonts w:hint="eastAsia" w:ascii="Times New Roman" w:hAnsi="Times New Roman"/>
                      <w:bCs/>
                      <w:color w:val="000000" w:themeColor="text1"/>
                      <w:szCs w:val="21"/>
                      <w:lang w:val="en-US" w:eastAsia="zh-CN"/>
                      <w14:textFill>
                        <w14:solidFill>
                          <w14:schemeClr w14:val="tx1"/>
                        </w14:solidFill>
                      </w14:textFill>
                    </w:rPr>
                    <w:t>1</w:t>
                  </w:r>
                </w:p>
              </w:tc>
              <w:tc>
                <w:tcPr>
                  <w:tcW w:w="1170" w:type="dxa"/>
                  <w:vMerge w:val="continue"/>
                  <w:vAlign w:val="center"/>
                </w:tcPr>
                <w:p w14:paraId="39512B61">
                  <w:pPr>
                    <w:jc w:val="center"/>
                    <w:rPr>
                      <w:rFonts w:ascii="Times New Roman" w:hAnsi="Times New Roman"/>
                      <w:bCs/>
                      <w:color w:val="000000" w:themeColor="text1"/>
                      <w:szCs w:val="21"/>
                      <w14:textFill>
                        <w14:solidFill>
                          <w14:schemeClr w14:val="tx1"/>
                        </w14:solidFill>
                      </w14:textFill>
                    </w:rPr>
                  </w:pPr>
                </w:p>
              </w:tc>
              <w:tc>
                <w:tcPr>
                  <w:tcW w:w="1232" w:type="dxa"/>
                  <w:vAlign w:val="center"/>
                </w:tcPr>
                <w:p w14:paraId="7BC9CFBF">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w:t>
                  </w:r>
                </w:p>
              </w:tc>
            </w:tr>
            <w:tr w14:paraId="501A49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5864D986">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2E4A97B7">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53F1BBB2">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对讲装置1台</w:t>
                  </w:r>
                </w:p>
              </w:tc>
              <w:tc>
                <w:tcPr>
                  <w:tcW w:w="840" w:type="dxa"/>
                  <w:vAlign w:val="center"/>
                </w:tcPr>
                <w:p w14:paraId="4FE01B32">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1</w:t>
                  </w:r>
                </w:p>
              </w:tc>
              <w:tc>
                <w:tcPr>
                  <w:tcW w:w="1170" w:type="dxa"/>
                  <w:vMerge w:val="continue"/>
                  <w:vAlign w:val="center"/>
                </w:tcPr>
                <w:p w14:paraId="7B12C9C0">
                  <w:pPr>
                    <w:jc w:val="center"/>
                    <w:rPr>
                      <w:rFonts w:ascii="Times New Roman" w:hAnsi="Times New Roman"/>
                      <w:bCs/>
                      <w:color w:val="000000" w:themeColor="text1"/>
                      <w:szCs w:val="21"/>
                      <w14:textFill>
                        <w14:solidFill>
                          <w14:schemeClr w14:val="tx1"/>
                        </w14:solidFill>
                      </w14:textFill>
                    </w:rPr>
                  </w:pPr>
                </w:p>
              </w:tc>
              <w:tc>
                <w:tcPr>
                  <w:tcW w:w="1232" w:type="dxa"/>
                  <w:vAlign w:val="center"/>
                </w:tcPr>
                <w:p w14:paraId="45DC26F3">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w:t>
                  </w:r>
                </w:p>
              </w:tc>
            </w:tr>
            <w:tr w14:paraId="10AC5E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2C8BC84A">
                  <w:pPr>
                    <w:jc w:val="center"/>
                    <w:rPr>
                      <w:rFonts w:ascii="Times New Roman" w:hAnsi="Times New Roman"/>
                      <w:bCs/>
                      <w:color w:val="000000" w:themeColor="text1"/>
                      <w:szCs w:val="21"/>
                      <w14:textFill>
                        <w14:solidFill>
                          <w14:schemeClr w14:val="tx1"/>
                        </w14:solidFill>
                      </w14:textFill>
                    </w:rPr>
                  </w:pPr>
                </w:p>
              </w:tc>
              <w:tc>
                <w:tcPr>
                  <w:tcW w:w="803" w:type="dxa"/>
                  <w:vMerge w:val="restart"/>
                  <w:vAlign w:val="center"/>
                </w:tcPr>
                <w:p w14:paraId="2D77A255">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监测仪器和个人防护用品</w:t>
                  </w:r>
                </w:p>
              </w:tc>
              <w:tc>
                <w:tcPr>
                  <w:tcW w:w="4332" w:type="dxa"/>
                  <w:vAlign w:val="center"/>
                </w:tcPr>
                <w:p w14:paraId="25F8C320">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个人剂量计</w:t>
                  </w:r>
                  <w:r>
                    <w:rPr>
                      <w:rFonts w:hint="eastAsia" w:ascii="Times New Roman" w:hAnsi="Times New Roman"/>
                      <w:bCs/>
                      <w:color w:val="000000" w:themeColor="text1"/>
                      <w:szCs w:val="21"/>
                      <w:lang w:val="en-US" w:eastAsia="zh-CN"/>
                      <w14:textFill>
                        <w14:solidFill>
                          <w14:schemeClr w14:val="tx1"/>
                        </w14:solidFill>
                      </w14:textFill>
                    </w:rPr>
                    <w:t>14</w:t>
                  </w:r>
                  <w:r>
                    <w:rPr>
                      <w:rFonts w:ascii="Times New Roman" w:hAnsi="Times New Roman"/>
                      <w:bCs/>
                      <w:color w:val="000000" w:themeColor="text1"/>
                      <w:szCs w:val="21"/>
                      <w14:textFill>
                        <w14:solidFill>
                          <w14:schemeClr w14:val="tx1"/>
                        </w14:solidFill>
                      </w14:textFill>
                    </w:rPr>
                    <w:t>套</w:t>
                  </w:r>
                </w:p>
              </w:tc>
              <w:tc>
                <w:tcPr>
                  <w:tcW w:w="840" w:type="dxa"/>
                  <w:vAlign w:val="center"/>
                </w:tcPr>
                <w:p w14:paraId="4E5E37F0">
                  <w:pPr>
                    <w:jc w:val="center"/>
                    <w:rPr>
                      <w:rFonts w:hint="default" w:ascii="Times New Roman" w:hAnsi="Times New Roman" w:eastAsia="宋体"/>
                      <w:bCs/>
                      <w:color w:val="000000" w:themeColor="text1"/>
                      <w:szCs w:val="21"/>
                      <w:lang w:val="en-US" w:eastAsia="zh-CN"/>
                      <w14:textFill>
                        <w14:solidFill>
                          <w14:schemeClr w14:val="tx1"/>
                        </w14:solidFill>
                      </w14:textFill>
                    </w:rPr>
                  </w:pPr>
                  <w:r>
                    <w:rPr>
                      <w:rFonts w:hint="eastAsia" w:ascii="Times New Roman" w:hAnsi="Times New Roman"/>
                      <w:bCs/>
                      <w:color w:val="000000" w:themeColor="text1"/>
                      <w:szCs w:val="21"/>
                      <w:lang w:val="en-US" w:eastAsia="zh-CN"/>
                      <w14:textFill>
                        <w14:solidFill>
                          <w14:schemeClr w14:val="tx1"/>
                        </w14:solidFill>
                      </w14:textFill>
                    </w:rPr>
                    <w:t>14</w:t>
                  </w:r>
                </w:p>
              </w:tc>
              <w:tc>
                <w:tcPr>
                  <w:tcW w:w="1170" w:type="dxa"/>
                  <w:vAlign w:val="center"/>
                </w:tcPr>
                <w:p w14:paraId="6EE87851">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w:t>
                  </w:r>
                </w:p>
              </w:tc>
              <w:tc>
                <w:tcPr>
                  <w:tcW w:w="1232" w:type="dxa"/>
                  <w:vAlign w:val="center"/>
                </w:tcPr>
                <w:p w14:paraId="75984C97">
                  <w:pPr>
                    <w:widowControl/>
                    <w:jc w:val="center"/>
                    <w:textAlignment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r>
            <w:tr w14:paraId="0060AC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35FD8E23">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1FF65E2A">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6F62A649">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个人剂量报警仪3台</w:t>
                  </w:r>
                </w:p>
              </w:tc>
              <w:tc>
                <w:tcPr>
                  <w:tcW w:w="840" w:type="dxa"/>
                  <w:vAlign w:val="center"/>
                </w:tcPr>
                <w:p w14:paraId="61D368B3">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3</w:t>
                  </w:r>
                </w:p>
              </w:tc>
              <w:tc>
                <w:tcPr>
                  <w:tcW w:w="1170" w:type="dxa"/>
                  <w:vAlign w:val="center"/>
                </w:tcPr>
                <w:p w14:paraId="48A0BAB0">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3</w:t>
                  </w:r>
                </w:p>
              </w:tc>
              <w:tc>
                <w:tcPr>
                  <w:tcW w:w="1232" w:type="dxa"/>
                  <w:vAlign w:val="center"/>
                </w:tcPr>
                <w:p w14:paraId="24063F7B">
                  <w:pPr>
                    <w:widowControl/>
                    <w:jc w:val="center"/>
                    <w:textAlignment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r>
            <w:tr w14:paraId="1B72A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46DD7FE8">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36E9EC34">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650536B6">
                  <w:pPr>
                    <w:jc w:val="center"/>
                    <w:rPr>
                      <w:rFonts w:ascii="Times New Roman" w:hAnsi="Times New Roman"/>
                      <w:bCs/>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便携式辐射水平监测仪</w:t>
                  </w:r>
                  <w:r>
                    <w:rPr>
                      <w:rFonts w:ascii="Times New Roman" w:hAnsi="Times New Roman"/>
                      <w:bCs/>
                      <w:color w:val="000000" w:themeColor="text1"/>
                      <w:szCs w:val="21"/>
                      <w14:textFill>
                        <w14:solidFill>
                          <w14:schemeClr w14:val="tx1"/>
                        </w14:solidFill>
                      </w14:textFill>
                    </w:rPr>
                    <w:t>1台</w:t>
                  </w:r>
                </w:p>
              </w:tc>
              <w:tc>
                <w:tcPr>
                  <w:tcW w:w="840" w:type="dxa"/>
                  <w:vAlign w:val="center"/>
                </w:tcPr>
                <w:p w14:paraId="6B3AB7A1">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1</w:t>
                  </w:r>
                </w:p>
              </w:tc>
              <w:tc>
                <w:tcPr>
                  <w:tcW w:w="1170" w:type="dxa"/>
                  <w:vAlign w:val="center"/>
                </w:tcPr>
                <w:p w14:paraId="5A2D965A">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1.5</w:t>
                  </w:r>
                </w:p>
              </w:tc>
              <w:tc>
                <w:tcPr>
                  <w:tcW w:w="1232" w:type="dxa"/>
                  <w:vAlign w:val="center"/>
                </w:tcPr>
                <w:p w14:paraId="646A91AD">
                  <w:pPr>
                    <w:widowControl/>
                    <w:jc w:val="center"/>
                    <w:textAlignment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r>
            <w:tr w14:paraId="7A9E6B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4239055F">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185589D7">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2CE29F7E">
                  <w:pPr>
                    <w:jc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辐射工作人员防护用品（配备</w:t>
                  </w:r>
                  <w:r>
                    <w:rPr>
                      <w:rFonts w:hint="eastAsia" w:ascii="Times New Roman" w:hAnsi="Times New Roman"/>
                      <w:color w:val="000000" w:themeColor="text1"/>
                      <w:szCs w:val="21"/>
                      <w14:textFill>
                        <w14:solidFill>
                          <w14:schemeClr w14:val="tx1"/>
                        </w14:solidFill>
                      </w14:textFill>
                    </w:rPr>
                    <w:t>0.5mm</w:t>
                  </w:r>
                  <w:r>
                    <w:rPr>
                      <w:rFonts w:ascii="Times New Roman" w:hAnsi="Times New Roman"/>
                      <w:color w:val="000000" w:themeColor="text1"/>
                      <w:kern w:val="0"/>
                      <w:szCs w:val="21"/>
                      <w:lang w:bidi="ar"/>
                      <w14:textFill>
                        <w14:solidFill>
                          <w14:schemeClr w14:val="tx1"/>
                        </w14:solidFill>
                      </w14:textFill>
                    </w:rPr>
                    <w:t>Pb</w:t>
                  </w:r>
                  <w:r>
                    <w:rPr>
                      <w:rFonts w:hint="eastAsia" w:ascii="宋体" w:hAnsi="宋体" w:cs="宋体"/>
                      <w:color w:val="000000" w:themeColor="text1"/>
                      <w:kern w:val="0"/>
                      <w:szCs w:val="21"/>
                      <w:lang w:bidi="ar"/>
                      <w14:textFill>
                        <w14:solidFill>
                          <w14:schemeClr w14:val="tx1"/>
                        </w14:solidFill>
                      </w14:textFill>
                    </w:rPr>
                    <w:t>的</w:t>
                  </w:r>
                  <w:r>
                    <w:rPr>
                      <w:rFonts w:ascii="Times New Roman" w:hAnsi="Times New Roman"/>
                      <w:color w:val="000000" w:themeColor="text1"/>
                      <w:szCs w:val="21"/>
                      <w14:textFill>
                        <w14:solidFill>
                          <w14:schemeClr w14:val="tx1"/>
                        </w14:solidFill>
                      </w14:textFill>
                    </w:rPr>
                    <w:t>铅橡胶围裙、铅橡胶帽子、铅橡胶颈套、铅防护眼镜</w:t>
                  </w:r>
                  <w:r>
                    <w:rPr>
                      <w:rFonts w:hint="eastAsia" w:ascii="Times New Roman" w:hAnsi="Times New Roman"/>
                      <w:color w:val="000000" w:themeColor="text1"/>
                      <w:szCs w:val="21"/>
                      <w14:textFill>
                        <w14:solidFill>
                          <w14:schemeClr w14:val="tx1"/>
                        </w14:solidFill>
                      </w14:textFill>
                    </w:rPr>
                    <w:t>0.5mm</w:t>
                  </w:r>
                  <w:r>
                    <w:rPr>
                      <w:rFonts w:ascii="Times New Roman" w:hAnsi="Times New Roman"/>
                      <w:color w:val="000000" w:themeColor="text1"/>
                      <w:kern w:val="0"/>
                      <w:szCs w:val="21"/>
                      <w:lang w:bidi="ar"/>
                      <w14:textFill>
                        <w14:solidFill>
                          <w14:schemeClr w14:val="tx1"/>
                        </w14:solidFill>
                      </w14:textFill>
                    </w:rPr>
                    <w:t>Pb</w:t>
                  </w:r>
                  <w:r>
                    <w:rPr>
                      <w:rFonts w:hint="eastAsia" w:ascii="Times New Roman" w:hAnsi="Times New Roman"/>
                      <w:color w:val="000000" w:themeColor="text1"/>
                      <w:szCs w:val="21"/>
                      <w14:textFill>
                        <w14:solidFill>
                          <w14:schemeClr w14:val="tx1"/>
                        </w14:solidFill>
                      </w14:textFill>
                    </w:rPr>
                    <w:t>、</w:t>
                  </w:r>
                  <w:r>
                    <w:rPr>
                      <w:rFonts w:ascii="Times New Roman" w:hAnsi="Times New Roman"/>
                      <w:color w:val="000000" w:themeColor="text1"/>
                      <w:kern w:val="0"/>
                      <w:szCs w:val="21"/>
                      <w:lang w:bidi="ar"/>
                      <w14:textFill>
                        <w14:solidFill>
                          <w14:schemeClr w14:val="tx1"/>
                        </w14:solidFill>
                      </w14:textFill>
                    </w:rPr>
                    <w:t>0.025mmPb</w:t>
                  </w:r>
                  <w:r>
                    <w:rPr>
                      <w:rFonts w:ascii="Times New Roman" w:hAnsi="Times New Roman"/>
                      <w:color w:val="000000" w:themeColor="text1"/>
                      <w:szCs w:val="21"/>
                      <w14:textFill>
                        <w14:solidFill>
                          <w14:schemeClr w14:val="tx1"/>
                        </w14:solidFill>
                      </w14:textFill>
                    </w:rPr>
                    <w:t>介入防护手套）</w:t>
                  </w:r>
                </w:p>
              </w:tc>
              <w:tc>
                <w:tcPr>
                  <w:tcW w:w="840" w:type="dxa"/>
                  <w:vAlign w:val="center"/>
                </w:tcPr>
                <w:p w14:paraId="6503B8DB">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3套</w:t>
                  </w:r>
                </w:p>
              </w:tc>
              <w:tc>
                <w:tcPr>
                  <w:tcW w:w="1170" w:type="dxa"/>
                  <w:vMerge w:val="restart"/>
                  <w:vAlign w:val="center"/>
                </w:tcPr>
                <w:p w14:paraId="31A1D385">
                  <w:pPr>
                    <w:jc w:val="center"/>
                    <w:rPr>
                      <w:rFonts w:ascii="Times New Roman" w:hAnsi="Times New Roman"/>
                      <w:bCs/>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3.4</w:t>
                  </w:r>
                </w:p>
              </w:tc>
              <w:tc>
                <w:tcPr>
                  <w:tcW w:w="1232" w:type="dxa"/>
                  <w:vAlign w:val="center"/>
                </w:tcPr>
                <w:p w14:paraId="7C190643">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w:t>
                  </w:r>
                </w:p>
              </w:tc>
            </w:tr>
            <w:tr w14:paraId="5ADEEA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3E934CED">
                  <w:pPr>
                    <w:jc w:val="center"/>
                    <w:rPr>
                      <w:rFonts w:ascii="Times New Roman" w:hAnsi="Times New Roman"/>
                      <w:bCs/>
                      <w:color w:val="000000" w:themeColor="text1"/>
                      <w:szCs w:val="21"/>
                      <w14:textFill>
                        <w14:solidFill>
                          <w14:schemeClr w14:val="tx1"/>
                        </w14:solidFill>
                      </w14:textFill>
                    </w:rPr>
                  </w:pPr>
                </w:p>
              </w:tc>
              <w:tc>
                <w:tcPr>
                  <w:tcW w:w="803" w:type="dxa"/>
                  <w:vMerge w:val="continue"/>
                  <w:vAlign w:val="center"/>
                </w:tcPr>
                <w:p w14:paraId="74BBE3F4">
                  <w:pPr>
                    <w:jc w:val="center"/>
                    <w:rPr>
                      <w:rFonts w:ascii="Times New Roman" w:hAnsi="Times New Roman"/>
                      <w:bCs/>
                      <w:color w:val="000000" w:themeColor="text1"/>
                      <w:szCs w:val="21"/>
                      <w14:textFill>
                        <w14:solidFill>
                          <w14:schemeClr w14:val="tx1"/>
                        </w14:solidFill>
                      </w14:textFill>
                    </w:rPr>
                  </w:pPr>
                </w:p>
              </w:tc>
              <w:tc>
                <w:tcPr>
                  <w:tcW w:w="4332" w:type="dxa"/>
                  <w:vAlign w:val="center"/>
                </w:tcPr>
                <w:p w14:paraId="061F4B85">
                  <w:pPr>
                    <w:jc w:val="center"/>
                    <w:rPr>
                      <w:rFonts w:ascii="Times New Roman" w:hAnsi="Times New Roman"/>
                      <w:bCs/>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患者防护用品（</w:t>
                  </w:r>
                  <w:r>
                    <w:rPr>
                      <w:rFonts w:hint="eastAsia" w:ascii="Times New Roman" w:hAnsi="Times New Roman"/>
                      <w:color w:val="000000" w:themeColor="text1"/>
                      <w:szCs w:val="21"/>
                      <w14:textFill>
                        <w14:solidFill>
                          <w14:schemeClr w14:val="tx1"/>
                        </w14:solidFill>
                      </w14:textFill>
                    </w:rPr>
                    <w:t>患者</w:t>
                  </w:r>
                  <w:r>
                    <w:rPr>
                      <w:rFonts w:hint="eastAsia" w:ascii="Times New Roman" w:hAnsi="Times New Roman"/>
                      <w:color w:val="000000" w:themeColor="text1"/>
                      <w:szCs w:val="21"/>
                      <w:lang w:eastAsia="zh-CN"/>
                      <w14:textFill>
                        <w14:solidFill>
                          <w14:schemeClr w14:val="tx1"/>
                        </w14:solidFill>
                      </w14:textFill>
                    </w:rPr>
                    <w:t>配备</w:t>
                  </w:r>
                  <w:r>
                    <w:rPr>
                      <w:rFonts w:hint="eastAsia" w:ascii="Times New Roman" w:hAnsi="Times New Roman"/>
                      <w:color w:val="000000" w:themeColor="text1"/>
                      <w:szCs w:val="21"/>
                      <w14:textFill>
                        <w14:solidFill>
                          <w14:schemeClr w14:val="tx1"/>
                        </w14:solidFill>
                      </w14:textFill>
                    </w:rPr>
                    <w:t>不小于</w:t>
                  </w:r>
                  <w:r>
                    <w:rPr>
                      <w:rFonts w:ascii="Times New Roman" w:hAnsi="Times New Roman"/>
                      <w:color w:val="000000" w:themeColor="text1"/>
                      <w:szCs w:val="21"/>
                      <w14:textFill>
                        <w14:solidFill>
                          <w14:schemeClr w14:val="tx1"/>
                        </w14:solidFill>
                      </w14:textFill>
                    </w:rPr>
                    <w:t>0.5mm</w:t>
                  </w:r>
                  <w:r>
                    <w:rPr>
                      <w:rFonts w:ascii="Times New Roman" w:hAnsi="Times New Roman"/>
                      <w:color w:val="000000" w:themeColor="text1"/>
                      <w:kern w:val="0"/>
                      <w:szCs w:val="21"/>
                      <w:lang w:bidi="ar"/>
                      <w14:textFill>
                        <w14:solidFill>
                          <w14:schemeClr w14:val="tx1"/>
                        </w14:solidFill>
                      </w14:textFill>
                    </w:rPr>
                    <w:t>Pb</w:t>
                  </w:r>
                  <w:r>
                    <w:rPr>
                      <w:rFonts w:hint="eastAsia" w:ascii="Times New Roman" w:hAnsi="Times New Roman"/>
                      <w:color w:val="000000" w:themeColor="text1"/>
                      <w:kern w:val="0"/>
                      <w:szCs w:val="21"/>
                      <w:lang w:bidi="ar"/>
                      <w14:textFill>
                        <w14:solidFill>
                          <w14:schemeClr w14:val="tx1"/>
                        </w14:solidFill>
                      </w14:textFill>
                    </w:rPr>
                    <w:t>的</w:t>
                  </w:r>
                  <w:r>
                    <w:rPr>
                      <w:rFonts w:ascii="Times New Roman" w:hAnsi="Times New Roman"/>
                      <w:color w:val="000000" w:themeColor="text1"/>
                      <w:szCs w:val="21"/>
                      <w14:textFill>
                        <w14:solidFill>
                          <w14:schemeClr w14:val="tx1"/>
                        </w14:solidFill>
                      </w14:textFill>
                    </w:rPr>
                    <w:t>铅橡胶性腺防护围裙（方形）或方巾、铅橡胶颈套</w:t>
                  </w:r>
                  <w:r>
                    <w:rPr>
                      <w:rFonts w:hint="eastAsia" w:ascii="Times New Roman" w:hAnsi="Times New Roman"/>
                      <w:color w:val="000000" w:themeColor="text1"/>
                      <w:szCs w:val="21"/>
                      <w14:textFill>
                        <w14:solidFill>
                          <w14:schemeClr w14:val="tx1"/>
                        </w14:solidFill>
                      </w14:textFill>
                    </w:rPr>
                    <w:t>、铅橡胶帽子</w:t>
                  </w:r>
                  <w:r>
                    <w:rPr>
                      <w:rFonts w:ascii="Times New Roman" w:hAnsi="Times New Roman"/>
                      <w:color w:val="000000" w:themeColor="text1"/>
                      <w:szCs w:val="21"/>
                      <w14:textFill>
                        <w14:solidFill>
                          <w14:schemeClr w14:val="tx1"/>
                        </w14:solidFill>
                      </w14:textFill>
                    </w:rPr>
                    <w:t>）</w:t>
                  </w:r>
                </w:p>
              </w:tc>
              <w:tc>
                <w:tcPr>
                  <w:tcW w:w="840" w:type="dxa"/>
                  <w:vAlign w:val="center"/>
                </w:tcPr>
                <w:p w14:paraId="7A93EB3C">
                  <w:pPr>
                    <w:jc w:val="center"/>
                    <w:rPr>
                      <w:rFonts w:ascii="Times New Roman" w:hAnsi="Times New Roman"/>
                      <w:bCs/>
                      <w:color w:val="000000" w:themeColor="text1"/>
                      <w:szCs w:val="21"/>
                      <w14:textFill>
                        <w14:solidFill>
                          <w14:schemeClr w14:val="tx1"/>
                        </w14:solidFill>
                      </w14:textFill>
                    </w:rPr>
                  </w:pPr>
                  <w:r>
                    <w:rPr>
                      <w:rFonts w:hint="eastAsia" w:ascii="Times New Roman" w:hAnsi="Times New Roman"/>
                      <w:bCs/>
                      <w:color w:val="000000" w:themeColor="text1"/>
                      <w:szCs w:val="21"/>
                      <w:lang w:val="en-US" w:eastAsia="zh-CN"/>
                      <w14:textFill>
                        <w14:solidFill>
                          <w14:schemeClr w14:val="tx1"/>
                        </w14:solidFill>
                      </w14:textFill>
                    </w:rPr>
                    <w:t>2</w:t>
                  </w:r>
                  <w:r>
                    <w:rPr>
                      <w:rFonts w:ascii="Times New Roman" w:hAnsi="Times New Roman"/>
                      <w:bCs/>
                      <w:color w:val="000000" w:themeColor="text1"/>
                      <w:szCs w:val="21"/>
                      <w14:textFill>
                        <w14:solidFill>
                          <w14:schemeClr w14:val="tx1"/>
                        </w14:solidFill>
                      </w14:textFill>
                    </w:rPr>
                    <w:t>套</w:t>
                  </w:r>
                </w:p>
              </w:tc>
              <w:tc>
                <w:tcPr>
                  <w:tcW w:w="1170" w:type="dxa"/>
                  <w:vMerge w:val="continue"/>
                  <w:vAlign w:val="center"/>
                </w:tcPr>
                <w:p w14:paraId="002913B5">
                  <w:pPr>
                    <w:jc w:val="center"/>
                    <w:rPr>
                      <w:rFonts w:ascii="Times New Roman" w:hAnsi="Times New Roman"/>
                      <w:bCs/>
                      <w:color w:val="000000" w:themeColor="text1"/>
                      <w:szCs w:val="21"/>
                      <w14:textFill>
                        <w14:solidFill>
                          <w14:schemeClr w14:val="tx1"/>
                        </w14:solidFill>
                      </w14:textFill>
                    </w:rPr>
                  </w:pPr>
                </w:p>
              </w:tc>
              <w:tc>
                <w:tcPr>
                  <w:tcW w:w="1232" w:type="dxa"/>
                  <w:vAlign w:val="center"/>
                </w:tcPr>
                <w:p w14:paraId="0DEDAF31">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新增配备成人、儿童</w:t>
                  </w:r>
                  <w:r>
                    <w:rPr>
                      <w:rFonts w:hint="eastAsia" w:ascii="Times New Roman" w:hAnsi="Times New Roman"/>
                      <w:bCs/>
                      <w:color w:val="000000" w:themeColor="text1"/>
                      <w:szCs w:val="21"/>
                      <w:lang w:val="en-US" w:eastAsia="zh-CN"/>
                      <w14:textFill>
                        <w14:solidFill>
                          <w14:schemeClr w14:val="tx1"/>
                        </w14:solidFill>
                      </w14:textFill>
                    </w:rPr>
                    <w:t>各</w:t>
                  </w:r>
                  <w:r>
                    <w:rPr>
                      <w:rFonts w:ascii="Times New Roman" w:hAnsi="Times New Roman"/>
                      <w:bCs/>
                      <w:color w:val="000000" w:themeColor="text1"/>
                      <w:szCs w:val="21"/>
                      <w14:textFill>
                        <w14:solidFill>
                          <w14:schemeClr w14:val="tx1"/>
                        </w14:solidFill>
                      </w14:textFill>
                    </w:rPr>
                    <w:t>一套</w:t>
                  </w:r>
                </w:p>
              </w:tc>
            </w:tr>
            <w:tr w14:paraId="45BCF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2CA6BB6D">
                  <w:pPr>
                    <w:jc w:val="center"/>
                    <w:rPr>
                      <w:rFonts w:ascii="Times New Roman" w:hAnsi="Times New Roman"/>
                      <w:bCs/>
                      <w:color w:val="000000" w:themeColor="text1"/>
                      <w:szCs w:val="21"/>
                      <w14:textFill>
                        <w14:solidFill>
                          <w14:schemeClr w14:val="tx1"/>
                        </w14:solidFill>
                      </w14:textFill>
                    </w:rPr>
                  </w:pPr>
                </w:p>
              </w:tc>
              <w:tc>
                <w:tcPr>
                  <w:tcW w:w="803" w:type="dxa"/>
                  <w:vAlign w:val="center"/>
                </w:tcPr>
                <w:p w14:paraId="230FDFE1">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通风装置</w:t>
                  </w:r>
                </w:p>
              </w:tc>
              <w:tc>
                <w:tcPr>
                  <w:tcW w:w="4332" w:type="dxa"/>
                  <w:vAlign w:val="center"/>
                </w:tcPr>
                <w:p w14:paraId="623B4E0D">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排风</w:t>
                  </w:r>
                  <w:r>
                    <w:rPr>
                      <w:rFonts w:ascii="Times New Roman" w:hAnsi="Times New Roman"/>
                      <w:color w:val="000000" w:themeColor="text1"/>
                      <w:szCs w:val="21"/>
                      <w14:textFill>
                        <w14:solidFill>
                          <w14:schemeClr w14:val="tx1"/>
                        </w14:solidFill>
                      </w14:textFill>
                    </w:rPr>
                    <w:t>系统</w:t>
                  </w:r>
                </w:p>
              </w:tc>
              <w:tc>
                <w:tcPr>
                  <w:tcW w:w="840" w:type="dxa"/>
                  <w:vAlign w:val="center"/>
                </w:tcPr>
                <w:p w14:paraId="51A730F2">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1套</w:t>
                  </w:r>
                </w:p>
              </w:tc>
              <w:tc>
                <w:tcPr>
                  <w:tcW w:w="1170" w:type="dxa"/>
                  <w:vAlign w:val="center"/>
                </w:tcPr>
                <w:p w14:paraId="355FE44D">
                  <w:pPr>
                    <w:jc w:val="center"/>
                    <w:rPr>
                      <w:rFonts w:hint="eastAsia" w:ascii="Times New Roman" w:hAnsi="Times New Roman" w:eastAsia="宋体"/>
                      <w:bCs/>
                      <w:color w:val="000000" w:themeColor="text1"/>
                      <w:szCs w:val="21"/>
                      <w:lang w:val="en-US" w:eastAsia="zh-CN"/>
                      <w14:textFill>
                        <w14:solidFill>
                          <w14:schemeClr w14:val="tx1"/>
                        </w14:solidFill>
                      </w14:textFill>
                    </w:rPr>
                  </w:pPr>
                  <w:r>
                    <w:rPr>
                      <w:rFonts w:hint="eastAsia" w:ascii="Times New Roman" w:hAnsi="Times New Roman"/>
                      <w:bCs/>
                      <w:color w:val="000000" w:themeColor="text1"/>
                      <w:szCs w:val="21"/>
                      <w:lang w:val="en-US" w:eastAsia="zh-CN"/>
                      <w14:textFill>
                        <w14:solidFill>
                          <w14:schemeClr w14:val="tx1"/>
                        </w14:solidFill>
                      </w14:textFill>
                    </w:rPr>
                    <w:t>/</w:t>
                  </w:r>
                </w:p>
              </w:tc>
              <w:tc>
                <w:tcPr>
                  <w:tcW w:w="1232" w:type="dxa"/>
                  <w:vAlign w:val="center"/>
                </w:tcPr>
                <w:p w14:paraId="6AB52A10">
                  <w:pPr>
                    <w:widowControl/>
                    <w:jc w:val="center"/>
                    <w:textAlignment w:val="center"/>
                    <w:rPr>
                      <w:rFonts w:hint="default" w:ascii="Times New Roman" w:hAnsi="Times New Roman" w:eastAsia="宋体"/>
                      <w:bCs/>
                      <w:color w:val="000000" w:themeColor="text1"/>
                      <w:szCs w:val="21"/>
                      <w:lang w:val="en-US" w:eastAsia="zh-CN"/>
                      <w14:textFill>
                        <w14:solidFill>
                          <w14:schemeClr w14:val="tx1"/>
                        </w14:solidFill>
                      </w14:textFill>
                    </w:rPr>
                  </w:pPr>
                  <w:r>
                    <w:rPr>
                      <w:rFonts w:hint="eastAsia" w:ascii="Times New Roman" w:hAnsi="Times New Roman"/>
                      <w:color w:val="000000" w:themeColor="text1"/>
                      <w:kern w:val="0"/>
                      <w:szCs w:val="21"/>
                      <w:lang w:val="en-US" w:eastAsia="zh-CN" w:bidi="ar"/>
                      <w14:textFill>
                        <w14:solidFill>
                          <w14:schemeClr w14:val="tx1"/>
                        </w14:solidFill>
                      </w14:textFill>
                    </w:rPr>
                    <w:t>2号住院综合楼整体建造</w:t>
                  </w:r>
                </w:p>
              </w:tc>
            </w:tr>
            <w:tr w14:paraId="0A100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9" w:type="dxa"/>
                  <w:vMerge w:val="continue"/>
                  <w:vAlign w:val="center"/>
                </w:tcPr>
                <w:p w14:paraId="5937E610">
                  <w:pPr>
                    <w:jc w:val="center"/>
                    <w:rPr>
                      <w:rFonts w:ascii="Times New Roman" w:hAnsi="Times New Roman"/>
                      <w:bCs/>
                      <w:color w:val="000000" w:themeColor="text1"/>
                      <w:szCs w:val="21"/>
                      <w14:textFill>
                        <w14:solidFill>
                          <w14:schemeClr w14:val="tx1"/>
                        </w14:solidFill>
                      </w14:textFill>
                    </w:rPr>
                  </w:pPr>
                </w:p>
              </w:tc>
              <w:tc>
                <w:tcPr>
                  <w:tcW w:w="803" w:type="dxa"/>
                  <w:vAlign w:val="center"/>
                </w:tcPr>
                <w:p w14:paraId="407960B0">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医废处理</w:t>
                  </w:r>
                </w:p>
              </w:tc>
              <w:tc>
                <w:tcPr>
                  <w:tcW w:w="4332" w:type="dxa"/>
                  <w:vAlign w:val="center"/>
                </w:tcPr>
                <w:p w14:paraId="7E540F44">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医废收集装置、医废处置协议</w:t>
                  </w:r>
                </w:p>
              </w:tc>
              <w:tc>
                <w:tcPr>
                  <w:tcW w:w="840" w:type="dxa"/>
                  <w:vAlign w:val="center"/>
                </w:tcPr>
                <w:p w14:paraId="702F0859">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1</w:t>
                  </w:r>
                </w:p>
              </w:tc>
              <w:tc>
                <w:tcPr>
                  <w:tcW w:w="1170" w:type="dxa"/>
                  <w:vAlign w:val="center"/>
                </w:tcPr>
                <w:p w14:paraId="6923C93C">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2</w:t>
                  </w:r>
                </w:p>
              </w:tc>
              <w:tc>
                <w:tcPr>
                  <w:tcW w:w="1232" w:type="dxa"/>
                  <w:vAlign w:val="center"/>
                </w:tcPr>
                <w:p w14:paraId="5C95A1BC">
                  <w:pPr>
                    <w:widowControl/>
                    <w:jc w:val="center"/>
                    <w:textAlignment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r>
            <w:tr w14:paraId="1E0CDE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4" w:type="dxa"/>
                  <w:gridSpan w:val="4"/>
                  <w:vAlign w:val="center"/>
                </w:tcPr>
                <w:p w14:paraId="7DC88DB8">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合计</w:t>
                  </w:r>
                </w:p>
              </w:tc>
              <w:tc>
                <w:tcPr>
                  <w:tcW w:w="1170" w:type="dxa"/>
                  <w:vAlign w:val="center"/>
                </w:tcPr>
                <w:p w14:paraId="05640E74">
                  <w:pPr>
                    <w:jc w:val="center"/>
                    <w:rPr>
                      <w:rFonts w:ascii="Times New Roman" w:hAnsi="Times New Roman"/>
                      <w:bCs/>
                      <w:color w:val="000000" w:themeColor="text1"/>
                      <w:szCs w:val="21"/>
                      <w14:textFill>
                        <w14:solidFill>
                          <w14:schemeClr w14:val="tx1"/>
                        </w14:solidFill>
                      </w14:textFill>
                    </w:rPr>
                  </w:pPr>
                  <w:r>
                    <w:rPr>
                      <w:rFonts w:hint="eastAsia" w:ascii="Times New Roman" w:hAnsi="Times New Roman"/>
                      <w:bCs/>
                      <w:color w:val="000000" w:themeColor="text1"/>
                      <w:szCs w:val="21"/>
                      <w:lang w:val="en-US" w:eastAsia="zh-CN"/>
                      <w14:textFill>
                        <w14:solidFill>
                          <w14:schemeClr w14:val="tx1"/>
                        </w14:solidFill>
                      </w14:textFill>
                    </w:rPr>
                    <w:t>26</w:t>
                  </w:r>
                  <w:r>
                    <w:rPr>
                      <w:rFonts w:ascii="Times New Roman" w:hAnsi="Times New Roman"/>
                      <w:bCs/>
                      <w:color w:val="000000" w:themeColor="text1"/>
                      <w:szCs w:val="21"/>
                      <w14:textFill>
                        <w14:solidFill>
                          <w14:schemeClr w14:val="tx1"/>
                        </w14:solidFill>
                      </w14:textFill>
                    </w:rPr>
                    <w:t>.7</w:t>
                  </w:r>
                </w:p>
              </w:tc>
              <w:tc>
                <w:tcPr>
                  <w:tcW w:w="1232" w:type="dxa"/>
                  <w:vAlign w:val="center"/>
                </w:tcPr>
                <w:p w14:paraId="0EC53634">
                  <w:pPr>
                    <w:jc w:val="center"/>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w:t>
                  </w:r>
                </w:p>
              </w:tc>
            </w:tr>
            <w:bookmarkEnd w:id="28"/>
          </w:tbl>
          <w:p w14:paraId="3284735B">
            <w:pPr>
              <w:pStyle w:val="11"/>
              <w:bidi w:val="0"/>
            </w:pPr>
            <w:r>
              <w:t>在今后实践中，医院应根据国家发布的法规内容，结合自身实际情况对环保设施</w:t>
            </w:r>
            <w:r>
              <w:rPr>
                <w:rFonts w:hint="eastAsia"/>
                <w:lang w:eastAsia="zh-CN"/>
              </w:rPr>
              <w:t>做</w:t>
            </w:r>
            <w:r>
              <w:t>相应补充，使之更能满足实际需要和法规要求。</w:t>
            </w:r>
          </w:p>
          <w:p w14:paraId="6EF7A3EF">
            <w:pPr>
              <w:jc w:val="left"/>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污染物</w:t>
            </w:r>
            <w:r>
              <w:rPr>
                <w:rFonts w:ascii="Times New Roman" w:hAnsi="Times New Roman"/>
                <w:b/>
                <w:bCs/>
                <w:color w:val="000000" w:themeColor="text1"/>
                <w:sz w:val="28"/>
                <w:szCs w:val="28"/>
                <w14:textFill>
                  <w14:solidFill>
                    <w14:schemeClr w14:val="tx1"/>
                  </w14:solidFill>
                </w14:textFill>
              </w:rPr>
              <w:t>的治理</w:t>
            </w:r>
          </w:p>
          <w:p w14:paraId="12789094">
            <w:pPr>
              <w:keepNext/>
              <w:spacing w:line="360" w:lineRule="auto"/>
              <w:rPr>
                <w:rFonts w:ascii="Times New Roman" w:hAnsi="Times New Roman"/>
                <w:sz w:val="24"/>
              </w:rPr>
            </w:pPr>
            <w:r>
              <w:rPr>
                <w:rFonts w:hint="eastAsia" w:ascii="Times New Roman" w:hAnsi="Times New Roman"/>
                <w:b/>
                <w:bCs/>
                <w:sz w:val="24"/>
              </w:rPr>
              <w:t>1.施工期三废治理</w:t>
            </w:r>
          </w:p>
          <w:p w14:paraId="35FC5F8A">
            <w:pPr>
              <w:pStyle w:val="11"/>
              <w:bidi w:val="0"/>
            </w:pPr>
            <w:r>
              <w:rPr>
                <w:rFonts w:hint="eastAsia"/>
              </w:rPr>
              <w:t>1.1废气</w:t>
            </w:r>
          </w:p>
          <w:p w14:paraId="32142812">
            <w:pPr>
              <w:pStyle w:val="11"/>
              <w:bidi w:val="0"/>
            </w:pPr>
            <w:r>
              <w:rPr>
                <w:rFonts w:hint="eastAsia"/>
              </w:rPr>
              <w:t>施工过程中产生的废气，属于无组织排放，但影响仅局限在施工现场附近区域。拟采取湿法作业控制排放扬尘，通过洒水增湿可以在很大程度上减少粉尘飞扬现象，加强管理。</w:t>
            </w:r>
          </w:p>
          <w:p w14:paraId="62DA6C7D">
            <w:pPr>
              <w:pStyle w:val="11"/>
              <w:bidi w:val="0"/>
            </w:pPr>
            <w:r>
              <w:rPr>
                <w:rFonts w:hint="eastAsia"/>
              </w:rPr>
              <w:t>1.2噪声</w:t>
            </w:r>
          </w:p>
          <w:p w14:paraId="6CA6CF0A">
            <w:pPr>
              <w:pStyle w:val="11"/>
              <w:bidi w:val="0"/>
            </w:pPr>
            <w:r>
              <w:rPr>
                <w:rFonts w:hint="eastAsia"/>
              </w:rPr>
              <w:t>施工期噪声包括铺设电路时机器碰撞以及装修产生的噪声，由于施工范围小，施工期较短，施工噪声对周围环境的影响较小。且将禁止夜间施工，也将尽可能选用低噪声的施工设备。</w:t>
            </w:r>
          </w:p>
          <w:p w14:paraId="582CA6E4">
            <w:pPr>
              <w:pStyle w:val="11"/>
              <w:bidi w:val="0"/>
            </w:pPr>
            <w:r>
              <w:rPr>
                <w:rFonts w:hint="eastAsia"/>
              </w:rPr>
              <w:t>1.3废水</w:t>
            </w:r>
          </w:p>
          <w:p w14:paraId="402A3128">
            <w:pPr>
              <w:pStyle w:val="11"/>
              <w:bidi w:val="0"/>
            </w:pPr>
            <w:r>
              <w:rPr>
                <w:rFonts w:hint="eastAsia"/>
              </w:rPr>
              <w:t>施工期产生的废水主要包括施工废水和施工人员的生活污水，施工废水沉淀处理后回用，不外排。生活污水产量较小，拟依托医院污水处理设施进行处理。</w:t>
            </w:r>
          </w:p>
          <w:p w14:paraId="737961DB">
            <w:pPr>
              <w:pStyle w:val="11"/>
              <w:bidi w:val="0"/>
            </w:pPr>
            <w:r>
              <w:rPr>
                <w:rFonts w:hint="eastAsia"/>
              </w:rPr>
              <w:t>1.4固体废物</w:t>
            </w:r>
          </w:p>
          <w:p w14:paraId="6A980A8F">
            <w:pPr>
              <w:pStyle w:val="11"/>
              <w:bidi w:val="0"/>
              <w:rPr>
                <w:rFonts w:ascii="Times New Roman" w:hAnsi="Times New Roman"/>
              </w:rPr>
            </w:pPr>
            <w:r>
              <w:rPr>
                <w:rFonts w:hint="eastAsia"/>
              </w:rPr>
              <w:t>施工中固体废物主要为装修过程中产生的装修垃圾以及施工人员产生的生活垃圾。装修垃圾能回收利用的回收利用，不能回收的送建筑垃圾处理</w:t>
            </w:r>
            <w:r>
              <w:rPr>
                <w:rFonts w:hint="eastAsia"/>
                <w:lang w:val="en-US" w:eastAsia="zh-CN"/>
              </w:rPr>
              <w:t>厂</w:t>
            </w:r>
            <w:r>
              <w:rPr>
                <w:rFonts w:hint="eastAsia"/>
              </w:rPr>
              <w:t>堆放。施工人员生活垃圾由场地内垃圾桶收集，日产日清，交由市政环卫部门统一收集清运。</w:t>
            </w:r>
          </w:p>
          <w:p w14:paraId="379C20AC">
            <w:pPr>
              <w:keepNext/>
              <w:spacing w:line="360" w:lineRule="auto"/>
              <w:rPr>
                <w:rFonts w:ascii="Times New Roman" w:hAnsi="Times New Roman"/>
                <w:b/>
                <w:bCs/>
                <w:sz w:val="24"/>
              </w:rPr>
            </w:pPr>
            <w:r>
              <w:rPr>
                <w:rFonts w:hint="eastAsia" w:ascii="Times New Roman" w:hAnsi="Times New Roman"/>
                <w:b/>
                <w:bCs/>
                <w:sz w:val="24"/>
              </w:rPr>
              <w:t>2.运营期三废治理</w:t>
            </w:r>
          </w:p>
          <w:p w14:paraId="6D5152CC">
            <w:pPr>
              <w:pStyle w:val="11"/>
              <w:bidi w:val="0"/>
            </w:pPr>
            <w:r>
              <w:rPr>
                <w:rFonts w:hint="eastAsia"/>
              </w:rPr>
              <w:t>2.1废水</w:t>
            </w:r>
          </w:p>
          <w:p w14:paraId="76382A4C">
            <w:pPr>
              <w:pStyle w:val="11"/>
              <w:bidi w:val="0"/>
            </w:pPr>
            <w:r>
              <w:rPr>
                <w:rFonts w:hint="eastAsia"/>
              </w:rPr>
              <w:t>本项目运行后，废水主要为辐射工作人员和患者产生的生活污水。本项目</w:t>
            </w:r>
            <w:r>
              <w:rPr>
                <w:rFonts w:hint="eastAsia"/>
                <w:lang w:eastAsia="zh-CN"/>
              </w:rPr>
              <w:t>DSA机房</w:t>
            </w:r>
            <w:r>
              <w:rPr>
                <w:rFonts w:hint="eastAsia"/>
              </w:rPr>
              <w:t>营运期产生的废水主要包括医疗废水和医护人员、病患以及病人家属产生的生活污水。</w:t>
            </w:r>
          </w:p>
          <w:p w14:paraId="5E8617DA">
            <w:pPr>
              <w:pStyle w:val="11"/>
              <w:bidi w:val="0"/>
            </w:pPr>
            <w:r>
              <w:rPr>
                <w:rFonts w:hint="eastAsia"/>
                <w:lang w:val="en-US" w:eastAsia="zh-CN"/>
              </w:rPr>
              <w:t>运行期</w:t>
            </w:r>
            <w:r>
              <w:rPr>
                <w:rFonts w:hint="eastAsia"/>
              </w:rPr>
              <w:t>依托医院</w:t>
            </w:r>
            <w:r>
              <w:rPr>
                <w:rFonts w:hint="eastAsia"/>
                <w:lang w:val="en-US" w:eastAsia="zh-CN"/>
              </w:rPr>
              <w:t>现有</w:t>
            </w:r>
            <w:r>
              <w:rPr>
                <w:rFonts w:hint="eastAsia"/>
              </w:rPr>
              <w:t>地埋式污水处理站采用"调节池+A/O+沉淀+</w:t>
            </w:r>
            <w:r>
              <w:rPr>
                <w:rFonts w:hint="eastAsia"/>
                <w:lang w:eastAsia="zh-CN"/>
              </w:rPr>
              <w:t>次氯酸钠</w:t>
            </w:r>
            <w:r>
              <w:rPr>
                <w:rFonts w:hint="eastAsia"/>
              </w:rPr>
              <w:t>消毒"处理工艺，设计日废水处理能力500m</w:t>
            </w:r>
            <w:r>
              <w:rPr>
                <w:rFonts w:hint="eastAsia"/>
                <w:vertAlign w:val="superscript"/>
              </w:rPr>
              <w:t>3</w:t>
            </w:r>
            <w:r>
              <w:rPr>
                <w:rFonts w:hint="eastAsia"/>
                <w:vertAlign w:val="baseline"/>
                <w:lang w:val="en-US" w:eastAsia="zh-CN"/>
              </w:rPr>
              <w:t>/d</w:t>
            </w:r>
            <w:r>
              <w:rPr>
                <w:rFonts w:hint="eastAsia"/>
                <w:lang w:eastAsia="zh-CN"/>
              </w:rPr>
              <w:t>，（</w:t>
            </w:r>
            <w:r>
              <w:rPr>
                <w:rFonts w:hint="eastAsia"/>
              </w:rPr>
              <w:t>医院</w:t>
            </w:r>
            <w:r>
              <w:rPr>
                <w:rFonts w:hint="eastAsia"/>
                <w:lang w:val="en-US" w:eastAsia="zh-CN"/>
              </w:rPr>
              <w:t>现有废水</w:t>
            </w:r>
            <w:r>
              <w:rPr>
                <w:rFonts w:hint="eastAsia"/>
              </w:rPr>
              <w:t>量354.3m</w:t>
            </w:r>
            <w:r>
              <w:rPr>
                <w:rFonts w:hint="eastAsia"/>
                <w:vertAlign w:val="superscript"/>
              </w:rPr>
              <w:t>3</w:t>
            </w:r>
            <w:r>
              <w:rPr>
                <w:rFonts w:hint="eastAsia"/>
              </w:rPr>
              <w:t>/d</w:t>
            </w:r>
            <w:r>
              <w:rPr>
                <w:rFonts w:hint="eastAsia"/>
                <w:lang w:eastAsia="zh-CN"/>
              </w:rPr>
              <w:t>）</w:t>
            </w:r>
            <w:r>
              <w:rPr>
                <w:rFonts w:hint="eastAsia"/>
              </w:rPr>
              <w:t>，处理后废水达到</w:t>
            </w:r>
            <w:r>
              <w:rPr>
                <w:rFonts w:hint="eastAsia"/>
                <w:lang w:eastAsia="zh-CN"/>
              </w:rPr>
              <w:t>《</w:t>
            </w:r>
            <w:r>
              <w:rPr>
                <w:rFonts w:hint="eastAsia"/>
              </w:rPr>
              <w:t>医疗机构水污染物排放标准</w:t>
            </w:r>
            <w:r>
              <w:rPr>
                <w:rFonts w:hint="eastAsia"/>
                <w:lang w:eastAsia="zh-CN"/>
              </w:rPr>
              <w:t>》</w:t>
            </w:r>
            <w:r>
              <w:rPr>
                <w:rFonts w:hint="eastAsia"/>
              </w:rPr>
              <w:t>(GB18466-2005)中表2的预处理标准后，经市政污水管网进入平昌县第二污水处理厂进行处理达到</w:t>
            </w:r>
            <w:r>
              <w:rPr>
                <w:rFonts w:hint="eastAsia"/>
                <w:lang w:eastAsia="zh-CN"/>
              </w:rPr>
              <w:t>《</w:t>
            </w:r>
            <w:r>
              <w:rPr>
                <w:rFonts w:hint="eastAsia"/>
              </w:rPr>
              <w:t>城镇污水处理厂污染物排放标准</w:t>
            </w:r>
            <w:r>
              <w:rPr>
                <w:rFonts w:hint="eastAsia"/>
                <w:lang w:eastAsia="zh-CN"/>
              </w:rPr>
              <w:t>》（</w:t>
            </w:r>
            <w:r>
              <w:rPr>
                <w:rFonts w:hint="eastAsia"/>
              </w:rPr>
              <w:t>GB18918-2002</w:t>
            </w:r>
            <w:r>
              <w:rPr>
                <w:rFonts w:hint="eastAsia"/>
                <w:lang w:eastAsia="zh-CN"/>
              </w:rPr>
              <w:t>）</w:t>
            </w:r>
            <w:r>
              <w:rPr>
                <w:rFonts w:hint="eastAsia"/>
              </w:rPr>
              <w:t>中一级A标准后排入巴河。不会对周围水环境产生影响。</w:t>
            </w:r>
          </w:p>
          <w:p w14:paraId="3F491C94">
            <w:pPr>
              <w:pStyle w:val="11"/>
              <w:bidi w:val="0"/>
            </w:pPr>
            <w:r>
              <w:rPr>
                <w:rFonts w:hint="eastAsia"/>
              </w:rPr>
              <w:t>2.2废气</w:t>
            </w:r>
          </w:p>
          <w:p w14:paraId="2703E517">
            <w:pPr>
              <w:pStyle w:val="11"/>
              <w:bidi w:val="0"/>
            </w:pPr>
            <w:r>
              <w:t>本项目DSA工作时会使周围空气电离产生极少量臭氧、氮氧化物，臭氧在常温常压下稳定性较差，可自行分解为氧气，DSA运行过程中产生的少量臭氧、氮氧化物</w:t>
            </w:r>
            <w:r>
              <w:rPr>
                <w:rFonts w:hint="eastAsia"/>
                <w:lang w:val="en-US" w:eastAsia="zh-CN"/>
              </w:rPr>
              <w:t>经过排气管道引至2号住院综合楼东侧二楼（距地高度4.7m）排放，</w:t>
            </w:r>
            <w:r>
              <w:t>对周围环境空气影响较小。</w:t>
            </w:r>
          </w:p>
          <w:p w14:paraId="1A88A1EF">
            <w:pPr>
              <w:pStyle w:val="11"/>
              <w:bidi w:val="0"/>
            </w:pPr>
            <w:r>
              <w:t>2.3固体废物</w:t>
            </w:r>
          </w:p>
          <w:p w14:paraId="34B4B3BB">
            <w:pPr>
              <w:pStyle w:val="11"/>
              <w:bidi w:val="0"/>
            </w:pPr>
            <w:r>
              <w:t>本项目</w:t>
            </w:r>
            <w:r>
              <w:rPr>
                <w:rFonts w:hint="eastAsia"/>
                <w:lang w:eastAsia="zh-CN"/>
              </w:rPr>
              <w:t>DSA机房</w:t>
            </w:r>
            <w:r>
              <w:t>运营后，不会产生放射性固体废物以及</w:t>
            </w:r>
            <w:r>
              <w:rPr>
                <w:rFonts w:hint="eastAsia"/>
              </w:rPr>
              <w:t>医疗废物，会产生辐射工作</w:t>
            </w:r>
            <w:r>
              <w:rPr>
                <w:rFonts w:hint="eastAsia"/>
                <w:lang w:val="en-US" w:eastAsia="zh-CN"/>
              </w:rPr>
              <w:t>者</w:t>
            </w:r>
            <w:r>
              <w:rPr>
                <w:rFonts w:hint="eastAsia"/>
              </w:rPr>
              <w:t>、患者及其家属的生活垃圾，该类垃圾由院区清洁人员分类收集后，由环卫部门统一清运。</w:t>
            </w:r>
          </w:p>
          <w:p w14:paraId="38C73848">
            <w:pPr>
              <w:pStyle w:val="11"/>
              <w:bidi w:val="0"/>
            </w:pPr>
            <w:r>
              <w:rPr>
                <w:rFonts w:hint="eastAsia"/>
              </w:rPr>
              <w:t>本项目</w:t>
            </w:r>
            <w:r>
              <w:rPr>
                <w:rFonts w:hint="eastAsia"/>
                <w:lang w:eastAsia="zh-CN"/>
              </w:rPr>
              <w:t>DSA机房</w:t>
            </w:r>
            <w:r>
              <w:rPr>
                <w:rFonts w:hint="eastAsia"/>
              </w:rPr>
              <w:t>投运后预计将产生有少量废造影剂的输液瓶</w:t>
            </w:r>
            <w:r>
              <w:rPr>
                <w:rFonts w:hint="eastAsia"/>
                <w:lang w:eastAsia="zh-CN"/>
              </w:rPr>
              <w:t>（</w:t>
            </w:r>
            <w:r>
              <w:rPr>
                <w:rFonts w:hint="eastAsia"/>
                <w:lang w:val="en-US" w:eastAsia="zh-CN"/>
              </w:rPr>
              <w:t>1</w:t>
            </w:r>
            <w:r>
              <w:rPr>
                <w:rFonts w:hint="eastAsia"/>
              </w:rPr>
              <w:t>00kg/a</w:t>
            </w:r>
            <w:r>
              <w:rPr>
                <w:rFonts w:hint="eastAsia"/>
                <w:lang w:eastAsia="zh-CN"/>
              </w:rPr>
              <w:t>）</w:t>
            </w:r>
            <w:r>
              <w:rPr>
                <w:rFonts w:hint="eastAsia"/>
              </w:rPr>
              <w:t>、废药棉</w:t>
            </w:r>
            <w:r>
              <w:rPr>
                <w:rFonts w:hint="eastAsia"/>
                <w:lang w:eastAsia="zh-CN"/>
              </w:rPr>
              <w:t>（</w:t>
            </w:r>
            <w:r>
              <w:rPr>
                <w:rFonts w:hint="eastAsia"/>
                <w:lang w:val="en-US" w:eastAsia="zh-CN"/>
              </w:rPr>
              <w:t>8</w:t>
            </w:r>
            <w:r>
              <w:rPr>
                <w:rFonts w:hint="eastAsia"/>
              </w:rPr>
              <w:t>0kg/a</w:t>
            </w:r>
            <w:r>
              <w:rPr>
                <w:rFonts w:hint="eastAsia"/>
                <w:lang w:eastAsia="zh-CN"/>
              </w:rPr>
              <w:t>）</w:t>
            </w:r>
            <w:r>
              <w:rPr>
                <w:rFonts w:hint="eastAsia"/>
              </w:rPr>
              <w:t>、废纱布</w:t>
            </w:r>
            <w:r>
              <w:rPr>
                <w:rFonts w:hint="eastAsia"/>
                <w:lang w:eastAsia="zh-CN"/>
              </w:rPr>
              <w:t>（</w:t>
            </w:r>
            <w:r>
              <w:rPr>
                <w:rFonts w:hint="eastAsia"/>
                <w:lang w:val="en-US" w:eastAsia="zh-CN"/>
              </w:rPr>
              <w:t>8</w:t>
            </w:r>
            <w:r>
              <w:rPr>
                <w:rFonts w:hint="eastAsia"/>
              </w:rPr>
              <w:t>0kg/a</w:t>
            </w:r>
            <w:r>
              <w:rPr>
                <w:rFonts w:hint="eastAsia"/>
                <w:lang w:eastAsia="zh-CN"/>
              </w:rPr>
              <w:t>）</w:t>
            </w:r>
            <w:r>
              <w:rPr>
                <w:rFonts w:hint="eastAsia"/>
              </w:rPr>
              <w:t>、废手套</w:t>
            </w:r>
            <w:r>
              <w:rPr>
                <w:rFonts w:hint="eastAsia"/>
                <w:lang w:eastAsia="zh-CN"/>
              </w:rPr>
              <w:t>（</w:t>
            </w:r>
            <w:r>
              <w:rPr>
                <w:rFonts w:hint="eastAsia"/>
                <w:lang w:val="en-US" w:eastAsia="zh-CN"/>
              </w:rPr>
              <w:t>8</w:t>
            </w:r>
            <w:r>
              <w:rPr>
                <w:rFonts w:hint="eastAsia"/>
              </w:rPr>
              <w:t>0kg/a</w:t>
            </w:r>
            <w:r>
              <w:rPr>
                <w:rFonts w:hint="eastAsia"/>
                <w:lang w:eastAsia="zh-CN"/>
              </w:rPr>
              <w:t>）</w:t>
            </w:r>
            <w:r>
              <w:rPr>
                <w:rFonts w:hint="eastAsia"/>
              </w:rPr>
              <w:t>等医疗废物</w:t>
            </w:r>
            <w:r>
              <w:rPr>
                <w:rFonts w:hint="eastAsia"/>
                <w:lang w:eastAsia="zh-CN"/>
              </w:rPr>
              <w:t>（</w:t>
            </w:r>
            <w:r>
              <w:rPr>
                <w:rFonts w:hint="eastAsia"/>
              </w:rPr>
              <w:t>共约</w:t>
            </w:r>
            <w:r>
              <w:rPr>
                <w:rFonts w:hint="eastAsia"/>
                <w:lang w:val="en-US" w:eastAsia="zh-CN"/>
              </w:rPr>
              <w:t>340</w:t>
            </w:r>
            <w:r>
              <w:rPr>
                <w:rFonts w:hint="eastAsia"/>
              </w:rPr>
              <w:t>kg/a</w:t>
            </w:r>
            <w:r>
              <w:rPr>
                <w:rFonts w:hint="eastAsia"/>
                <w:lang w:eastAsia="zh-CN"/>
              </w:rPr>
              <w:t>）</w:t>
            </w:r>
            <w:r>
              <w:rPr>
                <w:rFonts w:hint="eastAsia"/>
              </w:rPr>
              <w:t>。本项目</w:t>
            </w:r>
            <w:r>
              <w:rPr>
                <w:rFonts w:hint="eastAsia"/>
                <w:lang w:eastAsia="zh-CN"/>
              </w:rPr>
              <w:t>DSA机房</w:t>
            </w:r>
            <w:r>
              <w:rPr>
                <w:rFonts w:hint="eastAsia"/>
              </w:rPr>
              <w:t>手术过程中产生的医疗废物采用专门的收集容器集中后</w:t>
            </w:r>
            <w:r>
              <w:rPr>
                <w:rFonts w:hint="eastAsia"/>
                <w:lang w:eastAsia="zh-CN"/>
              </w:rPr>
              <w:t>，由</w:t>
            </w:r>
            <w:r>
              <w:rPr>
                <w:rFonts w:hint="eastAsia"/>
              </w:rPr>
              <w:t>专业人员运送至位于</w:t>
            </w:r>
            <w:r>
              <w:rPr>
                <w:rFonts w:hint="eastAsia"/>
                <w:lang w:val="en-US" w:eastAsia="zh-CN"/>
              </w:rPr>
              <w:t>DSA机房北</w:t>
            </w:r>
            <w:r>
              <w:rPr>
                <w:rFonts w:hint="eastAsia"/>
              </w:rPr>
              <w:t>侧的</w:t>
            </w:r>
            <w:r>
              <w:rPr>
                <w:rFonts w:hint="eastAsia"/>
                <w:lang w:val="en-US" w:eastAsia="zh-CN"/>
              </w:rPr>
              <w:t>污物</w:t>
            </w:r>
            <w:r>
              <w:rPr>
                <w:rFonts w:hint="eastAsia"/>
              </w:rPr>
              <w:t>暂存间，定期委托有资质单位外运处置。</w:t>
            </w:r>
          </w:p>
          <w:p w14:paraId="5D8935C3">
            <w:pPr>
              <w:pStyle w:val="11"/>
              <w:bidi w:val="0"/>
            </w:pPr>
            <w:r>
              <w:rPr>
                <w:rFonts w:hint="eastAsia"/>
              </w:rPr>
              <w:t>2.4噪声</w:t>
            </w:r>
          </w:p>
          <w:p w14:paraId="656EED99">
            <w:pPr>
              <w:pStyle w:val="11"/>
              <w:bidi w:val="0"/>
            </w:pPr>
            <w:r>
              <w:rPr>
                <w:rFonts w:hint="eastAsia"/>
              </w:rPr>
              <w:t>本项目产噪设备不多，噪声源主要为设备噪声和就诊人流动噪声，其中设备噪声主要来自风机</w:t>
            </w:r>
            <w:r>
              <w:rPr>
                <w:rFonts w:hint="eastAsia"/>
                <w:lang w:eastAsia="zh-CN"/>
              </w:rPr>
              <w:t>；</w:t>
            </w:r>
            <w:r>
              <w:rPr>
                <w:rFonts w:hint="eastAsia"/>
                <w:lang w:val="en-US" w:eastAsia="zh-CN"/>
              </w:rPr>
              <w:t>噪声源强低于</w:t>
            </w:r>
            <w:r>
              <w:rPr>
                <w:rFonts w:hint="eastAsia"/>
              </w:rPr>
              <w:t>6</w:t>
            </w:r>
            <w:r>
              <w:rPr>
                <w:rFonts w:hint="eastAsia"/>
                <w:lang w:val="en-US" w:eastAsia="zh-CN"/>
              </w:rPr>
              <w:t>5</w:t>
            </w:r>
            <w:r>
              <w:rPr>
                <w:rFonts w:hint="eastAsia"/>
              </w:rPr>
              <w:t>dB</w:t>
            </w:r>
            <w:r>
              <w:rPr>
                <w:rFonts w:hint="eastAsia"/>
                <w:lang w:eastAsia="zh-CN"/>
              </w:rPr>
              <w:t>（</w:t>
            </w:r>
            <w:r>
              <w:rPr>
                <w:rFonts w:hint="eastAsia"/>
              </w:rPr>
              <w:t>A</w:t>
            </w:r>
            <w:r>
              <w:rPr>
                <w:rFonts w:hint="eastAsia"/>
                <w:lang w:eastAsia="zh-CN"/>
              </w:rPr>
              <w:t>）</w:t>
            </w:r>
            <w:r>
              <w:rPr>
                <w:rFonts w:hint="eastAsia"/>
              </w:rPr>
              <w:t>，由于声源位于室内，且建设单位拟在风机排风口安装管式消声器，采用减震基础、安装隔声消声箱等措施，同时通过距离的衰减，噪声影响不大，不会改变区域声环境功能区规划。</w:t>
            </w:r>
          </w:p>
          <w:p w14:paraId="1C20B594">
            <w:pPr>
              <w:keepNext/>
              <w:spacing w:line="360" w:lineRule="auto"/>
              <w:rPr>
                <w:rFonts w:ascii="Times New Roman" w:hAnsi="Times New Roman"/>
                <w:b/>
                <w:bCs/>
                <w:sz w:val="24"/>
              </w:rPr>
            </w:pPr>
            <w:r>
              <w:rPr>
                <w:rFonts w:hint="eastAsia" w:ascii="Times New Roman" w:hAnsi="Times New Roman"/>
                <w:b/>
                <w:bCs/>
                <w:sz w:val="24"/>
              </w:rPr>
              <w:t>3.射线装置报废处理</w:t>
            </w:r>
          </w:p>
          <w:p w14:paraId="222DE16F">
            <w:pPr>
              <w:pStyle w:val="11"/>
              <w:bidi w:val="0"/>
            </w:pPr>
            <w:r>
              <w:rPr>
                <w:rFonts w:hint="eastAsia"/>
              </w:rPr>
              <w:t>根据《四川省辐射污染防治条例》：射线装置在报废处置时，使用单位应当对射线装置内的高压射线管进行拆解和去功能化。</w:t>
            </w:r>
          </w:p>
          <w:p w14:paraId="777F4477">
            <w:pPr>
              <w:pStyle w:val="11"/>
              <w:bidi w:val="0"/>
            </w:pPr>
            <w:r>
              <w:rPr>
                <w:rFonts w:hint="eastAsia"/>
              </w:rPr>
              <w:t>环评要求：本项目使用DSA在进行报废处理时，将该射线装置的高压射线管进行拆解和去功能化，同时将射线装置的主机电源线绞断，使射线装置不能正常通电，防止二次通电使用，造成误照射。</w:t>
            </w:r>
          </w:p>
          <w:p w14:paraId="388C0C70">
            <w:pPr>
              <w:keepNext/>
              <w:spacing w:line="360" w:lineRule="auto"/>
              <w:ind w:firstLine="482" w:firstLineChars="200"/>
              <w:rPr>
                <w:rFonts w:ascii="Times New Roman" w:hAnsi="Times New Roman"/>
                <w:bCs/>
                <w:sz w:val="24"/>
              </w:rPr>
            </w:pPr>
            <w:r>
              <w:rPr>
                <w:rFonts w:ascii="Times New Roman" w:hAnsi="Times New Roman"/>
                <w:b/>
                <w:bCs/>
                <w:sz w:val="24"/>
              </w:rPr>
              <w:t>因此，本项目产生</w:t>
            </w:r>
            <w:r>
              <w:rPr>
                <w:rFonts w:hint="eastAsia" w:ascii="Times New Roman" w:hAnsi="Times New Roman"/>
                <w:b/>
                <w:bCs/>
                <w:sz w:val="24"/>
              </w:rPr>
              <w:t>废物</w:t>
            </w:r>
            <w:r>
              <w:rPr>
                <w:rFonts w:ascii="Times New Roman" w:hAnsi="Times New Roman"/>
                <w:b/>
                <w:bCs/>
                <w:sz w:val="24"/>
              </w:rPr>
              <w:t>均得到合理处置，不会对周围环境产生明显影响。</w:t>
            </w:r>
          </w:p>
        </w:tc>
      </w:tr>
    </w:tbl>
    <w:p w14:paraId="7393FB15">
      <w:pPr>
        <w:pStyle w:val="4"/>
        <w:numPr>
          <w:ilvl w:val="2"/>
          <w:numId w:val="0"/>
        </w:numPr>
        <w:rPr>
          <w:rFonts w:ascii="Times New Roman" w:hAnsi="Times New Roman"/>
        </w:rPr>
      </w:pPr>
      <w:r>
        <w:rPr>
          <w:rFonts w:ascii="Times New Roman" w:hAnsi="Times New Roman"/>
          <w:sz w:val="28"/>
          <w:szCs w:val="28"/>
        </w:rPr>
        <w:br w:type="page"/>
      </w:r>
      <w:bookmarkStart w:id="29" w:name="_Toc12189"/>
      <w:r>
        <w:rPr>
          <w:rFonts w:ascii="Times New Roman" w:hAnsi="Times New Roman"/>
        </w:rPr>
        <w:t>表11 环境影响分析</w:t>
      </w:r>
      <w:bookmarkEnd w:id="29"/>
    </w:p>
    <w:tbl>
      <w:tblPr>
        <w:tblStyle w:val="23"/>
        <w:tblW w:w="8869"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9"/>
      </w:tblGrid>
      <w:tr w14:paraId="75DB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9" w:type="dxa"/>
          </w:tcPr>
          <w:p w14:paraId="0E68F6F4">
            <w:pPr>
              <w:pStyle w:val="44"/>
              <w:spacing w:line="360" w:lineRule="auto"/>
              <w:ind w:left="0" w:firstLine="0"/>
              <w:rPr>
                <w:b/>
                <w:bCs/>
                <w:sz w:val="28"/>
                <w:szCs w:val="28"/>
              </w:rPr>
            </w:pPr>
            <w:r>
              <w:rPr>
                <w:b/>
                <w:bCs/>
                <w:sz w:val="28"/>
                <w:szCs w:val="28"/>
              </w:rPr>
              <w:t>建设阶段对环境的影响</w:t>
            </w:r>
          </w:p>
          <w:p w14:paraId="652C4775">
            <w:pPr>
              <w:pStyle w:val="11"/>
              <w:bidi w:val="0"/>
            </w:pPr>
            <w:r>
              <w:rPr>
                <w:rFonts w:hint="default" w:ascii="Times New Roman" w:hAnsi="Times New Roman" w:cs="Times New Roman"/>
              </w:rPr>
              <w:t>建设单位拟在</w:t>
            </w:r>
            <w:r>
              <w:rPr>
                <w:rFonts w:hint="eastAsia" w:cs="Times New Roman"/>
                <w:lang w:eastAsia="zh-CN"/>
              </w:rPr>
              <w:t>2号住院综合楼</w:t>
            </w:r>
            <w:r>
              <w:rPr>
                <w:rFonts w:hint="default" w:ascii="Times New Roman" w:hAnsi="Times New Roman" w:cs="Times New Roman"/>
                <w:lang w:val="en-US" w:eastAsia="zh-CN"/>
              </w:rPr>
              <w:t>1</w:t>
            </w:r>
            <w:r>
              <w:rPr>
                <w:rFonts w:hint="default" w:ascii="Times New Roman" w:hAnsi="Times New Roman" w:cs="Times New Roman"/>
              </w:rPr>
              <w:t>楼</w:t>
            </w:r>
            <w:r>
              <w:rPr>
                <w:rFonts w:hint="default" w:ascii="Times New Roman" w:hAnsi="Times New Roman" w:cs="Times New Roman"/>
                <w:lang w:val="en-US" w:eastAsia="zh-CN"/>
              </w:rPr>
              <w:t>放射科</w:t>
            </w:r>
            <w:r>
              <w:rPr>
                <w:rFonts w:hint="default" w:ascii="Times New Roman" w:hAnsi="Times New Roman" w:cs="Times New Roman"/>
              </w:rPr>
              <w:t>新增1台DSA。</w:t>
            </w:r>
            <w:r>
              <w:rPr>
                <w:rFonts w:hint="default" w:ascii="Times New Roman" w:hAnsi="Times New Roman" w:cs="Times New Roman"/>
                <w:lang w:val="en-US" w:eastAsia="zh-CN"/>
              </w:rPr>
              <w:t>该楼</w:t>
            </w:r>
            <w:r>
              <w:rPr>
                <w:rFonts w:hint="default" w:ascii="Times New Roman" w:hAnsi="Times New Roman" w:cs="Times New Roman"/>
              </w:rPr>
              <w:t>已获得平昌县环境保护局的相关批复</w:t>
            </w:r>
            <w:r>
              <w:rPr>
                <w:rFonts w:hint="default" w:ascii="Times New Roman" w:hAnsi="Times New Roman" w:cs="Times New Roman"/>
                <w:lang w:eastAsia="zh-CN"/>
              </w:rPr>
              <w:t>（平环建〔2019〕24号）（</w:t>
            </w:r>
            <w:r>
              <w:rPr>
                <w:rFonts w:hint="default" w:ascii="Times New Roman" w:hAnsi="Times New Roman" w:cs="Times New Roman"/>
              </w:rPr>
              <w:t>见附件4</w:t>
            </w:r>
            <w:r>
              <w:rPr>
                <w:rFonts w:hint="default" w:ascii="Times New Roman" w:hAnsi="Times New Roman" w:cs="Times New Roman"/>
                <w:lang w:eastAsia="zh-CN"/>
              </w:rPr>
              <w:t>）</w:t>
            </w:r>
            <w:r>
              <w:rPr>
                <w:rFonts w:hint="default" w:ascii="Times New Roman" w:hAnsi="Times New Roman" w:cs="Times New Roman"/>
              </w:rPr>
              <w:t>。目前该</w:t>
            </w:r>
            <w:r>
              <w:rPr>
                <w:rFonts w:hint="eastAsia" w:cs="Times New Roman"/>
                <w:lang w:val="en-US" w:eastAsia="zh-CN"/>
              </w:rPr>
              <w:t>2号住院综合楼</w:t>
            </w:r>
            <w:r>
              <w:rPr>
                <w:rFonts w:hint="default" w:ascii="Times New Roman" w:hAnsi="Times New Roman" w:cs="Times New Roman"/>
                <w:lang w:val="en-US" w:eastAsia="zh-CN"/>
              </w:rPr>
              <w:t>已经建成运行。</w:t>
            </w:r>
          </w:p>
          <w:p w14:paraId="6A700B01">
            <w:pPr>
              <w:pStyle w:val="11"/>
              <w:bidi w:val="0"/>
            </w:pPr>
            <w:r>
              <w:t>本项目施工期主要为防护工程、表面装修、射线装置安装和电路铺设，可能的污染因素主要为常规环境要素</w:t>
            </w:r>
            <w:r>
              <w:rPr>
                <w:rFonts w:hint="eastAsia"/>
                <w:lang w:eastAsia="zh-CN"/>
              </w:rPr>
              <w:t>（</w:t>
            </w:r>
            <w:r>
              <w:t>施工废水、施工废气、施工噪声及施工固体废弃物</w:t>
            </w:r>
            <w:r>
              <w:rPr>
                <w:rFonts w:hint="eastAsia"/>
                <w:lang w:eastAsia="zh-CN"/>
              </w:rPr>
              <w:t>）</w:t>
            </w:r>
            <w:r>
              <w:t>影响</w:t>
            </w:r>
            <w:r>
              <w:rPr>
                <w:rFonts w:hint="eastAsia"/>
                <w:lang w:eastAsia="zh-CN"/>
              </w:rPr>
              <w:t>；</w:t>
            </w:r>
            <w:r>
              <w:t>DSA安装时不通电源，因此不会对周围环境产生辐射污染，但在调试时将产生一定辐射污染，设备安装完成后，会有少量的废包装材料产生。</w:t>
            </w:r>
          </w:p>
          <w:p w14:paraId="566D5AD0">
            <w:pPr>
              <w:spacing w:line="360" w:lineRule="auto"/>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一、施工期的环境影响分析</w:t>
            </w:r>
          </w:p>
          <w:p w14:paraId="1E138CD3">
            <w:pPr>
              <w:pStyle w:val="11"/>
              <w:bidi w:val="0"/>
            </w:pPr>
            <w:r>
              <w:rPr>
                <w:rFonts w:hint="eastAsia"/>
                <w:lang w:eastAsia="zh-CN"/>
              </w:rPr>
              <w:t>（</w:t>
            </w:r>
            <w:r>
              <w:t>1</w:t>
            </w:r>
            <w:r>
              <w:rPr>
                <w:rFonts w:hint="eastAsia"/>
                <w:lang w:eastAsia="zh-CN"/>
              </w:rPr>
              <w:t>）</w:t>
            </w:r>
            <w:r>
              <w:t>施工期大气环境影响分析</w:t>
            </w:r>
          </w:p>
          <w:p w14:paraId="7610DA7A">
            <w:pPr>
              <w:pStyle w:val="11"/>
              <w:bidi w:val="0"/>
            </w:pPr>
            <w:r>
              <w:t>建设阶段的大气污染源主要为装修阶段产生的废气，但影响仅局限在施工现场附近区域。通过及时清扫施工场地，并保持施工场地一定的湿度可减少大气对环境的影响。</w:t>
            </w:r>
          </w:p>
          <w:p w14:paraId="0ECFF0CA">
            <w:pPr>
              <w:pStyle w:val="11"/>
              <w:bidi w:val="0"/>
            </w:pPr>
            <w:r>
              <w:rPr>
                <w:rFonts w:hint="eastAsia"/>
                <w:lang w:eastAsia="zh-CN"/>
              </w:rPr>
              <w:t>（</w:t>
            </w:r>
            <w:r>
              <w:t>2</w:t>
            </w:r>
            <w:r>
              <w:rPr>
                <w:rFonts w:hint="eastAsia"/>
                <w:lang w:eastAsia="zh-CN"/>
              </w:rPr>
              <w:t>）</w:t>
            </w:r>
            <w:r>
              <w:t>施工期废水环境影响分析</w:t>
            </w:r>
          </w:p>
          <w:p w14:paraId="4D255F43">
            <w:pPr>
              <w:pStyle w:val="11"/>
              <w:bidi w:val="0"/>
            </w:pPr>
            <w:r>
              <w:t>施工期间，有一定量的建筑装修废水产生，待施工期结束后，建筑废水对环境的影响会随着施工期结束而随之消除；项目施工期施工人员生活污水产生量较小，拟进入建设单位临时污水处理系统处理后进入城市污水管网。</w:t>
            </w:r>
          </w:p>
          <w:p w14:paraId="09201E0B">
            <w:pPr>
              <w:pStyle w:val="11"/>
              <w:bidi w:val="0"/>
            </w:pPr>
            <w:r>
              <w:rPr>
                <w:rFonts w:hint="eastAsia"/>
                <w:lang w:eastAsia="zh-CN"/>
              </w:rPr>
              <w:t>（</w:t>
            </w:r>
            <w:r>
              <w:t>3</w:t>
            </w:r>
            <w:r>
              <w:rPr>
                <w:rFonts w:hint="eastAsia"/>
                <w:lang w:eastAsia="zh-CN"/>
              </w:rPr>
              <w:t>）</w:t>
            </w:r>
            <w:r>
              <w:t>施工期噪声环境影响分析</w:t>
            </w:r>
          </w:p>
          <w:p w14:paraId="148BB983">
            <w:pPr>
              <w:pStyle w:val="11"/>
              <w:bidi w:val="0"/>
            </w:pPr>
            <w:r>
              <w:t>施工期的噪声污染源主要为电锤、电钻等设备产生，因此，项目将加强管理，</w:t>
            </w:r>
            <w:r>
              <w:rPr>
                <w:rFonts w:hint="eastAsia"/>
              </w:rPr>
              <w:t>采用低噪声设备</w:t>
            </w:r>
            <w:r>
              <w:t>进行施工。且在施工时严格执行《建筑施工场界环境噪声排放标准》</w:t>
            </w:r>
            <w:r>
              <w:rPr>
                <w:rFonts w:hint="eastAsia"/>
                <w:lang w:eastAsia="zh-CN"/>
              </w:rPr>
              <w:t>（</w:t>
            </w:r>
            <w:r>
              <w:t>GB12523-20</w:t>
            </w:r>
            <w:r>
              <w:rPr>
                <w:rFonts w:hint="eastAsia"/>
                <w:lang w:val="en-US" w:eastAsia="zh-CN"/>
              </w:rPr>
              <w:t>25</w:t>
            </w:r>
            <w:r>
              <w:rPr>
                <w:rFonts w:hint="eastAsia"/>
                <w:lang w:eastAsia="zh-CN"/>
              </w:rPr>
              <w:t>）</w:t>
            </w:r>
            <w:r>
              <w:t>的标准规定，将噪声降低到最低水平；禁止夜间施工。影响将随着施工期结束消除。</w:t>
            </w:r>
          </w:p>
          <w:p w14:paraId="59F9FFF6">
            <w:pPr>
              <w:pStyle w:val="11"/>
              <w:bidi w:val="0"/>
            </w:pPr>
            <w:r>
              <w:rPr>
                <w:rFonts w:hint="eastAsia"/>
                <w:lang w:eastAsia="zh-CN"/>
              </w:rPr>
              <w:t>（</w:t>
            </w:r>
            <w:r>
              <w:rPr>
                <w:rFonts w:hint="eastAsia"/>
              </w:rPr>
              <w:t>4</w:t>
            </w:r>
            <w:r>
              <w:rPr>
                <w:rFonts w:hint="eastAsia"/>
                <w:lang w:eastAsia="zh-CN"/>
              </w:rPr>
              <w:t>）</w:t>
            </w:r>
            <w:r>
              <w:t>施工期固体废物影响分析</w:t>
            </w:r>
          </w:p>
          <w:p w14:paraId="52FAD13C">
            <w:pPr>
              <w:pStyle w:val="11"/>
              <w:bidi w:val="0"/>
            </w:pPr>
            <w:r>
              <w:t>施工期的固体废物主要是</w:t>
            </w:r>
            <w:r>
              <w:rPr>
                <w:rFonts w:ascii="Times New Roman" w:hAnsi="Times New Roman"/>
                <w:sz w:val="24"/>
              </w:rPr>
              <w:t>建筑垃圾、装修垃圾、包装垃圾、施工人员产生的生活垃圾等。建筑垃圾由施工单位经收集后运送至指定的建筑垃圾堆放点暂存；装修期间和设备安装期间的产生的包装垃圾经过分类收集，能回收利用部分回收处理，不能回收部分，作为建筑垃圾进行处理；生活垃圾经统一收集后由环卫部门定期清运。</w:t>
            </w:r>
            <w:r>
              <w:t>故项目施工期间产生的固废对周边环境产生影响较小。</w:t>
            </w:r>
          </w:p>
          <w:p w14:paraId="02153E12">
            <w:pPr>
              <w:spacing w:line="360" w:lineRule="auto"/>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二、设备安装调试期间的环境影响分析</w:t>
            </w:r>
          </w:p>
          <w:p w14:paraId="34163506">
            <w:pPr>
              <w:spacing w:line="360" w:lineRule="auto"/>
              <w:ind w:firstLine="480" w:firstLineChars="200"/>
              <w:rPr>
                <w:rFonts w:ascii="Times New Roman" w:hAnsi="Times New Roman"/>
              </w:rPr>
            </w:pPr>
            <w:r>
              <w:rPr>
                <w:rFonts w:ascii="Times New Roman" w:hAnsi="Times New Roman"/>
                <w:sz w:val="24"/>
              </w:rPr>
              <w:t>本项目设备安装、调试由设备厂家专业人员操作，同时加强辐射防护管理，严格限制无关人员靠近，防止辐射事故发生。本项目DSA调试阶段，会产生X射线，造成一定的电离辐射影响；产生少量的臭氧、氮氧化物。由于设备的安装和调试均在DSA机房内进行，调试过程中产生的X射线经过墙体的屏蔽和距离衰减后对环境的影响是可接受的。设备安装完成后，建设单位需及时回收包装材料及其它固体废物，作为一般固体废物进行处置，不随意丢弃。</w:t>
            </w:r>
          </w:p>
        </w:tc>
      </w:tr>
      <w:tr w14:paraId="4E0F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8869" w:type="dxa"/>
          </w:tcPr>
          <w:p w14:paraId="00CFFD45">
            <w:pPr>
              <w:spacing w:line="360" w:lineRule="auto"/>
              <w:rPr>
                <w:rFonts w:ascii="Times New Roman" w:hAnsi="Times New Roman"/>
                <w:b/>
                <w:bCs/>
                <w:sz w:val="28"/>
                <w:szCs w:val="28"/>
              </w:rPr>
            </w:pPr>
            <w:r>
              <w:rPr>
                <w:rFonts w:ascii="Times New Roman" w:hAnsi="Times New Roman"/>
                <w:b/>
                <w:bCs/>
                <w:sz w:val="28"/>
                <w:szCs w:val="28"/>
              </w:rPr>
              <w:t>运行阶段对环境的影响</w:t>
            </w:r>
          </w:p>
          <w:p w14:paraId="580AF1C7">
            <w:pPr>
              <w:widowControl/>
              <w:spacing w:line="360" w:lineRule="auto"/>
              <w:ind w:firstLine="480" w:firstLineChars="200"/>
              <w:rPr>
                <w:rFonts w:ascii="Times New Roman" w:hAnsi="Times New Roman"/>
                <w:bCs/>
                <w:sz w:val="24"/>
              </w:rPr>
            </w:pPr>
            <w:r>
              <w:rPr>
                <w:rFonts w:ascii="Times New Roman" w:hAnsi="Times New Roman"/>
                <w:sz w:val="24"/>
              </w:rPr>
              <w:t>医院拟在医院</w:t>
            </w:r>
            <w:r>
              <w:rPr>
                <w:rFonts w:hint="eastAsia" w:ascii="Times New Roman" w:hAnsi="Times New Roman"/>
                <w:sz w:val="24"/>
                <w:lang w:eastAsia="zh-CN"/>
              </w:rPr>
              <w:t>2号住院综合楼</w:t>
            </w:r>
            <w:r>
              <w:rPr>
                <w:rFonts w:hint="eastAsia" w:ascii="Times New Roman" w:hAnsi="Times New Roman"/>
                <w:sz w:val="24"/>
                <w:lang w:val="en-US" w:eastAsia="zh-CN"/>
              </w:rPr>
              <w:t>放射科一</w:t>
            </w:r>
            <w:r>
              <w:rPr>
                <w:rFonts w:ascii="Times New Roman" w:hAnsi="Times New Roman"/>
                <w:sz w:val="24"/>
              </w:rPr>
              <w:t>楼</w:t>
            </w:r>
            <w:r>
              <w:rPr>
                <w:rFonts w:hint="eastAsia" w:ascii="Times New Roman" w:hAnsi="Times New Roman"/>
                <w:bCs/>
                <w:sz w:val="24"/>
                <w:lang w:eastAsia="zh-CN"/>
              </w:rPr>
              <w:t>DSA机房</w:t>
            </w:r>
            <w:r>
              <w:rPr>
                <w:rFonts w:ascii="Times New Roman" w:hAnsi="Times New Roman"/>
                <w:bCs/>
                <w:sz w:val="24"/>
              </w:rPr>
              <w:t>内使用1台最大管电压为125kV、最大管电流为</w:t>
            </w:r>
            <w:r>
              <w:rPr>
                <w:rFonts w:hint="eastAsia" w:ascii="Times New Roman" w:hAnsi="Times New Roman"/>
                <w:bCs/>
                <w:sz w:val="24"/>
              </w:rPr>
              <w:t>1000</w:t>
            </w:r>
            <w:r>
              <w:rPr>
                <w:rFonts w:ascii="Times New Roman" w:hAnsi="Times New Roman"/>
                <w:bCs/>
                <w:sz w:val="24"/>
              </w:rPr>
              <w:t>mA</w:t>
            </w:r>
            <w:r>
              <w:rPr>
                <w:rFonts w:ascii="Times New Roman" w:hAnsi="Times New Roman"/>
                <w:sz w:val="24"/>
              </w:rPr>
              <w:t>的DSA。拟在</w:t>
            </w:r>
            <w:r>
              <w:rPr>
                <w:rFonts w:hint="eastAsia" w:ascii="Times New Roman" w:hAnsi="Times New Roman"/>
                <w:sz w:val="24"/>
                <w:lang w:eastAsia="zh-CN"/>
              </w:rPr>
              <w:t>DSA机房</w:t>
            </w:r>
            <w:r>
              <w:rPr>
                <w:rFonts w:ascii="Times New Roman" w:hAnsi="Times New Roman"/>
                <w:bCs/>
                <w:sz w:val="24"/>
              </w:rPr>
              <w:t>进行介入手术治疗约为</w:t>
            </w:r>
            <w:r>
              <w:rPr>
                <w:rFonts w:hint="eastAsia" w:ascii="Times New Roman" w:hAnsi="Times New Roman"/>
                <w:bCs/>
                <w:sz w:val="24"/>
                <w:lang w:val="en-US" w:eastAsia="zh-CN"/>
              </w:rPr>
              <w:t>5</w:t>
            </w:r>
            <w:r>
              <w:rPr>
                <w:rFonts w:hint="eastAsia" w:ascii="Times New Roman" w:hAnsi="Times New Roman"/>
                <w:bCs/>
                <w:sz w:val="24"/>
              </w:rPr>
              <w:t>00</w:t>
            </w:r>
            <w:r>
              <w:rPr>
                <w:rFonts w:ascii="Times New Roman" w:hAnsi="Times New Roman"/>
                <w:bCs/>
                <w:sz w:val="24"/>
              </w:rPr>
              <w:t>台，单次手术累计出束时间为</w:t>
            </w:r>
            <w:r>
              <w:rPr>
                <w:rFonts w:hint="eastAsia" w:ascii="Times New Roman" w:hAnsi="Times New Roman"/>
                <w:bCs/>
                <w:sz w:val="24"/>
              </w:rPr>
              <w:t>12</w:t>
            </w:r>
            <w:r>
              <w:rPr>
                <w:rFonts w:ascii="Times New Roman" w:hAnsi="Times New Roman"/>
                <w:bCs/>
                <w:sz w:val="24"/>
              </w:rPr>
              <w:t>~</w:t>
            </w:r>
            <w:r>
              <w:rPr>
                <w:rFonts w:hint="eastAsia" w:ascii="Times New Roman" w:hAnsi="Times New Roman"/>
                <w:bCs/>
                <w:sz w:val="24"/>
              </w:rPr>
              <w:t>15</w:t>
            </w:r>
            <w:r>
              <w:rPr>
                <w:rFonts w:ascii="Times New Roman" w:hAnsi="Times New Roman"/>
                <w:bCs/>
                <w:sz w:val="24"/>
              </w:rPr>
              <w:t>min，年曝光时间累计约为</w:t>
            </w:r>
            <w:r>
              <w:rPr>
                <w:rFonts w:hint="eastAsia" w:ascii="Times New Roman" w:hAnsi="Times New Roman"/>
                <w:bCs/>
                <w:color w:val="000000" w:themeColor="text1"/>
                <w:sz w:val="24"/>
                <w:lang w:val="en-US" w:eastAsia="zh-CN"/>
                <w14:textFill>
                  <w14:solidFill>
                    <w14:schemeClr w14:val="tx1"/>
                  </w14:solidFill>
                </w14:textFill>
              </w:rPr>
              <w:t>107.36</w:t>
            </w:r>
            <w:r>
              <w:rPr>
                <w:rFonts w:ascii="Times New Roman" w:hAnsi="Times New Roman"/>
                <w:bCs/>
                <w:color w:val="000000" w:themeColor="text1"/>
                <w:sz w:val="24"/>
                <w14:textFill>
                  <w14:solidFill>
                    <w14:schemeClr w14:val="tx1"/>
                  </w14:solidFill>
                </w14:textFill>
              </w:rPr>
              <w:t>h</w:t>
            </w:r>
            <w:r>
              <w:rPr>
                <w:rFonts w:ascii="Times New Roman" w:hAnsi="Times New Roman"/>
                <w:bCs/>
                <w:sz w:val="24"/>
              </w:rPr>
              <w:t>（</w:t>
            </w:r>
            <w:r>
              <w:rPr>
                <w:rFonts w:hint="eastAsia" w:ascii="Times New Roman" w:hAnsi="Times New Roman"/>
                <w:bCs/>
                <w:sz w:val="24"/>
              </w:rPr>
              <w:t>透视</w:t>
            </w:r>
            <w:r>
              <w:rPr>
                <w:rFonts w:hint="eastAsia" w:ascii="Times New Roman" w:hAnsi="Times New Roman"/>
                <w:bCs/>
                <w:sz w:val="24"/>
                <w:lang w:val="en-US" w:eastAsia="zh-CN"/>
              </w:rPr>
              <w:t>105</w:t>
            </w:r>
            <w:r>
              <w:rPr>
                <w:rFonts w:hint="eastAsia" w:ascii="Times New Roman" w:hAnsi="Times New Roman"/>
                <w:bCs/>
                <w:sz w:val="24"/>
              </w:rPr>
              <w:t>.00h，拍片</w:t>
            </w:r>
            <w:r>
              <w:rPr>
                <w:rFonts w:hint="eastAsia" w:ascii="Times New Roman" w:hAnsi="Times New Roman"/>
                <w:bCs/>
                <w:sz w:val="24"/>
                <w:lang w:val="en-US" w:eastAsia="zh-CN"/>
              </w:rPr>
              <w:t>2.36</w:t>
            </w:r>
            <w:r>
              <w:rPr>
                <w:rFonts w:hint="eastAsia" w:ascii="Times New Roman" w:hAnsi="Times New Roman"/>
                <w:bCs/>
                <w:sz w:val="24"/>
              </w:rPr>
              <w:t>h</w:t>
            </w:r>
            <w:r>
              <w:rPr>
                <w:rFonts w:ascii="Times New Roman" w:hAnsi="Times New Roman"/>
                <w:bCs/>
                <w:sz w:val="24"/>
              </w:rPr>
              <w:t>），主要用于血管造影，介入手术等。</w:t>
            </w:r>
          </w:p>
          <w:p w14:paraId="2C3EDBC0">
            <w:pPr>
              <w:widowControl/>
              <w:spacing w:line="360" w:lineRule="auto"/>
              <w:ind w:firstLine="480" w:firstLineChars="200"/>
              <w:rPr>
                <w:rFonts w:ascii="Times New Roman" w:hAnsi="Times New Roman"/>
                <w:sz w:val="24"/>
              </w:rPr>
            </w:pPr>
            <w:r>
              <w:rPr>
                <w:rFonts w:ascii="Times New Roman" w:hAnsi="Times New Roman"/>
                <w:bCs/>
                <w:sz w:val="24"/>
              </w:rPr>
              <w:t>根据原环境保护部和原国家卫生计生委联合发布公告2017年第66号</w:t>
            </w:r>
            <w:r>
              <w:rPr>
                <w:rFonts w:ascii="Times New Roman" w:hAnsi="Times New Roman"/>
                <w:sz w:val="24"/>
              </w:rPr>
              <w:t>《</w:t>
            </w:r>
            <w:r>
              <w:rPr>
                <w:rFonts w:hint="eastAsia" w:ascii="Times New Roman" w:hAnsi="Times New Roman"/>
                <w:sz w:val="24"/>
              </w:rPr>
              <w:t>关于发布《</w:t>
            </w:r>
            <w:r>
              <w:rPr>
                <w:rFonts w:ascii="Times New Roman" w:hAnsi="Times New Roman"/>
                <w:sz w:val="24"/>
              </w:rPr>
              <w:t>射线装置分类</w:t>
            </w:r>
            <w:r>
              <w:rPr>
                <w:rFonts w:hint="eastAsia" w:ascii="Times New Roman" w:hAnsi="Times New Roman"/>
                <w:sz w:val="24"/>
              </w:rPr>
              <w:t>》</w:t>
            </w:r>
            <w:r>
              <w:rPr>
                <w:rFonts w:ascii="Times New Roman" w:hAnsi="Times New Roman"/>
                <w:sz w:val="24"/>
              </w:rPr>
              <w:t>办法</w:t>
            </w:r>
            <w:r>
              <w:rPr>
                <w:rFonts w:hint="eastAsia" w:ascii="Times New Roman" w:hAnsi="Times New Roman"/>
                <w:sz w:val="24"/>
              </w:rPr>
              <w:t>的公告</w:t>
            </w:r>
            <w:r>
              <w:rPr>
                <w:rFonts w:ascii="Times New Roman" w:hAnsi="Times New Roman"/>
                <w:sz w:val="24"/>
              </w:rPr>
              <w:t>》</w:t>
            </w:r>
            <w:r>
              <w:rPr>
                <w:rFonts w:ascii="Times New Roman" w:hAnsi="Times New Roman"/>
                <w:bCs/>
                <w:sz w:val="24"/>
              </w:rPr>
              <w:t>，</w:t>
            </w:r>
            <w:r>
              <w:rPr>
                <w:rFonts w:ascii="Times New Roman" w:hAnsi="Times New Roman"/>
                <w:sz w:val="24"/>
              </w:rPr>
              <w:t>DSA属于Ⅱ类射线装置，工作时不产生放射性废气、废水和固体废物。本机为数字成像设备，不使用显、定影液，其主要环境影响因素为工作时产生的X射线，出束方向向上。</w:t>
            </w:r>
          </w:p>
          <w:p w14:paraId="032716BF">
            <w:pPr>
              <w:pStyle w:val="11"/>
              <w:bidi w:val="0"/>
            </w:pPr>
            <w:r>
              <w:t>DSA在进行曝光时分为两种情况：</w:t>
            </w:r>
          </w:p>
          <w:p w14:paraId="73119BC8">
            <w:pPr>
              <w:spacing w:line="360" w:lineRule="auto"/>
              <w:ind w:firstLine="480" w:firstLineChars="200"/>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 1 \* GB3 </w:instrText>
            </w:r>
            <w:r>
              <w:rPr>
                <w:rFonts w:ascii="Times New Roman" w:hAnsi="Times New Roman"/>
                <w:sz w:val="24"/>
              </w:rPr>
              <w:fldChar w:fldCharType="separate"/>
            </w:r>
            <w:r>
              <w:rPr>
                <w:rFonts w:ascii="Times New Roman" w:hAnsi="Times New Roman"/>
                <w:sz w:val="24"/>
              </w:rPr>
              <w:t>①</w:t>
            </w:r>
            <w:r>
              <w:rPr>
                <w:rFonts w:ascii="Times New Roman" w:hAnsi="Times New Roman"/>
                <w:sz w:val="24"/>
              </w:rPr>
              <w:fldChar w:fldCharType="end"/>
            </w:r>
            <w:r>
              <w:rPr>
                <w:rFonts w:ascii="Times New Roman" w:hAnsi="Times New Roman"/>
                <w:sz w:val="24"/>
              </w:rPr>
              <w:t>造影拍片过程：操作人员采取隔室操作的方式，医生通过控制室铅玻璃观察机房内病人情况，并通过对讲系统与病人交流。在拍片过程中，医生位于控制室内，经机房各屏蔽体屏蔽后，对机房外（包括机房楼上）的公众和工作人员基本没有影响。</w:t>
            </w:r>
          </w:p>
          <w:p w14:paraId="711A19D4">
            <w:pPr>
              <w:spacing w:line="360" w:lineRule="auto"/>
              <w:ind w:firstLine="480" w:firstLineChars="200"/>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 2 \* GB3 </w:instrText>
            </w:r>
            <w:r>
              <w:rPr>
                <w:rFonts w:ascii="Times New Roman" w:hAnsi="Times New Roman"/>
                <w:sz w:val="24"/>
              </w:rPr>
              <w:fldChar w:fldCharType="separate"/>
            </w:r>
            <w:r>
              <w:rPr>
                <w:rFonts w:ascii="Times New Roman" w:hAnsi="Times New Roman"/>
                <w:sz w:val="24"/>
              </w:rPr>
              <w:t>②</w:t>
            </w:r>
            <w:r>
              <w:rPr>
                <w:rFonts w:ascii="Times New Roman" w:hAnsi="Times New Roman"/>
                <w:sz w:val="24"/>
              </w:rPr>
              <w:fldChar w:fldCharType="end"/>
            </w:r>
            <w:r>
              <w:rPr>
                <w:rFonts w:ascii="Times New Roman" w:hAnsi="Times New Roman"/>
                <w:sz w:val="24"/>
              </w:rPr>
              <w:t>脉冲透视过程</w:t>
            </w:r>
          </w:p>
          <w:p w14:paraId="09178063">
            <w:pPr>
              <w:spacing w:line="360" w:lineRule="auto"/>
              <w:ind w:firstLine="480" w:firstLineChars="200"/>
              <w:rPr>
                <w:rFonts w:ascii="Times New Roman" w:hAnsi="Times New Roman"/>
                <w:sz w:val="24"/>
              </w:rPr>
            </w:pPr>
            <w:r>
              <w:rPr>
                <w:rFonts w:ascii="Times New Roman" w:hAnsi="Times New Roman"/>
                <w:sz w:val="24"/>
              </w:rPr>
              <w:t>为更清楚</w:t>
            </w:r>
            <w:r>
              <w:rPr>
                <w:rFonts w:hint="eastAsia" w:ascii="Times New Roman" w:hAnsi="Times New Roman"/>
                <w:sz w:val="24"/>
                <w:lang w:eastAsia="zh-CN"/>
              </w:rPr>
              <w:t>地</w:t>
            </w:r>
            <w:r>
              <w:rPr>
                <w:rFonts w:ascii="Times New Roman" w:hAnsi="Times New Roman"/>
                <w:sz w:val="24"/>
              </w:rPr>
              <w:t>了解病人情况，医生需进入机房内进行治疗，在</w:t>
            </w:r>
            <w:r>
              <w:rPr>
                <w:rFonts w:hint="eastAsia" w:ascii="Times New Roman" w:hAnsi="Times New Roman"/>
                <w:sz w:val="24"/>
              </w:rPr>
              <w:t>介入检查</w:t>
            </w:r>
            <w:r>
              <w:rPr>
                <w:rFonts w:ascii="Times New Roman" w:hAnsi="Times New Roman"/>
                <w:sz w:val="24"/>
              </w:rPr>
              <w:t>时会有连续曝光，并采用连续脉冲透视，此时手术医生身着铅防护衣、戴铅防护眼镜等在机房内铅帘后对病人进行直接的手术操作。第二种情况是本次评价的重点。</w:t>
            </w:r>
          </w:p>
          <w:p w14:paraId="7567DF8A">
            <w:pPr>
              <w:spacing w:line="360" w:lineRule="auto"/>
              <w:ind w:firstLine="480" w:firstLineChars="200"/>
              <w:jc w:val="left"/>
              <w:rPr>
                <w:rFonts w:ascii="Times New Roman" w:hAnsi="Times New Roman"/>
                <w:b/>
                <w:bCs/>
              </w:rPr>
            </w:pPr>
            <w:r>
              <w:rPr>
                <w:rFonts w:ascii="Times New Roman" w:hAnsi="Times New Roman"/>
                <w:sz w:val="24"/>
              </w:rPr>
              <w:t>本环评采用理论预测方法对本项目数字减影血管造影装置在正常运行期间对辐射工作人员及公众的辐射影响分析。</w:t>
            </w:r>
          </w:p>
          <w:p w14:paraId="0650CF72">
            <w:pPr>
              <w:spacing w:line="360" w:lineRule="auto"/>
              <w:rPr>
                <w:rFonts w:ascii="Times New Roman" w:hAnsi="Times New Roman"/>
                <w:b/>
                <w:bCs/>
                <w:sz w:val="24"/>
              </w:rPr>
            </w:pPr>
            <w:r>
              <w:rPr>
                <w:rFonts w:ascii="Times New Roman" w:hAnsi="Times New Roman"/>
                <w:b/>
                <w:bCs/>
                <w:sz w:val="24"/>
              </w:rPr>
              <w:t>1、本项目关注点的辐射环境影响分析</w:t>
            </w:r>
          </w:p>
          <w:p w14:paraId="217B7CD7">
            <w:pPr>
              <w:spacing w:line="360" w:lineRule="auto"/>
              <w:ind w:firstLine="504"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pacing w:val="6"/>
                <w:sz w:val="24"/>
                <w14:textFill>
                  <w14:solidFill>
                    <w14:schemeClr w14:val="tx1"/>
                  </w14:solidFill>
                </w14:textFill>
              </w:rPr>
              <w:t>根据</w:t>
            </w:r>
            <w:r>
              <w:rPr>
                <w:rFonts w:hint="eastAsia" w:ascii="Times New Roman" w:hAnsi="Times New Roman"/>
                <w:color w:val="000000" w:themeColor="text1"/>
                <w:spacing w:val="6"/>
                <w:sz w:val="24"/>
                <w:lang w:eastAsia="zh-CN"/>
                <w14:textFill>
                  <w14:solidFill>
                    <w14:schemeClr w14:val="tx1"/>
                  </w14:solidFill>
                </w14:textFill>
              </w:rPr>
              <w:t>平昌县中医医院</w:t>
            </w:r>
            <w:r>
              <w:rPr>
                <w:rFonts w:ascii="Times New Roman" w:hAnsi="Times New Roman"/>
                <w:color w:val="000000" w:themeColor="text1"/>
                <w:spacing w:val="6"/>
                <w:sz w:val="24"/>
                <w14:textFill>
                  <w14:solidFill>
                    <w14:schemeClr w14:val="tx1"/>
                  </w14:solidFill>
                </w14:textFill>
              </w:rPr>
              <w:t>提供的资料，</w:t>
            </w:r>
            <w:r>
              <w:rPr>
                <w:rFonts w:ascii="Times New Roman" w:hAnsi="Times New Roman" w:eastAsia="Times New Roman"/>
                <w:color w:val="000000" w:themeColor="text1"/>
                <w:sz w:val="24"/>
                <w14:textFill>
                  <w14:solidFill>
                    <w14:schemeClr w14:val="tx1"/>
                  </w14:solidFill>
                </w14:textFill>
              </w:rPr>
              <w:t>DSA</w:t>
            </w:r>
            <w:r>
              <w:rPr>
                <w:rFonts w:ascii="Times New Roman" w:hAnsi="Times New Roman" w:eastAsia="Times New Roman"/>
                <w:color w:val="000000" w:themeColor="text1"/>
                <w:spacing w:val="6"/>
                <w:sz w:val="24"/>
                <w14:textFill>
                  <w14:solidFill>
                    <w14:schemeClr w14:val="tx1"/>
                  </w14:solidFill>
                </w14:textFill>
              </w:rPr>
              <w:t xml:space="preserve"> </w:t>
            </w:r>
            <w:r>
              <w:rPr>
                <w:rFonts w:ascii="Times New Roman" w:hAnsi="Times New Roman"/>
                <w:color w:val="000000" w:themeColor="text1"/>
                <w:spacing w:val="6"/>
                <w:sz w:val="24"/>
                <w14:textFill>
                  <w14:solidFill>
                    <w14:schemeClr w14:val="tx1"/>
                  </w14:solidFill>
                </w14:textFill>
              </w:rPr>
              <w:t>机房</w:t>
            </w:r>
            <w:r>
              <w:rPr>
                <w:rFonts w:ascii="Times New Roman" w:hAnsi="Times New Roman"/>
                <w:color w:val="000000" w:themeColor="text1"/>
                <w:spacing w:val="5"/>
                <w:sz w:val="24"/>
                <w14:textFill>
                  <w14:solidFill>
                    <w14:schemeClr w14:val="tx1"/>
                  </w14:solidFill>
                </w14:textFill>
              </w:rPr>
              <w:t>四</w:t>
            </w:r>
            <w:r>
              <w:rPr>
                <w:rFonts w:ascii="Times New Roman" w:hAnsi="Times New Roman"/>
                <w:color w:val="000000" w:themeColor="text1"/>
                <w:sz w:val="24"/>
                <w14:textFill>
                  <w14:solidFill>
                    <w14:schemeClr w14:val="tx1"/>
                  </w14:solidFill>
                </w14:textFill>
              </w:rPr>
              <w:t>周</w:t>
            </w:r>
            <w:r>
              <w:rPr>
                <w:rFonts w:ascii="Times New Roman" w:hAnsi="Times New Roman"/>
                <w:color w:val="000000" w:themeColor="text1"/>
                <w:spacing w:val="10"/>
                <w:sz w:val="24"/>
                <w14:textFill>
                  <w14:solidFill>
                    <w14:schemeClr w14:val="tx1"/>
                  </w14:solidFill>
                </w14:textFill>
              </w:rPr>
              <w:t>墙体为370mm</w:t>
            </w:r>
            <w:r>
              <w:rPr>
                <w:rFonts w:hint="eastAsia" w:ascii="Times New Roman" w:hAnsi="Times New Roman"/>
                <w:color w:val="000000" w:themeColor="text1"/>
                <w:spacing w:val="10"/>
                <w:sz w:val="24"/>
                <w:lang w:eastAsia="zh-CN"/>
                <w14:textFill>
                  <w14:solidFill>
                    <w14:schemeClr w14:val="tx1"/>
                  </w14:solidFill>
                </w14:textFill>
              </w:rPr>
              <w:t>红色实心砖墙</w:t>
            </w:r>
            <w:r>
              <w:rPr>
                <w:rFonts w:ascii="Times New Roman" w:hAnsi="Times New Roman"/>
                <w:color w:val="000000" w:themeColor="text1"/>
                <w:spacing w:val="5"/>
                <w:sz w:val="24"/>
                <w14:textFill>
                  <w14:solidFill>
                    <w14:schemeClr w14:val="tx1"/>
                  </w14:solidFill>
                </w14:textFill>
              </w:rPr>
              <w:t>+1</w:t>
            </w:r>
            <w:r>
              <w:rPr>
                <w:rFonts w:hint="eastAsia" w:ascii="Times New Roman" w:hAnsi="Times New Roman"/>
                <w:color w:val="000000" w:themeColor="text1"/>
                <w:spacing w:val="5"/>
                <w:sz w:val="24"/>
                <w14:textFill>
                  <w14:solidFill>
                    <w14:schemeClr w14:val="tx1"/>
                  </w14:solidFill>
                </w14:textFill>
              </w:rPr>
              <w:t>0</w:t>
            </w:r>
            <w:r>
              <w:rPr>
                <w:rFonts w:ascii="Times New Roman" w:hAnsi="Times New Roman"/>
                <w:color w:val="000000" w:themeColor="text1"/>
                <w:spacing w:val="5"/>
                <w:sz w:val="24"/>
                <w14:textFill>
                  <w14:solidFill>
                    <w14:schemeClr w14:val="tx1"/>
                  </w14:solidFill>
                </w14:textFill>
              </w:rPr>
              <w:t>mm硫酸钡水泥砂浆；机房地面为</w:t>
            </w:r>
            <w:r>
              <w:rPr>
                <w:rFonts w:hint="eastAsia" w:ascii="Times New Roman" w:hAnsi="Times New Roman"/>
                <w:color w:val="000000" w:themeColor="text1"/>
                <w:spacing w:val="5"/>
                <w:sz w:val="24"/>
                <w:lang w:val="en-US" w:eastAsia="zh-CN"/>
                <w14:textFill>
                  <w14:solidFill>
                    <w14:schemeClr w14:val="tx1"/>
                  </w14:solidFill>
                </w14:textFill>
              </w:rPr>
              <w:t>26</w:t>
            </w:r>
            <w:r>
              <w:rPr>
                <w:rFonts w:hint="eastAsia" w:ascii="Times New Roman" w:hAnsi="Times New Roman"/>
                <w:color w:val="000000" w:themeColor="text1"/>
                <w:spacing w:val="5"/>
                <w:sz w:val="24"/>
                <w14:textFill>
                  <w14:solidFill>
                    <w14:schemeClr w14:val="tx1"/>
                  </w14:solidFill>
                </w14:textFill>
              </w:rPr>
              <w:t>0mm现浇混凝土楼板</w:t>
            </w:r>
            <w:r>
              <w:rPr>
                <w:rFonts w:ascii="Times New Roman" w:hAnsi="Times New Roman"/>
                <w:color w:val="000000" w:themeColor="text1"/>
                <w:spacing w:val="5"/>
                <w:sz w:val="24"/>
                <w14:textFill>
                  <w14:solidFill>
                    <w14:schemeClr w14:val="tx1"/>
                  </w14:solidFill>
                </w14:textFill>
              </w:rPr>
              <w:t>+</w:t>
            </w:r>
            <w:r>
              <w:rPr>
                <w:rFonts w:hint="eastAsia" w:ascii="Times New Roman" w:hAnsi="Times New Roman"/>
                <w:color w:val="000000" w:themeColor="text1"/>
                <w:spacing w:val="5"/>
                <w:sz w:val="24"/>
                <w:lang w:val="en-US" w:eastAsia="zh-CN"/>
                <w14:textFill>
                  <w14:solidFill>
                    <w14:schemeClr w14:val="tx1"/>
                  </w14:solidFill>
                </w14:textFill>
              </w:rPr>
              <w:t>1</w:t>
            </w:r>
            <w:r>
              <w:rPr>
                <w:rFonts w:hint="eastAsia" w:ascii="Times New Roman" w:hAnsi="Times New Roman"/>
                <w:color w:val="000000" w:themeColor="text1"/>
                <w:spacing w:val="5"/>
                <w:sz w:val="24"/>
                <w14:textFill>
                  <w14:solidFill>
                    <w14:schemeClr w14:val="tx1"/>
                  </w14:solidFill>
                </w14:textFill>
              </w:rPr>
              <w:t>0</w:t>
            </w:r>
            <w:r>
              <w:rPr>
                <w:rFonts w:ascii="Times New Roman" w:hAnsi="Times New Roman"/>
                <w:color w:val="000000" w:themeColor="text1"/>
                <w:spacing w:val="5"/>
                <w:sz w:val="24"/>
                <w14:textFill>
                  <w14:solidFill>
                    <w14:schemeClr w14:val="tx1"/>
                  </w14:solidFill>
                </w14:textFill>
              </w:rPr>
              <w:t>mm硫酸钡水泥砂浆</w:t>
            </w:r>
            <w:r>
              <w:rPr>
                <w:rFonts w:ascii="Times New Roman" w:hAnsi="Times New Roman"/>
                <w:color w:val="000000" w:themeColor="text1"/>
                <w:spacing w:val="8"/>
                <w:sz w:val="24"/>
                <w14:textFill>
                  <w14:solidFill>
                    <w14:schemeClr w14:val="tx1"/>
                  </w14:solidFill>
                </w14:textFill>
              </w:rPr>
              <w:t>，机</w:t>
            </w:r>
            <w:r>
              <w:rPr>
                <w:rFonts w:ascii="Times New Roman" w:hAnsi="Times New Roman"/>
                <w:color w:val="000000" w:themeColor="text1"/>
                <w:spacing w:val="7"/>
                <w:sz w:val="24"/>
                <w14:textFill>
                  <w14:solidFill>
                    <w14:schemeClr w14:val="tx1"/>
                  </w14:solidFill>
                </w14:textFill>
              </w:rPr>
              <w:t>房</w:t>
            </w:r>
            <w:r>
              <w:rPr>
                <w:rFonts w:ascii="Times New Roman" w:hAnsi="Times New Roman"/>
                <w:color w:val="000000" w:themeColor="text1"/>
                <w:spacing w:val="4"/>
                <w:sz w:val="24"/>
                <w14:textFill>
                  <w14:solidFill>
                    <w14:schemeClr w14:val="tx1"/>
                  </w14:solidFill>
                </w14:textFill>
              </w:rPr>
              <w:t>正下方是</w:t>
            </w:r>
            <w:r>
              <w:rPr>
                <w:rFonts w:hint="eastAsia" w:ascii="Times New Roman" w:hAnsi="Times New Roman"/>
                <w:color w:val="000000" w:themeColor="text1"/>
                <w:spacing w:val="4"/>
                <w:sz w:val="24"/>
                <w:lang w:val="en-US" w:eastAsia="zh-CN"/>
                <w14:textFill>
                  <w14:solidFill>
                    <w14:schemeClr w14:val="tx1"/>
                  </w14:solidFill>
                </w14:textFill>
              </w:rPr>
              <w:t>停车场</w:t>
            </w:r>
            <w:r>
              <w:rPr>
                <w:rFonts w:ascii="Times New Roman" w:hAnsi="Times New Roman"/>
                <w:color w:val="000000" w:themeColor="text1"/>
                <w:spacing w:val="4"/>
                <w:sz w:val="24"/>
                <w14:textFill>
                  <w14:solidFill>
                    <w14:schemeClr w14:val="tx1"/>
                  </w14:solidFill>
                </w14:textFill>
              </w:rPr>
              <w:t>；机房顶部</w:t>
            </w:r>
            <w:r>
              <w:rPr>
                <w:rFonts w:hint="eastAsia" w:ascii="Times New Roman" w:hAnsi="Times New Roman"/>
                <w:color w:val="000000" w:themeColor="text1"/>
                <w:spacing w:val="4"/>
                <w:sz w:val="24"/>
                <w:lang w:val="en-US" w:eastAsia="zh-CN"/>
                <w14:textFill>
                  <w14:solidFill>
                    <w14:schemeClr w14:val="tx1"/>
                  </w14:solidFill>
                </w14:textFill>
              </w:rPr>
              <w:t>26</w:t>
            </w:r>
            <w:r>
              <w:rPr>
                <w:rFonts w:hint="eastAsia" w:ascii="Times New Roman" w:hAnsi="Times New Roman"/>
                <w:color w:val="000000" w:themeColor="text1"/>
                <w:spacing w:val="4"/>
                <w:sz w:val="24"/>
                <w14:textFill>
                  <w14:solidFill>
                    <w14:schemeClr w14:val="tx1"/>
                  </w14:solidFill>
                </w14:textFill>
              </w:rPr>
              <w:t>0mm现浇混凝土楼板</w:t>
            </w:r>
            <w:r>
              <w:rPr>
                <w:rFonts w:ascii="Times New Roman" w:hAnsi="Times New Roman"/>
                <w:color w:val="000000" w:themeColor="text1"/>
                <w:spacing w:val="4"/>
                <w:sz w:val="24"/>
                <w14:textFill>
                  <w14:solidFill>
                    <w14:schemeClr w14:val="tx1"/>
                  </w14:solidFill>
                </w14:textFill>
              </w:rPr>
              <w:t>+</w:t>
            </w:r>
            <w:r>
              <w:rPr>
                <w:rFonts w:hint="eastAsia" w:ascii="Times New Roman" w:hAnsi="Times New Roman"/>
                <w:color w:val="000000" w:themeColor="text1"/>
                <w:spacing w:val="4"/>
                <w:sz w:val="24"/>
                <w:lang w:val="en-US" w:eastAsia="zh-CN"/>
                <w14:textFill>
                  <w14:solidFill>
                    <w14:schemeClr w14:val="tx1"/>
                  </w14:solidFill>
                </w14:textFill>
              </w:rPr>
              <w:t>3</w:t>
            </w:r>
            <w:r>
              <w:rPr>
                <w:rFonts w:ascii="Times New Roman" w:hAnsi="Times New Roman"/>
                <w:color w:val="000000" w:themeColor="text1"/>
                <w:spacing w:val="4"/>
                <w:sz w:val="24"/>
                <w14:textFill>
                  <w14:solidFill>
                    <w14:schemeClr w14:val="tx1"/>
                  </w14:solidFill>
                </w14:textFill>
              </w:rPr>
              <w:t>mm</w:t>
            </w:r>
            <w:r>
              <w:rPr>
                <w:rFonts w:hint="eastAsia" w:ascii="Times New Roman" w:hAnsi="Times New Roman"/>
                <w:color w:val="000000" w:themeColor="text1"/>
                <w:spacing w:val="4"/>
                <w:sz w:val="24"/>
                <w:lang w:val="en-US" w:eastAsia="zh-CN"/>
                <w14:textFill>
                  <w14:solidFill>
                    <w14:schemeClr w14:val="tx1"/>
                  </w14:solidFill>
                </w14:textFill>
              </w:rPr>
              <w:t>铅板</w:t>
            </w:r>
            <w:r>
              <w:rPr>
                <w:rFonts w:ascii="Times New Roman" w:hAnsi="Times New Roman"/>
                <w:color w:val="000000" w:themeColor="text1"/>
                <w:spacing w:val="4"/>
                <w:sz w:val="24"/>
                <w14:textFill>
                  <w14:solidFill>
                    <w14:schemeClr w14:val="tx1"/>
                  </w14:solidFill>
                </w14:textFill>
              </w:rPr>
              <w:t>，正上方为</w:t>
            </w:r>
            <w:r>
              <w:rPr>
                <w:rFonts w:hint="eastAsia" w:ascii="Times New Roman" w:hAnsi="Times New Roman"/>
                <w:color w:val="000000" w:themeColor="text1"/>
                <w:spacing w:val="4"/>
                <w:sz w:val="24"/>
                <w:lang w:val="en-US" w:eastAsia="zh-CN"/>
                <w14:textFill>
                  <w14:solidFill>
                    <w14:schemeClr w14:val="tx1"/>
                  </w14:solidFill>
                </w14:textFill>
              </w:rPr>
              <w:t>发血窗口及值班室</w:t>
            </w:r>
            <w:r>
              <w:rPr>
                <w:rFonts w:ascii="Times New Roman" w:hAnsi="Times New Roman"/>
                <w:color w:val="000000" w:themeColor="text1"/>
                <w:spacing w:val="8"/>
                <w:sz w:val="24"/>
                <w14:textFill>
                  <w14:solidFill>
                    <w14:schemeClr w14:val="tx1"/>
                  </w14:solidFill>
                </w14:textFill>
              </w:rPr>
              <w:t>；观察窗（</w:t>
            </w:r>
            <w:r>
              <w:rPr>
                <w:rFonts w:ascii="Times New Roman" w:hAnsi="Times New Roman" w:eastAsia="Times New Roman"/>
                <w:color w:val="000000" w:themeColor="text1"/>
                <w:spacing w:val="8"/>
                <w:sz w:val="24"/>
                <w14:textFill>
                  <w14:solidFill>
                    <w14:schemeClr w14:val="tx1"/>
                  </w14:solidFill>
                </w14:textFill>
              </w:rPr>
              <w:t>1</w:t>
            </w:r>
            <w:r>
              <w:rPr>
                <w:rFonts w:ascii="Times New Roman" w:hAnsi="Times New Roman"/>
                <w:color w:val="000000" w:themeColor="text1"/>
                <w:spacing w:val="8"/>
                <w:sz w:val="24"/>
                <w14:textFill>
                  <w14:solidFill>
                    <w14:schemeClr w14:val="tx1"/>
                  </w14:solidFill>
                </w14:textFill>
              </w:rPr>
              <w:t>扇）为</w:t>
            </w:r>
            <w:r>
              <w:rPr>
                <w:rFonts w:hint="eastAsia" w:ascii="Times New Roman" w:hAnsi="Times New Roman"/>
                <w:color w:val="000000" w:themeColor="text1"/>
                <w:spacing w:val="8"/>
                <w:sz w:val="24"/>
                <w14:textFill>
                  <w14:solidFill>
                    <w14:schemeClr w14:val="tx1"/>
                  </w14:solidFill>
                </w14:textFill>
              </w:rPr>
              <w:t>3</w:t>
            </w:r>
            <w:r>
              <w:rPr>
                <w:rFonts w:ascii="Times New Roman" w:hAnsi="Times New Roman" w:eastAsia="Times New Roman"/>
                <w:color w:val="000000" w:themeColor="text1"/>
                <w:sz w:val="24"/>
                <w14:textFill>
                  <w14:solidFill>
                    <w14:schemeClr w14:val="tx1"/>
                  </w14:solidFill>
                </w14:textFill>
              </w:rPr>
              <w:t>mm</w:t>
            </w:r>
            <w:r>
              <w:rPr>
                <w:rFonts w:ascii="Times New Roman" w:hAnsi="Times New Roman"/>
                <w:color w:val="000000" w:themeColor="text1"/>
                <w:spacing w:val="8"/>
                <w:sz w:val="24"/>
                <w14:textFill>
                  <w14:solidFill>
                    <w14:schemeClr w14:val="tx1"/>
                  </w14:solidFill>
                </w14:textFill>
              </w:rPr>
              <w:t>铅当量的铅玻璃，防护铅门（3扇）均</w:t>
            </w:r>
            <w:r>
              <w:rPr>
                <w:rFonts w:ascii="Times New Roman" w:hAnsi="Times New Roman"/>
                <w:color w:val="000000" w:themeColor="text1"/>
                <w:spacing w:val="1"/>
                <w:sz w:val="24"/>
                <w14:textFill>
                  <w14:solidFill>
                    <w14:schemeClr w14:val="tx1"/>
                  </w14:solidFill>
                </w14:textFill>
              </w:rPr>
              <w:t>为3</w:t>
            </w:r>
            <w:r>
              <w:rPr>
                <w:rFonts w:ascii="Times New Roman" w:hAnsi="Times New Roman" w:eastAsia="Times New Roman"/>
                <w:color w:val="000000" w:themeColor="text1"/>
                <w:sz w:val="24"/>
                <w14:textFill>
                  <w14:solidFill>
                    <w14:schemeClr w14:val="tx1"/>
                  </w14:solidFill>
                </w14:textFill>
              </w:rPr>
              <w:t>mm</w:t>
            </w:r>
            <w:r>
              <w:rPr>
                <w:rFonts w:ascii="Times New Roman" w:hAnsi="Times New Roman"/>
                <w:color w:val="000000" w:themeColor="text1"/>
                <w:sz w:val="24"/>
                <w14:textFill>
                  <w14:solidFill>
                    <w14:schemeClr w14:val="tx1"/>
                  </w14:solidFill>
                </w14:textFill>
              </w:rPr>
              <w:t>铅当量。</w:t>
            </w:r>
          </w:p>
          <w:p w14:paraId="1D6A6EFD">
            <w:pPr>
              <w:spacing w:line="360" w:lineRule="auto"/>
              <w:ind w:firstLine="480" w:firstLineChars="200"/>
              <w:rPr>
                <w:rFonts w:ascii="Times New Roman" w:hAnsi="Times New Roman"/>
                <w:bCs/>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本项目</w:t>
            </w:r>
            <w:r>
              <w:rPr>
                <w:rFonts w:ascii="Times New Roman" w:hAnsi="Times New Roman"/>
                <w:bCs/>
                <w:color w:val="000000" w:themeColor="text1"/>
                <w:sz w:val="24"/>
                <w14:textFill>
                  <w14:solidFill>
                    <w14:schemeClr w14:val="tx1"/>
                  </w14:solidFill>
                </w14:textFill>
              </w:rPr>
              <w:t>拟使用DSA最大管电压为125kV、最大管电流为</w:t>
            </w:r>
            <w:r>
              <w:rPr>
                <w:rFonts w:hint="eastAsia" w:ascii="Times New Roman" w:hAnsi="Times New Roman"/>
                <w:bCs/>
                <w:color w:val="000000" w:themeColor="text1"/>
                <w:sz w:val="24"/>
                <w14:textFill>
                  <w14:solidFill>
                    <w14:schemeClr w14:val="tx1"/>
                  </w14:solidFill>
                </w14:textFill>
              </w:rPr>
              <w:t>1000</w:t>
            </w:r>
            <w:r>
              <w:rPr>
                <w:rFonts w:ascii="Times New Roman" w:hAnsi="Times New Roman"/>
                <w:bCs/>
                <w:color w:val="000000" w:themeColor="text1"/>
                <w:sz w:val="24"/>
                <w14:textFill>
                  <w14:solidFill>
                    <w14:schemeClr w14:val="tx1"/>
                  </w14:solidFill>
                </w14:textFill>
              </w:rPr>
              <w:t>mA。但实际使用时，为防止球管烧毁并延长其使用寿命，管电压和功率通常预留20%-30%的余量，即管电压控制在100kV以下。根据医院提供信息，隔室拍片时DSA设备的最大运行拍片时DSA的常用管电压</w:t>
            </w:r>
            <w:r>
              <w:rPr>
                <w:rFonts w:hint="eastAsia" w:ascii="Times New Roman" w:hAnsi="Times New Roman"/>
                <w:bCs/>
                <w:color w:val="000000" w:themeColor="text1"/>
                <w:sz w:val="24"/>
                <w:lang w:val="en-US" w:eastAsia="zh-CN"/>
                <w14:textFill>
                  <w14:solidFill>
                    <w14:schemeClr w14:val="tx1"/>
                  </w14:solidFill>
                </w14:textFill>
              </w:rPr>
              <w:t>10</w:t>
            </w:r>
            <w:r>
              <w:rPr>
                <w:rFonts w:ascii="Times New Roman" w:hAnsi="Times New Roman"/>
                <w:bCs/>
                <w:color w:val="000000" w:themeColor="text1"/>
                <w:sz w:val="24"/>
                <w14:textFill>
                  <w14:solidFill>
                    <w14:schemeClr w14:val="tx1"/>
                  </w14:solidFill>
                </w14:textFill>
              </w:rPr>
              <w:t>0kV，常用管电流为</w:t>
            </w:r>
            <w:r>
              <w:rPr>
                <w:rFonts w:hint="eastAsia" w:ascii="Times New Roman" w:hAnsi="Times New Roman"/>
                <w:bCs/>
                <w:color w:val="000000" w:themeColor="text1"/>
                <w:sz w:val="24"/>
                <w14:textFill>
                  <w14:solidFill>
                    <w14:schemeClr w14:val="tx1"/>
                  </w14:solidFill>
                </w14:textFill>
              </w:rPr>
              <w:t>3</w:t>
            </w:r>
            <w:r>
              <w:rPr>
                <w:rFonts w:ascii="Times New Roman" w:hAnsi="Times New Roman"/>
                <w:bCs/>
                <w:color w:val="000000" w:themeColor="text1"/>
                <w:sz w:val="24"/>
                <w14:textFill>
                  <w14:solidFill>
                    <w14:schemeClr w14:val="tx1"/>
                  </w14:solidFill>
                </w14:textFill>
              </w:rPr>
              <w:t>00mA；在DSA透视时常用管电压为</w:t>
            </w:r>
            <w:r>
              <w:rPr>
                <w:rFonts w:hint="eastAsia" w:ascii="Times New Roman" w:hAnsi="Times New Roman"/>
                <w:bCs/>
                <w:color w:val="000000" w:themeColor="text1"/>
                <w:sz w:val="24"/>
                <w:lang w:val="en-US" w:eastAsia="zh-CN"/>
                <w14:textFill>
                  <w14:solidFill>
                    <w14:schemeClr w14:val="tx1"/>
                  </w14:solidFill>
                </w14:textFill>
              </w:rPr>
              <w:t>9</w:t>
            </w:r>
            <w:r>
              <w:rPr>
                <w:rFonts w:ascii="Times New Roman" w:hAnsi="Times New Roman"/>
                <w:bCs/>
                <w:color w:val="000000" w:themeColor="text1"/>
                <w:sz w:val="24"/>
                <w14:textFill>
                  <w14:solidFill>
                    <w14:schemeClr w14:val="tx1"/>
                  </w14:solidFill>
                </w14:textFill>
              </w:rPr>
              <w:t>0kV，常用管电流为</w:t>
            </w:r>
            <w:r>
              <w:rPr>
                <w:rFonts w:hint="eastAsia" w:ascii="Times New Roman" w:hAnsi="Times New Roman"/>
                <w:bCs/>
                <w:color w:val="000000" w:themeColor="text1"/>
                <w:sz w:val="24"/>
                <w14:textFill>
                  <w14:solidFill>
                    <w14:schemeClr w14:val="tx1"/>
                  </w14:solidFill>
                </w14:textFill>
              </w:rPr>
              <w:t>2</w:t>
            </w:r>
            <w:r>
              <w:rPr>
                <w:rFonts w:ascii="Times New Roman" w:hAnsi="Times New Roman"/>
                <w:bCs/>
                <w:color w:val="000000" w:themeColor="text1"/>
                <w:sz w:val="24"/>
                <w14:textFill>
                  <w14:solidFill>
                    <w14:schemeClr w14:val="tx1"/>
                  </w14:solidFill>
                </w14:textFill>
              </w:rPr>
              <w:t>0mA。</w:t>
            </w:r>
          </w:p>
          <w:p w14:paraId="6DF076B9">
            <w:pPr>
              <w:pStyle w:val="30"/>
              <w:spacing w:line="360" w:lineRule="auto"/>
              <w:ind w:firstLine="480" w:firstLineChars="200"/>
              <w:jc w:val="both"/>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本项目根据《放射诊断放射防护要求》(GBZ130-2020)“5.1一般要求c)除牙科摄影和乳腺摄影用X射线设备外，X射线有用线束中的所有物质形成的等效总滤过，应不小于2.5mmA1”可知，设计要求X射线管/准直器的最低固有过滤当量是2.5mmAl。为进行保守预计，本项目按照过滤材料为2.5mmAl进行剂量估</w:t>
            </w:r>
            <w:r>
              <w:rPr>
                <w:rFonts w:hint="eastAsia" w:ascii="Times New Roman" w:hAnsi="Times New Roman"/>
                <w:color w:val="000000" w:themeColor="text1"/>
                <w:lang w:val="en-US" w:eastAsia="zh-CN"/>
                <w14:textFill>
                  <w14:solidFill>
                    <w14:schemeClr w14:val="tx1"/>
                  </w14:solidFill>
                </w14:textFill>
              </w:rPr>
              <w:t>算。</w:t>
            </w:r>
          </w:p>
          <w:p w14:paraId="1105F90B">
            <w:pPr>
              <w:widowControl/>
              <w:spacing w:line="360" w:lineRule="auto"/>
              <w:ind w:firstLine="480" w:firstLineChars="200"/>
              <w:rPr>
                <w:rFonts w:hint="default" w:ascii="Times New Roman" w:hAnsi="Times New Roman"/>
                <w:sz w:val="24"/>
                <w:lang w:val="en-US" w:eastAsia="zh-CN"/>
              </w:rPr>
            </w:pPr>
            <w:r>
              <w:rPr>
                <w:rFonts w:hint="eastAsia" w:ascii="Times New Roman" w:hAnsi="Times New Roman"/>
                <w:sz w:val="24"/>
              </w:rPr>
              <w:t>根据</w:t>
            </w:r>
            <w:r>
              <w:rPr>
                <w:rFonts w:ascii="Times New Roman" w:hAnsi="Times New Roman"/>
                <w:sz w:val="24"/>
              </w:rPr>
              <w:t>《辐射防护手册》</w:t>
            </w:r>
            <w:r>
              <w:rPr>
                <w:rFonts w:hint="eastAsia" w:ascii="Times New Roman" w:hAnsi="Times New Roman"/>
                <w:sz w:val="24"/>
                <w:lang w:eastAsia="zh-CN"/>
              </w:rPr>
              <w:t>（</w:t>
            </w:r>
            <w:r>
              <w:rPr>
                <w:rFonts w:ascii="Times New Roman" w:hAnsi="Times New Roman"/>
                <w:sz w:val="24"/>
              </w:rPr>
              <w:t>第</w:t>
            </w:r>
            <w:r>
              <w:rPr>
                <w:rFonts w:hint="eastAsia" w:ascii="Times New Roman" w:hAnsi="Times New Roman"/>
                <w:sz w:val="24"/>
                <w:lang w:val="en-US" w:eastAsia="zh-CN"/>
              </w:rPr>
              <w:t>三</w:t>
            </w:r>
            <w:r>
              <w:rPr>
                <w:rFonts w:ascii="Times New Roman" w:hAnsi="Times New Roman"/>
                <w:sz w:val="24"/>
              </w:rPr>
              <w:t>分册，李德平、潘自强主编</w:t>
            </w:r>
            <w:r>
              <w:rPr>
                <w:rFonts w:hint="eastAsia" w:ascii="Times New Roman" w:hAnsi="Times New Roman"/>
                <w:sz w:val="24"/>
                <w:lang w:eastAsia="zh-CN"/>
              </w:rPr>
              <w:t>）</w:t>
            </w:r>
            <w:r>
              <w:rPr>
                <w:rFonts w:ascii="Times New Roman" w:hAnsi="Times New Roman"/>
                <w:sz w:val="24"/>
              </w:rPr>
              <w:t>P</w:t>
            </w:r>
            <w:r>
              <w:rPr>
                <w:rFonts w:hint="eastAsia" w:ascii="Times New Roman" w:hAnsi="Times New Roman"/>
                <w:sz w:val="24"/>
                <w:lang w:val="en-US" w:eastAsia="zh-CN"/>
              </w:rPr>
              <w:t>58</w:t>
            </w:r>
            <w:r>
              <w:rPr>
                <w:rFonts w:ascii="Times New Roman" w:hAnsi="Times New Roman"/>
                <w:sz w:val="24"/>
              </w:rPr>
              <w:t>图</w:t>
            </w:r>
            <w:r>
              <w:rPr>
                <w:rFonts w:hint="eastAsia" w:ascii="Times New Roman" w:hAnsi="Times New Roman"/>
                <w:sz w:val="24"/>
                <w:lang w:val="en-US" w:eastAsia="zh-CN"/>
              </w:rPr>
              <w:t>3.1；见下图。</w:t>
            </w:r>
          </w:p>
          <w:p w14:paraId="24AF6751">
            <w:pPr>
              <w:widowControl/>
              <w:spacing w:line="360" w:lineRule="auto"/>
              <w:ind w:firstLine="420" w:firstLineChars="200"/>
              <w:jc w:val="center"/>
            </w:pPr>
            <w:r>
              <w:drawing>
                <wp:inline distT="0" distB="0" distL="114300" distR="114300">
                  <wp:extent cx="1630680" cy="2829560"/>
                  <wp:effectExtent l="0" t="0" r="7620" b="8890"/>
                  <wp:docPr id="3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4"/>
                          <pic:cNvPicPr>
                            <a:picLocks noChangeAspect="1"/>
                          </pic:cNvPicPr>
                        </pic:nvPicPr>
                        <pic:blipFill>
                          <a:blip r:embed="rId25"/>
                          <a:stretch>
                            <a:fillRect/>
                          </a:stretch>
                        </pic:blipFill>
                        <pic:spPr>
                          <a:xfrm>
                            <a:off x="0" y="0"/>
                            <a:ext cx="1630680" cy="2829560"/>
                          </a:xfrm>
                          <a:prstGeom prst="rect">
                            <a:avLst/>
                          </a:prstGeom>
                          <a:noFill/>
                          <a:ln>
                            <a:noFill/>
                          </a:ln>
                        </pic:spPr>
                      </pic:pic>
                    </a:graphicData>
                  </a:graphic>
                </wp:inline>
              </w:drawing>
            </w:r>
          </w:p>
          <w:p w14:paraId="1B9AEF07">
            <w:pPr>
              <w:pStyle w:val="11"/>
            </w:pPr>
            <w:r>
              <w:t>查得</w:t>
            </w:r>
            <w:r>
              <w:rPr>
                <w:rFonts w:hint="eastAsia"/>
              </w:rPr>
              <w:t>拍片时</w:t>
            </w:r>
            <w:r>
              <w:t>Vr0=</w:t>
            </w:r>
            <w:r>
              <w:rPr>
                <w:rFonts w:hint="eastAsia"/>
              </w:rPr>
              <w:t>0.0</w:t>
            </w:r>
            <w:r>
              <w:rPr>
                <w:rFonts w:hint="eastAsia"/>
                <w:lang w:val="en-US" w:eastAsia="zh-CN"/>
              </w:rPr>
              <w:t>90</w:t>
            </w:r>
            <w:r>
              <w:t>mGy/·mA·</w:t>
            </w:r>
            <w:r>
              <w:rPr>
                <w:rFonts w:hint="eastAsia"/>
              </w:rPr>
              <w:t>s</w:t>
            </w:r>
            <w:r>
              <w:t>，</w:t>
            </w:r>
            <w:r>
              <w:rPr>
                <w:rFonts w:hint="eastAsia"/>
              </w:rPr>
              <w:t>透视时</w:t>
            </w:r>
            <w:r>
              <w:t>Vr0=</w:t>
            </w:r>
            <w:r>
              <w:rPr>
                <w:rFonts w:hint="eastAsia"/>
              </w:rPr>
              <w:t>0.0</w:t>
            </w:r>
            <w:r>
              <w:rPr>
                <w:rFonts w:hint="eastAsia"/>
                <w:lang w:val="en-US" w:eastAsia="zh-CN"/>
              </w:rPr>
              <w:t>75</w:t>
            </w:r>
            <w:r>
              <w:t>mGy/·mA·</w:t>
            </w:r>
            <w:r>
              <w:rPr>
                <w:rFonts w:hint="eastAsia"/>
              </w:rPr>
              <w:t>s</w:t>
            </w:r>
            <w:r>
              <w:t>结合拍片和透视工况</w:t>
            </w:r>
            <w:r>
              <w:rPr>
                <w:rFonts w:hint="eastAsia"/>
              </w:rPr>
              <w:t>（</w:t>
            </w:r>
            <w:r>
              <w:t>乘以电流</w:t>
            </w:r>
            <w:r>
              <w:rPr>
                <w:rFonts w:hint="eastAsia"/>
              </w:rPr>
              <w:t>）</w:t>
            </w:r>
            <w:r>
              <w:t>。</w:t>
            </w:r>
            <w:r>
              <w:rPr>
                <w:rFonts w:hint="eastAsia"/>
              </w:rPr>
              <w:t>对于使用三相电源及恒压电源的设备应将图上的数据乘以1.8。</w:t>
            </w:r>
            <w:r>
              <w:t>从而可知，DSA透视时，距离机头1m处的剂量率为</w:t>
            </w:r>
            <w:r>
              <w:rPr>
                <w:rFonts w:hint="eastAsia"/>
                <w:lang w:val="en-US" w:eastAsia="zh-CN"/>
              </w:rPr>
              <w:t>162</w:t>
            </w:r>
            <w:r>
              <w:t>mGy/min</w:t>
            </w:r>
            <w:r>
              <w:rPr>
                <w:rFonts w:hint="eastAsia"/>
              </w:rPr>
              <w:t>；</w:t>
            </w:r>
            <w:r>
              <w:t>拍片时，距离机头1m处的剂量率为</w:t>
            </w:r>
            <w:r>
              <w:rPr>
                <w:rFonts w:hint="eastAsia"/>
                <w:lang w:val="en-US" w:eastAsia="zh-CN"/>
              </w:rPr>
              <w:t>2916</w:t>
            </w:r>
            <w:r>
              <w:t>mGy/min。</w:t>
            </w:r>
          </w:p>
          <w:p w14:paraId="549CE7D0">
            <w:pPr>
              <w:spacing w:line="360" w:lineRule="auto"/>
              <w:ind w:firstLine="516"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pacing w:val="9"/>
                <w:sz w:val="24"/>
                <w14:textFill>
                  <w14:solidFill>
                    <w14:schemeClr w14:val="tx1"/>
                  </w14:solidFill>
                </w14:textFill>
              </w:rPr>
              <w:t>本项目</w:t>
            </w:r>
            <w:r>
              <w:rPr>
                <w:rFonts w:ascii="Times New Roman" w:hAnsi="Times New Roman" w:eastAsia="Times New Roman"/>
                <w:color w:val="000000" w:themeColor="text1"/>
                <w:sz w:val="24"/>
                <w14:textFill>
                  <w14:solidFill>
                    <w14:schemeClr w14:val="tx1"/>
                  </w14:solidFill>
                </w14:textFill>
              </w:rPr>
              <w:t>DSA</w:t>
            </w:r>
            <w:r>
              <w:rPr>
                <w:rFonts w:ascii="Times New Roman" w:hAnsi="Times New Roman"/>
                <w:color w:val="000000" w:themeColor="text1"/>
                <w:spacing w:val="9"/>
                <w:sz w:val="24"/>
                <w14:textFill>
                  <w14:solidFill>
                    <w14:schemeClr w14:val="tx1"/>
                  </w14:solidFill>
                </w14:textFill>
              </w:rPr>
              <w:t>投用后，手术过程中手术室四周、手术室下</w:t>
            </w:r>
            <w:r>
              <w:rPr>
                <w:rFonts w:hint="eastAsia" w:ascii="Times New Roman" w:hAnsi="Times New Roman"/>
                <w:color w:val="000000" w:themeColor="text1"/>
                <w:spacing w:val="9"/>
                <w:sz w:val="24"/>
                <w14:textFill>
                  <w14:solidFill>
                    <w14:schemeClr w14:val="tx1"/>
                  </w14:solidFill>
                </w14:textFill>
              </w:rPr>
              <w:t>方</w:t>
            </w:r>
            <w:r>
              <w:rPr>
                <w:rFonts w:ascii="Times New Roman" w:hAnsi="Times New Roman"/>
                <w:color w:val="000000" w:themeColor="text1"/>
                <w:spacing w:val="9"/>
                <w:sz w:val="24"/>
                <w14:textFill>
                  <w14:solidFill>
                    <w14:schemeClr w14:val="tx1"/>
                  </w14:solidFill>
                </w14:textFill>
              </w:rPr>
              <w:t>的保护目标，均受到漏</w:t>
            </w:r>
            <w:r>
              <w:rPr>
                <w:rFonts w:ascii="Times New Roman" w:hAnsi="Times New Roman"/>
                <w:color w:val="000000" w:themeColor="text1"/>
                <w:spacing w:val="4"/>
                <w:sz w:val="24"/>
                <w14:textFill>
                  <w14:solidFill>
                    <w14:schemeClr w14:val="tx1"/>
                  </w14:solidFill>
                </w14:textFill>
              </w:rPr>
              <w:t>射射</w:t>
            </w:r>
            <w:r>
              <w:rPr>
                <w:rFonts w:ascii="Times New Roman" w:hAnsi="Times New Roman"/>
                <w:color w:val="000000" w:themeColor="text1"/>
                <w:spacing w:val="14"/>
                <w:sz w:val="24"/>
                <w14:textFill>
                  <w14:solidFill>
                    <w14:schemeClr w14:val="tx1"/>
                  </w14:solidFill>
                </w14:textFill>
              </w:rPr>
              <w:t>线</w:t>
            </w:r>
            <w:r>
              <w:rPr>
                <w:rFonts w:ascii="Times New Roman" w:hAnsi="Times New Roman"/>
                <w:color w:val="000000" w:themeColor="text1"/>
                <w:spacing w:val="8"/>
                <w:sz w:val="24"/>
                <w14:textFill>
                  <w14:solidFill>
                    <w14:schemeClr w14:val="tx1"/>
                  </w14:solidFill>
                </w14:textFill>
              </w:rPr>
              <w:t>和散射射线的影响，手术室上方受到主射辐射的影响。手术室内</w:t>
            </w:r>
            <w:r>
              <w:rPr>
                <w:rFonts w:ascii="Times New Roman" w:hAnsi="Times New Roman"/>
                <w:color w:val="000000" w:themeColor="text1"/>
                <w:spacing w:val="14"/>
                <w:sz w:val="24"/>
                <w14:textFill>
                  <w14:solidFill>
                    <w14:schemeClr w14:val="tx1"/>
                  </w14:solidFill>
                </w14:textFill>
              </w:rPr>
              <w:t>的</w:t>
            </w:r>
            <w:r>
              <w:rPr>
                <w:rFonts w:ascii="Times New Roman" w:hAnsi="Times New Roman"/>
                <w:color w:val="000000" w:themeColor="text1"/>
                <w:spacing w:val="8"/>
                <w:sz w:val="24"/>
                <w14:textFill>
                  <w14:solidFill>
                    <w14:schemeClr w14:val="tx1"/>
                  </w14:solidFill>
                </w14:textFill>
              </w:rPr>
              <w:t>辐射工作人员受到散射和漏射的影响。根据电离辐射水平随着距离的增加而衰减的</w:t>
            </w:r>
            <w:r>
              <w:rPr>
                <w:rFonts w:ascii="Times New Roman" w:hAnsi="Times New Roman"/>
                <w:color w:val="000000" w:themeColor="text1"/>
                <w:spacing w:val="10"/>
                <w:sz w:val="24"/>
                <w14:textFill>
                  <w14:solidFill>
                    <w14:schemeClr w14:val="tx1"/>
                  </w14:solidFill>
                </w14:textFill>
              </w:rPr>
              <w:t>规律，距离</w:t>
            </w:r>
            <w:r>
              <w:rPr>
                <w:rFonts w:hint="eastAsia" w:ascii="Times New Roman" w:hAnsi="Times New Roman"/>
                <w:color w:val="000000" w:themeColor="text1"/>
                <w:sz w:val="24"/>
                <w14:textFill>
                  <w14:solidFill>
                    <w14:schemeClr w14:val="tx1"/>
                  </w14:solidFill>
                </w14:textFill>
              </w:rPr>
              <w:t>DSA机房</w:t>
            </w:r>
            <w:r>
              <w:rPr>
                <w:rFonts w:ascii="Times New Roman" w:hAnsi="Times New Roman"/>
                <w:color w:val="000000" w:themeColor="text1"/>
                <w:spacing w:val="10"/>
                <w:sz w:val="24"/>
                <w14:textFill>
                  <w14:solidFill>
                    <w14:schemeClr w14:val="tx1"/>
                  </w14:solidFill>
                </w14:textFill>
              </w:rPr>
              <w:t>最近关注点可以代表最大可能辐射有效剂量</w:t>
            </w:r>
            <w:r>
              <w:rPr>
                <w:rFonts w:ascii="Times New Roman" w:hAnsi="Times New Roman"/>
                <w:color w:val="000000" w:themeColor="text1"/>
                <w:spacing w:val="9"/>
                <w:sz w:val="24"/>
                <w14:textFill>
                  <w14:solidFill>
                    <w14:schemeClr w14:val="tx1"/>
                  </w14:solidFill>
                </w14:textFill>
              </w:rPr>
              <w:t>。</w:t>
            </w:r>
          </w:p>
          <w:p w14:paraId="01EB279A">
            <w:pPr>
              <w:spacing w:line="360" w:lineRule="auto"/>
              <w:ind w:firstLine="480"/>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根据《放射诊断放射防护要求》（GBZ130-2020）公式C.1以及附录表C.2可知，屏蔽透射因子B：</w:t>
            </w:r>
          </w:p>
          <w:p w14:paraId="75134B4E">
            <w:pPr>
              <w:spacing w:line="360" w:lineRule="auto"/>
              <w:ind w:firstLine="480"/>
              <w:rPr>
                <w:rFonts w:ascii="Times New Roman" w:hAnsi="Times New Roman"/>
                <w:bCs/>
                <w:color w:val="000000" w:themeColor="text1"/>
                <w:sz w:val="24"/>
                <w14:textFill>
                  <w14:solidFill>
                    <w14:schemeClr w14:val="tx1"/>
                  </w14:solidFill>
                </w14:textFill>
              </w:rPr>
            </w:pPr>
            <w:r>
              <w:rPr>
                <w:rFonts w:ascii="Times New Roman" w:hAnsi="Times New Roman"/>
                <w:color w:val="000000" w:themeColor="text1"/>
                <w:position w:val="-30"/>
                <w14:textFill>
                  <w14:solidFill>
                    <w14:schemeClr w14:val="tx1"/>
                  </w14:solidFill>
                </w14:textFill>
              </w:rPr>
              <w:t xml:space="preserve">                     </w:t>
            </w:r>
            <w:r>
              <w:rPr>
                <w:rFonts w:ascii="Times New Roman" w:hAnsi="Times New Roman"/>
                <w:color w:val="000000" w:themeColor="text1"/>
                <w:position w:val="-30"/>
                <w14:textFill>
                  <w14:solidFill>
                    <w14:schemeClr w14:val="tx1"/>
                  </w14:solidFill>
                </w14:textFill>
              </w:rPr>
              <w:object>
                <v:shape id="_x0000_i1027" o:spt="75" type="#_x0000_t75" style="height:40.7pt;width:112.05pt;" o:ole="t" filled="t" o:preferrelative="t" stroked="f" coordsize="21600,21600">
                  <v:path/>
                  <v:fill on="t" focussize="0,0"/>
                  <v:stroke on="f" joinstyle="miter"/>
                  <v:imagedata r:id="rId27" o:title=""/>
                  <o:lock v:ext="edit" aspectratio="t"/>
                  <w10:wrap type="none"/>
                  <w10:anchorlock/>
                </v:shape>
                <o:OLEObject Type="Embed" ProgID="Equation.3" ShapeID="_x0000_i1027" DrawAspect="Content" ObjectID="_1468075727" r:id="rId26">
                  <o:LockedField>false</o:LockedField>
                </o:OLEObject>
              </w:object>
            </w:r>
            <w:r>
              <w:rPr>
                <w:rFonts w:ascii="Times New Roman" w:hAnsi="Times New Roman"/>
                <w:color w:val="000000" w:themeColor="text1"/>
                <w:position w:val="-30"/>
                <w14:textFill>
                  <w14:solidFill>
                    <w14:schemeClr w14:val="tx1"/>
                  </w14:solidFill>
                </w14:textFill>
              </w:rPr>
              <w:t xml:space="preserve">        </w:t>
            </w:r>
            <w:r>
              <w:rPr>
                <w:rFonts w:ascii="Times New Roman" w:hAnsi="Times New Roman"/>
                <w:bCs/>
                <w:color w:val="000000" w:themeColor="text1"/>
                <w:sz w:val="24"/>
                <w14:textFill>
                  <w14:solidFill>
                    <w14:schemeClr w14:val="tx1"/>
                  </w14:solidFill>
                </w14:textFill>
              </w:rPr>
              <w:t xml:space="preserve">  （式1）</w:t>
            </w:r>
          </w:p>
          <w:p w14:paraId="78D2529B">
            <w:pPr>
              <w:spacing w:line="360" w:lineRule="auto"/>
              <w:ind w:firstLine="480"/>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式中：</w:t>
            </w:r>
            <w:r>
              <w:rPr>
                <w:rFonts w:ascii="Times New Roman" w:hAnsi="Times New Roman"/>
                <w:bCs/>
                <w:i/>
                <w:iCs/>
                <w:color w:val="000000" w:themeColor="text1"/>
                <w:sz w:val="24"/>
                <w14:textFill>
                  <w14:solidFill>
                    <w14:schemeClr w14:val="tx1"/>
                  </w14:solidFill>
                </w14:textFill>
              </w:rPr>
              <w:t>B</w:t>
            </w:r>
            <w:r>
              <w:rPr>
                <w:rFonts w:ascii="Times New Roman" w:hAnsi="Times New Roman"/>
                <w:bCs/>
                <w:color w:val="000000" w:themeColor="text1"/>
                <w:sz w:val="24"/>
                <w14:textFill>
                  <w14:solidFill>
                    <w14:schemeClr w14:val="tx1"/>
                  </w14:solidFill>
                </w14:textFill>
              </w:rPr>
              <w:t>—给定铅厚度的屏蔽透射因子；</w:t>
            </w:r>
          </w:p>
          <w:p w14:paraId="7884AEF1">
            <w:pPr>
              <w:spacing w:line="360" w:lineRule="auto"/>
              <w:ind w:firstLine="480"/>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 xml:space="preserve">     </w:t>
            </w:r>
            <w:r>
              <w:rPr>
                <w:rFonts w:ascii="Times New Roman" w:hAnsi="Times New Roman"/>
                <w:bCs/>
                <w:i/>
                <w:iCs/>
                <w:color w:val="000000" w:themeColor="text1"/>
                <w:sz w:val="24"/>
                <w14:textFill>
                  <w14:solidFill>
                    <w14:schemeClr w14:val="tx1"/>
                  </w14:solidFill>
                </w14:textFill>
              </w:rPr>
              <w:t xml:space="preserve"> β</w:t>
            </w:r>
            <w:r>
              <w:rPr>
                <w:rFonts w:ascii="Times New Roman" w:hAnsi="Times New Roman"/>
                <w:bCs/>
                <w:color w:val="000000" w:themeColor="text1"/>
                <w:sz w:val="24"/>
                <w14:textFill>
                  <w14:solidFill>
                    <w14:schemeClr w14:val="tx1"/>
                  </w14:solidFill>
                </w14:textFill>
              </w:rPr>
              <w:t>—铅对不同管电压X射线辐射衰减的有关的拟合参数；</w:t>
            </w:r>
          </w:p>
          <w:p w14:paraId="54F6203C">
            <w:pPr>
              <w:spacing w:line="360" w:lineRule="auto"/>
              <w:ind w:firstLine="480"/>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 xml:space="preserve">      </w:t>
            </w:r>
            <w:r>
              <w:rPr>
                <w:rFonts w:ascii="Times New Roman" w:hAnsi="Times New Roman"/>
                <w:bCs/>
                <w:i/>
                <w:iCs/>
                <w:color w:val="000000" w:themeColor="text1"/>
                <w:sz w:val="24"/>
                <w14:textFill>
                  <w14:solidFill>
                    <w14:schemeClr w14:val="tx1"/>
                  </w14:solidFill>
                </w14:textFill>
              </w:rPr>
              <w:t>α</w:t>
            </w:r>
            <w:r>
              <w:rPr>
                <w:rFonts w:ascii="Times New Roman" w:hAnsi="Times New Roman"/>
                <w:bCs/>
                <w:color w:val="000000" w:themeColor="text1"/>
                <w:sz w:val="24"/>
                <w14:textFill>
                  <w14:solidFill>
                    <w14:schemeClr w14:val="tx1"/>
                  </w14:solidFill>
                </w14:textFill>
              </w:rPr>
              <w:t>—铅对不同管电压X射线辐射衰减的有关的拟合参数；</w:t>
            </w:r>
          </w:p>
          <w:p w14:paraId="17621831">
            <w:pPr>
              <w:spacing w:line="360" w:lineRule="auto"/>
              <w:ind w:firstLine="480"/>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 xml:space="preserve">      </w:t>
            </w:r>
            <w:r>
              <w:rPr>
                <w:rFonts w:ascii="Times New Roman" w:hAnsi="Times New Roman"/>
                <w:bCs/>
                <w:i/>
                <w:iCs/>
                <w:color w:val="000000" w:themeColor="text1"/>
                <w:sz w:val="24"/>
                <w14:textFill>
                  <w14:solidFill>
                    <w14:schemeClr w14:val="tx1"/>
                  </w14:solidFill>
                </w14:textFill>
              </w:rPr>
              <w:t>γ</w:t>
            </w:r>
            <w:r>
              <w:rPr>
                <w:rFonts w:ascii="Times New Roman" w:hAnsi="Times New Roman"/>
                <w:bCs/>
                <w:color w:val="000000" w:themeColor="text1"/>
                <w:sz w:val="24"/>
                <w14:textFill>
                  <w14:solidFill>
                    <w14:schemeClr w14:val="tx1"/>
                  </w14:solidFill>
                </w14:textFill>
              </w:rPr>
              <w:t>—铅对不同管电压X射线辐射衰减的有关的拟合参数；</w:t>
            </w:r>
          </w:p>
          <w:p w14:paraId="438738D6">
            <w:pPr>
              <w:spacing w:line="360" w:lineRule="auto"/>
              <w:ind w:firstLine="480"/>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 xml:space="preserve">      </w:t>
            </w:r>
            <w:r>
              <w:rPr>
                <w:rFonts w:ascii="Times New Roman" w:hAnsi="Times New Roman"/>
                <w:bCs/>
                <w:i/>
                <w:iCs/>
                <w:color w:val="000000" w:themeColor="text1"/>
                <w:sz w:val="24"/>
                <w14:textFill>
                  <w14:solidFill>
                    <w14:schemeClr w14:val="tx1"/>
                  </w14:solidFill>
                </w14:textFill>
              </w:rPr>
              <w:t>X</w:t>
            </w:r>
            <w:r>
              <w:rPr>
                <w:rFonts w:ascii="Times New Roman" w:hAnsi="Times New Roman"/>
                <w:bCs/>
                <w:color w:val="000000" w:themeColor="text1"/>
                <w:sz w:val="24"/>
                <w14:textFill>
                  <w14:solidFill>
                    <w14:schemeClr w14:val="tx1"/>
                  </w14:solidFill>
                </w14:textFill>
              </w:rPr>
              <w:t>—铅厚度。</w:t>
            </w:r>
          </w:p>
          <w:p w14:paraId="2D33B171">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铅对X射线的辐射衰减拟合参数</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53"/>
              <w:gridCol w:w="2153"/>
              <w:gridCol w:w="2151"/>
              <w:gridCol w:w="2196"/>
            </w:tblGrid>
            <w:tr w14:paraId="0552B6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3" w:type="dxa"/>
                  <w:gridSpan w:val="4"/>
                  <w:tcBorders>
                    <w:tl2br w:val="nil"/>
                    <w:tr2bl w:val="nil"/>
                  </w:tcBorders>
                  <w:vAlign w:val="center"/>
                </w:tcPr>
                <w:p w14:paraId="00A58324">
                  <w:pPr>
                    <w:jc w:val="center"/>
                    <w:rPr>
                      <w:rFonts w:ascii="Times New Roman" w:hAnsi="Times New Roman"/>
                    </w:rPr>
                  </w:pPr>
                  <w:r>
                    <w:rPr>
                      <w:rFonts w:ascii="Times New Roman" w:hAnsi="Times New Roman"/>
                      <w:b/>
                      <w:bCs/>
                    </w:rPr>
                    <w:t>管电压90kV</w:t>
                  </w:r>
                </w:p>
              </w:tc>
            </w:tr>
            <w:tr w14:paraId="1C0EEC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53" w:type="dxa"/>
                  <w:tcBorders>
                    <w:tl2br w:val="nil"/>
                    <w:tr2bl w:val="nil"/>
                  </w:tcBorders>
                  <w:vAlign w:val="center"/>
                </w:tcPr>
                <w:p w14:paraId="324D32CA">
                  <w:pPr>
                    <w:jc w:val="center"/>
                    <w:rPr>
                      <w:rFonts w:ascii="Times New Roman" w:hAnsi="Times New Roman"/>
                    </w:rPr>
                  </w:pPr>
                  <w:r>
                    <w:rPr>
                      <w:rFonts w:ascii="Times New Roman" w:hAnsi="Times New Roman"/>
                    </w:rPr>
                    <w:t>材料</w:t>
                  </w:r>
                </w:p>
              </w:tc>
              <w:tc>
                <w:tcPr>
                  <w:tcW w:w="2153" w:type="dxa"/>
                  <w:tcBorders>
                    <w:tl2br w:val="nil"/>
                    <w:tr2bl w:val="nil"/>
                  </w:tcBorders>
                  <w:vAlign w:val="center"/>
                </w:tcPr>
                <w:p w14:paraId="41B15386">
                  <w:pPr>
                    <w:jc w:val="center"/>
                    <w:rPr>
                      <w:rFonts w:ascii="Times New Roman" w:hAnsi="Times New Roman"/>
                    </w:rPr>
                  </w:pPr>
                  <w:r>
                    <w:rPr>
                      <w:rFonts w:ascii="Times New Roman" w:hAnsi="Times New Roman"/>
                    </w:rPr>
                    <w:t>α</w:t>
                  </w:r>
                </w:p>
              </w:tc>
              <w:tc>
                <w:tcPr>
                  <w:tcW w:w="2151" w:type="dxa"/>
                  <w:tcBorders>
                    <w:tl2br w:val="nil"/>
                    <w:tr2bl w:val="nil"/>
                  </w:tcBorders>
                  <w:vAlign w:val="center"/>
                </w:tcPr>
                <w:p w14:paraId="1B2538BD">
                  <w:pPr>
                    <w:jc w:val="center"/>
                    <w:rPr>
                      <w:rFonts w:ascii="Times New Roman" w:hAnsi="Times New Roman"/>
                    </w:rPr>
                  </w:pPr>
                  <w:r>
                    <w:rPr>
                      <w:rFonts w:ascii="Times New Roman" w:hAnsi="Times New Roman"/>
                    </w:rPr>
                    <w:t>β</w:t>
                  </w:r>
                </w:p>
              </w:tc>
              <w:tc>
                <w:tcPr>
                  <w:tcW w:w="2196" w:type="dxa"/>
                  <w:tcBorders>
                    <w:tl2br w:val="nil"/>
                    <w:tr2bl w:val="nil"/>
                  </w:tcBorders>
                  <w:vAlign w:val="center"/>
                </w:tcPr>
                <w:p w14:paraId="253D9741">
                  <w:pPr>
                    <w:jc w:val="center"/>
                    <w:rPr>
                      <w:rFonts w:ascii="Times New Roman" w:hAnsi="Times New Roman"/>
                    </w:rPr>
                  </w:pPr>
                  <w:r>
                    <w:rPr>
                      <w:rFonts w:ascii="Times New Roman" w:hAnsi="Times New Roman"/>
                    </w:rPr>
                    <w:t>γ</w:t>
                  </w:r>
                </w:p>
              </w:tc>
            </w:tr>
            <w:tr w14:paraId="0A2DA3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53" w:type="dxa"/>
                  <w:tcBorders>
                    <w:tl2br w:val="nil"/>
                    <w:tr2bl w:val="nil"/>
                  </w:tcBorders>
                  <w:vAlign w:val="center"/>
                </w:tcPr>
                <w:p w14:paraId="58BFA3F8">
                  <w:pPr>
                    <w:jc w:val="center"/>
                    <w:rPr>
                      <w:rFonts w:ascii="Times New Roman" w:hAnsi="Times New Roman"/>
                    </w:rPr>
                  </w:pPr>
                  <w:r>
                    <w:rPr>
                      <w:rFonts w:ascii="Times New Roman" w:hAnsi="Times New Roman"/>
                    </w:rPr>
                    <w:t>铅</w:t>
                  </w:r>
                </w:p>
              </w:tc>
              <w:tc>
                <w:tcPr>
                  <w:tcW w:w="2153" w:type="dxa"/>
                  <w:tcBorders>
                    <w:tl2br w:val="nil"/>
                    <w:tr2bl w:val="nil"/>
                  </w:tcBorders>
                  <w:vAlign w:val="center"/>
                </w:tcPr>
                <w:p w14:paraId="1B4B314C">
                  <w:pPr>
                    <w:jc w:val="center"/>
                    <w:rPr>
                      <w:rFonts w:ascii="Times New Roman" w:hAnsi="Times New Roman"/>
                    </w:rPr>
                  </w:pPr>
                  <w:r>
                    <w:rPr>
                      <w:rFonts w:ascii="Times New Roman" w:hAnsi="Times New Roman"/>
                    </w:rPr>
                    <w:t>3.067</w:t>
                  </w:r>
                </w:p>
              </w:tc>
              <w:tc>
                <w:tcPr>
                  <w:tcW w:w="2151" w:type="dxa"/>
                  <w:tcBorders>
                    <w:tl2br w:val="nil"/>
                    <w:tr2bl w:val="nil"/>
                  </w:tcBorders>
                  <w:vAlign w:val="center"/>
                </w:tcPr>
                <w:p w14:paraId="17C17DFD">
                  <w:pPr>
                    <w:jc w:val="center"/>
                    <w:rPr>
                      <w:rFonts w:ascii="Times New Roman" w:hAnsi="Times New Roman"/>
                    </w:rPr>
                  </w:pPr>
                  <w:r>
                    <w:rPr>
                      <w:rFonts w:ascii="Times New Roman" w:hAnsi="Times New Roman"/>
                    </w:rPr>
                    <w:t>18.83</w:t>
                  </w:r>
                </w:p>
              </w:tc>
              <w:tc>
                <w:tcPr>
                  <w:tcW w:w="2196" w:type="dxa"/>
                  <w:tcBorders>
                    <w:tl2br w:val="nil"/>
                    <w:tr2bl w:val="nil"/>
                  </w:tcBorders>
                  <w:vAlign w:val="center"/>
                </w:tcPr>
                <w:p w14:paraId="26363391">
                  <w:pPr>
                    <w:jc w:val="center"/>
                    <w:rPr>
                      <w:rFonts w:ascii="Times New Roman" w:hAnsi="Times New Roman"/>
                    </w:rPr>
                  </w:pPr>
                  <w:r>
                    <w:rPr>
                      <w:rFonts w:ascii="Times New Roman" w:hAnsi="Times New Roman"/>
                    </w:rPr>
                    <w:t>0.7726</w:t>
                  </w:r>
                </w:p>
              </w:tc>
            </w:tr>
            <w:tr w14:paraId="1302C3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3" w:type="dxa"/>
                  <w:gridSpan w:val="4"/>
                  <w:tcBorders>
                    <w:tl2br w:val="nil"/>
                    <w:tr2bl w:val="nil"/>
                  </w:tcBorders>
                  <w:vAlign w:val="center"/>
                </w:tcPr>
                <w:p w14:paraId="366875C9">
                  <w:pPr>
                    <w:jc w:val="center"/>
                    <w:rPr>
                      <w:rFonts w:hint="eastAsia" w:ascii="Times New Roman" w:hAnsi="Times New Roman" w:eastAsia="宋体"/>
                      <w:lang w:eastAsia="zh-CN"/>
                    </w:rPr>
                  </w:pPr>
                  <w:r>
                    <w:rPr>
                      <w:rFonts w:ascii="Times New Roman" w:hAnsi="Times New Roman"/>
                      <w:b/>
                      <w:bCs/>
                    </w:rPr>
                    <w:t>管电压</w:t>
                  </w:r>
                  <w:r>
                    <w:rPr>
                      <w:rFonts w:hint="eastAsia" w:ascii="Times New Roman" w:hAnsi="Times New Roman"/>
                      <w:b/>
                      <w:bCs/>
                      <w:lang w:val="en-US" w:eastAsia="zh-CN"/>
                    </w:rPr>
                    <w:t>10</w:t>
                  </w:r>
                  <w:r>
                    <w:rPr>
                      <w:rFonts w:ascii="Times New Roman" w:hAnsi="Times New Roman"/>
                      <w:b/>
                      <w:bCs/>
                    </w:rPr>
                    <w:t>0kV</w:t>
                  </w:r>
                  <w:r>
                    <w:rPr>
                      <w:rFonts w:hint="eastAsia" w:ascii="Times New Roman" w:hAnsi="Times New Roman"/>
                      <w:b/>
                      <w:bCs/>
                      <w:lang w:eastAsia="zh-CN"/>
                    </w:rPr>
                    <w:t>（</w:t>
                  </w:r>
                  <w:r>
                    <w:rPr>
                      <w:rFonts w:hint="eastAsia" w:ascii="Times New Roman" w:hAnsi="Times New Roman"/>
                      <w:b/>
                      <w:bCs/>
                      <w:lang w:val="en-US" w:eastAsia="zh-CN"/>
                    </w:rPr>
                    <w:t>主射</w:t>
                  </w:r>
                  <w:r>
                    <w:rPr>
                      <w:rFonts w:hint="eastAsia" w:ascii="Times New Roman" w:hAnsi="Times New Roman"/>
                      <w:b/>
                      <w:bCs/>
                      <w:lang w:eastAsia="zh-CN"/>
                    </w:rPr>
                    <w:t>）</w:t>
                  </w:r>
                </w:p>
              </w:tc>
            </w:tr>
            <w:tr w14:paraId="32E175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53" w:type="dxa"/>
                  <w:tcBorders>
                    <w:tl2br w:val="nil"/>
                    <w:tr2bl w:val="nil"/>
                  </w:tcBorders>
                  <w:vAlign w:val="center"/>
                </w:tcPr>
                <w:p w14:paraId="69083CBC">
                  <w:pPr>
                    <w:jc w:val="center"/>
                    <w:rPr>
                      <w:rFonts w:ascii="Times New Roman" w:hAnsi="Times New Roman"/>
                    </w:rPr>
                  </w:pPr>
                  <w:r>
                    <w:rPr>
                      <w:rFonts w:ascii="Times New Roman" w:hAnsi="Times New Roman"/>
                    </w:rPr>
                    <w:t>铅</w:t>
                  </w:r>
                </w:p>
              </w:tc>
              <w:tc>
                <w:tcPr>
                  <w:tcW w:w="2153" w:type="dxa"/>
                  <w:tcBorders>
                    <w:tl2br w:val="nil"/>
                    <w:tr2bl w:val="nil"/>
                  </w:tcBorders>
                  <w:vAlign w:val="center"/>
                </w:tcPr>
                <w:p w14:paraId="721DA184">
                  <w:pPr>
                    <w:jc w:val="center"/>
                    <w:rPr>
                      <w:rFonts w:ascii="Times New Roman" w:hAnsi="Times New Roman"/>
                    </w:rPr>
                  </w:pPr>
                  <w:r>
                    <w:rPr>
                      <w:rFonts w:hint="eastAsia" w:ascii="Times New Roman" w:hAnsi="Times New Roman"/>
                    </w:rPr>
                    <w:t>2.500</w:t>
                  </w:r>
                </w:p>
              </w:tc>
              <w:tc>
                <w:tcPr>
                  <w:tcW w:w="2151" w:type="dxa"/>
                  <w:tcBorders>
                    <w:tl2br w:val="nil"/>
                    <w:tr2bl w:val="nil"/>
                  </w:tcBorders>
                  <w:vAlign w:val="center"/>
                </w:tcPr>
                <w:p w14:paraId="1CEF33E1">
                  <w:pPr>
                    <w:jc w:val="center"/>
                    <w:rPr>
                      <w:rFonts w:ascii="Times New Roman" w:hAnsi="Times New Roman"/>
                    </w:rPr>
                  </w:pPr>
                  <w:r>
                    <w:rPr>
                      <w:rFonts w:hint="eastAsia" w:ascii="Times New Roman" w:hAnsi="Times New Roman"/>
                    </w:rPr>
                    <w:t>15.28</w:t>
                  </w:r>
                </w:p>
              </w:tc>
              <w:tc>
                <w:tcPr>
                  <w:tcW w:w="2196" w:type="dxa"/>
                  <w:tcBorders>
                    <w:tl2br w:val="nil"/>
                    <w:tr2bl w:val="nil"/>
                  </w:tcBorders>
                  <w:vAlign w:val="center"/>
                </w:tcPr>
                <w:p w14:paraId="0E0F0A18">
                  <w:pPr>
                    <w:jc w:val="center"/>
                    <w:rPr>
                      <w:rFonts w:ascii="Times New Roman" w:hAnsi="Times New Roman"/>
                    </w:rPr>
                  </w:pPr>
                  <w:r>
                    <w:rPr>
                      <w:rFonts w:hint="eastAsia" w:ascii="Times New Roman" w:hAnsi="Times New Roman"/>
                    </w:rPr>
                    <w:t>0.7557</w:t>
                  </w:r>
                </w:p>
              </w:tc>
            </w:tr>
            <w:tr w14:paraId="5330B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3" w:type="dxa"/>
                  <w:gridSpan w:val="4"/>
                  <w:tcBorders>
                    <w:tl2br w:val="nil"/>
                    <w:tr2bl w:val="nil"/>
                  </w:tcBorders>
                  <w:vAlign w:val="center"/>
                </w:tcPr>
                <w:p w14:paraId="50C7CC2E">
                  <w:pPr>
                    <w:jc w:val="center"/>
                    <w:rPr>
                      <w:rFonts w:hint="eastAsia" w:ascii="Times New Roman" w:hAnsi="Times New Roman"/>
                    </w:rPr>
                  </w:pPr>
                  <w:r>
                    <w:rPr>
                      <w:rFonts w:ascii="Times New Roman" w:hAnsi="Times New Roman"/>
                      <w:b/>
                      <w:bCs/>
                    </w:rPr>
                    <w:t>管电压</w:t>
                  </w:r>
                  <w:r>
                    <w:rPr>
                      <w:rFonts w:hint="eastAsia" w:ascii="Times New Roman" w:hAnsi="Times New Roman"/>
                      <w:b/>
                      <w:bCs/>
                      <w:lang w:val="en-US" w:eastAsia="zh-CN"/>
                    </w:rPr>
                    <w:t>10</w:t>
                  </w:r>
                  <w:r>
                    <w:rPr>
                      <w:rFonts w:ascii="Times New Roman" w:hAnsi="Times New Roman"/>
                      <w:b/>
                      <w:bCs/>
                    </w:rPr>
                    <w:t>0kV</w:t>
                  </w:r>
                  <w:r>
                    <w:rPr>
                      <w:rFonts w:hint="eastAsia" w:ascii="Times New Roman" w:hAnsi="Times New Roman"/>
                      <w:b/>
                      <w:bCs/>
                      <w:lang w:eastAsia="zh-CN"/>
                    </w:rPr>
                    <w:t>（</w:t>
                  </w:r>
                  <w:r>
                    <w:rPr>
                      <w:rFonts w:hint="eastAsia" w:ascii="Times New Roman" w:hAnsi="Times New Roman"/>
                      <w:b/>
                      <w:bCs/>
                      <w:lang w:val="en-US" w:eastAsia="zh-CN"/>
                    </w:rPr>
                    <w:t>散射</w:t>
                  </w:r>
                  <w:r>
                    <w:rPr>
                      <w:rFonts w:hint="eastAsia" w:ascii="Times New Roman" w:hAnsi="Times New Roman"/>
                      <w:b/>
                      <w:bCs/>
                      <w:lang w:eastAsia="zh-CN"/>
                    </w:rPr>
                    <w:t>）</w:t>
                  </w:r>
                </w:p>
              </w:tc>
            </w:tr>
            <w:tr w14:paraId="662F8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53" w:type="dxa"/>
                  <w:tcBorders>
                    <w:tl2br w:val="nil"/>
                    <w:tr2bl w:val="nil"/>
                  </w:tcBorders>
                  <w:vAlign w:val="center"/>
                </w:tcPr>
                <w:p w14:paraId="71779B4F">
                  <w:pPr>
                    <w:jc w:val="center"/>
                    <w:rPr>
                      <w:rFonts w:hint="eastAsia" w:ascii="Times New Roman" w:hAnsi="Times New Roman"/>
                    </w:rPr>
                  </w:pPr>
                  <w:r>
                    <w:rPr>
                      <w:rFonts w:ascii="Times New Roman" w:hAnsi="Times New Roman"/>
                    </w:rPr>
                    <w:t>铅</w:t>
                  </w:r>
                </w:p>
              </w:tc>
              <w:tc>
                <w:tcPr>
                  <w:tcW w:w="2153" w:type="dxa"/>
                  <w:tcBorders>
                    <w:tl2br w:val="nil"/>
                    <w:tr2bl w:val="nil"/>
                  </w:tcBorders>
                  <w:vAlign w:val="center"/>
                </w:tcPr>
                <w:p w14:paraId="7D85E44D">
                  <w:pPr>
                    <w:jc w:val="center"/>
                    <w:rPr>
                      <w:rFonts w:hint="eastAsia" w:ascii="Times New Roman" w:hAnsi="Times New Roman"/>
                    </w:rPr>
                  </w:pPr>
                  <w:r>
                    <w:rPr>
                      <w:rFonts w:hint="eastAsia" w:ascii="Times New Roman" w:hAnsi="Times New Roman"/>
                    </w:rPr>
                    <w:t>2.507</w:t>
                  </w:r>
                </w:p>
              </w:tc>
              <w:tc>
                <w:tcPr>
                  <w:tcW w:w="2151" w:type="dxa"/>
                  <w:tcBorders>
                    <w:tl2br w:val="nil"/>
                    <w:tr2bl w:val="nil"/>
                  </w:tcBorders>
                  <w:vAlign w:val="center"/>
                </w:tcPr>
                <w:p w14:paraId="6BDCB1D9">
                  <w:pPr>
                    <w:jc w:val="center"/>
                    <w:rPr>
                      <w:rFonts w:hint="eastAsia" w:ascii="Times New Roman" w:hAnsi="Times New Roman"/>
                    </w:rPr>
                  </w:pPr>
                  <w:r>
                    <w:rPr>
                      <w:rFonts w:hint="eastAsia" w:ascii="Times New Roman" w:hAnsi="Times New Roman"/>
                    </w:rPr>
                    <w:t>15.33</w:t>
                  </w:r>
                </w:p>
              </w:tc>
              <w:tc>
                <w:tcPr>
                  <w:tcW w:w="2196" w:type="dxa"/>
                  <w:tcBorders>
                    <w:tl2br w:val="nil"/>
                    <w:tr2bl w:val="nil"/>
                  </w:tcBorders>
                  <w:vAlign w:val="center"/>
                </w:tcPr>
                <w:p w14:paraId="7811B6F5">
                  <w:pPr>
                    <w:jc w:val="center"/>
                    <w:rPr>
                      <w:rFonts w:hint="eastAsia" w:ascii="Times New Roman" w:hAnsi="Times New Roman"/>
                    </w:rPr>
                  </w:pPr>
                  <w:r>
                    <w:rPr>
                      <w:rFonts w:hint="eastAsia" w:ascii="Times New Roman" w:hAnsi="Times New Roman"/>
                    </w:rPr>
                    <w:t>0.9124</w:t>
                  </w:r>
                </w:p>
              </w:tc>
            </w:tr>
          </w:tbl>
          <w:p w14:paraId="7D709072">
            <w:pPr>
              <w:tabs>
                <w:tab w:val="left" w:pos="271"/>
              </w:tabs>
              <w:ind w:firstLine="482"/>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 xml:space="preserve"> 注：表11-1中数据来自GBZ130-2020中表C.2</w:t>
            </w:r>
            <w:r>
              <w:rPr>
                <w:rFonts w:hint="eastAsia" w:ascii="Times New Roman" w:hAnsi="Times New Roman"/>
                <w:bCs/>
                <w:color w:val="000000" w:themeColor="text1"/>
                <w:szCs w:val="21"/>
                <w14:textFill>
                  <w14:solidFill>
                    <w14:schemeClr w14:val="tx1"/>
                  </w14:solidFill>
                </w14:textFill>
              </w:rPr>
              <w:t>、</w:t>
            </w:r>
            <w:r>
              <w:rPr>
                <w:rFonts w:ascii="Times New Roman" w:hAnsi="Times New Roman"/>
                <w:bCs/>
                <w:color w:val="000000" w:themeColor="text1"/>
                <w:szCs w:val="21"/>
                <w14:textFill>
                  <w14:solidFill>
                    <w14:schemeClr w14:val="tx1"/>
                  </w14:solidFill>
                </w14:textFill>
              </w:rPr>
              <w:t>C.</w:t>
            </w:r>
            <w:r>
              <w:rPr>
                <w:rFonts w:hint="eastAsia" w:ascii="Times New Roman" w:hAnsi="Times New Roman"/>
                <w:bCs/>
                <w:color w:val="000000" w:themeColor="text1"/>
                <w:szCs w:val="21"/>
                <w14:textFill>
                  <w14:solidFill>
                    <w14:schemeClr w14:val="tx1"/>
                  </w14:solidFill>
                </w14:textFill>
              </w:rPr>
              <w:t>3</w:t>
            </w:r>
            <w:r>
              <w:rPr>
                <w:rFonts w:ascii="Times New Roman" w:hAnsi="Times New Roman"/>
                <w:bCs/>
                <w:color w:val="000000" w:themeColor="text1"/>
                <w:szCs w:val="21"/>
                <w14:textFill>
                  <w14:solidFill>
                    <w14:schemeClr w14:val="tx1"/>
                  </w14:solidFill>
                </w14:textFill>
              </w:rPr>
              <w:t>。</w:t>
            </w:r>
          </w:p>
          <w:p w14:paraId="7B53315D">
            <w:pPr>
              <w:spacing w:line="360" w:lineRule="auto"/>
              <w:ind w:firstLine="480"/>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根据上表参数代入公式计算，</w:t>
            </w:r>
            <w:r>
              <w:rPr>
                <w:rFonts w:hint="eastAsia" w:ascii="Times New Roman" w:hAnsi="Times New Roman"/>
                <w:bCs/>
                <w:color w:val="000000" w:themeColor="text1"/>
                <w:sz w:val="24"/>
                <w14:textFill>
                  <w14:solidFill>
                    <w14:schemeClr w14:val="tx1"/>
                  </w14:solidFill>
                </w14:textFill>
              </w:rPr>
              <w:t>DSA机房</w:t>
            </w:r>
            <w:r>
              <w:rPr>
                <w:rFonts w:ascii="Times New Roman" w:hAnsi="Times New Roman"/>
                <w:bCs/>
                <w:color w:val="000000" w:themeColor="text1"/>
                <w:sz w:val="24"/>
                <w14:textFill>
                  <w14:solidFill>
                    <w14:schemeClr w14:val="tx1"/>
                  </w14:solidFill>
                </w14:textFill>
              </w:rPr>
              <w:t>不同屏蔽体材料及厚度对应的屏蔽透射因子见表11-2。</w:t>
            </w:r>
          </w:p>
          <w:p w14:paraId="5F3129F5">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DSA机房设计屏蔽参数及防护措施铅当量一览表</w:t>
            </w:r>
          </w:p>
          <w:tbl>
            <w:tblPr>
              <w:tblStyle w:val="2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3096"/>
              <w:gridCol w:w="1377"/>
              <w:gridCol w:w="1514"/>
              <w:gridCol w:w="1595"/>
            </w:tblGrid>
            <w:tr w14:paraId="33E08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dxa"/>
                  <w:tcBorders>
                    <w:tl2br w:val="nil"/>
                    <w:tr2bl w:val="nil"/>
                  </w:tcBorders>
                  <w:vAlign w:val="center"/>
                </w:tcPr>
                <w:p w14:paraId="59EB37B9">
                  <w:pPr>
                    <w:jc w:val="center"/>
                    <w:rPr>
                      <w:rFonts w:ascii="Times New Roman" w:hAnsi="Times New Roman"/>
                      <w:b/>
                      <w:bCs/>
                      <w:szCs w:val="21"/>
                    </w:rPr>
                  </w:pPr>
                  <w:r>
                    <w:rPr>
                      <w:rFonts w:ascii="Times New Roman" w:hAnsi="Times New Roman"/>
                      <w:b/>
                      <w:bCs/>
                      <w:szCs w:val="21"/>
                    </w:rPr>
                    <w:t>屏蔽方位</w:t>
                  </w:r>
                </w:p>
              </w:tc>
              <w:tc>
                <w:tcPr>
                  <w:tcW w:w="3096" w:type="dxa"/>
                  <w:tcBorders>
                    <w:tl2br w:val="nil"/>
                    <w:tr2bl w:val="nil"/>
                  </w:tcBorders>
                  <w:vAlign w:val="center"/>
                </w:tcPr>
                <w:p w14:paraId="5D184CFD">
                  <w:pPr>
                    <w:jc w:val="center"/>
                    <w:rPr>
                      <w:rFonts w:ascii="Times New Roman" w:hAnsi="Times New Roman"/>
                      <w:b/>
                      <w:bCs/>
                      <w:szCs w:val="21"/>
                    </w:rPr>
                  </w:pPr>
                  <w:r>
                    <w:rPr>
                      <w:rFonts w:ascii="Times New Roman" w:hAnsi="Times New Roman"/>
                      <w:b/>
                      <w:bCs/>
                      <w:szCs w:val="21"/>
                    </w:rPr>
                    <w:t>设计屏蔽材料及屏蔽厚度</w:t>
                  </w:r>
                </w:p>
              </w:tc>
              <w:tc>
                <w:tcPr>
                  <w:tcW w:w="1377" w:type="dxa"/>
                  <w:tcBorders>
                    <w:tl2br w:val="nil"/>
                    <w:tr2bl w:val="nil"/>
                  </w:tcBorders>
                  <w:vAlign w:val="center"/>
                </w:tcPr>
                <w:p w14:paraId="67B39A25">
                  <w:pPr>
                    <w:jc w:val="center"/>
                    <w:rPr>
                      <w:rFonts w:ascii="Times New Roman" w:hAnsi="Times New Roman"/>
                      <w:b/>
                      <w:bCs/>
                      <w:szCs w:val="21"/>
                    </w:rPr>
                  </w:pPr>
                  <w:r>
                    <w:rPr>
                      <w:rFonts w:ascii="Times New Roman" w:hAnsi="Times New Roman"/>
                      <w:b/>
                      <w:bCs/>
                      <w:szCs w:val="21"/>
                    </w:rPr>
                    <w:t>屏蔽透射因子（透视）</w:t>
                  </w:r>
                </w:p>
              </w:tc>
              <w:tc>
                <w:tcPr>
                  <w:tcW w:w="1514" w:type="dxa"/>
                  <w:tcBorders>
                    <w:tl2br w:val="nil"/>
                    <w:tr2bl w:val="nil"/>
                  </w:tcBorders>
                  <w:vAlign w:val="center"/>
                </w:tcPr>
                <w:p w14:paraId="3208E68B">
                  <w:pPr>
                    <w:jc w:val="center"/>
                    <w:rPr>
                      <w:rFonts w:ascii="Times New Roman" w:hAnsi="Times New Roman"/>
                      <w:b/>
                      <w:bCs/>
                      <w:szCs w:val="21"/>
                    </w:rPr>
                  </w:pPr>
                  <w:r>
                    <w:rPr>
                      <w:rFonts w:ascii="Times New Roman" w:hAnsi="Times New Roman"/>
                      <w:b/>
                      <w:bCs/>
                      <w:szCs w:val="21"/>
                    </w:rPr>
                    <w:t>屏蔽透射因子（拍片）</w:t>
                  </w:r>
                  <w:r>
                    <w:rPr>
                      <w:rFonts w:hint="eastAsia" w:ascii="Times New Roman" w:hAnsi="Times New Roman"/>
                      <w:b/>
                      <w:bCs/>
                      <w:szCs w:val="21"/>
                      <w:lang w:val="en-US" w:eastAsia="zh-CN"/>
                    </w:rPr>
                    <w:t>主射</w:t>
                  </w:r>
                </w:p>
              </w:tc>
              <w:tc>
                <w:tcPr>
                  <w:tcW w:w="1595" w:type="dxa"/>
                  <w:tcBorders>
                    <w:tl2br w:val="nil"/>
                    <w:tr2bl w:val="nil"/>
                  </w:tcBorders>
                  <w:vAlign w:val="center"/>
                </w:tcPr>
                <w:p w14:paraId="613B7C84">
                  <w:pPr>
                    <w:jc w:val="center"/>
                    <w:rPr>
                      <w:rFonts w:ascii="Times New Roman" w:hAnsi="Times New Roman"/>
                      <w:b/>
                      <w:bCs/>
                      <w:szCs w:val="21"/>
                    </w:rPr>
                  </w:pPr>
                  <w:r>
                    <w:rPr>
                      <w:rFonts w:ascii="Times New Roman" w:hAnsi="Times New Roman"/>
                      <w:b/>
                      <w:bCs/>
                      <w:szCs w:val="21"/>
                    </w:rPr>
                    <w:t>屏蔽透射因子（拍片）</w:t>
                  </w:r>
                  <w:r>
                    <w:rPr>
                      <w:rFonts w:hint="eastAsia" w:ascii="Times New Roman" w:hAnsi="Times New Roman"/>
                      <w:b/>
                      <w:bCs/>
                      <w:szCs w:val="21"/>
                      <w:lang w:val="en-US" w:eastAsia="zh-CN"/>
                    </w:rPr>
                    <w:t>散射</w:t>
                  </w:r>
                </w:p>
              </w:tc>
            </w:tr>
            <w:tr w14:paraId="653032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dxa"/>
                  <w:tcBorders>
                    <w:tl2br w:val="nil"/>
                    <w:tr2bl w:val="nil"/>
                  </w:tcBorders>
                  <w:vAlign w:val="center"/>
                </w:tcPr>
                <w:p w14:paraId="0541C7A3">
                  <w:pPr>
                    <w:jc w:val="center"/>
                    <w:rPr>
                      <w:rFonts w:ascii="Times New Roman" w:hAnsi="Times New Roman"/>
                      <w:szCs w:val="21"/>
                    </w:rPr>
                  </w:pPr>
                  <w:r>
                    <w:rPr>
                      <w:rFonts w:ascii="Times New Roman" w:hAnsi="Times New Roman"/>
                      <w:szCs w:val="21"/>
                    </w:rPr>
                    <w:t>四面墙体</w:t>
                  </w:r>
                </w:p>
              </w:tc>
              <w:tc>
                <w:tcPr>
                  <w:tcW w:w="3096" w:type="dxa"/>
                  <w:tcBorders>
                    <w:tl2br w:val="nil"/>
                    <w:tr2bl w:val="nil"/>
                  </w:tcBorders>
                  <w:vAlign w:val="center"/>
                </w:tcPr>
                <w:p w14:paraId="561A997F">
                  <w:pPr>
                    <w:jc w:val="center"/>
                    <w:rPr>
                      <w:rFonts w:ascii="Times New Roman" w:hAnsi="Times New Roman"/>
                      <w:szCs w:val="21"/>
                    </w:rPr>
                  </w:pPr>
                  <w:r>
                    <w:rPr>
                      <w:rFonts w:ascii="Times New Roman" w:hAnsi="Times New Roman"/>
                      <w:szCs w:val="21"/>
                    </w:rPr>
                    <w:t>370mm</w:t>
                  </w:r>
                  <w:r>
                    <w:rPr>
                      <w:rFonts w:hint="eastAsia" w:ascii="Times New Roman" w:hAnsi="Times New Roman"/>
                      <w:szCs w:val="21"/>
                      <w:lang w:eastAsia="zh-CN"/>
                    </w:rPr>
                    <w:t>红色实心砖墙</w:t>
                  </w:r>
                  <w:r>
                    <w:rPr>
                      <w:rFonts w:ascii="Times New Roman" w:hAnsi="Times New Roman"/>
                      <w:color w:val="000000" w:themeColor="text1"/>
                      <w:spacing w:val="5"/>
                      <w:sz w:val="24"/>
                      <w14:textFill>
                        <w14:solidFill>
                          <w14:schemeClr w14:val="tx1"/>
                        </w14:solidFill>
                      </w14:textFill>
                    </w:rPr>
                    <w:t>+</w:t>
                  </w:r>
                  <w:r>
                    <w:rPr>
                      <w:rFonts w:ascii="Times New Roman" w:hAnsi="Times New Roman"/>
                      <w:color w:val="000000" w:themeColor="text1"/>
                      <w:spacing w:val="5"/>
                      <w:szCs w:val="21"/>
                      <w14:textFill>
                        <w14:solidFill>
                          <w14:schemeClr w14:val="tx1"/>
                        </w14:solidFill>
                      </w14:textFill>
                    </w:rPr>
                    <w:t>1</w:t>
                  </w:r>
                  <w:r>
                    <w:rPr>
                      <w:rFonts w:hint="eastAsia" w:ascii="Times New Roman" w:hAnsi="Times New Roman"/>
                      <w:color w:val="000000" w:themeColor="text1"/>
                      <w:spacing w:val="5"/>
                      <w:szCs w:val="21"/>
                      <w14:textFill>
                        <w14:solidFill>
                          <w14:schemeClr w14:val="tx1"/>
                        </w14:solidFill>
                      </w14:textFill>
                    </w:rPr>
                    <w:t>0</w:t>
                  </w:r>
                  <w:r>
                    <w:rPr>
                      <w:rFonts w:ascii="Times New Roman" w:hAnsi="Times New Roman"/>
                      <w:color w:val="000000" w:themeColor="text1"/>
                      <w:spacing w:val="5"/>
                      <w:szCs w:val="21"/>
                      <w14:textFill>
                        <w14:solidFill>
                          <w14:schemeClr w14:val="tx1"/>
                        </w14:solidFill>
                      </w14:textFill>
                    </w:rPr>
                    <w:t>mm硫酸钡水泥砂浆</w:t>
                  </w:r>
                  <w:r>
                    <w:rPr>
                      <w:rFonts w:ascii="Times New Roman" w:hAnsi="Times New Roman"/>
                      <w:szCs w:val="21"/>
                    </w:rPr>
                    <w:t>/</w:t>
                  </w:r>
                  <w:r>
                    <w:rPr>
                      <w:rFonts w:hint="eastAsia" w:ascii="Times New Roman" w:hAnsi="Times New Roman"/>
                      <w:szCs w:val="21"/>
                      <w:lang w:val="en-US" w:eastAsia="zh-CN"/>
                    </w:rPr>
                    <w:t>4.14</w:t>
                  </w:r>
                  <w:r>
                    <w:rPr>
                      <w:rFonts w:ascii="Times New Roman" w:hAnsi="Times New Roman"/>
                      <w:szCs w:val="21"/>
                    </w:rPr>
                    <w:t>mmPb</w:t>
                  </w:r>
                </w:p>
              </w:tc>
              <w:tc>
                <w:tcPr>
                  <w:tcW w:w="1377" w:type="dxa"/>
                  <w:tcBorders>
                    <w:tl2br w:val="nil"/>
                    <w:tr2bl w:val="nil"/>
                  </w:tcBorders>
                  <w:shd w:val="clear" w:color="auto" w:fill="auto"/>
                  <w:vAlign w:val="center"/>
                </w:tcPr>
                <w:p w14:paraId="7D52E666">
                  <w:pPr>
                    <w:pStyle w:val="52"/>
                    <w:bidi w:val="0"/>
                    <w:rPr>
                      <w:rFonts w:hint="eastAsia"/>
                      <w:lang w:val="en-US" w:eastAsia="zh-CN"/>
                    </w:rPr>
                  </w:pPr>
                  <w:r>
                    <w:rPr>
                      <w:rFonts w:hint="default"/>
                      <w:lang w:val="en-US" w:eastAsia="zh-CN"/>
                    </w:rPr>
                    <w:t>2.40E-07</w:t>
                  </w:r>
                </w:p>
              </w:tc>
              <w:tc>
                <w:tcPr>
                  <w:tcW w:w="1514" w:type="dxa"/>
                  <w:tcBorders>
                    <w:tl2br w:val="nil"/>
                    <w:tr2bl w:val="nil"/>
                  </w:tcBorders>
                  <w:shd w:val="clear" w:color="auto" w:fill="auto"/>
                  <w:vAlign w:val="center"/>
                </w:tcPr>
                <w:p w14:paraId="69ADC547">
                  <w:pPr>
                    <w:pStyle w:val="52"/>
                    <w:rPr>
                      <w:rFonts w:hint="default"/>
                      <w:lang w:val="en-US" w:eastAsia="zh-CN"/>
                    </w:rPr>
                  </w:pPr>
                  <w:r>
                    <w:rPr>
                      <w:rFonts w:hint="default"/>
                      <w:lang w:val="en-US" w:eastAsia="zh-CN"/>
                    </w:rPr>
                    <w:t>2.39E-06</w:t>
                  </w:r>
                </w:p>
              </w:tc>
              <w:tc>
                <w:tcPr>
                  <w:tcW w:w="1595" w:type="dxa"/>
                  <w:tcBorders>
                    <w:tl2br w:val="nil"/>
                    <w:tr2bl w:val="nil"/>
                  </w:tcBorders>
                  <w:shd w:val="clear" w:color="auto" w:fill="auto"/>
                  <w:vAlign w:val="center"/>
                </w:tcPr>
                <w:p w14:paraId="0292EF61">
                  <w:pPr>
                    <w:pStyle w:val="52"/>
                    <w:bidi w:val="0"/>
                    <w:rPr>
                      <w:rFonts w:hint="default"/>
                      <w:lang w:val="en-US" w:eastAsia="zh-CN"/>
                    </w:rPr>
                  </w:pPr>
                  <w:r>
                    <w:rPr>
                      <w:rFonts w:hint="default"/>
                      <w:lang w:val="en-US" w:eastAsia="zh-CN"/>
                    </w:rPr>
                    <w:t>3.62E-06</w:t>
                  </w:r>
                </w:p>
              </w:tc>
            </w:tr>
            <w:tr w14:paraId="437C24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dxa"/>
                  <w:tcBorders>
                    <w:tl2br w:val="nil"/>
                    <w:tr2bl w:val="nil"/>
                  </w:tcBorders>
                  <w:vAlign w:val="center"/>
                </w:tcPr>
                <w:p w14:paraId="4D3336EC">
                  <w:pPr>
                    <w:jc w:val="center"/>
                    <w:rPr>
                      <w:rFonts w:ascii="Times New Roman" w:hAnsi="Times New Roman"/>
                      <w:szCs w:val="21"/>
                    </w:rPr>
                  </w:pPr>
                  <w:r>
                    <w:rPr>
                      <w:rFonts w:ascii="Times New Roman" w:hAnsi="Times New Roman"/>
                      <w:szCs w:val="21"/>
                    </w:rPr>
                    <w:t>楼顶</w:t>
                  </w:r>
                </w:p>
              </w:tc>
              <w:tc>
                <w:tcPr>
                  <w:tcW w:w="3096" w:type="dxa"/>
                  <w:tcBorders>
                    <w:tl2br w:val="nil"/>
                    <w:tr2bl w:val="nil"/>
                  </w:tcBorders>
                  <w:vAlign w:val="center"/>
                </w:tcPr>
                <w:p w14:paraId="2068494D">
                  <w:pPr>
                    <w:jc w:val="center"/>
                    <w:rPr>
                      <w:rFonts w:ascii="Times New Roman" w:hAnsi="Times New Roman"/>
                      <w:szCs w:val="21"/>
                    </w:rPr>
                  </w:pPr>
                  <w:r>
                    <w:rPr>
                      <w:rFonts w:hint="eastAsia" w:ascii="Times New Roman" w:hAnsi="Times New Roman"/>
                      <w:szCs w:val="21"/>
                      <w:lang w:val="en-US" w:eastAsia="zh-CN"/>
                    </w:rPr>
                    <w:t>26</w:t>
                  </w:r>
                  <w:r>
                    <w:rPr>
                      <w:rFonts w:hint="eastAsia" w:ascii="Times New Roman" w:hAnsi="Times New Roman"/>
                      <w:szCs w:val="21"/>
                    </w:rPr>
                    <w:t>0</w:t>
                  </w:r>
                  <w:r>
                    <w:rPr>
                      <w:rFonts w:ascii="Times New Roman" w:hAnsi="Times New Roman"/>
                      <w:szCs w:val="21"/>
                    </w:rPr>
                    <w:t>mm现浇混凝土+</w:t>
                  </w:r>
                  <w:r>
                    <w:rPr>
                      <w:rFonts w:hint="eastAsia" w:ascii="Times New Roman" w:hAnsi="Times New Roman"/>
                      <w:szCs w:val="21"/>
                      <w:lang w:val="en-US" w:eastAsia="zh-CN"/>
                    </w:rPr>
                    <w:t>3</w:t>
                  </w:r>
                  <w:r>
                    <w:rPr>
                      <w:rFonts w:ascii="Times New Roman" w:hAnsi="Times New Roman"/>
                      <w:szCs w:val="21"/>
                    </w:rPr>
                    <w:t>mm</w:t>
                  </w:r>
                  <w:r>
                    <w:rPr>
                      <w:rFonts w:hint="eastAsia" w:ascii="Times New Roman" w:hAnsi="Times New Roman"/>
                      <w:szCs w:val="21"/>
                      <w:lang w:val="en-US" w:eastAsia="zh-CN"/>
                    </w:rPr>
                    <w:t>铅板</w:t>
                  </w:r>
                  <w:r>
                    <w:rPr>
                      <w:rFonts w:ascii="Times New Roman" w:hAnsi="Times New Roman"/>
                      <w:szCs w:val="21"/>
                    </w:rPr>
                    <w:t>/</w:t>
                  </w:r>
                  <w:r>
                    <w:rPr>
                      <w:rFonts w:hint="eastAsia" w:ascii="Times New Roman" w:hAnsi="Times New Roman"/>
                      <w:szCs w:val="21"/>
                      <w:lang w:val="en-US" w:eastAsia="zh-CN"/>
                    </w:rPr>
                    <w:t>6.56</w:t>
                  </w:r>
                  <w:r>
                    <w:rPr>
                      <w:rFonts w:ascii="Times New Roman" w:hAnsi="Times New Roman"/>
                      <w:szCs w:val="21"/>
                    </w:rPr>
                    <w:t>mmPb</w:t>
                  </w:r>
                </w:p>
              </w:tc>
              <w:tc>
                <w:tcPr>
                  <w:tcW w:w="1377" w:type="dxa"/>
                  <w:tcBorders>
                    <w:tl2br w:val="nil"/>
                    <w:tr2bl w:val="nil"/>
                  </w:tcBorders>
                  <w:shd w:val="clear" w:color="auto" w:fill="auto"/>
                  <w:vAlign w:val="center"/>
                </w:tcPr>
                <w:p w14:paraId="2005CB05">
                  <w:pPr>
                    <w:pStyle w:val="52"/>
                    <w:bidi w:val="0"/>
                    <w:rPr>
                      <w:rFonts w:hint="default"/>
                      <w:lang w:val="en-US" w:eastAsia="zh-CN"/>
                    </w:rPr>
                  </w:pPr>
                  <w:r>
                    <w:rPr>
                      <w:rFonts w:hint="default"/>
                      <w:lang w:val="en-US" w:eastAsia="zh-CN"/>
                    </w:rPr>
                    <w:t>1.44E-10</w:t>
                  </w:r>
                </w:p>
              </w:tc>
              <w:tc>
                <w:tcPr>
                  <w:tcW w:w="1514" w:type="dxa"/>
                  <w:tcBorders>
                    <w:tl2br w:val="nil"/>
                    <w:tr2bl w:val="nil"/>
                  </w:tcBorders>
                  <w:shd w:val="clear" w:color="auto" w:fill="auto"/>
                  <w:vAlign w:val="center"/>
                </w:tcPr>
                <w:p w14:paraId="7D1DA399">
                  <w:pPr>
                    <w:pStyle w:val="52"/>
                    <w:bidi w:val="0"/>
                    <w:rPr>
                      <w:rFonts w:hint="default"/>
                      <w:lang w:val="en-US" w:eastAsia="zh-CN"/>
                    </w:rPr>
                  </w:pPr>
                  <w:r>
                    <w:rPr>
                      <w:rFonts w:hint="default"/>
                      <w:lang w:val="en-US" w:eastAsia="zh-CN"/>
                    </w:rPr>
                    <w:t>5.63E-09</w:t>
                  </w:r>
                </w:p>
              </w:tc>
              <w:tc>
                <w:tcPr>
                  <w:tcW w:w="1595" w:type="dxa"/>
                  <w:tcBorders>
                    <w:tl2br w:val="nil"/>
                    <w:tr2bl w:val="nil"/>
                  </w:tcBorders>
                  <w:shd w:val="clear" w:color="auto" w:fill="auto"/>
                  <w:vAlign w:val="center"/>
                </w:tcPr>
                <w:p w14:paraId="43678D9E">
                  <w:pPr>
                    <w:pStyle w:val="52"/>
                    <w:bidi w:val="0"/>
                    <w:rPr>
                      <w:rFonts w:hint="default"/>
                      <w:lang w:val="en-US" w:eastAsia="zh-CN"/>
                    </w:rPr>
                  </w:pPr>
                  <w:r>
                    <w:rPr>
                      <w:rFonts w:hint="eastAsia"/>
                      <w:lang w:val="en-US" w:eastAsia="zh-CN"/>
                    </w:rPr>
                    <w:t>/</w:t>
                  </w:r>
                </w:p>
              </w:tc>
            </w:tr>
            <w:tr w14:paraId="25690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dxa"/>
                  <w:tcBorders>
                    <w:tl2br w:val="nil"/>
                    <w:tr2bl w:val="nil"/>
                  </w:tcBorders>
                  <w:vAlign w:val="center"/>
                </w:tcPr>
                <w:p w14:paraId="5AAB205D">
                  <w:pPr>
                    <w:jc w:val="center"/>
                    <w:rPr>
                      <w:rFonts w:ascii="Times New Roman" w:hAnsi="Times New Roman"/>
                      <w:szCs w:val="21"/>
                    </w:rPr>
                  </w:pPr>
                  <w:r>
                    <w:rPr>
                      <w:rFonts w:ascii="Times New Roman" w:hAnsi="Times New Roman"/>
                      <w:szCs w:val="21"/>
                    </w:rPr>
                    <w:t>地面</w:t>
                  </w:r>
                </w:p>
              </w:tc>
              <w:tc>
                <w:tcPr>
                  <w:tcW w:w="3096" w:type="dxa"/>
                  <w:tcBorders>
                    <w:tl2br w:val="nil"/>
                    <w:tr2bl w:val="nil"/>
                  </w:tcBorders>
                  <w:vAlign w:val="center"/>
                </w:tcPr>
                <w:p w14:paraId="5E74EAAC">
                  <w:pPr>
                    <w:jc w:val="center"/>
                    <w:rPr>
                      <w:rFonts w:ascii="Times New Roman" w:hAnsi="Times New Roman"/>
                      <w:szCs w:val="21"/>
                    </w:rPr>
                  </w:pPr>
                  <w:r>
                    <w:rPr>
                      <w:rFonts w:hint="eastAsia" w:ascii="Times New Roman" w:hAnsi="Times New Roman"/>
                      <w:szCs w:val="21"/>
                      <w:lang w:val="en-US" w:eastAsia="zh-CN"/>
                    </w:rPr>
                    <w:t>26</w:t>
                  </w:r>
                  <w:r>
                    <w:rPr>
                      <w:rFonts w:hint="eastAsia" w:ascii="Times New Roman" w:hAnsi="Times New Roman"/>
                      <w:szCs w:val="21"/>
                    </w:rPr>
                    <w:t>0</w:t>
                  </w:r>
                  <w:r>
                    <w:rPr>
                      <w:rFonts w:ascii="Times New Roman" w:hAnsi="Times New Roman"/>
                      <w:szCs w:val="21"/>
                    </w:rPr>
                    <w:t>mm现浇混凝土+</w:t>
                  </w:r>
                  <w:r>
                    <w:rPr>
                      <w:rFonts w:hint="eastAsia" w:ascii="Times New Roman" w:hAnsi="Times New Roman"/>
                      <w:szCs w:val="21"/>
                      <w:lang w:val="en-US" w:eastAsia="zh-CN"/>
                    </w:rPr>
                    <w:t>1</w:t>
                  </w:r>
                  <w:r>
                    <w:rPr>
                      <w:rFonts w:hint="eastAsia" w:ascii="Times New Roman" w:hAnsi="Times New Roman"/>
                      <w:szCs w:val="21"/>
                    </w:rPr>
                    <w:t>0</w:t>
                  </w:r>
                  <w:r>
                    <w:rPr>
                      <w:rFonts w:ascii="Times New Roman" w:hAnsi="Times New Roman"/>
                      <w:szCs w:val="21"/>
                    </w:rPr>
                    <w:t>mm硫酸钡水泥砂浆/</w:t>
                  </w:r>
                  <w:r>
                    <w:rPr>
                      <w:rFonts w:hint="eastAsia" w:ascii="Times New Roman" w:hAnsi="Times New Roman"/>
                      <w:szCs w:val="21"/>
                      <w:lang w:val="en-US" w:eastAsia="zh-CN"/>
                    </w:rPr>
                    <w:t>4.53</w:t>
                  </w:r>
                  <w:r>
                    <w:rPr>
                      <w:rFonts w:ascii="Times New Roman" w:hAnsi="Times New Roman"/>
                      <w:szCs w:val="21"/>
                    </w:rPr>
                    <w:t>mmPb</w:t>
                  </w:r>
                </w:p>
              </w:tc>
              <w:tc>
                <w:tcPr>
                  <w:tcW w:w="1377" w:type="dxa"/>
                  <w:tcBorders>
                    <w:tl2br w:val="nil"/>
                    <w:tr2bl w:val="nil"/>
                  </w:tcBorders>
                  <w:shd w:val="clear" w:color="auto" w:fill="auto"/>
                  <w:vAlign w:val="center"/>
                </w:tcPr>
                <w:p w14:paraId="07447C88">
                  <w:pPr>
                    <w:pStyle w:val="52"/>
                    <w:bidi w:val="0"/>
                    <w:rPr>
                      <w:rFonts w:hint="default"/>
                      <w:lang w:val="en-US" w:eastAsia="zh-CN"/>
                    </w:rPr>
                  </w:pPr>
                  <w:r>
                    <w:rPr>
                      <w:rFonts w:hint="default"/>
                      <w:lang w:val="en-US" w:eastAsia="zh-CN"/>
                    </w:rPr>
                    <w:t>7.26E-08</w:t>
                  </w:r>
                </w:p>
              </w:tc>
              <w:tc>
                <w:tcPr>
                  <w:tcW w:w="1514" w:type="dxa"/>
                  <w:tcBorders>
                    <w:tl2br w:val="nil"/>
                    <w:tr2bl w:val="nil"/>
                  </w:tcBorders>
                  <w:shd w:val="clear" w:color="auto" w:fill="auto"/>
                  <w:vAlign w:val="center"/>
                </w:tcPr>
                <w:p w14:paraId="2BE668E1">
                  <w:pPr>
                    <w:pStyle w:val="52"/>
                    <w:rPr>
                      <w:rFonts w:hint="eastAsia"/>
                      <w:lang w:val="en-US" w:eastAsia="zh-CN"/>
                    </w:rPr>
                  </w:pPr>
                  <w:r>
                    <w:rPr>
                      <w:rFonts w:hint="default"/>
                      <w:lang w:val="en-US" w:eastAsia="zh-CN"/>
                    </w:rPr>
                    <w:t>9.00E-07</w:t>
                  </w:r>
                </w:p>
              </w:tc>
              <w:tc>
                <w:tcPr>
                  <w:tcW w:w="1595" w:type="dxa"/>
                  <w:tcBorders>
                    <w:tl2br w:val="nil"/>
                    <w:tr2bl w:val="nil"/>
                  </w:tcBorders>
                  <w:shd w:val="clear" w:color="auto" w:fill="auto"/>
                  <w:vAlign w:val="center"/>
                </w:tcPr>
                <w:p w14:paraId="60EAB4DB">
                  <w:pPr>
                    <w:pStyle w:val="52"/>
                    <w:bidi w:val="0"/>
                    <w:rPr>
                      <w:rFonts w:hint="default"/>
                      <w:lang w:val="en-US" w:eastAsia="zh-CN"/>
                    </w:rPr>
                  </w:pPr>
                  <w:r>
                    <w:rPr>
                      <w:rFonts w:hint="default"/>
                      <w:lang w:val="en-US" w:eastAsia="zh-CN"/>
                    </w:rPr>
                    <w:t>1.36E-06</w:t>
                  </w:r>
                </w:p>
              </w:tc>
            </w:tr>
            <w:tr w14:paraId="01EA49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dxa"/>
                  <w:tcBorders>
                    <w:tl2br w:val="nil"/>
                    <w:tr2bl w:val="nil"/>
                  </w:tcBorders>
                  <w:vAlign w:val="center"/>
                </w:tcPr>
                <w:p w14:paraId="52E36DB9">
                  <w:pPr>
                    <w:jc w:val="center"/>
                    <w:rPr>
                      <w:rFonts w:ascii="Times New Roman" w:hAnsi="Times New Roman"/>
                      <w:szCs w:val="21"/>
                    </w:rPr>
                  </w:pPr>
                  <w:r>
                    <w:rPr>
                      <w:rFonts w:ascii="Times New Roman" w:hAnsi="Times New Roman"/>
                      <w:szCs w:val="21"/>
                    </w:rPr>
                    <w:t>防护门</w:t>
                  </w:r>
                </w:p>
              </w:tc>
              <w:tc>
                <w:tcPr>
                  <w:tcW w:w="3096" w:type="dxa"/>
                  <w:tcBorders>
                    <w:tl2br w:val="nil"/>
                    <w:tr2bl w:val="nil"/>
                  </w:tcBorders>
                  <w:vAlign w:val="center"/>
                </w:tcPr>
                <w:p w14:paraId="7A450545">
                  <w:pPr>
                    <w:jc w:val="center"/>
                    <w:rPr>
                      <w:rFonts w:ascii="Times New Roman" w:hAnsi="Times New Roman"/>
                      <w:szCs w:val="21"/>
                    </w:rPr>
                  </w:pPr>
                  <w:r>
                    <w:rPr>
                      <w:rFonts w:ascii="Times New Roman" w:hAnsi="Times New Roman"/>
                      <w:szCs w:val="21"/>
                    </w:rPr>
                    <w:t>3mm铅门/3.00mmPb</w:t>
                  </w:r>
                </w:p>
              </w:tc>
              <w:tc>
                <w:tcPr>
                  <w:tcW w:w="1377" w:type="dxa"/>
                  <w:tcBorders>
                    <w:tl2br w:val="nil"/>
                    <w:tr2bl w:val="nil"/>
                  </w:tcBorders>
                  <w:vAlign w:val="center"/>
                </w:tcPr>
                <w:p w14:paraId="25562CCF">
                  <w:pPr>
                    <w:pStyle w:val="52"/>
                    <w:bidi w:val="0"/>
                  </w:pPr>
                  <w:r>
                    <w:rPr>
                      <w:rFonts w:hint="default"/>
                      <w:lang w:val="en-US" w:eastAsia="zh-CN"/>
                    </w:rPr>
                    <w:t>7.93E-06</w:t>
                  </w:r>
                </w:p>
              </w:tc>
              <w:tc>
                <w:tcPr>
                  <w:tcW w:w="1514" w:type="dxa"/>
                  <w:tcBorders>
                    <w:tl2br w:val="nil"/>
                    <w:tr2bl w:val="nil"/>
                  </w:tcBorders>
                  <w:vAlign w:val="center"/>
                </w:tcPr>
                <w:p w14:paraId="56044D18">
                  <w:pPr>
                    <w:pStyle w:val="52"/>
                    <w:rPr>
                      <w:rFonts w:hint="eastAsia"/>
                      <w:lang w:val="en-US" w:eastAsia="zh-CN"/>
                    </w:rPr>
                  </w:pPr>
                  <w:r>
                    <w:rPr>
                      <w:rFonts w:hint="default"/>
                      <w:lang w:val="en-US" w:eastAsia="zh-CN"/>
                    </w:rPr>
                    <w:t>4.14E-05</w:t>
                  </w:r>
                </w:p>
              </w:tc>
              <w:tc>
                <w:tcPr>
                  <w:tcW w:w="1595" w:type="dxa"/>
                  <w:tcBorders>
                    <w:tl2br w:val="nil"/>
                    <w:tr2bl w:val="nil"/>
                  </w:tcBorders>
                  <w:vAlign w:val="center"/>
                </w:tcPr>
                <w:p w14:paraId="626CA127">
                  <w:pPr>
                    <w:pStyle w:val="52"/>
                    <w:bidi w:val="0"/>
                  </w:pPr>
                  <w:r>
                    <w:rPr>
                      <w:rFonts w:hint="default"/>
                      <w:lang w:val="en-US" w:eastAsia="zh-CN"/>
                    </w:rPr>
                    <w:t>6.31E-05</w:t>
                  </w:r>
                </w:p>
              </w:tc>
            </w:tr>
            <w:tr w14:paraId="51238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dxa"/>
                  <w:tcBorders>
                    <w:tl2br w:val="nil"/>
                    <w:tr2bl w:val="nil"/>
                  </w:tcBorders>
                  <w:vAlign w:val="center"/>
                </w:tcPr>
                <w:p w14:paraId="11A831CB">
                  <w:pPr>
                    <w:jc w:val="center"/>
                    <w:rPr>
                      <w:rFonts w:ascii="Times New Roman" w:hAnsi="Times New Roman"/>
                      <w:szCs w:val="21"/>
                    </w:rPr>
                  </w:pPr>
                  <w:r>
                    <w:rPr>
                      <w:rFonts w:ascii="Times New Roman" w:hAnsi="Times New Roman"/>
                      <w:szCs w:val="21"/>
                    </w:rPr>
                    <w:t>防护窗</w:t>
                  </w:r>
                </w:p>
              </w:tc>
              <w:tc>
                <w:tcPr>
                  <w:tcW w:w="3096" w:type="dxa"/>
                  <w:tcBorders>
                    <w:tl2br w:val="nil"/>
                    <w:tr2bl w:val="nil"/>
                  </w:tcBorders>
                  <w:vAlign w:val="center"/>
                </w:tcPr>
                <w:p w14:paraId="785BE843">
                  <w:pPr>
                    <w:jc w:val="center"/>
                    <w:rPr>
                      <w:rFonts w:ascii="Times New Roman" w:hAnsi="Times New Roman"/>
                      <w:szCs w:val="21"/>
                    </w:rPr>
                  </w:pPr>
                  <w:r>
                    <w:rPr>
                      <w:rFonts w:hint="eastAsia" w:ascii="Times New Roman" w:hAnsi="Times New Roman"/>
                      <w:szCs w:val="21"/>
                    </w:rPr>
                    <w:t>3</w:t>
                  </w:r>
                  <w:r>
                    <w:rPr>
                      <w:rFonts w:ascii="Times New Roman" w:hAnsi="Times New Roman"/>
                      <w:szCs w:val="21"/>
                    </w:rPr>
                    <w:t>mmPb铅玻璃/</w:t>
                  </w:r>
                  <w:r>
                    <w:rPr>
                      <w:rFonts w:hint="eastAsia" w:ascii="Times New Roman" w:hAnsi="Times New Roman"/>
                      <w:szCs w:val="21"/>
                    </w:rPr>
                    <w:t>3</w:t>
                  </w:r>
                  <w:r>
                    <w:rPr>
                      <w:rFonts w:ascii="Times New Roman" w:hAnsi="Times New Roman"/>
                      <w:szCs w:val="21"/>
                    </w:rPr>
                    <w:t>.00mmPb</w:t>
                  </w:r>
                </w:p>
              </w:tc>
              <w:tc>
                <w:tcPr>
                  <w:tcW w:w="1377" w:type="dxa"/>
                  <w:tcBorders>
                    <w:tl2br w:val="nil"/>
                    <w:tr2bl w:val="nil"/>
                  </w:tcBorders>
                  <w:shd w:val="clear" w:color="auto" w:fill="auto"/>
                  <w:vAlign w:val="center"/>
                </w:tcPr>
                <w:p w14:paraId="63A95698">
                  <w:pPr>
                    <w:pStyle w:val="52"/>
                    <w:bidi w:val="0"/>
                  </w:pPr>
                  <w:r>
                    <w:rPr>
                      <w:rFonts w:hint="default"/>
                      <w:lang w:val="en-US" w:eastAsia="zh-CN"/>
                    </w:rPr>
                    <w:t>7.93E-06</w:t>
                  </w:r>
                </w:p>
              </w:tc>
              <w:tc>
                <w:tcPr>
                  <w:tcW w:w="1514" w:type="dxa"/>
                  <w:tcBorders>
                    <w:tl2br w:val="nil"/>
                    <w:tr2bl w:val="nil"/>
                  </w:tcBorders>
                  <w:vAlign w:val="center"/>
                </w:tcPr>
                <w:p w14:paraId="38FDC4AF">
                  <w:pPr>
                    <w:pStyle w:val="52"/>
                    <w:rPr>
                      <w:rFonts w:hint="eastAsia"/>
                      <w:lang w:val="en-US" w:eastAsia="zh-CN"/>
                    </w:rPr>
                  </w:pPr>
                  <w:r>
                    <w:rPr>
                      <w:rFonts w:hint="default"/>
                      <w:lang w:val="en-US" w:eastAsia="zh-CN"/>
                    </w:rPr>
                    <w:t>4.14E-05</w:t>
                  </w:r>
                </w:p>
              </w:tc>
              <w:tc>
                <w:tcPr>
                  <w:tcW w:w="1595" w:type="dxa"/>
                  <w:tcBorders>
                    <w:tl2br w:val="nil"/>
                    <w:tr2bl w:val="nil"/>
                  </w:tcBorders>
                  <w:vAlign w:val="center"/>
                </w:tcPr>
                <w:p w14:paraId="2EB0C0EC">
                  <w:pPr>
                    <w:pStyle w:val="52"/>
                    <w:bidi w:val="0"/>
                  </w:pPr>
                  <w:r>
                    <w:rPr>
                      <w:rFonts w:hint="default"/>
                      <w:lang w:val="en-US" w:eastAsia="zh-CN"/>
                    </w:rPr>
                    <w:t>6.31E-05</w:t>
                  </w:r>
                </w:p>
              </w:tc>
            </w:tr>
            <w:tr w14:paraId="4DDBE3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dxa"/>
                  <w:tcBorders>
                    <w:tl2br w:val="nil"/>
                    <w:tr2bl w:val="nil"/>
                  </w:tcBorders>
                  <w:vAlign w:val="center"/>
                </w:tcPr>
                <w:p w14:paraId="0B0126C1">
                  <w:pPr>
                    <w:jc w:val="center"/>
                    <w:rPr>
                      <w:rFonts w:ascii="Times New Roman" w:hAnsi="Times New Roman"/>
                      <w:szCs w:val="21"/>
                    </w:rPr>
                  </w:pPr>
                  <w:r>
                    <w:rPr>
                      <w:rFonts w:ascii="Times New Roman" w:hAnsi="Times New Roman"/>
                      <w:szCs w:val="21"/>
                    </w:rPr>
                    <w:t>医生位</w:t>
                  </w:r>
                </w:p>
              </w:tc>
              <w:tc>
                <w:tcPr>
                  <w:tcW w:w="3096" w:type="dxa"/>
                  <w:tcBorders>
                    <w:tl2br w:val="nil"/>
                    <w:tr2bl w:val="nil"/>
                  </w:tcBorders>
                  <w:vAlign w:val="center"/>
                </w:tcPr>
                <w:p w14:paraId="3A0C4F8D">
                  <w:pPr>
                    <w:jc w:val="center"/>
                    <w:rPr>
                      <w:rFonts w:ascii="Times New Roman" w:hAnsi="Times New Roman"/>
                      <w:szCs w:val="21"/>
                    </w:rPr>
                  </w:pPr>
                  <w:r>
                    <w:rPr>
                      <w:rFonts w:ascii="Times New Roman" w:hAnsi="Times New Roman"/>
                      <w:szCs w:val="21"/>
                    </w:rPr>
                    <w:t>0.5mmPb铅衣+0.5mmPb铅屏风/1.00mmPb</w:t>
                  </w:r>
                </w:p>
              </w:tc>
              <w:tc>
                <w:tcPr>
                  <w:tcW w:w="1377" w:type="dxa"/>
                  <w:tcBorders>
                    <w:tl2br w:val="nil"/>
                    <w:tr2bl w:val="nil"/>
                  </w:tcBorders>
                  <w:shd w:val="clear" w:color="auto" w:fill="auto"/>
                  <w:vAlign w:val="center"/>
                </w:tcPr>
                <w:p w14:paraId="32F89B1B">
                  <w:pPr>
                    <w:pStyle w:val="52"/>
                    <w:bidi w:val="0"/>
                    <w:rPr>
                      <w:rFonts w:hint="default"/>
                      <w:lang w:val="en-US" w:eastAsia="zh-CN"/>
                    </w:rPr>
                  </w:pPr>
                  <w:r>
                    <w:rPr>
                      <w:rFonts w:hint="default"/>
                      <w:lang w:val="en-US" w:eastAsia="zh-CN"/>
                    </w:rPr>
                    <w:t>4.08E-03</w:t>
                  </w:r>
                </w:p>
              </w:tc>
              <w:tc>
                <w:tcPr>
                  <w:tcW w:w="1514" w:type="dxa"/>
                  <w:tcBorders>
                    <w:tl2br w:val="nil"/>
                    <w:tr2bl w:val="nil"/>
                  </w:tcBorders>
                  <w:vAlign w:val="center"/>
                </w:tcPr>
                <w:p w14:paraId="3FE3AC6D">
                  <w:pPr>
                    <w:pStyle w:val="52"/>
                    <w:bidi w:val="0"/>
                    <w:rPr>
                      <w:rFonts w:hint="eastAsia"/>
                      <w:lang w:val="en-US" w:eastAsia="zh-CN"/>
                    </w:rPr>
                  </w:pPr>
                  <w:r>
                    <w:rPr>
                      <w:rFonts w:hint="eastAsia"/>
                      <w:lang w:val="en-US" w:eastAsia="zh-CN"/>
                    </w:rPr>
                    <w:t>/</w:t>
                  </w:r>
                </w:p>
              </w:tc>
              <w:tc>
                <w:tcPr>
                  <w:tcW w:w="1595" w:type="dxa"/>
                  <w:tcBorders>
                    <w:tl2br w:val="nil"/>
                    <w:tr2bl w:val="nil"/>
                  </w:tcBorders>
                  <w:shd w:val="clear" w:color="auto" w:fill="auto"/>
                  <w:vAlign w:val="center"/>
                </w:tcPr>
                <w:p w14:paraId="2127B3EE">
                  <w:pPr>
                    <w:pStyle w:val="52"/>
                    <w:bidi w:val="0"/>
                    <w:rPr>
                      <w:rFonts w:hint="default"/>
                      <w:lang w:val="en-US" w:eastAsia="zh-CN"/>
                    </w:rPr>
                  </w:pPr>
                  <w:r>
                    <w:rPr>
                      <w:rFonts w:hint="default"/>
                      <w:lang w:val="en-US" w:eastAsia="zh-CN"/>
                    </w:rPr>
                    <w:t>1.05E-02</w:t>
                  </w:r>
                </w:p>
              </w:tc>
            </w:tr>
            <w:tr w14:paraId="5EC6B2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dxa"/>
                  <w:tcBorders>
                    <w:tl2br w:val="nil"/>
                    <w:tr2bl w:val="nil"/>
                  </w:tcBorders>
                  <w:vAlign w:val="center"/>
                </w:tcPr>
                <w:p w14:paraId="72753649">
                  <w:pPr>
                    <w:jc w:val="center"/>
                    <w:rPr>
                      <w:rFonts w:ascii="Times New Roman" w:hAnsi="Times New Roman"/>
                      <w:szCs w:val="21"/>
                    </w:rPr>
                  </w:pPr>
                  <w:r>
                    <w:rPr>
                      <w:rFonts w:hint="eastAsia" w:ascii="Times New Roman" w:hAnsi="Times New Roman"/>
                      <w:szCs w:val="21"/>
                    </w:rPr>
                    <w:t>助手医生位</w:t>
                  </w:r>
                </w:p>
              </w:tc>
              <w:tc>
                <w:tcPr>
                  <w:tcW w:w="3096" w:type="dxa"/>
                  <w:tcBorders>
                    <w:tl2br w:val="nil"/>
                    <w:tr2bl w:val="nil"/>
                  </w:tcBorders>
                  <w:vAlign w:val="center"/>
                </w:tcPr>
                <w:p w14:paraId="60528A13">
                  <w:pPr>
                    <w:jc w:val="center"/>
                    <w:rPr>
                      <w:rFonts w:ascii="Times New Roman" w:hAnsi="Times New Roman"/>
                      <w:szCs w:val="21"/>
                    </w:rPr>
                  </w:pPr>
                  <w:r>
                    <w:rPr>
                      <w:rFonts w:ascii="Times New Roman" w:hAnsi="Times New Roman"/>
                      <w:szCs w:val="21"/>
                    </w:rPr>
                    <w:t>0.5mmPb铅衣/</w:t>
                  </w:r>
                  <w:r>
                    <w:rPr>
                      <w:rFonts w:hint="eastAsia" w:ascii="Times New Roman" w:hAnsi="Times New Roman"/>
                      <w:szCs w:val="21"/>
                    </w:rPr>
                    <w:t>0.50</w:t>
                  </w:r>
                  <w:r>
                    <w:rPr>
                      <w:rFonts w:ascii="Times New Roman" w:hAnsi="Times New Roman"/>
                      <w:szCs w:val="21"/>
                    </w:rPr>
                    <w:t>mmPb</w:t>
                  </w:r>
                </w:p>
              </w:tc>
              <w:tc>
                <w:tcPr>
                  <w:tcW w:w="1377" w:type="dxa"/>
                  <w:tcBorders>
                    <w:tl2br w:val="nil"/>
                    <w:tr2bl w:val="nil"/>
                  </w:tcBorders>
                  <w:vAlign w:val="center"/>
                </w:tcPr>
                <w:p w14:paraId="2AD8CE27">
                  <w:pPr>
                    <w:pStyle w:val="52"/>
                    <w:bidi w:val="0"/>
                  </w:pPr>
                  <w:r>
                    <w:rPr>
                      <w:rFonts w:hint="default"/>
                      <w:lang w:val="en-US" w:eastAsia="zh-CN"/>
                    </w:rPr>
                    <w:t>2.52E-02</w:t>
                  </w:r>
                </w:p>
              </w:tc>
              <w:tc>
                <w:tcPr>
                  <w:tcW w:w="1514" w:type="dxa"/>
                  <w:tcBorders>
                    <w:tl2br w:val="nil"/>
                    <w:tr2bl w:val="nil"/>
                  </w:tcBorders>
                  <w:vAlign w:val="center"/>
                </w:tcPr>
                <w:p w14:paraId="6D2C2C06">
                  <w:pPr>
                    <w:pStyle w:val="52"/>
                    <w:bidi w:val="0"/>
                    <w:rPr>
                      <w:rFonts w:hint="eastAsia" w:eastAsia="宋体"/>
                      <w:lang w:val="en-US" w:eastAsia="zh-CN"/>
                    </w:rPr>
                  </w:pPr>
                  <w:r>
                    <w:rPr>
                      <w:rFonts w:hint="eastAsia"/>
                      <w:lang w:val="en-US" w:eastAsia="zh-CN"/>
                    </w:rPr>
                    <w:t>/</w:t>
                  </w:r>
                </w:p>
              </w:tc>
              <w:tc>
                <w:tcPr>
                  <w:tcW w:w="1595" w:type="dxa"/>
                  <w:tcBorders>
                    <w:tl2br w:val="nil"/>
                    <w:tr2bl w:val="nil"/>
                  </w:tcBorders>
                  <w:vAlign w:val="center"/>
                </w:tcPr>
                <w:p w14:paraId="4AFF1634">
                  <w:pPr>
                    <w:pStyle w:val="52"/>
                    <w:bidi w:val="0"/>
                  </w:pPr>
                  <w:r>
                    <w:rPr>
                      <w:rFonts w:hint="default"/>
                      <w:lang w:val="en-US" w:eastAsia="zh-CN"/>
                    </w:rPr>
                    <w:t>4.72E-02</w:t>
                  </w:r>
                </w:p>
              </w:tc>
            </w:tr>
            <w:tr w14:paraId="1AC1F0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dxa"/>
                  <w:tcBorders>
                    <w:tl2br w:val="nil"/>
                    <w:tr2bl w:val="nil"/>
                  </w:tcBorders>
                  <w:vAlign w:val="center"/>
                </w:tcPr>
                <w:p w14:paraId="6EB0D441">
                  <w:pPr>
                    <w:jc w:val="center"/>
                    <w:rPr>
                      <w:rFonts w:ascii="Times New Roman" w:hAnsi="Times New Roman"/>
                      <w:szCs w:val="21"/>
                    </w:rPr>
                  </w:pPr>
                  <w:r>
                    <w:rPr>
                      <w:rFonts w:ascii="Times New Roman" w:hAnsi="Times New Roman"/>
                      <w:szCs w:val="21"/>
                    </w:rPr>
                    <w:t>护士位</w:t>
                  </w:r>
                </w:p>
              </w:tc>
              <w:tc>
                <w:tcPr>
                  <w:tcW w:w="3096" w:type="dxa"/>
                  <w:tcBorders>
                    <w:tl2br w:val="nil"/>
                    <w:tr2bl w:val="nil"/>
                  </w:tcBorders>
                  <w:vAlign w:val="center"/>
                </w:tcPr>
                <w:p w14:paraId="58CC9916">
                  <w:pPr>
                    <w:jc w:val="center"/>
                    <w:rPr>
                      <w:rFonts w:ascii="Times New Roman" w:hAnsi="Times New Roman"/>
                      <w:szCs w:val="21"/>
                    </w:rPr>
                  </w:pPr>
                  <w:r>
                    <w:rPr>
                      <w:rFonts w:hint="eastAsia" w:ascii="Times New Roman" w:hAnsi="Times New Roman"/>
                      <w:szCs w:val="21"/>
                    </w:rPr>
                    <w:t>0.5</w:t>
                  </w:r>
                  <w:r>
                    <w:rPr>
                      <w:rFonts w:ascii="Times New Roman" w:hAnsi="Times New Roman"/>
                      <w:szCs w:val="21"/>
                    </w:rPr>
                    <w:t>mm铅衣/</w:t>
                  </w:r>
                  <w:r>
                    <w:rPr>
                      <w:rFonts w:hint="eastAsia" w:ascii="Times New Roman" w:hAnsi="Times New Roman"/>
                      <w:szCs w:val="21"/>
                    </w:rPr>
                    <w:t>0.5</w:t>
                  </w:r>
                  <w:r>
                    <w:rPr>
                      <w:rFonts w:ascii="Times New Roman" w:hAnsi="Times New Roman"/>
                      <w:szCs w:val="21"/>
                    </w:rPr>
                    <w:t>0mmPb</w:t>
                  </w:r>
                </w:p>
              </w:tc>
              <w:tc>
                <w:tcPr>
                  <w:tcW w:w="1377" w:type="dxa"/>
                  <w:tcBorders>
                    <w:tl2br w:val="nil"/>
                    <w:tr2bl w:val="nil"/>
                  </w:tcBorders>
                  <w:vAlign w:val="center"/>
                </w:tcPr>
                <w:p w14:paraId="54E9067C">
                  <w:pPr>
                    <w:pStyle w:val="52"/>
                    <w:bidi w:val="0"/>
                  </w:pPr>
                  <w:r>
                    <w:rPr>
                      <w:rFonts w:hint="default"/>
                      <w:lang w:val="en-US" w:eastAsia="zh-CN"/>
                    </w:rPr>
                    <w:t>2.52E-02</w:t>
                  </w:r>
                </w:p>
              </w:tc>
              <w:tc>
                <w:tcPr>
                  <w:tcW w:w="1514" w:type="dxa"/>
                  <w:tcBorders>
                    <w:tl2br w:val="nil"/>
                    <w:tr2bl w:val="nil"/>
                  </w:tcBorders>
                  <w:vAlign w:val="center"/>
                </w:tcPr>
                <w:p w14:paraId="2FA0BF97">
                  <w:pPr>
                    <w:pStyle w:val="52"/>
                    <w:bidi w:val="0"/>
                    <w:rPr>
                      <w:rFonts w:hint="eastAsia" w:eastAsia="宋体"/>
                      <w:lang w:val="en-US" w:eastAsia="zh-CN"/>
                    </w:rPr>
                  </w:pPr>
                  <w:r>
                    <w:rPr>
                      <w:rFonts w:hint="eastAsia"/>
                      <w:lang w:val="en-US" w:eastAsia="zh-CN"/>
                    </w:rPr>
                    <w:t>/</w:t>
                  </w:r>
                </w:p>
              </w:tc>
              <w:tc>
                <w:tcPr>
                  <w:tcW w:w="1595" w:type="dxa"/>
                  <w:tcBorders>
                    <w:tl2br w:val="nil"/>
                    <w:tr2bl w:val="nil"/>
                  </w:tcBorders>
                  <w:vAlign w:val="center"/>
                </w:tcPr>
                <w:p w14:paraId="07623B63">
                  <w:pPr>
                    <w:pStyle w:val="52"/>
                    <w:bidi w:val="0"/>
                  </w:pPr>
                  <w:r>
                    <w:rPr>
                      <w:rFonts w:hint="default"/>
                      <w:lang w:val="en-US" w:eastAsia="zh-CN"/>
                    </w:rPr>
                    <w:t>4.72E-02</w:t>
                  </w:r>
                </w:p>
              </w:tc>
            </w:tr>
          </w:tbl>
          <w:p w14:paraId="6D787201">
            <w:pPr>
              <w:spacing w:line="360" w:lineRule="auto"/>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（1）主射线束方向保护目标的影响</w:t>
            </w:r>
          </w:p>
          <w:p w14:paraId="22D6C178">
            <w:pPr>
              <w:spacing w:line="360" w:lineRule="auto"/>
              <w:ind w:firstLine="482" w:firstLineChars="200"/>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①计算模式</w:t>
            </w:r>
          </w:p>
          <w:p w14:paraId="75C35EE8">
            <w:pPr>
              <w:pStyle w:val="11"/>
              <w:bidi w:val="0"/>
            </w:pPr>
            <w:r>
              <w:t>主射束的屏蔽防护采用《辐射防护手册》（第一分册）中计算公式如下：</w:t>
            </w:r>
          </w:p>
          <w:p w14:paraId="54DC9DDE">
            <w:pPr>
              <w:pStyle w:val="11"/>
              <w:bidi w:val="0"/>
              <w:jc w:val="center"/>
              <w:rPr>
                <w:lang w:val="fr-FR"/>
              </w:rPr>
            </w:pPr>
            <w:r>
              <w:rPr>
                <w:lang w:val="fr-FR"/>
              </w:rPr>
              <w:t>Dr = D</w:t>
            </w:r>
            <w:r>
              <w:rPr>
                <w:vertAlign w:val="subscript"/>
                <w:lang w:val="fr-FR"/>
              </w:rPr>
              <w:t>1</w:t>
            </w:r>
            <w:r>
              <w:rPr>
                <w:lang w:val="fr-FR"/>
              </w:rPr>
              <w:t>·</w:t>
            </w:r>
            <w:r>
              <w:t>μ</w:t>
            </w:r>
            <w:r>
              <w:rPr>
                <w:lang w:val="fr-FR"/>
              </w:rPr>
              <w:t>·</w:t>
            </w:r>
            <w:r>
              <w:t>η</w:t>
            </w:r>
            <w:r>
              <w:rPr>
                <w:lang w:val="fr-FR"/>
              </w:rPr>
              <w:t>·f·T/ r</w:t>
            </w:r>
            <w:r>
              <w:rPr>
                <w:vertAlign w:val="superscript"/>
                <w:lang w:val="fr-FR"/>
              </w:rPr>
              <w:t>2</w:t>
            </w:r>
            <w:r>
              <w:rPr>
                <w:lang w:val="fr-FR"/>
              </w:rPr>
              <w:t xml:space="preserve">             （</w:t>
            </w:r>
            <w:r>
              <w:t>式2</w:t>
            </w:r>
            <w:r>
              <w:rPr>
                <w:lang w:val="fr-FR"/>
              </w:rPr>
              <w:t>）</w:t>
            </w:r>
          </w:p>
          <w:p w14:paraId="16FE9E67">
            <w:pPr>
              <w:pStyle w:val="11"/>
              <w:bidi w:val="0"/>
            </w:pPr>
            <w:r>
              <w:t>式中：</w:t>
            </w:r>
          </w:p>
          <w:p w14:paraId="58A5EA7D">
            <w:pPr>
              <w:pStyle w:val="11"/>
              <w:bidi w:val="0"/>
            </w:pPr>
            <w:r>
              <w:t>Dr—预测点处辐射空气吸收剂量，mGy/a；</w:t>
            </w:r>
          </w:p>
          <w:p w14:paraId="61877824">
            <w:pPr>
              <w:pStyle w:val="11"/>
              <w:bidi w:val="0"/>
            </w:pPr>
            <w:r>
              <w:t>D</w:t>
            </w:r>
            <w:r>
              <w:rPr>
                <w:vertAlign w:val="subscript"/>
              </w:rPr>
              <w:t>1</w:t>
            </w:r>
            <w:r>
              <w:t>—X射线在1m处的辐射空气吸收剂量率，mGy/min；</w:t>
            </w:r>
          </w:p>
          <w:p w14:paraId="719364E9">
            <w:pPr>
              <w:pStyle w:val="11"/>
              <w:bidi w:val="0"/>
            </w:pPr>
            <w:r>
              <w:t>T—每年工作时间，</w:t>
            </w:r>
            <w:r>
              <w:rPr>
                <w:rFonts w:hint="eastAsia"/>
                <w:lang w:val="en-US" w:eastAsia="zh-CN"/>
              </w:rPr>
              <w:t>6441.6</w:t>
            </w:r>
            <w:r>
              <w:t>min（透视</w:t>
            </w:r>
            <w:r>
              <w:rPr>
                <w:rFonts w:hint="eastAsia"/>
                <w:lang w:val="en-US" w:eastAsia="zh-CN"/>
              </w:rPr>
              <w:t>63</w:t>
            </w:r>
            <w:r>
              <w:rPr>
                <w:rFonts w:hint="eastAsia"/>
              </w:rPr>
              <w:t>00</w:t>
            </w:r>
            <w:r>
              <w:t>min，拍片</w:t>
            </w:r>
            <w:r>
              <w:rPr>
                <w:rFonts w:hint="eastAsia"/>
                <w:lang w:val="en-US" w:eastAsia="zh-CN"/>
              </w:rPr>
              <w:t>141.6</w:t>
            </w:r>
            <w:r>
              <w:t>min）；</w:t>
            </w:r>
          </w:p>
          <w:p w14:paraId="624E352D">
            <w:pPr>
              <w:pStyle w:val="11"/>
              <w:bidi w:val="0"/>
            </w:pPr>
            <w:r>
              <w:t>μ—利用因子；</w:t>
            </w:r>
          </w:p>
          <w:p w14:paraId="0C7D5622">
            <w:pPr>
              <w:pStyle w:val="11"/>
              <w:bidi w:val="0"/>
            </w:pPr>
            <w:r>
              <w:t xml:space="preserve">η—对防护区的占用因子，各预测点位的占用因子均取1； </w:t>
            </w:r>
          </w:p>
          <w:p w14:paraId="30972808">
            <w:pPr>
              <w:pStyle w:val="11"/>
              <w:bidi w:val="0"/>
            </w:pPr>
            <w:r>
              <w:t>f—屏蔽材料对初级X射线束的减弱因子；</w:t>
            </w:r>
          </w:p>
          <w:p w14:paraId="69549D9B">
            <w:pPr>
              <w:pStyle w:val="11"/>
              <w:bidi w:val="0"/>
            </w:pPr>
            <w:r>
              <w:t>r—预测点距X射线源的距离，m。</w:t>
            </w:r>
          </w:p>
          <w:p w14:paraId="5EEFAEE8">
            <w:pPr>
              <w:spacing w:line="360" w:lineRule="auto"/>
              <w:ind w:firstLine="482" w:firstLineChars="200"/>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②预测结果分析</w:t>
            </w:r>
          </w:p>
          <w:p w14:paraId="1CD701B5">
            <w:pPr>
              <w:pStyle w:val="11"/>
              <w:bidi w:val="0"/>
              <w:rPr>
                <w:rFonts w:hint="eastAsia"/>
                <w:lang w:eastAsia="zh-CN"/>
              </w:rPr>
            </w:pPr>
            <w:r>
              <w:t>将相关参数</w:t>
            </w:r>
            <w:r>
              <w:rPr>
                <w:rFonts w:hint="eastAsia"/>
                <w:lang w:eastAsia="zh-CN"/>
              </w:rPr>
              <w:t>代入</w:t>
            </w:r>
            <w:r>
              <w:t>（式2）中，进行各关注点年有效剂量预测，预测点年剂量估算结果见表11-3：</w:t>
            </w:r>
            <w:r>
              <w:rPr>
                <w:rFonts w:hint="eastAsia"/>
              </w:rPr>
              <w:t>吸收剂量D，单位Gy（戈瑞）=1J/Kg；当量剂量H，单位Sv（希沃特）=1J/Kg，与吸收剂量的关系为H=W</w:t>
            </w:r>
            <w:r>
              <w:rPr>
                <w:rFonts w:hint="eastAsia"/>
                <w:vertAlign w:val="subscript"/>
              </w:rPr>
              <w:t>R</w:t>
            </w:r>
            <w:r>
              <w:rPr>
                <w:rFonts w:hint="eastAsia"/>
              </w:rPr>
              <w:t>D（W</w:t>
            </w:r>
            <w:r>
              <w:rPr>
                <w:rFonts w:hint="eastAsia"/>
                <w:vertAlign w:val="subscript"/>
              </w:rPr>
              <w:t>R</w:t>
            </w:r>
            <w:r>
              <w:rPr>
                <w:rFonts w:hint="eastAsia"/>
              </w:rPr>
              <w:t>称为辐射权重因子）</w:t>
            </w:r>
            <w:r>
              <w:rPr>
                <w:rFonts w:hint="eastAsia"/>
                <w:lang w:eastAsia="zh-CN"/>
              </w:rPr>
              <w:t>。ICRP对所有低传能线密度（LET）辐射（包括所有能量的X射线和γ射线）选定辐射权重因子为1。</w:t>
            </w:r>
            <w:r>
              <w:rPr>
                <w:rFonts w:hint="eastAsia" w:ascii="Times New Roman" w:hAnsi="Times New Roman"/>
                <w:color w:val="000000" w:themeColor="text1"/>
                <w:sz w:val="24"/>
                <w14:textFill>
                  <w14:solidFill>
                    <w14:schemeClr w14:val="tx1"/>
                  </w14:solidFill>
                </w14:textFill>
              </w:rPr>
              <w:t>故X射线的辐射权重因子</w:t>
            </w:r>
            <w:r>
              <w:rPr>
                <w:rFonts w:hint="eastAsia" w:ascii="Times New Roman" w:hAnsi="Times New Roman"/>
                <w:color w:val="000000" w:themeColor="text1"/>
                <w:sz w:val="24"/>
                <w:lang w:val="en-US" w:eastAsia="zh-CN"/>
                <w14:textFill>
                  <w14:solidFill>
                    <w14:schemeClr w14:val="tx1"/>
                  </w14:solidFill>
                </w14:textFill>
              </w:rPr>
              <w:t>W</w:t>
            </w:r>
            <w:r>
              <w:rPr>
                <w:rFonts w:hint="eastAsia" w:ascii="Times New Roman" w:hAnsi="Times New Roman"/>
                <w:color w:val="000000" w:themeColor="text1"/>
                <w:sz w:val="24"/>
                <w:vertAlign w:val="subscript"/>
                <w:lang w:val="en-US" w:eastAsia="zh-CN"/>
                <w14:textFill>
                  <w14:solidFill>
                    <w14:schemeClr w14:val="tx1"/>
                  </w14:solidFill>
                </w14:textFill>
              </w:rPr>
              <w:t>R</w:t>
            </w:r>
            <w:r>
              <w:rPr>
                <w:rFonts w:hint="eastAsia" w:ascii="Times New Roman" w:hAnsi="Times New Roman"/>
                <w:color w:val="000000" w:themeColor="text1"/>
                <w:sz w:val="24"/>
                <w14:textFill>
                  <w14:solidFill>
                    <w14:schemeClr w14:val="tx1"/>
                  </w14:solidFill>
                </w14:textFill>
              </w:rPr>
              <w:t>为1</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color w:val="000000" w:themeColor="text1"/>
                <w:sz w:val="24"/>
                <w:lang w:val="en-US" w:eastAsia="zh-CN"/>
                <w14:textFill>
                  <w14:solidFill>
                    <w14:schemeClr w14:val="tx1"/>
                  </w14:solidFill>
                </w14:textFill>
              </w:rPr>
              <w:t>组织权重因子W</w:t>
            </w:r>
            <w:r>
              <w:rPr>
                <w:rFonts w:hint="eastAsia" w:ascii="Times New Roman" w:hAnsi="Times New Roman"/>
                <w:color w:val="000000" w:themeColor="text1"/>
                <w:sz w:val="24"/>
                <w:vertAlign w:val="subscript"/>
                <w:lang w:val="en-US" w:eastAsia="zh-CN"/>
                <w14:textFill>
                  <w14:solidFill>
                    <w14:schemeClr w14:val="tx1"/>
                  </w14:solidFill>
                </w14:textFill>
              </w:rPr>
              <w:t>T</w:t>
            </w:r>
            <w:r>
              <w:rPr>
                <w:rFonts w:hint="eastAsia" w:ascii="Times New Roman" w:hAnsi="Times New Roman"/>
                <w:color w:val="000000" w:themeColor="text1"/>
                <w:sz w:val="24"/>
                <w:lang w:val="en-US" w:eastAsia="zh-CN"/>
                <w14:textFill>
                  <w14:solidFill>
                    <w14:schemeClr w14:val="tx1"/>
                  </w14:solidFill>
                </w14:textFill>
              </w:rPr>
              <w:t>为1</w:t>
            </w:r>
            <w:r>
              <w:rPr>
                <w:rStyle w:val="60"/>
              </w:rPr>
              <w:t>。</w:t>
            </w:r>
            <w:r>
              <w:rPr>
                <w:rStyle w:val="60"/>
                <w:rFonts w:hint="eastAsia"/>
                <w:lang w:val="en-US" w:eastAsia="zh-CN"/>
              </w:rPr>
              <w:t>有效剂量</w:t>
            </w:r>
            <w:r>
              <w:rPr>
                <w:rStyle w:val="60"/>
              </w:rPr>
              <w:t>E=H</w:t>
            </w:r>
            <w:r>
              <w:rPr>
                <w:rStyle w:val="60"/>
                <w:rFonts w:hint="eastAsia"/>
                <w:lang w:val="en-US" w:eastAsia="zh-CN"/>
              </w:rPr>
              <w:t>×</w:t>
            </w:r>
            <w:r>
              <w:rPr>
                <w:rStyle w:val="60"/>
              </w:rPr>
              <w:t>W</w:t>
            </w:r>
            <w:r>
              <w:rPr>
                <w:rStyle w:val="60"/>
                <w:vertAlign w:val="subscript"/>
              </w:rPr>
              <w:t>T</w:t>
            </w:r>
            <w:r>
              <w:rPr>
                <w:rStyle w:val="60"/>
                <w:rFonts w:hint="eastAsia"/>
                <w:vertAlign w:val="baseline"/>
                <w:lang w:val="en-US" w:eastAsia="zh-CN"/>
              </w:rPr>
              <w:t>。</w:t>
            </w:r>
            <w:r>
              <w:rPr>
                <w:rFonts w:hint="eastAsia"/>
                <w:lang w:eastAsia="zh-CN"/>
              </w:rPr>
              <w:t>。</w:t>
            </w:r>
          </w:p>
          <w:p w14:paraId="4932BB45">
            <w:pPr>
              <w:pStyle w:val="11"/>
              <w:bidi w:val="0"/>
            </w:pPr>
            <w:r>
              <w:t>根据NCRP147报告，患者和接收器对初始线束的减弱倍数为10到100倍，考虑最不利影响，患者和接收器对初始线束的减弱倍数取10倍，则主射方向照射量率取主射线束的10%。</w:t>
            </w:r>
          </w:p>
          <w:p w14:paraId="4872FF64">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DSA主射方向预测点年有效剂量估算</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1" w:type="dxa"/>
                <w:bottom w:w="0" w:type="dxa"/>
                <w:right w:w="51" w:type="dxa"/>
              </w:tblCellMar>
            </w:tblPr>
            <w:tblGrid>
              <w:gridCol w:w="565"/>
              <w:gridCol w:w="487"/>
              <w:gridCol w:w="725"/>
              <w:gridCol w:w="1133"/>
              <w:gridCol w:w="962"/>
              <w:gridCol w:w="606"/>
              <w:gridCol w:w="619"/>
              <w:gridCol w:w="764"/>
              <w:gridCol w:w="910"/>
              <w:gridCol w:w="928"/>
              <w:gridCol w:w="954"/>
            </w:tblGrid>
            <w:tr w14:paraId="219F19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1052" w:type="dxa"/>
                  <w:gridSpan w:val="2"/>
                  <w:vAlign w:val="center"/>
                </w:tcPr>
                <w:p w14:paraId="2731E79A">
                  <w:pPr>
                    <w:widowControl/>
                    <w:jc w:val="center"/>
                    <w:rPr>
                      <w:rFonts w:ascii="Times New Roman" w:hAnsi="Times New Roman"/>
                      <w:b/>
                      <w:bCs/>
                      <w:szCs w:val="21"/>
                    </w:rPr>
                  </w:pPr>
                  <w:r>
                    <w:rPr>
                      <w:rFonts w:ascii="Times New Roman" w:hAnsi="Times New Roman"/>
                      <w:b/>
                      <w:bCs/>
                      <w:szCs w:val="21"/>
                    </w:rPr>
                    <w:t>预测点</w:t>
                  </w:r>
                </w:p>
              </w:tc>
              <w:tc>
                <w:tcPr>
                  <w:tcW w:w="725" w:type="dxa"/>
                  <w:vAlign w:val="center"/>
                </w:tcPr>
                <w:p w14:paraId="25B7D667">
                  <w:pPr>
                    <w:widowControl/>
                    <w:jc w:val="center"/>
                    <w:rPr>
                      <w:rFonts w:ascii="Times New Roman" w:hAnsi="Times New Roman"/>
                      <w:b/>
                      <w:bCs/>
                      <w:szCs w:val="21"/>
                    </w:rPr>
                  </w:pPr>
                  <w:r>
                    <w:rPr>
                      <w:rFonts w:ascii="Times New Roman" w:hAnsi="Times New Roman"/>
                      <w:b/>
                      <w:bCs/>
                      <w:szCs w:val="21"/>
                    </w:rPr>
                    <w:t>与源直线距离（m）</w:t>
                  </w:r>
                </w:p>
              </w:tc>
              <w:tc>
                <w:tcPr>
                  <w:tcW w:w="1133" w:type="dxa"/>
                  <w:vAlign w:val="center"/>
                </w:tcPr>
                <w:p w14:paraId="35843273">
                  <w:pPr>
                    <w:widowControl/>
                    <w:jc w:val="center"/>
                    <w:rPr>
                      <w:rFonts w:ascii="Times New Roman" w:hAnsi="Times New Roman"/>
                      <w:b/>
                      <w:bCs/>
                      <w:szCs w:val="21"/>
                    </w:rPr>
                  </w:pPr>
                  <w:r>
                    <w:rPr>
                      <w:rFonts w:ascii="Times New Roman" w:hAnsi="Times New Roman"/>
                      <w:b/>
                      <w:bCs/>
                      <w:szCs w:val="21"/>
                    </w:rPr>
                    <w:t>屏蔽材料与厚度（mm）</w:t>
                  </w:r>
                </w:p>
              </w:tc>
              <w:tc>
                <w:tcPr>
                  <w:tcW w:w="962" w:type="dxa"/>
                  <w:vAlign w:val="center"/>
                </w:tcPr>
                <w:p w14:paraId="4C191C63">
                  <w:pPr>
                    <w:widowControl/>
                    <w:jc w:val="center"/>
                    <w:rPr>
                      <w:rFonts w:ascii="Times New Roman" w:hAnsi="Times New Roman"/>
                      <w:b/>
                      <w:bCs/>
                      <w:szCs w:val="21"/>
                    </w:rPr>
                  </w:pPr>
                  <w:r>
                    <w:rPr>
                      <w:rFonts w:ascii="Times New Roman" w:hAnsi="Times New Roman"/>
                      <w:b/>
                      <w:bCs/>
                      <w:szCs w:val="21"/>
                    </w:rPr>
                    <w:t>屏蔽透射因子（f）</w:t>
                  </w:r>
                </w:p>
              </w:tc>
              <w:tc>
                <w:tcPr>
                  <w:tcW w:w="606" w:type="dxa"/>
                  <w:vAlign w:val="center"/>
                </w:tcPr>
                <w:p w14:paraId="78687EEE">
                  <w:pPr>
                    <w:widowControl/>
                    <w:jc w:val="center"/>
                    <w:rPr>
                      <w:rFonts w:ascii="Times New Roman" w:hAnsi="Times New Roman"/>
                      <w:b/>
                      <w:bCs/>
                      <w:szCs w:val="21"/>
                    </w:rPr>
                  </w:pPr>
                  <w:r>
                    <w:rPr>
                      <w:rFonts w:ascii="Times New Roman" w:hAnsi="Times New Roman"/>
                      <w:b/>
                      <w:bCs/>
                      <w:szCs w:val="21"/>
                    </w:rPr>
                    <w:t>利用因子（μ）</w:t>
                  </w:r>
                </w:p>
              </w:tc>
              <w:tc>
                <w:tcPr>
                  <w:tcW w:w="619" w:type="dxa"/>
                  <w:vAlign w:val="center"/>
                </w:tcPr>
                <w:p w14:paraId="0CAFFF6B">
                  <w:pPr>
                    <w:widowControl/>
                    <w:jc w:val="center"/>
                    <w:rPr>
                      <w:rFonts w:ascii="Times New Roman" w:hAnsi="Times New Roman"/>
                      <w:b/>
                      <w:bCs/>
                      <w:szCs w:val="21"/>
                    </w:rPr>
                  </w:pPr>
                  <w:r>
                    <w:rPr>
                      <w:rFonts w:ascii="Times New Roman" w:hAnsi="Times New Roman"/>
                      <w:b/>
                      <w:bCs/>
                      <w:szCs w:val="21"/>
                    </w:rPr>
                    <w:t>占用</w:t>
                  </w:r>
                </w:p>
                <w:p w14:paraId="746CF227">
                  <w:pPr>
                    <w:widowControl/>
                    <w:jc w:val="center"/>
                    <w:rPr>
                      <w:rFonts w:ascii="Times New Roman" w:hAnsi="Times New Roman"/>
                      <w:b/>
                      <w:bCs/>
                      <w:szCs w:val="21"/>
                    </w:rPr>
                  </w:pPr>
                  <w:r>
                    <w:rPr>
                      <w:rFonts w:ascii="Times New Roman" w:hAnsi="Times New Roman"/>
                      <w:b/>
                      <w:bCs/>
                      <w:szCs w:val="21"/>
                    </w:rPr>
                    <w:t>因子（η）</w:t>
                  </w:r>
                </w:p>
              </w:tc>
              <w:tc>
                <w:tcPr>
                  <w:tcW w:w="764" w:type="dxa"/>
                  <w:vAlign w:val="center"/>
                </w:tcPr>
                <w:p w14:paraId="24E1F830">
                  <w:pPr>
                    <w:widowControl/>
                    <w:jc w:val="center"/>
                    <w:rPr>
                      <w:rFonts w:ascii="Times New Roman" w:hAnsi="Times New Roman"/>
                      <w:b/>
                      <w:bCs/>
                      <w:szCs w:val="21"/>
                    </w:rPr>
                  </w:pPr>
                  <w:r>
                    <w:rPr>
                      <w:rFonts w:ascii="Times New Roman" w:hAnsi="Times New Roman"/>
                      <w:b/>
                      <w:bCs/>
                      <w:szCs w:val="21"/>
                    </w:rPr>
                    <w:t>照射</w:t>
                  </w:r>
                </w:p>
                <w:p w14:paraId="10C0C8E7">
                  <w:pPr>
                    <w:widowControl/>
                    <w:jc w:val="center"/>
                    <w:rPr>
                      <w:rFonts w:ascii="Times New Roman" w:hAnsi="Times New Roman"/>
                      <w:b/>
                      <w:bCs/>
                      <w:szCs w:val="21"/>
                    </w:rPr>
                  </w:pPr>
                  <w:r>
                    <w:rPr>
                      <w:rFonts w:ascii="Times New Roman" w:hAnsi="Times New Roman"/>
                      <w:b/>
                      <w:bCs/>
                      <w:szCs w:val="21"/>
                    </w:rPr>
                    <w:t>时间（min）</w:t>
                  </w:r>
                </w:p>
              </w:tc>
              <w:tc>
                <w:tcPr>
                  <w:tcW w:w="910" w:type="dxa"/>
                  <w:vAlign w:val="center"/>
                </w:tcPr>
                <w:p w14:paraId="07262294">
                  <w:pPr>
                    <w:widowControl/>
                    <w:jc w:val="center"/>
                    <w:rPr>
                      <w:rFonts w:hint="eastAsia" w:ascii="Times New Roman" w:hAnsi="Times New Roman" w:eastAsia="宋体"/>
                      <w:b/>
                      <w:bCs/>
                      <w:szCs w:val="21"/>
                      <w:lang w:val="en-US" w:eastAsia="zh-CN"/>
                    </w:rPr>
                  </w:pPr>
                  <w:r>
                    <w:rPr>
                      <w:rFonts w:ascii="Times New Roman" w:hAnsi="Times New Roman"/>
                      <w:b/>
                      <w:bCs/>
                      <w:szCs w:val="21"/>
                    </w:rPr>
                    <w:t>预测点</w:t>
                  </w:r>
                  <w:r>
                    <w:rPr>
                      <w:rFonts w:hint="eastAsia" w:ascii="Times New Roman" w:hAnsi="Times New Roman"/>
                      <w:b/>
                      <w:bCs/>
                      <w:szCs w:val="21"/>
                      <w:lang w:val="en-US" w:eastAsia="zh-CN"/>
                    </w:rPr>
                    <w:t>辐射</w:t>
                  </w:r>
                  <w:r>
                    <w:rPr>
                      <w:rFonts w:ascii="Times New Roman" w:hAnsi="Times New Roman"/>
                      <w:b/>
                      <w:bCs/>
                      <w:szCs w:val="21"/>
                    </w:rPr>
                    <w:t>剂量</w:t>
                  </w:r>
                  <w:r>
                    <w:rPr>
                      <w:rFonts w:hint="eastAsia" w:ascii="Times New Roman" w:hAnsi="Times New Roman"/>
                      <w:b/>
                      <w:bCs/>
                      <w:szCs w:val="21"/>
                      <w:lang w:val="en-US" w:eastAsia="zh-CN"/>
                    </w:rPr>
                    <w:t>率</w:t>
                  </w:r>
                  <w:r>
                    <w:rPr>
                      <w:rFonts w:ascii="Times New Roman" w:hAnsi="Times New Roman"/>
                      <w:b/>
                      <w:bCs/>
                      <w:szCs w:val="21"/>
                    </w:rPr>
                    <w:t>μGy/h</w:t>
                  </w:r>
                </w:p>
              </w:tc>
              <w:tc>
                <w:tcPr>
                  <w:tcW w:w="928" w:type="dxa"/>
                  <w:vAlign w:val="center"/>
                </w:tcPr>
                <w:p w14:paraId="31BE05EF">
                  <w:pPr>
                    <w:widowControl/>
                    <w:jc w:val="center"/>
                    <w:rPr>
                      <w:rFonts w:ascii="Times New Roman" w:hAnsi="Times New Roman"/>
                      <w:b/>
                      <w:bCs/>
                      <w:szCs w:val="21"/>
                    </w:rPr>
                  </w:pPr>
                  <w:r>
                    <w:rPr>
                      <w:rFonts w:ascii="Times New Roman" w:hAnsi="Times New Roman"/>
                      <w:b/>
                      <w:bCs/>
                      <w:szCs w:val="21"/>
                    </w:rPr>
                    <w:t>预测点年有效剂量（mGy/a）</w:t>
                  </w:r>
                </w:p>
              </w:tc>
              <w:tc>
                <w:tcPr>
                  <w:tcW w:w="954" w:type="dxa"/>
                  <w:vAlign w:val="center"/>
                </w:tcPr>
                <w:p w14:paraId="55796F3E">
                  <w:pPr>
                    <w:widowControl/>
                    <w:jc w:val="center"/>
                    <w:rPr>
                      <w:rFonts w:ascii="Times New Roman" w:hAnsi="Times New Roman"/>
                      <w:b/>
                      <w:bCs/>
                      <w:szCs w:val="21"/>
                    </w:rPr>
                  </w:pPr>
                  <w:r>
                    <w:rPr>
                      <w:rFonts w:ascii="Times New Roman" w:hAnsi="Times New Roman"/>
                      <w:b/>
                      <w:bCs/>
                      <w:szCs w:val="21"/>
                    </w:rPr>
                    <w:t>预测点年有效剂量（mGy/a）</w:t>
                  </w:r>
                </w:p>
              </w:tc>
            </w:tr>
            <w:tr w14:paraId="1B2447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12" w:hRule="atLeast"/>
                <w:jc w:val="center"/>
              </w:trPr>
              <w:tc>
                <w:tcPr>
                  <w:tcW w:w="565" w:type="dxa"/>
                  <w:vMerge w:val="restart"/>
                  <w:vAlign w:val="center"/>
                </w:tcPr>
                <w:p w14:paraId="1D24D34B">
                  <w:pPr>
                    <w:pStyle w:val="52"/>
                    <w:bidi w:val="0"/>
                    <w:rPr>
                      <w:rFonts w:hint="eastAsia" w:eastAsia="宋体"/>
                      <w:lang w:eastAsia="zh-CN"/>
                    </w:rPr>
                  </w:pPr>
                  <w:r>
                    <w:t>楼上30cm处</w:t>
                  </w:r>
                  <w:r>
                    <w:rPr>
                      <w:rFonts w:hint="eastAsia"/>
                      <w:lang w:eastAsia="zh-CN"/>
                    </w:rPr>
                    <w:t>（</w:t>
                  </w:r>
                  <w:r>
                    <w:rPr>
                      <w:rFonts w:hint="eastAsia"/>
                      <w:lang w:val="en-US" w:eastAsia="zh-CN"/>
                    </w:rPr>
                    <w:t>发血窗口</w:t>
                  </w:r>
                  <w:r>
                    <w:rPr>
                      <w:rFonts w:hint="eastAsia"/>
                      <w:lang w:eastAsia="zh-CN"/>
                    </w:rPr>
                    <w:t>）</w:t>
                  </w:r>
                </w:p>
              </w:tc>
              <w:tc>
                <w:tcPr>
                  <w:tcW w:w="487" w:type="dxa"/>
                  <w:vAlign w:val="center"/>
                </w:tcPr>
                <w:p w14:paraId="7DDAAD26">
                  <w:pPr>
                    <w:pStyle w:val="52"/>
                    <w:bidi w:val="0"/>
                  </w:pPr>
                  <w:r>
                    <w:t>透视</w:t>
                  </w:r>
                </w:p>
              </w:tc>
              <w:tc>
                <w:tcPr>
                  <w:tcW w:w="725" w:type="dxa"/>
                  <w:vMerge w:val="restart"/>
                  <w:vAlign w:val="center"/>
                </w:tcPr>
                <w:p w14:paraId="7CAA246F">
                  <w:pPr>
                    <w:pStyle w:val="52"/>
                    <w:bidi w:val="0"/>
                    <w:rPr>
                      <w:rFonts w:hint="default" w:eastAsia="宋体"/>
                      <w:lang w:val="en-US" w:eastAsia="zh-CN"/>
                    </w:rPr>
                  </w:pPr>
                  <w:r>
                    <w:rPr>
                      <w:rFonts w:hint="eastAsia"/>
                      <w:lang w:val="en-US" w:eastAsia="zh-CN"/>
                    </w:rPr>
                    <w:t>4.5</w:t>
                  </w:r>
                </w:p>
              </w:tc>
              <w:tc>
                <w:tcPr>
                  <w:tcW w:w="1133" w:type="dxa"/>
                  <w:vMerge w:val="restart"/>
                  <w:vAlign w:val="center"/>
                </w:tcPr>
                <w:p w14:paraId="1F0592EC">
                  <w:pPr>
                    <w:pStyle w:val="52"/>
                    <w:bidi w:val="0"/>
                  </w:pPr>
                  <w:r>
                    <w:rPr>
                      <w:rFonts w:hint="eastAsia"/>
                      <w:lang w:val="en-US" w:eastAsia="zh-CN"/>
                    </w:rPr>
                    <w:t>26</w:t>
                  </w:r>
                  <w:r>
                    <w:rPr>
                      <w:rFonts w:hint="eastAsia"/>
                    </w:rPr>
                    <w:t>0</w:t>
                  </w:r>
                  <w:r>
                    <w:t>mm现浇混</w:t>
                  </w:r>
                  <w:r>
                    <w:rPr>
                      <w:rFonts w:hint="eastAsia"/>
                    </w:rPr>
                    <w:t>凝</w:t>
                  </w:r>
                  <w:r>
                    <w:t>土楼板+</w:t>
                  </w:r>
                  <w:r>
                    <w:rPr>
                      <w:rFonts w:hint="eastAsia"/>
                      <w:lang w:val="en-US" w:eastAsia="zh-CN"/>
                    </w:rPr>
                    <w:t>3</w:t>
                  </w:r>
                  <w:r>
                    <w:t>mm</w:t>
                  </w:r>
                  <w:r>
                    <w:rPr>
                      <w:rFonts w:hint="eastAsia"/>
                      <w:lang w:val="en-US" w:eastAsia="zh-CN"/>
                    </w:rPr>
                    <w:t>铅板</w:t>
                  </w:r>
                  <w:r>
                    <w:t>/</w:t>
                  </w:r>
                  <w:r>
                    <w:rPr>
                      <w:rFonts w:hint="eastAsia"/>
                      <w:lang w:val="en-US" w:eastAsia="zh-CN"/>
                    </w:rPr>
                    <w:t>6.56</w:t>
                  </w:r>
                  <w:r>
                    <w:t>mmPb</w:t>
                  </w:r>
                </w:p>
              </w:tc>
              <w:tc>
                <w:tcPr>
                  <w:tcW w:w="962" w:type="dxa"/>
                  <w:vAlign w:val="center"/>
                </w:tcPr>
                <w:p w14:paraId="3E95B094">
                  <w:pPr>
                    <w:pStyle w:val="52"/>
                    <w:bidi w:val="0"/>
                    <w:rPr>
                      <w:rFonts w:hint="default"/>
                      <w:lang w:val="en-US"/>
                    </w:rPr>
                  </w:pPr>
                  <w:r>
                    <w:rPr>
                      <w:rFonts w:hint="default"/>
                      <w:lang w:val="en-US" w:eastAsia="zh-CN"/>
                    </w:rPr>
                    <w:t>1.44E-10</w:t>
                  </w:r>
                </w:p>
              </w:tc>
              <w:tc>
                <w:tcPr>
                  <w:tcW w:w="606" w:type="dxa"/>
                  <w:vAlign w:val="center"/>
                </w:tcPr>
                <w:p w14:paraId="20DFF770">
                  <w:pPr>
                    <w:pStyle w:val="52"/>
                    <w:bidi w:val="0"/>
                  </w:pPr>
                  <w:r>
                    <w:rPr>
                      <w:rFonts w:hint="eastAsia"/>
                    </w:rPr>
                    <w:t>1</w:t>
                  </w:r>
                </w:p>
              </w:tc>
              <w:tc>
                <w:tcPr>
                  <w:tcW w:w="619" w:type="dxa"/>
                  <w:vAlign w:val="center"/>
                </w:tcPr>
                <w:p w14:paraId="3126D8B8">
                  <w:pPr>
                    <w:pStyle w:val="52"/>
                    <w:bidi w:val="0"/>
                  </w:pPr>
                  <w:r>
                    <w:t>1</w:t>
                  </w:r>
                </w:p>
              </w:tc>
              <w:tc>
                <w:tcPr>
                  <w:tcW w:w="764" w:type="dxa"/>
                  <w:vAlign w:val="center"/>
                </w:tcPr>
                <w:p w14:paraId="0A75EC0F">
                  <w:pPr>
                    <w:pStyle w:val="52"/>
                    <w:bidi w:val="0"/>
                  </w:pPr>
                  <w:r>
                    <w:rPr>
                      <w:rFonts w:hint="default"/>
                      <w:lang w:val="en-US" w:eastAsia="zh-CN"/>
                    </w:rPr>
                    <w:t>6300</w:t>
                  </w:r>
                </w:p>
              </w:tc>
              <w:tc>
                <w:tcPr>
                  <w:tcW w:w="910" w:type="dxa"/>
                  <w:vAlign w:val="center"/>
                </w:tcPr>
                <w:p w14:paraId="28DDEEEE">
                  <w:pPr>
                    <w:pStyle w:val="52"/>
                    <w:keepNext w:val="0"/>
                    <w:keepLines w:val="0"/>
                    <w:widowControl/>
                    <w:suppressLineNumbers w:val="0"/>
                    <w:jc w:val="right"/>
                    <w:textAlignment w:val="center"/>
                    <w:rPr>
                      <w:rFonts w:hint="default"/>
                      <w:lang w:val="en-US" w:eastAsia="zh-CN"/>
                    </w:rPr>
                  </w:pPr>
                  <w:r>
                    <w:rPr>
                      <w:rFonts w:hint="eastAsia"/>
                      <w:lang w:val="en-US" w:eastAsia="zh-CN"/>
                    </w:rPr>
                    <w:t>6.91E-06</w:t>
                  </w:r>
                </w:p>
              </w:tc>
              <w:tc>
                <w:tcPr>
                  <w:tcW w:w="928" w:type="dxa"/>
                  <w:vAlign w:val="center"/>
                </w:tcPr>
                <w:p w14:paraId="16EBA76C">
                  <w:pPr>
                    <w:pStyle w:val="52"/>
                    <w:keepNext w:val="0"/>
                    <w:keepLines w:val="0"/>
                    <w:widowControl/>
                    <w:suppressLineNumbers w:val="0"/>
                    <w:jc w:val="center"/>
                    <w:textAlignment w:val="center"/>
                  </w:pPr>
                  <w:r>
                    <w:rPr>
                      <w:rFonts w:hint="default"/>
                      <w:lang w:val="en-US" w:eastAsia="zh-CN"/>
                    </w:rPr>
                    <w:t>7.26E-07</w:t>
                  </w:r>
                </w:p>
              </w:tc>
              <w:tc>
                <w:tcPr>
                  <w:tcW w:w="954" w:type="dxa"/>
                  <w:vMerge w:val="restart"/>
                  <w:vAlign w:val="center"/>
                </w:tcPr>
                <w:p w14:paraId="36697312">
                  <w:pPr>
                    <w:pStyle w:val="52"/>
                    <w:bidi w:val="0"/>
                    <w:rPr>
                      <w:rFonts w:hint="eastAsia"/>
                      <w:lang w:val="en-US" w:eastAsia="zh-CN"/>
                    </w:rPr>
                  </w:pPr>
                  <w:r>
                    <w:rPr>
                      <w:rFonts w:hint="eastAsia"/>
                      <w:lang w:val="en-US" w:eastAsia="zh-CN"/>
                    </w:rPr>
                    <w:t>1.22</w:t>
                  </w:r>
                  <w:r>
                    <w:t>E-0</w:t>
                  </w:r>
                  <w:r>
                    <w:rPr>
                      <w:rFonts w:hint="eastAsia"/>
                      <w:lang w:val="en-US" w:eastAsia="zh-CN"/>
                    </w:rPr>
                    <w:t>5</w:t>
                  </w:r>
                </w:p>
              </w:tc>
            </w:tr>
            <w:tr w14:paraId="40426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12" w:hRule="atLeast"/>
                <w:jc w:val="center"/>
              </w:trPr>
              <w:tc>
                <w:tcPr>
                  <w:tcW w:w="565" w:type="dxa"/>
                  <w:vMerge w:val="continue"/>
                  <w:vAlign w:val="center"/>
                </w:tcPr>
                <w:p w14:paraId="00951A15">
                  <w:pPr>
                    <w:pStyle w:val="52"/>
                    <w:bidi w:val="0"/>
                  </w:pPr>
                </w:p>
              </w:tc>
              <w:tc>
                <w:tcPr>
                  <w:tcW w:w="487" w:type="dxa"/>
                  <w:vAlign w:val="center"/>
                </w:tcPr>
                <w:p w14:paraId="0E543062">
                  <w:pPr>
                    <w:pStyle w:val="52"/>
                    <w:bidi w:val="0"/>
                  </w:pPr>
                  <w:r>
                    <w:t>拍片</w:t>
                  </w:r>
                </w:p>
              </w:tc>
              <w:tc>
                <w:tcPr>
                  <w:tcW w:w="725" w:type="dxa"/>
                  <w:vMerge w:val="continue"/>
                  <w:vAlign w:val="center"/>
                </w:tcPr>
                <w:p w14:paraId="40E9ECBC">
                  <w:pPr>
                    <w:pStyle w:val="52"/>
                    <w:bidi w:val="0"/>
                  </w:pPr>
                </w:p>
              </w:tc>
              <w:tc>
                <w:tcPr>
                  <w:tcW w:w="1133" w:type="dxa"/>
                  <w:vMerge w:val="continue"/>
                  <w:vAlign w:val="center"/>
                </w:tcPr>
                <w:p w14:paraId="5E6A3C5B">
                  <w:pPr>
                    <w:pStyle w:val="52"/>
                    <w:bidi w:val="0"/>
                  </w:pPr>
                </w:p>
              </w:tc>
              <w:tc>
                <w:tcPr>
                  <w:tcW w:w="962" w:type="dxa"/>
                  <w:vAlign w:val="center"/>
                </w:tcPr>
                <w:p w14:paraId="654EEFEE">
                  <w:pPr>
                    <w:pStyle w:val="52"/>
                    <w:bidi w:val="0"/>
                    <w:rPr>
                      <w:rFonts w:hint="default"/>
                      <w:lang w:val="en-US"/>
                    </w:rPr>
                  </w:pPr>
                  <w:r>
                    <w:rPr>
                      <w:rFonts w:hint="default"/>
                      <w:lang w:val="en-US" w:eastAsia="zh-CN"/>
                    </w:rPr>
                    <w:t>5.63E-09</w:t>
                  </w:r>
                </w:p>
              </w:tc>
              <w:tc>
                <w:tcPr>
                  <w:tcW w:w="606" w:type="dxa"/>
                  <w:vAlign w:val="center"/>
                </w:tcPr>
                <w:p w14:paraId="7055F3CC">
                  <w:pPr>
                    <w:pStyle w:val="52"/>
                    <w:bidi w:val="0"/>
                  </w:pPr>
                  <w:r>
                    <w:rPr>
                      <w:rFonts w:hint="eastAsia"/>
                    </w:rPr>
                    <w:t>1</w:t>
                  </w:r>
                </w:p>
              </w:tc>
              <w:tc>
                <w:tcPr>
                  <w:tcW w:w="619" w:type="dxa"/>
                  <w:vAlign w:val="center"/>
                </w:tcPr>
                <w:p w14:paraId="51779A28">
                  <w:pPr>
                    <w:pStyle w:val="52"/>
                    <w:bidi w:val="0"/>
                  </w:pPr>
                  <w:r>
                    <w:t>1</w:t>
                  </w:r>
                </w:p>
              </w:tc>
              <w:tc>
                <w:tcPr>
                  <w:tcW w:w="764" w:type="dxa"/>
                  <w:vAlign w:val="center"/>
                </w:tcPr>
                <w:p w14:paraId="43BFDBD9">
                  <w:pPr>
                    <w:pStyle w:val="52"/>
                    <w:bidi w:val="0"/>
                  </w:pPr>
                  <w:r>
                    <w:rPr>
                      <w:rFonts w:hint="default"/>
                      <w:lang w:val="en-US" w:eastAsia="zh-CN"/>
                    </w:rPr>
                    <w:t>141.6</w:t>
                  </w:r>
                </w:p>
              </w:tc>
              <w:tc>
                <w:tcPr>
                  <w:tcW w:w="910" w:type="dxa"/>
                  <w:vAlign w:val="center"/>
                </w:tcPr>
                <w:p w14:paraId="32AF76A9">
                  <w:pPr>
                    <w:pStyle w:val="52"/>
                    <w:keepNext w:val="0"/>
                    <w:keepLines w:val="0"/>
                    <w:widowControl/>
                    <w:suppressLineNumbers w:val="0"/>
                    <w:jc w:val="right"/>
                    <w:textAlignment w:val="center"/>
                    <w:rPr>
                      <w:rFonts w:hint="default"/>
                      <w:lang w:val="en-US" w:eastAsia="zh-CN"/>
                    </w:rPr>
                  </w:pPr>
                  <w:r>
                    <w:rPr>
                      <w:rFonts w:hint="eastAsia"/>
                      <w:lang w:val="en-US" w:eastAsia="zh-CN"/>
                    </w:rPr>
                    <w:t>4.86E-03</w:t>
                  </w:r>
                </w:p>
              </w:tc>
              <w:tc>
                <w:tcPr>
                  <w:tcW w:w="928" w:type="dxa"/>
                  <w:vAlign w:val="center"/>
                </w:tcPr>
                <w:p w14:paraId="64B88781">
                  <w:pPr>
                    <w:pStyle w:val="52"/>
                    <w:keepNext w:val="0"/>
                    <w:keepLines w:val="0"/>
                    <w:widowControl/>
                    <w:suppressLineNumbers w:val="0"/>
                    <w:jc w:val="center"/>
                    <w:textAlignment w:val="center"/>
                  </w:pPr>
                  <w:r>
                    <w:rPr>
                      <w:rFonts w:hint="default"/>
                      <w:lang w:val="en-US" w:eastAsia="zh-CN"/>
                    </w:rPr>
                    <w:t>1.15E-05</w:t>
                  </w:r>
                </w:p>
              </w:tc>
              <w:tc>
                <w:tcPr>
                  <w:tcW w:w="954" w:type="dxa"/>
                  <w:vMerge w:val="continue"/>
                  <w:vAlign w:val="center"/>
                </w:tcPr>
                <w:p w14:paraId="1EBEEB1B">
                  <w:pPr>
                    <w:pStyle w:val="52"/>
                    <w:bidi w:val="0"/>
                  </w:pPr>
                </w:p>
              </w:tc>
            </w:tr>
          </w:tbl>
          <w:p w14:paraId="1FB31686">
            <w:pPr>
              <w:spacing w:line="360" w:lineRule="auto"/>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（2）病人体表散射辐射剂量估算</w:t>
            </w:r>
          </w:p>
          <w:p w14:paraId="10EBD50F">
            <w:pPr>
              <w:spacing w:line="360" w:lineRule="auto"/>
              <w:jc w:val="center"/>
              <w:rPr>
                <w:rFonts w:ascii="Times New Roman" w:hAnsi="Times New Roman"/>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 xml:space="preserve">                </w:t>
            </w:r>
            <w:r>
              <w:rPr>
                <w:rFonts w:ascii="Times New Roman" w:hAnsi="Times New Roman"/>
                <w:b/>
                <w:bCs/>
                <w:color w:val="000000" w:themeColor="text1"/>
                <w:position w:val="-30"/>
                <w:sz w:val="24"/>
                <w14:textFill>
                  <w14:solidFill>
                    <w14:schemeClr w14:val="tx1"/>
                  </w14:solidFill>
                </w14:textFill>
              </w:rPr>
              <w:object>
                <v:shape id="_x0000_i1028" o:spt="75" type="#_x0000_t75" style="height:33.8pt;width:85.95pt;" o:ole="t" filled="f" o:preferrelative="t" stroked="f" coordsize="21600,21600">
                  <v:path/>
                  <v:fill on="f" focussize="0,0"/>
                  <v:stroke on="f"/>
                  <v:imagedata r:id="rId29" o:title=""/>
                  <o:lock v:ext="edit" aspectratio="t"/>
                  <w10:wrap type="none"/>
                  <w10:anchorlock/>
                </v:shape>
                <o:OLEObject Type="Embed" ProgID="Equation.3" ShapeID="_x0000_i1028" DrawAspect="Content" ObjectID="_1468075728" r:id="rId28">
                  <o:LockedField>false</o:LockedField>
                </o:OLEObject>
              </w:object>
            </w:r>
            <w:r>
              <w:rPr>
                <w:rFonts w:ascii="Times New Roman" w:hAnsi="Times New Roman"/>
                <w:b/>
                <w:bCs/>
                <w:color w:val="000000" w:themeColor="text1"/>
                <w:sz w:val="24"/>
                <w14:textFill>
                  <w14:solidFill>
                    <w14:schemeClr w14:val="tx1"/>
                  </w14:solidFill>
                </w14:textFill>
              </w:rPr>
              <w:t xml:space="preserve">             </w:t>
            </w:r>
            <w:r>
              <w:rPr>
                <w:rFonts w:ascii="Times New Roman" w:hAnsi="Times New Roman"/>
                <w:bCs/>
                <w:color w:val="000000" w:themeColor="text1"/>
                <w:sz w:val="24"/>
                <w14:textFill>
                  <w14:solidFill>
                    <w14:schemeClr w14:val="tx1"/>
                  </w14:solidFill>
                </w14:textFill>
              </w:rPr>
              <w:t>（式3）</w:t>
            </w:r>
          </w:p>
          <w:p w14:paraId="05F56336">
            <w:pPr>
              <w:spacing w:line="360" w:lineRule="auto"/>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式中：</w:t>
            </w:r>
          </w:p>
          <w:p w14:paraId="4F4B3ED5">
            <w:pPr>
              <w:pStyle w:val="11"/>
              <w:bidi w:val="0"/>
            </w:pPr>
            <w:r>
              <w:t>H</w:t>
            </w:r>
            <w:r>
              <w:rPr>
                <w:vertAlign w:val="subscript"/>
              </w:rPr>
              <w:t>s</w:t>
            </w:r>
            <w:r>
              <w:t>—预测点处的散射剂量率，μGy/h；</w:t>
            </w:r>
          </w:p>
          <w:p w14:paraId="4A8C8A14">
            <w:pPr>
              <w:pStyle w:val="11"/>
              <w:bidi w:val="0"/>
            </w:pPr>
            <w:r>
              <w:t>H</w:t>
            </w:r>
            <w:r>
              <w:rPr>
                <w:vertAlign w:val="subscript"/>
              </w:rPr>
              <w:t>0</w:t>
            </w:r>
            <w:r>
              <w:t>—靶1m处的剂量率，μGy/h；</w:t>
            </w:r>
          </w:p>
          <w:p w14:paraId="6885B92F">
            <w:pPr>
              <w:pStyle w:val="11"/>
              <w:bidi w:val="0"/>
            </w:pPr>
            <w:r>
              <w:rPr>
                <w:rFonts w:ascii="Times New Roman" w:hAnsi="Times New Roman"/>
                <w:bCs/>
                <w:i w:val="0"/>
                <w:iCs w:val="0"/>
                <w:color w:val="000000" w:themeColor="text1"/>
                <w:sz w:val="24"/>
                <w14:textFill>
                  <w14:solidFill>
                    <w14:schemeClr w14:val="tx1"/>
                  </w14:solidFill>
                </w14:textFill>
              </w:rPr>
              <w:t>α</w:t>
            </w:r>
            <w:r>
              <w:rPr>
                <w:rFonts w:ascii="Times New Roman" w:hAnsi="Times New Roman"/>
                <w:bCs/>
                <w:color w:val="000000" w:themeColor="text1"/>
                <w:sz w:val="24"/>
                <w14:textFill>
                  <w14:solidFill>
                    <w14:schemeClr w14:val="tx1"/>
                  </w14:solidFill>
                </w14:textFill>
              </w:rPr>
              <w:t>—患者对X射线的散射比；对于散射线向机房四侧墙体投射的情况，根据《辐射防护手册》（第一分册，李德平、潘自强主编）中表10.1</w:t>
            </w:r>
            <w:r>
              <w:rPr>
                <w:rFonts w:ascii="Times New Roman" w:hAnsi="Times New Roman"/>
                <w:bCs/>
                <w:color w:val="000000" w:themeColor="text1"/>
                <w:sz w:val="24"/>
                <w:szCs w:val="24"/>
                <w:lang w:val="zh-CN" w:bidi="zh-CN"/>
                <w14:textFill>
                  <w14:solidFill>
                    <w14:schemeClr w14:val="tx1"/>
                  </w14:solidFill>
                </w14:textFill>
              </w:rPr>
              <w:t>散射与入射线照射量之比值</w:t>
            </w:r>
            <w:r>
              <w:rPr>
                <w:rFonts w:hint="default" w:ascii="Times New Roman" w:hAnsi="Times New Roman"/>
                <w:bCs/>
                <w:color w:val="000000" w:themeColor="text1"/>
                <w:sz w:val="24"/>
                <w:szCs w:val="24"/>
                <w:lang w:val="zh-CN" w:bidi="zh-CN"/>
                <w14:textFill>
                  <w14:solidFill>
                    <w14:schemeClr w14:val="tx1"/>
                  </w14:solidFill>
                </w14:textFill>
              </w:rPr>
              <w:t>，</w:t>
            </w:r>
            <w:r>
              <w:rPr>
                <w:rFonts w:hint="default" w:ascii="Times New Roman" w:hAnsi="Times New Roman"/>
                <w:bCs/>
                <w:color w:val="000000" w:themeColor="text1"/>
                <w:sz w:val="24"/>
                <w:szCs w:val="24"/>
                <w:lang w:bidi="zh-CN"/>
                <w14:textFill>
                  <w14:solidFill>
                    <w14:schemeClr w14:val="tx1"/>
                  </w14:solidFill>
                </w14:textFill>
              </w:rPr>
              <w:t>这些数值是相对于400cm</w:t>
            </w:r>
            <w:r>
              <w:rPr>
                <w:rFonts w:hint="default" w:ascii="Times New Roman" w:hAnsi="Times New Roman"/>
                <w:bCs/>
                <w:color w:val="000000" w:themeColor="text1"/>
                <w:sz w:val="24"/>
                <w:szCs w:val="24"/>
                <w:vertAlign w:val="superscript"/>
                <w:lang w:bidi="zh-CN"/>
                <w14:textFill>
                  <w14:solidFill>
                    <w14:schemeClr w14:val="tx1"/>
                  </w14:solidFill>
                </w14:textFill>
              </w:rPr>
              <w:t>2</w:t>
            </w:r>
            <w:r>
              <w:rPr>
                <w:rFonts w:hint="default" w:ascii="Times New Roman" w:hAnsi="Times New Roman"/>
                <w:bCs/>
                <w:color w:val="000000" w:themeColor="text1"/>
                <w:sz w:val="24"/>
                <w:szCs w:val="24"/>
                <w:lang w:bidi="zh-CN"/>
                <w14:textFill>
                  <w14:solidFill>
                    <w14:schemeClr w14:val="tx1"/>
                  </w14:solidFill>
                </w14:textFill>
              </w:rPr>
              <w:t>的散射比，因此式</w:t>
            </w:r>
            <w:r>
              <w:rPr>
                <w:rFonts w:hint="eastAsia" w:ascii="Times New Roman" w:hAnsi="Times New Roman"/>
                <w:bCs/>
                <w:color w:val="000000" w:themeColor="text1"/>
                <w:sz w:val="24"/>
                <w:szCs w:val="24"/>
                <w:lang w:val="en-US" w:bidi="zh-CN"/>
                <w14:textFill>
                  <w14:solidFill>
                    <w14:schemeClr w14:val="tx1"/>
                  </w14:solidFill>
                </w14:textFill>
              </w:rPr>
              <w:t>3</w:t>
            </w:r>
            <w:r>
              <w:rPr>
                <w:rFonts w:hint="default" w:ascii="Times New Roman" w:hAnsi="Times New Roman"/>
                <w:bCs/>
                <w:color w:val="000000" w:themeColor="text1"/>
                <w:sz w:val="24"/>
                <w:szCs w:val="24"/>
                <w:lang w:bidi="zh-CN"/>
                <w14:textFill>
                  <w14:solidFill>
                    <w14:schemeClr w14:val="tx1"/>
                  </w14:solidFill>
                </w14:textFill>
              </w:rPr>
              <w:t>中的</w:t>
            </w:r>
            <m:oMath>
              <m:r>
                <m:rPr>
                  <m:sty m:val="p"/>
                </m:rPr>
                <w:rPr>
                  <w:rFonts w:ascii="Times New Roman" w:hAnsi="Times New Roman" w:eastAsia="宋体"/>
                  <w:color w:val="000000" w:themeColor="text1"/>
                  <w:sz w:val="24"/>
                  <w:szCs w:val="24"/>
                  <w:lang w:bidi="zh-CN"/>
                  <w14:textFill>
                    <w14:solidFill>
                      <w14:schemeClr w14:val="tx1"/>
                    </w14:solidFill>
                  </w14:textFill>
                </w:rPr>
                <m:t>α=</m:t>
              </m:r>
              <m:f>
                <m:fPr>
                  <m:ctrlPr>
                    <w:rPr>
                      <w:rFonts w:ascii="Cambria Math" w:hAnsi="Cambria Math" w:eastAsia="宋体"/>
                      <w:bCs/>
                      <w:i w:val="0"/>
                      <w:color w:val="000000" w:themeColor="text1"/>
                      <w:sz w:val="24"/>
                      <w:szCs w:val="24"/>
                      <w:lang w:bidi="zh-CN"/>
                      <w14:textFill>
                        <w14:solidFill>
                          <w14:schemeClr w14:val="tx1"/>
                        </w14:solidFill>
                      </w14:textFill>
                    </w:rPr>
                  </m:ctrlPr>
                </m:fPr>
                <m:num>
                  <m:r>
                    <m:rPr>
                      <m:sty m:val="p"/>
                    </m:rPr>
                    <w:rPr>
                      <w:rFonts w:ascii="Times New Roman" w:hAnsi="Times New Roman" w:eastAsia="宋体"/>
                      <w:color w:val="000000" w:themeColor="text1"/>
                      <w:sz w:val="24"/>
                      <w:szCs w:val="24"/>
                      <w:lang w:bidi="zh-CN"/>
                      <w14:textFill>
                        <w14:solidFill>
                          <w14:schemeClr w14:val="tx1"/>
                        </w14:solidFill>
                      </w14:textFill>
                    </w:rPr>
                    <m:t>a</m:t>
                  </m:r>
                  <m:ctrlPr>
                    <w:rPr>
                      <w:rFonts w:ascii="Cambria Math" w:hAnsi="Cambria Math" w:eastAsia="宋体"/>
                      <w:bCs/>
                      <w:i w:val="0"/>
                      <w:color w:val="000000" w:themeColor="text1"/>
                      <w:sz w:val="24"/>
                      <w:szCs w:val="24"/>
                      <w:lang w:bidi="zh-CN"/>
                      <w14:textFill>
                        <w14:solidFill>
                          <w14:schemeClr w14:val="tx1"/>
                        </w14:solidFill>
                      </w14:textFill>
                    </w:rPr>
                  </m:ctrlPr>
                </m:num>
                <m:den>
                  <m:r>
                    <m:rPr>
                      <m:sty m:val="p"/>
                    </m:rPr>
                    <w:rPr>
                      <w:rFonts w:ascii="Times New Roman" w:hAnsi="Times New Roman" w:eastAsia="宋体"/>
                      <w:color w:val="000000" w:themeColor="text1"/>
                      <w:sz w:val="24"/>
                      <w:szCs w:val="24"/>
                      <w:lang w:bidi="zh-CN"/>
                      <w14:textFill>
                        <w14:solidFill>
                          <w14:schemeClr w14:val="tx1"/>
                        </w14:solidFill>
                      </w14:textFill>
                    </w:rPr>
                    <m:t>400</m:t>
                  </m:r>
                  <m:ctrlPr>
                    <w:rPr>
                      <w:rFonts w:ascii="Cambria Math" w:hAnsi="Cambria Math" w:eastAsia="宋体"/>
                      <w:bCs/>
                      <w:i w:val="0"/>
                      <w:color w:val="000000" w:themeColor="text1"/>
                      <w:sz w:val="24"/>
                      <w:szCs w:val="24"/>
                      <w:lang w:bidi="zh-CN"/>
                      <w14:textFill>
                        <w14:solidFill>
                          <w14:schemeClr w14:val="tx1"/>
                        </w14:solidFill>
                      </w14:textFill>
                    </w:rPr>
                  </m:ctrlPr>
                </m:den>
              </m:f>
            </m:oMath>
            <w:r>
              <w:rPr>
                <w:rFonts w:hint="default" w:ascii="Times New Roman" w:hAnsi="Times New Roman" w:eastAsia="宋体"/>
                <w:bCs/>
                <w:i w:val="0"/>
                <w:color w:val="000000" w:themeColor="text1"/>
                <w:sz w:val="24"/>
                <w:szCs w:val="24"/>
                <w:lang w:bidi="zh-CN"/>
                <w14:textFill>
                  <w14:solidFill>
                    <w14:schemeClr w14:val="tx1"/>
                  </w14:solidFill>
                </w14:textFill>
              </w:rPr>
              <w:t>，</w:t>
            </w:r>
            <w:r>
              <w:rPr>
                <w:rFonts w:ascii="Times New Roman" w:hAnsi="Times New Roman"/>
                <w:bCs/>
                <w:color w:val="000000" w:themeColor="text1"/>
                <w:sz w:val="24"/>
                <w14:textFill>
                  <w14:solidFill>
                    <w14:schemeClr w14:val="tx1"/>
                  </w14:solidFill>
                </w14:textFill>
              </w:rPr>
              <w:t>对于</w:t>
            </w:r>
            <w:r>
              <w:rPr>
                <w:rFonts w:hint="eastAsia" w:ascii="Times New Roman" w:hAnsi="Times New Roman"/>
                <w:bCs/>
                <w:color w:val="000000" w:themeColor="text1"/>
                <w:sz w:val="24"/>
                <w14:textFill>
                  <w14:solidFill>
                    <w14:schemeClr w14:val="tx1"/>
                  </w14:solidFill>
                </w14:textFill>
              </w:rPr>
              <w:t>90</w:t>
            </w:r>
            <w:r>
              <w:rPr>
                <w:rFonts w:ascii="Times New Roman" w:hAnsi="Times New Roman"/>
                <w:bCs/>
                <w:color w:val="000000" w:themeColor="text1"/>
                <w:sz w:val="24"/>
                <w14:textFill>
                  <w14:solidFill>
                    <w14:schemeClr w14:val="tx1"/>
                  </w14:solidFill>
                </w14:textFill>
              </w:rPr>
              <w:t>kV（</w:t>
            </w:r>
            <w:r>
              <w:rPr>
                <w:rFonts w:hint="eastAsia" w:ascii="Times New Roman" w:hAnsi="Times New Roman"/>
                <w:bCs/>
                <w:color w:val="000000" w:themeColor="text1"/>
                <w:sz w:val="24"/>
                <w14:textFill>
                  <w14:solidFill>
                    <w14:schemeClr w14:val="tx1"/>
                  </w14:solidFill>
                </w14:textFill>
              </w:rPr>
              <w:t>根据</w:t>
            </w:r>
            <w:r>
              <w:rPr>
                <w:rFonts w:ascii="Times New Roman" w:hAnsi="Times New Roman"/>
                <w:bCs/>
                <w:color w:val="000000" w:themeColor="text1"/>
                <w:sz w:val="24"/>
                <w14:textFill>
                  <w14:solidFill>
                    <w14:schemeClr w14:val="tx1"/>
                  </w14:solidFill>
                </w14:textFill>
              </w:rPr>
              <w:t>《辐射防护手册》（第一分册，李德平、潘自强主编）中表10.1</w:t>
            </w:r>
            <w:r>
              <w:rPr>
                <w:rFonts w:hint="eastAsia" w:ascii="Times New Roman" w:hAnsi="Times New Roman"/>
                <w:bCs/>
                <w:color w:val="000000" w:themeColor="text1"/>
                <w:sz w:val="24"/>
                <w14:textFill>
                  <w14:solidFill>
                    <w14:schemeClr w14:val="tx1"/>
                  </w14:solidFill>
                </w14:textFill>
              </w:rPr>
              <w:t>中</w:t>
            </w:r>
            <w:r>
              <w:rPr>
                <w:rFonts w:hint="eastAsia" w:ascii="Times New Roman" w:hAnsi="Times New Roman"/>
                <w:bCs/>
                <w:color w:val="000000" w:themeColor="text1"/>
                <w:sz w:val="24"/>
                <w:lang w:val="en-US" w:eastAsia="zh-CN"/>
                <w14:textFill>
                  <w14:solidFill>
                    <w14:schemeClr w14:val="tx1"/>
                  </w14:solidFill>
                </w14:textFill>
              </w:rPr>
              <w:t>无</w:t>
            </w:r>
            <w:r>
              <w:rPr>
                <w:rFonts w:hint="eastAsia" w:ascii="Times New Roman" w:hAnsi="Times New Roman"/>
                <w:bCs/>
                <w:color w:val="000000" w:themeColor="text1"/>
                <w:sz w:val="24"/>
                <w14:textFill>
                  <w14:solidFill>
                    <w14:schemeClr w14:val="tx1"/>
                  </w14:solidFill>
                </w14:textFill>
              </w:rPr>
              <w:t>数据</w:t>
            </w:r>
            <w:r>
              <w:rPr>
                <w:rFonts w:hint="eastAsia" w:ascii="Times New Roman" w:hAnsi="Times New Roman"/>
                <w:bCs/>
                <w:color w:val="000000" w:themeColor="text1"/>
                <w:sz w:val="24"/>
                <w:lang w:eastAsia="zh-CN"/>
                <w14:textFill>
                  <w14:solidFill>
                    <w14:schemeClr w14:val="tx1"/>
                  </w14:solidFill>
                </w14:textFill>
              </w:rPr>
              <w:t>，</w:t>
            </w:r>
            <w:r>
              <w:rPr>
                <w:rFonts w:hint="eastAsia" w:ascii="Times New Roman" w:hAnsi="Times New Roman"/>
                <w:bCs/>
                <w:color w:val="000000" w:themeColor="text1"/>
                <w:sz w:val="24"/>
                <w:lang w:val="en-US" w:eastAsia="zh-CN"/>
                <w14:textFill>
                  <w14:solidFill>
                    <w14:schemeClr w14:val="tx1"/>
                  </w14:solidFill>
                </w14:textFill>
              </w:rPr>
              <w:t>保守参考100kV情况下</w:t>
            </w:r>
            <w:r>
              <w:rPr>
                <w:rFonts w:ascii="Times New Roman" w:hAnsi="Times New Roman"/>
                <w:bCs/>
                <w:color w:val="000000" w:themeColor="text1"/>
                <w:sz w:val="24"/>
                <w14:textFill>
                  <w14:solidFill>
                    <w14:schemeClr w14:val="tx1"/>
                  </w14:solidFill>
                </w14:textFill>
              </w:rPr>
              <w:t>90°散射角散射比为0.001</w:t>
            </w:r>
            <w:r>
              <w:rPr>
                <w:rFonts w:hint="eastAsia" w:ascii="Times New Roman" w:hAnsi="Times New Roman"/>
                <w:bCs/>
                <w:color w:val="000000" w:themeColor="text1"/>
                <w:sz w:val="24"/>
                <w:lang w:val="en-US" w:eastAsia="zh-CN"/>
                <w14:textFill>
                  <w14:solidFill>
                    <w14:schemeClr w14:val="tx1"/>
                  </w14:solidFill>
                </w14:textFill>
              </w:rPr>
              <w:t>3</w:t>
            </w:r>
            <w:r>
              <w:rPr>
                <w:rFonts w:ascii="Times New Roman" w:hAnsi="Times New Roman"/>
                <w:bCs/>
                <w:color w:val="000000" w:themeColor="text1"/>
                <w:sz w:val="24"/>
                <w14:textFill>
                  <w14:solidFill>
                    <w14:schemeClr w14:val="tx1"/>
                  </w14:solidFill>
                </w14:textFill>
              </w:rPr>
              <w:t>（该取值适用于机房四侧关注点相应预测计算）；对于</w:t>
            </w:r>
            <w:r>
              <w:rPr>
                <w:rFonts w:hint="eastAsia" w:ascii="Times New Roman" w:hAnsi="Times New Roman"/>
                <w:bCs/>
                <w:color w:val="000000" w:themeColor="text1"/>
                <w:sz w:val="24"/>
                <w:lang w:val="en-US" w:eastAsia="zh-CN"/>
                <w14:textFill>
                  <w14:solidFill>
                    <w14:schemeClr w14:val="tx1"/>
                  </w14:solidFill>
                </w14:textFill>
              </w:rPr>
              <w:t>10</w:t>
            </w:r>
            <w:r>
              <w:rPr>
                <w:rFonts w:hint="eastAsia" w:ascii="Times New Roman" w:hAnsi="Times New Roman"/>
                <w:bCs/>
                <w:color w:val="000000" w:themeColor="text1"/>
                <w:sz w:val="24"/>
                <w14:textFill>
                  <w14:solidFill>
                    <w14:schemeClr w14:val="tx1"/>
                  </w14:solidFill>
                </w14:textFill>
              </w:rPr>
              <w:t>0</w:t>
            </w:r>
            <w:r>
              <w:rPr>
                <w:rFonts w:ascii="Times New Roman" w:hAnsi="Times New Roman"/>
                <w:bCs/>
                <w:color w:val="000000" w:themeColor="text1"/>
                <w:sz w:val="24"/>
                <w14:textFill>
                  <w14:solidFill>
                    <w14:schemeClr w14:val="tx1"/>
                  </w14:solidFill>
                </w14:textFill>
              </w:rPr>
              <w:t>kV（</w:t>
            </w:r>
            <w:r>
              <w:rPr>
                <w:rFonts w:hint="eastAsia" w:ascii="Times New Roman" w:hAnsi="Times New Roman"/>
                <w:bCs/>
                <w:color w:val="000000" w:themeColor="text1"/>
                <w:sz w:val="24"/>
                <w14:textFill>
                  <w14:solidFill>
                    <w14:schemeClr w14:val="tx1"/>
                  </w14:solidFill>
                </w14:textFill>
              </w:rPr>
              <w:t>根据</w:t>
            </w:r>
            <w:r>
              <w:rPr>
                <w:rFonts w:ascii="Times New Roman" w:hAnsi="Times New Roman"/>
                <w:bCs/>
                <w:color w:val="000000" w:themeColor="text1"/>
                <w:sz w:val="24"/>
                <w14:textFill>
                  <w14:solidFill>
                    <w14:schemeClr w14:val="tx1"/>
                  </w14:solidFill>
                </w14:textFill>
              </w:rPr>
              <w:t>《辐射防护手册》（第一分册，李德平、潘自强主编）中表10.1</w:t>
            </w:r>
            <w:r>
              <w:rPr>
                <w:rFonts w:hint="eastAsia" w:ascii="Times New Roman" w:hAnsi="Times New Roman"/>
                <w:bCs/>
                <w:color w:val="000000" w:themeColor="text1"/>
                <w:sz w:val="24"/>
                <w14:textFill>
                  <w14:solidFill>
                    <w14:schemeClr w14:val="tx1"/>
                  </w14:solidFill>
                </w14:textFill>
              </w:rPr>
              <w:t>中数据进行拟合公式</w:t>
            </w:r>
            <w:r>
              <w:rPr>
                <w:rFonts w:ascii="Times New Roman" w:hAnsi="Times New Roman"/>
                <w:bCs/>
                <w:color w:val="000000" w:themeColor="text1"/>
                <w:sz w:val="24"/>
                <w14:textFill>
                  <w14:solidFill>
                    <w14:schemeClr w14:val="tx1"/>
                  </w14:solidFill>
                </w14:textFill>
              </w:rPr>
              <w:t>）、</w:t>
            </w:r>
            <w:r>
              <w:rPr>
                <w:rFonts w:hint="eastAsia" w:ascii="Times New Roman" w:hAnsi="Times New Roman"/>
                <w:bCs/>
                <w:color w:val="000000" w:themeColor="text1"/>
                <w:sz w:val="24"/>
                <w:lang w:val="en-US" w:eastAsia="zh-CN"/>
                <w14:textFill>
                  <w14:solidFill>
                    <w14:schemeClr w14:val="tx1"/>
                  </w14:solidFill>
                </w14:textFill>
              </w:rPr>
              <w:t>9</w:t>
            </w:r>
            <w:r>
              <w:rPr>
                <w:rFonts w:ascii="Times New Roman" w:hAnsi="Times New Roman"/>
                <w:bCs/>
                <w:color w:val="000000" w:themeColor="text1"/>
                <w:sz w:val="24"/>
                <w14:textFill>
                  <w14:solidFill>
                    <w14:schemeClr w14:val="tx1"/>
                  </w14:solidFill>
                </w14:textFill>
              </w:rPr>
              <w:t>0°散射角散射比为0.00</w:t>
            </w:r>
            <w:r>
              <w:rPr>
                <w:rFonts w:hint="eastAsia" w:ascii="Times New Roman" w:hAnsi="Times New Roman"/>
                <w:bCs/>
                <w:color w:val="000000" w:themeColor="text1"/>
                <w:sz w:val="24"/>
                <w:lang w:val="en-US" w:eastAsia="zh-CN"/>
                <w14:textFill>
                  <w14:solidFill>
                    <w14:schemeClr w14:val="tx1"/>
                  </w14:solidFill>
                </w14:textFill>
              </w:rPr>
              <w:t>13</w:t>
            </w:r>
            <w:r>
              <w:rPr>
                <w:rFonts w:ascii="Times New Roman" w:hAnsi="Times New Roman"/>
                <w:bCs/>
                <w:color w:val="000000" w:themeColor="text1"/>
                <w:sz w:val="24"/>
                <w14:textFill>
                  <w14:solidFill>
                    <w14:schemeClr w14:val="tx1"/>
                  </w14:solidFill>
                </w14:textFill>
              </w:rPr>
              <w:t>（该取值适用于机房四侧关注点相应预测计算）。</w:t>
            </w:r>
          </w:p>
          <w:p w14:paraId="71805592">
            <w:pPr>
              <w:pStyle w:val="11"/>
              <w:bidi w:val="0"/>
            </w:pPr>
            <w:r>
              <w:t>s—散射面积，cm</w:t>
            </w:r>
            <w:r>
              <w:rPr>
                <w:vertAlign w:val="superscript"/>
              </w:rPr>
              <w:t>2</w:t>
            </w:r>
            <w:r>
              <w:t>，取100cm</w:t>
            </w:r>
            <w:r>
              <w:rPr>
                <w:vertAlign w:val="superscript"/>
              </w:rPr>
              <w:t>2</w:t>
            </w:r>
            <w:r>
              <w:t>；</w:t>
            </w:r>
          </w:p>
          <w:p w14:paraId="3C5637F6">
            <w:pPr>
              <w:pStyle w:val="11"/>
              <w:bidi w:val="0"/>
            </w:pPr>
            <w:r>
              <w:t>d</w:t>
            </w:r>
            <w:r>
              <w:rPr>
                <w:vertAlign w:val="subscript"/>
              </w:rPr>
              <w:t>0</w:t>
            </w:r>
            <w:r>
              <w:t>—源与病人的距离，m，取</w:t>
            </w:r>
            <w:r>
              <w:rPr>
                <w:rFonts w:hint="eastAsia"/>
                <w:lang w:val="en-US" w:eastAsia="zh-CN"/>
              </w:rPr>
              <w:t>1.0</w:t>
            </w:r>
            <w:r>
              <w:t>m；</w:t>
            </w:r>
          </w:p>
          <w:p w14:paraId="4C39DD6F">
            <w:pPr>
              <w:pStyle w:val="11"/>
              <w:bidi w:val="0"/>
            </w:pPr>
            <w:r>
              <w:t>ds—病人与预测点的距离，m；</w:t>
            </w:r>
          </w:p>
          <w:p w14:paraId="05F38426">
            <w:pPr>
              <w:pStyle w:val="11"/>
              <w:bidi w:val="0"/>
            </w:pPr>
            <w:r>
              <w:t>B—减弱因子。</w:t>
            </w:r>
          </w:p>
          <w:p w14:paraId="5E96B608">
            <w:pPr>
              <w:pStyle w:val="11"/>
              <w:bidi w:val="0"/>
            </w:pPr>
            <w:r>
              <w:t>个人年最大有效剂量估算公式如下：</w:t>
            </w:r>
          </w:p>
          <w:p w14:paraId="33CF88BC">
            <w:pPr>
              <w:pStyle w:val="10"/>
              <w:autoSpaceDE w:val="0"/>
              <w:autoSpaceDN w:val="0"/>
              <w:jc w:val="center"/>
              <w:rPr>
                <w:rFonts w:ascii="Times New Roman" w:hAnsi="Times New Roman"/>
                <w:b w:val="0"/>
                <w:bCs w:val="0"/>
                <w:color w:val="000000" w:themeColor="text1"/>
                <w14:textFill>
                  <w14:solidFill>
                    <w14:schemeClr w14:val="tx1"/>
                  </w14:solidFill>
                </w14:textFill>
              </w:rPr>
            </w:pPr>
            <w:r>
              <w:rPr>
                <w:rFonts w:ascii="Times New Roman" w:hAnsi="Times New Roman"/>
                <w:color w:val="000000" w:themeColor="text1"/>
                <w:position w:val="-6"/>
                <w14:textFill>
                  <w14:solidFill>
                    <w14:schemeClr w14:val="tx1"/>
                  </w14:solidFill>
                </w14:textFill>
              </w:rPr>
              <w:object>
                <v:shape id="_x0000_i1029" o:spt="75" type="#_x0000_t75" style="height:16.3pt;width:92.05pt;" o:ole="t" filled="f" o:preferrelative="t" stroked="f" coordsize="21600,21600">
                  <v:path/>
                  <v:fill on="f" focussize="0,0"/>
                  <v:stroke on="f" joinstyle="miter"/>
                  <v:imagedata r:id="rId31" o:title=""/>
                  <o:lock v:ext="edit" aspectratio="t"/>
                  <w10:wrap type="none"/>
                  <w10:anchorlock/>
                </v:shape>
                <o:OLEObject Type="Embed" ProgID="Equation.3" ShapeID="_x0000_i1029" DrawAspect="Content" ObjectID="_1468075729" r:id="rId30">
                  <o:LockedField>false</o:LockedField>
                </o:OLEObject>
              </w:object>
            </w:r>
            <w:r>
              <w:rPr>
                <w:rFonts w:ascii="Times New Roman" w:hAnsi="Times New Roman"/>
                <w:b w:val="0"/>
                <w:bCs w:val="0"/>
                <w:i/>
                <w:iCs/>
                <w:color w:val="000000" w:themeColor="text1"/>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r>
              <w:rPr>
                <w:rFonts w:ascii="Times New Roman" w:hAnsi="Times New Roman"/>
                <w:b w:val="0"/>
                <w:bCs w:val="0"/>
                <w:color w:val="000000" w:themeColor="text1"/>
                <w14:textFill>
                  <w14:solidFill>
                    <w14:schemeClr w14:val="tx1"/>
                  </w14:solidFill>
                </w14:textFill>
              </w:rPr>
              <w:t>（式4）</w:t>
            </w:r>
          </w:p>
          <w:p w14:paraId="408941BC">
            <w:pPr>
              <w:pStyle w:val="10"/>
              <w:autoSpaceDE w:val="0"/>
              <w:autoSpaceDN w:val="0"/>
              <w:jc w:val="left"/>
              <w:rPr>
                <w:rFonts w:ascii="Times New Roman" w:hAnsi="Times New Roman"/>
                <w:b w:val="0"/>
                <w:bCs w:val="0"/>
                <w:color w:val="000000" w:themeColor="text1"/>
                <w14:textFill>
                  <w14:solidFill>
                    <w14:schemeClr w14:val="tx1"/>
                  </w14:solidFill>
                </w14:textFill>
              </w:rPr>
            </w:pPr>
            <w:r>
              <w:rPr>
                <w:rFonts w:ascii="Times New Roman" w:hAnsi="Times New Roman"/>
                <w:b w:val="0"/>
                <w:bCs w:val="0"/>
                <w:color w:val="000000" w:themeColor="text1"/>
                <w14:textFill>
                  <w14:solidFill>
                    <w14:schemeClr w14:val="tx1"/>
                  </w14:solidFill>
                </w14:textFill>
              </w:rPr>
              <w:t>式中：</w:t>
            </w:r>
          </w:p>
          <w:p w14:paraId="1A95DDC2">
            <w:pPr>
              <w:pStyle w:val="11"/>
              <w:bidi w:val="0"/>
            </w:pPr>
            <w:r>
              <w:t>E—辐射外照射人均年有效剂量，mSv；</w:t>
            </w:r>
          </w:p>
          <w:p w14:paraId="0DA43F59">
            <w:pPr>
              <w:pStyle w:val="11"/>
              <w:bidi w:val="0"/>
            </w:pPr>
            <w:r>
              <w:t>H—辐射剂量率，μSv/h；</w:t>
            </w:r>
          </w:p>
          <w:p w14:paraId="1D7C33BD">
            <w:pPr>
              <w:pStyle w:val="11"/>
              <w:bidi w:val="0"/>
            </w:pPr>
            <w:r>
              <w:t>t—年工作时间，h；</w:t>
            </w:r>
          </w:p>
          <w:p w14:paraId="5462D28D">
            <w:pPr>
              <w:pStyle w:val="11"/>
              <w:bidi w:val="0"/>
              <w:rPr>
                <w:rFonts w:hint="eastAsia"/>
                <w:lang w:val="en-US" w:eastAsia="zh-CN"/>
              </w:rPr>
            </w:pPr>
            <w:r>
              <w:t>T—居留因子。</w:t>
            </w:r>
            <w:r>
              <w:rPr>
                <w:rFonts w:hint="eastAsia"/>
                <w:lang w:val="en-US" w:eastAsia="zh-CN"/>
              </w:rPr>
              <w:t>参考《</w:t>
            </w:r>
            <w:r>
              <w:rPr>
                <w:rFonts w:hint="eastAsia"/>
              </w:rPr>
              <w:t>放射治疗辐射安全与防护要求</w:t>
            </w:r>
            <w:r>
              <w:rPr>
                <w:rFonts w:hint="eastAsia"/>
                <w:lang w:eastAsia="zh-CN"/>
              </w:rPr>
              <w:t>》（HJ1198-2021）</w:t>
            </w:r>
            <w:r>
              <w:rPr>
                <w:rFonts w:hint="eastAsia"/>
                <w:lang w:val="en-US" w:eastAsia="zh-CN"/>
              </w:rPr>
              <w:t>中附录A给定的参考值。见下表：</w:t>
            </w:r>
          </w:p>
          <w:p w14:paraId="70C76B0D">
            <w:pPr>
              <w:numPr>
                <w:ilvl w:val="0"/>
                <w:numId w:val="15"/>
              </w:numPr>
              <w:spacing w:line="360" w:lineRule="auto"/>
              <w:jc w:val="center"/>
              <w:rPr>
                <w:rFonts w:ascii="Times New Roman" w:hAnsi="Times New Roman"/>
                <w:b/>
                <w:color w:val="000000" w:themeColor="text1"/>
                <w:sz w:val="24"/>
                <w14:textFill>
                  <w14:solidFill>
                    <w14:schemeClr w14:val="tx1"/>
                  </w14:solidFill>
                </w14:textFill>
              </w:rPr>
            </w:pPr>
            <w:r>
              <w:rPr>
                <w:rFonts w:hint="default" w:ascii="Times New Roman" w:hAnsi="Times New Roman"/>
                <w:b/>
                <w:color w:val="000000" w:themeColor="text1"/>
                <w:sz w:val="24"/>
                <w:lang w:val="en-US" w:eastAsia="zh-CN"/>
                <w14:textFill>
                  <w14:solidFill>
                    <w14:schemeClr w14:val="tx1"/>
                  </w14:solidFill>
                </w14:textFill>
              </w:rPr>
              <w:t>不同场所的居留因子</w:t>
            </w:r>
          </w:p>
          <w:tbl>
            <w:tblPr>
              <w:tblStyle w:val="2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4"/>
              <w:gridCol w:w="914"/>
              <w:gridCol w:w="1145"/>
              <w:gridCol w:w="5840"/>
            </w:tblGrid>
            <w:tr w14:paraId="539BDF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4" w:type="dxa"/>
                  <w:vMerge w:val="restart"/>
                  <w:tcBorders>
                    <w:tl2br w:val="nil"/>
                    <w:tr2bl w:val="nil"/>
                  </w:tcBorders>
                  <w:vAlign w:val="center"/>
                </w:tcPr>
                <w:p w14:paraId="24FC5AB1">
                  <w:pPr>
                    <w:pStyle w:val="52"/>
                    <w:rPr>
                      <w:rFonts w:hint="default"/>
                      <w:lang w:val="en-US" w:eastAsia="zh-CN"/>
                    </w:rPr>
                  </w:pPr>
                  <w:r>
                    <w:rPr>
                      <w:rFonts w:hint="eastAsia"/>
                      <w:lang w:val="en-US" w:eastAsia="zh-CN"/>
                    </w:rPr>
                    <w:t>场所</w:t>
                  </w:r>
                </w:p>
              </w:tc>
              <w:tc>
                <w:tcPr>
                  <w:tcW w:w="2059" w:type="dxa"/>
                  <w:gridSpan w:val="2"/>
                  <w:tcBorders>
                    <w:tl2br w:val="nil"/>
                    <w:tr2bl w:val="nil"/>
                  </w:tcBorders>
                  <w:vAlign w:val="center"/>
                </w:tcPr>
                <w:p w14:paraId="1D455FFB">
                  <w:pPr>
                    <w:pStyle w:val="52"/>
                    <w:rPr>
                      <w:rFonts w:hint="default"/>
                      <w:lang w:val="en-US" w:eastAsia="zh-CN"/>
                    </w:rPr>
                  </w:pPr>
                  <w:r>
                    <w:rPr>
                      <w:rFonts w:hint="eastAsia"/>
                      <w:lang w:val="en-US" w:eastAsia="zh-CN"/>
                    </w:rPr>
                    <w:t>居留因子</w:t>
                  </w:r>
                </w:p>
              </w:tc>
              <w:tc>
                <w:tcPr>
                  <w:tcW w:w="5840" w:type="dxa"/>
                  <w:vMerge w:val="restart"/>
                  <w:tcBorders>
                    <w:tl2br w:val="nil"/>
                    <w:tr2bl w:val="nil"/>
                  </w:tcBorders>
                  <w:vAlign w:val="center"/>
                </w:tcPr>
                <w:p w14:paraId="5914F66A">
                  <w:pPr>
                    <w:pStyle w:val="52"/>
                    <w:rPr>
                      <w:rFonts w:hint="default"/>
                      <w:lang w:val="en-US" w:eastAsia="zh-CN"/>
                    </w:rPr>
                  </w:pPr>
                  <w:r>
                    <w:rPr>
                      <w:rFonts w:hint="eastAsia"/>
                      <w:lang w:val="en-US" w:eastAsia="zh-CN"/>
                    </w:rPr>
                    <w:t>示例</w:t>
                  </w:r>
                </w:p>
              </w:tc>
            </w:tr>
            <w:tr w14:paraId="520B0A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4" w:type="dxa"/>
                  <w:vMerge w:val="continue"/>
                  <w:tcBorders>
                    <w:tl2br w:val="nil"/>
                    <w:tr2bl w:val="nil"/>
                  </w:tcBorders>
                  <w:vAlign w:val="center"/>
                </w:tcPr>
                <w:p w14:paraId="2BF55B53">
                  <w:pPr>
                    <w:pStyle w:val="52"/>
                  </w:pPr>
                </w:p>
              </w:tc>
              <w:tc>
                <w:tcPr>
                  <w:tcW w:w="914" w:type="dxa"/>
                  <w:tcBorders>
                    <w:tl2br w:val="nil"/>
                    <w:tr2bl w:val="nil"/>
                  </w:tcBorders>
                  <w:vAlign w:val="center"/>
                </w:tcPr>
                <w:p w14:paraId="60C0B4E6">
                  <w:pPr>
                    <w:pStyle w:val="52"/>
                    <w:rPr>
                      <w:rFonts w:hint="default"/>
                      <w:lang w:val="en-US" w:eastAsia="zh-CN"/>
                    </w:rPr>
                  </w:pPr>
                  <w:r>
                    <w:rPr>
                      <w:rFonts w:hint="eastAsia"/>
                      <w:lang w:val="en-US" w:eastAsia="zh-CN"/>
                    </w:rPr>
                    <w:t>典型值</w:t>
                  </w:r>
                </w:p>
              </w:tc>
              <w:tc>
                <w:tcPr>
                  <w:tcW w:w="1145" w:type="dxa"/>
                  <w:tcBorders>
                    <w:tl2br w:val="nil"/>
                    <w:tr2bl w:val="nil"/>
                  </w:tcBorders>
                  <w:vAlign w:val="center"/>
                </w:tcPr>
                <w:p w14:paraId="0051B1DB">
                  <w:pPr>
                    <w:pStyle w:val="52"/>
                    <w:rPr>
                      <w:rFonts w:hint="default"/>
                      <w:lang w:val="en-US" w:eastAsia="zh-CN"/>
                    </w:rPr>
                  </w:pPr>
                  <w:r>
                    <w:rPr>
                      <w:rFonts w:hint="eastAsia"/>
                      <w:lang w:val="en-US" w:eastAsia="zh-CN"/>
                    </w:rPr>
                    <w:t>范围</w:t>
                  </w:r>
                </w:p>
              </w:tc>
              <w:tc>
                <w:tcPr>
                  <w:tcW w:w="5840" w:type="dxa"/>
                  <w:vMerge w:val="continue"/>
                  <w:tcBorders>
                    <w:tl2br w:val="nil"/>
                    <w:tr2bl w:val="nil"/>
                  </w:tcBorders>
                  <w:vAlign w:val="center"/>
                </w:tcPr>
                <w:p w14:paraId="357DB8AD">
                  <w:pPr>
                    <w:pStyle w:val="52"/>
                    <w:rPr>
                      <w:rFonts w:hint="eastAsia"/>
                      <w:lang w:val="en-US" w:eastAsia="zh-CN"/>
                    </w:rPr>
                  </w:pPr>
                </w:p>
              </w:tc>
            </w:tr>
            <w:tr w14:paraId="4CBC3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4" w:type="dxa"/>
                  <w:tcBorders>
                    <w:tl2br w:val="nil"/>
                    <w:tr2bl w:val="nil"/>
                  </w:tcBorders>
                  <w:vAlign w:val="center"/>
                </w:tcPr>
                <w:p w14:paraId="4D101343">
                  <w:pPr>
                    <w:pStyle w:val="52"/>
                    <w:rPr>
                      <w:rFonts w:hint="default"/>
                      <w:lang w:val="en-US" w:eastAsia="zh-CN"/>
                    </w:rPr>
                  </w:pPr>
                  <w:r>
                    <w:rPr>
                      <w:rFonts w:hint="eastAsia"/>
                      <w:lang w:val="en-US" w:eastAsia="zh-CN"/>
                    </w:rPr>
                    <w:t>全居留</w:t>
                  </w:r>
                </w:p>
              </w:tc>
              <w:tc>
                <w:tcPr>
                  <w:tcW w:w="914" w:type="dxa"/>
                  <w:tcBorders>
                    <w:tl2br w:val="nil"/>
                    <w:tr2bl w:val="nil"/>
                  </w:tcBorders>
                  <w:vAlign w:val="center"/>
                </w:tcPr>
                <w:p w14:paraId="49C77B67">
                  <w:pPr>
                    <w:pStyle w:val="52"/>
                    <w:rPr>
                      <w:rFonts w:hint="default"/>
                      <w:lang w:val="en-US" w:eastAsia="zh-CN"/>
                    </w:rPr>
                  </w:pPr>
                  <w:r>
                    <w:rPr>
                      <w:rFonts w:hint="eastAsia"/>
                      <w:lang w:val="en-US" w:eastAsia="zh-CN"/>
                    </w:rPr>
                    <w:t>1</w:t>
                  </w:r>
                </w:p>
              </w:tc>
              <w:tc>
                <w:tcPr>
                  <w:tcW w:w="1145" w:type="dxa"/>
                  <w:tcBorders>
                    <w:tl2br w:val="nil"/>
                    <w:tr2bl w:val="nil"/>
                  </w:tcBorders>
                  <w:vAlign w:val="center"/>
                </w:tcPr>
                <w:p w14:paraId="04F3EE9D">
                  <w:pPr>
                    <w:pStyle w:val="52"/>
                    <w:rPr>
                      <w:rFonts w:hint="default"/>
                      <w:lang w:val="en-US" w:eastAsia="zh-CN"/>
                    </w:rPr>
                  </w:pPr>
                  <w:r>
                    <w:rPr>
                      <w:rFonts w:hint="eastAsia"/>
                      <w:lang w:val="en-US" w:eastAsia="zh-CN"/>
                    </w:rPr>
                    <w:t>1</w:t>
                  </w:r>
                </w:p>
              </w:tc>
              <w:tc>
                <w:tcPr>
                  <w:tcW w:w="5840" w:type="dxa"/>
                  <w:tcBorders>
                    <w:tl2br w:val="nil"/>
                    <w:tr2bl w:val="nil"/>
                  </w:tcBorders>
                  <w:vAlign w:val="center"/>
                </w:tcPr>
                <w:p w14:paraId="7EBD4E62">
                  <w:pPr>
                    <w:pStyle w:val="52"/>
                    <w:jc w:val="left"/>
                    <w:rPr>
                      <w:rFonts w:hint="eastAsia"/>
                      <w:lang w:val="en-US" w:eastAsia="zh-CN"/>
                    </w:rPr>
                  </w:pPr>
                  <w:r>
                    <w:rPr>
                      <w:rFonts w:hint="eastAsia"/>
                      <w:lang w:val="en-US" w:eastAsia="zh-CN"/>
                    </w:rPr>
                    <w:t>管理人员或职员办公室、治疗计划区、治疗控制区、护士站、咨询台、有人护理的候诊室以及周边建筑物中的驻留区域</w:t>
                  </w:r>
                </w:p>
              </w:tc>
            </w:tr>
            <w:tr w14:paraId="3A5FEE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4" w:type="dxa"/>
                  <w:tcBorders>
                    <w:tl2br w:val="nil"/>
                    <w:tr2bl w:val="nil"/>
                  </w:tcBorders>
                  <w:vAlign w:val="center"/>
                </w:tcPr>
                <w:p w14:paraId="0B361374">
                  <w:pPr>
                    <w:pStyle w:val="52"/>
                    <w:rPr>
                      <w:rFonts w:hint="default"/>
                      <w:lang w:val="en-US" w:eastAsia="zh-CN"/>
                    </w:rPr>
                  </w:pPr>
                  <w:r>
                    <w:rPr>
                      <w:rFonts w:hint="eastAsia"/>
                      <w:lang w:val="en-US" w:eastAsia="zh-CN"/>
                    </w:rPr>
                    <w:t>部分居留</w:t>
                  </w:r>
                </w:p>
              </w:tc>
              <w:tc>
                <w:tcPr>
                  <w:tcW w:w="914" w:type="dxa"/>
                  <w:tcBorders>
                    <w:tl2br w:val="nil"/>
                    <w:tr2bl w:val="nil"/>
                  </w:tcBorders>
                  <w:vAlign w:val="center"/>
                </w:tcPr>
                <w:p w14:paraId="6BEC2C74">
                  <w:pPr>
                    <w:pStyle w:val="52"/>
                    <w:rPr>
                      <w:rFonts w:hint="default"/>
                      <w:lang w:val="en-US" w:eastAsia="zh-CN"/>
                    </w:rPr>
                  </w:pPr>
                  <w:r>
                    <w:rPr>
                      <w:rFonts w:hint="eastAsia"/>
                      <w:lang w:val="en-US" w:eastAsia="zh-CN"/>
                    </w:rPr>
                    <w:t>1/4</w:t>
                  </w:r>
                </w:p>
              </w:tc>
              <w:tc>
                <w:tcPr>
                  <w:tcW w:w="1145" w:type="dxa"/>
                  <w:tcBorders>
                    <w:tl2br w:val="nil"/>
                    <w:tr2bl w:val="nil"/>
                  </w:tcBorders>
                  <w:vAlign w:val="center"/>
                </w:tcPr>
                <w:p w14:paraId="0E858A7D">
                  <w:pPr>
                    <w:pStyle w:val="52"/>
                    <w:rPr>
                      <w:rFonts w:hint="default"/>
                      <w:lang w:val="en-US" w:eastAsia="zh-CN"/>
                    </w:rPr>
                  </w:pPr>
                  <w:r>
                    <w:rPr>
                      <w:rFonts w:hint="eastAsia"/>
                      <w:lang w:val="en-US" w:eastAsia="zh-CN"/>
                    </w:rPr>
                    <w:t>1/2~1/5</w:t>
                  </w:r>
                </w:p>
              </w:tc>
              <w:tc>
                <w:tcPr>
                  <w:tcW w:w="5840" w:type="dxa"/>
                  <w:tcBorders>
                    <w:tl2br w:val="nil"/>
                    <w:tr2bl w:val="nil"/>
                  </w:tcBorders>
                  <w:vAlign w:val="center"/>
                </w:tcPr>
                <w:p w14:paraId="4E6B0B90">
                  <w:pPr>
                    <w:pStyle w:val="52"/>
                    <w:jc w:val="left"/>
                    <w:rPr>
                      <w:rFonts w:hint="eastAsia"/>
                      <w:lang w:val="en-US" w:eastAsia="zh-CN"/>
                    </w:rPr>
                  </w:pPr>
                  <w:r>
                    <w:rPr>
                      <w:rFonts w:hint="eastAsia"/>
                      <w:lang w:val="en-US" w:eastAsia="zh-CN"/>
                    </w:rPr>
                    <w:t>1/2：相邻的治疗室、与屏蔽室相邻的病人检查室</w:t>
                  </w:r>
                </w:p>
                <w:p w14:paraId="7DEA1923">
                  <w:pPr>
                    <w:pStyle w:val="52"/>
                    <w:jc w:val="left"/>
                    <w:rPr>
                      <w:rFonts w:hint="eastAsia"/>
                      <w:lang w:val="en-US" w:eastAsia="zh-CN"/>
                    </w:rPr>
                  </w:pPr>
                  <w:r>
                    <w:rPr>
                      <w:rFonts w:hint="eastAsia"/>
                      <w:lang w:val="en-US" w:eastAsia="zh-CN"/>
                    </w:rPr>
                    <w:t>1/5：走廊、雇员休息室、职员休息室</w:t>
                  </w:r>
                </w:p>
              </w:tc>
            </w:tr>
            <w:tr w14:paraId="1F3527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4" w:type="dxa"/>
                  <w:tcBorders>
                    <w:tl2br w:val="nil"/>
                    <w:tr2bl w:val="nil"/>
                  </w:tcBorders>
                  <w:vAlign w:val="center"/>
                </w:tcPr>
                <w:p w14:paraId="536B56E2">
                  <w:pPr>
                    <w:pStyle w:val="52"/>
                    <w:rPr>
                      <w:rFonts w:hint="default"/>
                      <w:lang w:val="en-US" w:eastAsia="zh-CN"/>
                    </w:rPr>
                  </w:pPr>
                  <w:r>
                    <w:rPr>
                      <w:rFonts w:hint="eastAsia"/>
                      <w:lang w:val="en-US" w:eastAsia="zh-CN"/>
                    </w:rPr>
                    <w:t>偶然居留</w:t>
                  </w:r>
                </w:p>
              </w:tc>
              <w:tc>
                <w:tcPr>
                  <w:tcW w:w="914" w:type="dxa"/>
                  <w:tcBorders>
                    <w:tl2br w:val="nil"/>
                    <w:tr2bl w:val="nil"/>
                  </w:tcBorders>
                  <w:vAlign w:val="center"/>
                </w:tcPr>
                <w:p w14:paraId="652DC40D">
                  <w:pPr>
                    <w:pStyle w:val="52"/>
                    <w:rPr>
                      <w:rFonts w:hint="default"/>
                      <w:lang w:val="en-US" w:eastAsia="zh-CN"/>
                    </w:rPr>
                  </w:pPr>
                  <w:r>
                    <w:rPr>
                      <w:rFonts w:hint="eastAsia"/>
                      <w:lang w:val="en-US" w:eastAsia="zh-CN"/>
                    </w:rPr>
                    <w:t>1/16</w:t>
                  </w:r>
                </w:p>
              </w:tc>
              <w:tc>
                <w:tcPr>
                  <w:tcW w:w="1145" w:type="dxa"/>
                  <w:tcBorders>
                    <w:tl2br w:val="nil"/>
                    <w:tr2bl w:val="nil"/>
                  </w:tcBorders>
                  <w:vAlign w:val="center"/>
                </w:tcPr>
                <w:p w14:paraId="17F3E574">
                  <w:pPr>
                    <w:pStyle w:val="52"/>
                    <w:rPr>
                      <w:rFonts w:hint="default"/>
                      <w:lang w:val="en-US" w:eastAsia="zh-CN"/>
                    </w:rPr>
                  </w:pPr>
                  <w:r>
                    <w:rPr>
                      <w:rFonts w:hint="eastAsia"/>
                      <w:lang w:val="en-US" w:eastAsia="zh-CN"/>
                    </w:rPr>
                    <w:t>1/8~1/40</w:t>
                  </w:r>
                </w:p>
              </w:tc>
              <w:tc>
                <w:tcPr>
                  <w:tcW w:w="5840" w:type="dxa"/>
                  <w:tcBorders>
                    <w:tl2br w:val="nil"/>
                    <w:tr2bl w:val="nil"/>
                  </w:tcBorders>
                  <w:vAlign w:val="center"/>
                </w:tcPr>
                <w:p w14:paraId="5305E02D">
                  <w:pPr>
                    <w:pStyle w:val="52"/>
                    <w:jc w:val="left"/>
                    <w:rPr>
                      <w:rFonts w:hint="eastAsia"/>
                      <w:lang w:val="en-US" w:eastAsia="zh-CN"/>
                    </w:rPr>
                  </w:pPr>
                  <w:r>
                    <w:rPr>
                      <w:rFonts w:hint="eastAsia"/>
                      <w:lang w:val="en-US" w:eastAsia="zh-CN"/>
                    </w:rPr>
                    <w:t>1/8：各治疗室门</w:t>
                  </w:r>
                </w:p>
                <w:p w14:paraId="14133733">
                  <w:pPr>
                    <w:pStyle w:val="52"/>
                    <w:jc w:val="left"/>
                    <w:rPr>
                      <w:rFonts w:hint="eastAsia"/>
                      <w:lang w:val="en-US" w:eastAsia="zh-CN"/>
                    </w:rPr>
                  </w:pPr>
                  <w:r>
                    <w:rPr>
                      <w:rFonts w:hint="eastAsia"/>
                      <w:lang w:val="en-US" w:eastAsia="zh-CN"/>
                    </w:rPr>
                    <w:t>1/20：公厕、自动售货区、储藏室、设有座椅的户外区域、无人护理的候诊室、病人滞留区域、屋顶、门岗室</w:t>
                  </w:r>
                </w:p>
                <w:p w14:paraId="5836F829">
                  <w:pPr>
                    <w:pStyle w:val="52"/>
                    <w:jc w:val="left"/>
                    <w:rPr>
                      <w:rFonts w:hint="eastAsia"/>
                      <w:lang w:val="en-US" w:eastAsia="zh-CN"/>
                    </w:rPr>
                  </w:pPr>
                  <w:r>
                    <w:rPr>
                      <w:rFonts w:hint="eastAsia"/>
                      <w:lang w:val="en-US" w:eastAsia="zh-CN"/>
                    </w:rPr>
                    <w:t>1/40：仅有行人车辆来往的户外区域、无人看管的停车场，车辆自动卸货/卸客区域、楼梯、无人看管的电机</w:t>
                  </w:r>
                </w:p>
              </w:tc>
            </w:tr>
          </w:tbl>
          <w:p w14:paraId="1AB9FC21">
            <w:pPr>
              <w:pStyle w:val="11"/>
              <w:bidi w:val="0"/>
              <w:rPr>
                <w:rFonts w:hint="eastAsia"/>
              </w:rPr>
            </w:pPr>
            <w:r>
              <w:t>各关注点散射辐射剂量率计算参数及结果见下表11-</w:t>
            </w:r>
            <w:r>
              <w:rPr>
                <w:rFonts w:hint="eastAsia"/>
                <w:lang w:val="en-US" w:eastAsia="zh-CN"/>
              </w:rPr>
              <w:t>5</w:t>
            </w:r>
            <w:r>
              <w:t>。</w:t>
            </w:r>
            <w:r>
              <w:rPr>
                <w:rFonts w:hint="eastAsia"/>
              </w:rPr>
              <w:t>预测布点图见附图</w:t>
            </w:r>
            <w:r>
              <w:rPr>
                <w:rFonts w:hint="eastAsia"/>
                <w:lang w:val="en-US" w:eastAsia="zh-CN"/>
              </w:rPr>
              <w:t>8</w:t>
            </w:r>
            <w:r>
              <w:rPr>
                <w:rFonts w:hint="eastAsia"/>
              </w:rPr>
              <w:t>。</w:t>
            </w:r>
          </w:p>
          <w:p w14:paraId="709B37D3">
            <w:pPr>
              <w:pStyle w:val="11"/>
              <w:bidi w:val="0"/>
              <w:rPr>
                <w:rFonts w:hint="default"/>
                <w:lang w:val="en-US" w:eastAsia="zh-CN"/>
              </w:rPr>
            </w:pPr>
            <w:r>
              <w:rPr>
                <w:rFonts w:hint="default"/>
                <w:lang w:val="en-US" w:eastAsia="zh-CN"/>
              </w:rPr>
              <w:t>DSA机房净空高4.5m，地面楼板厚度0.2</w:t>
            </w:r>
            <w:r>
              <w:rPr>
                <w:rFonts w:hint="eastAsia"/>
                <w:lang w:val="en-US" w:eastAsia="zh-CN"/>
              </w:rPr>
              <w:t>6</w:t>
            </w:r>
            <w:r>
              <w:rPr>
                <w:rFonts w:hint="default"/>
                <w:lang w:val="en-US" w:eastAsia="zh-CN"/>
              </w:rPr>
              <w:t>m，保守按照靶点</w:t>
            </w:r>
            <w:r>
              <w:rPr>
                <w:rFonts w:hint="eastAsia"/>
                <w:lang w:val="en-US" w:eastAsia="zh-CN"/>
              </w:rPr>
              <w:t>距</w:t>
            </w:r>
            <w:r>
              <w:rPr>
                <w:rFonts w:hint="default"/>
                <w:lang w:val="en-US" w:eastAsia="zh-CN"/>
              </w:rPr>
              <w:t>地面0.5m，病人与靶点的距离取</w:t>
            </w:r>
            <w:r>
              <w:rPr>
                <w:rFonts w:hint="eastAsia"/>
                <w:lang w:val="en-US" w:eastAsia="zh-CN"/>
              </w:rPr>
              <w:t>0.5</w:t>
            </w:r>
            <w:r>
              <w:rPr>
                <w:rFonts w:hint="default"/>
                <w:lang w:val="en-US" w:eastAsia="zh-CN"/>
              </w:rPr>
              <w:t>m</w:t>
            </w:r>
            <w:r>
              <w:rPr>
                <w:rFonts w:hint="eastAsia"/>
                <w:lang w:val="en-US" w:eastAsia="zh-CN"/>
              </w:rPr>
              <w:t>。负一楼对应位置为消防水池，无人员；故本项目楼下关注点散射辐射无需进行预测。</w:t>
            </w:r>
          </w:p>
          <w:p w14:paraId="0CBE8B7B">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各关注点散射辐射剂量率计算参数及结果</w:t>
            </w:r>
          </w:p>
          <w:tbl>
            <w:tblPr>
              <w:tblStyle w:val="23"/>
              <w:tblW w:w="861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67"/>
              <w:gridCol w:w="1515"/>
              <w:gridCol w:w="1290"/>
              <w:gridCol w:w="1846"/>
              <w:gridCol w:w="1019"/>
              <w:gridCol w:w="472"/>
              <w:gridCol w:w="848"/>
              <w:gridCol w:w="959"/>
            </w:tblGrid>
            <w:tr w14:paraId="6175F1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tcBorders>
                    <w:tl2br w:val="nil"/>
                    <w:tr2bl w:val="nil"/>
                  </w:tcBorders>
                  <w:vAlign w:val="center"/>
                </w:tcPr>
                <w:p w14:paraId="2E7046EC">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序号</w:t>
                  </w:r>
                </w:p>
              </w:tc>
              <w:tc>
                <w:tcPr>
                  <w:tcW w:w="1515" w:type="dxa"/>
                  <w:tcBorders>
                    <w:tl2br w:val="nil"/>
                    <w:tr2bl w:val="nil"/>
                  </w:tcBorders>
                  <w:vAlign w:val="center"/>
                </w:tcPr>
                <w:p w14:paraId="5B0714DD">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关注点位描述</w:t>
                  </w:r>
                </w:p>
              </w:tc>
              <w:tc>
                <w:tcPr>
                  <w:tcW w:w="1290" w:type="dxa"/>
                  <w:tcBorders>
                    <w:tl2br w:val="nil"/>
                    <w:tr2bl w:val="nil"/>
                  </w:tcBorders>
                  <w:vAlign w:val="center"/>
                </w:tcPr>
                <w:p w14:paraId="4CB63E0D">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病人（散射点）到关注点距离（m）</w:t>
                  </w:r>
                </w:p>
              </w:tc>
              <w:tc>
                <w:tcPr>
                  <w:tcW w:w="1846" w:type="dxa"/>
                  <w:tcBorders>
                    <w:tl2br w:val="nil"/>
                    <w:tr2bl w:val="nil"/>
                  </w:tcBorders>
                  <w:vAlign w:val="center"/>
                </w:tcPr>
                <w:p w14:paraId="37B5CDC6">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屏蔽材料与厚度（mm）</w:t>
                  </w:r>
                </w:p>
              </w:tc>
              <w:tc>
                <w:tcPr>
                  <w:tcW w:w="1019" w:type="dxa"/>
                  <w:tcBorders>
                    <w:tl2br w:val="nil"/>
                    <w:tr2bl w:val="nil"/>
                  </w:tcBorders>
                  <w:vAlign w:val="center"/>
                </w:tcPr>
                <w:p w14:paraId="5E12E561">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折合铅</w:t>
                  </w:r>
                </w:p>
                <w:p w14:paraId="709DCC09">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当量</w:t>
                  </w:r>
                </w:p>
                <w:p w14:paraId="0D04F6DF">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（mmPb）</w:t>
                  </w:r>
                </w:p>
              </w:tc>
              <w:tc>
                <w:tcPr>
                  <w:tcW w:w="472" w:type="dxa"/>
                  <w:tcBorders>
                    <w:tl2br w:val="nil"/>
                    <w:tr2bl w:val="nil"/>
                  </w:tcBorders>
                  <w:vAlign w:val="center"/>
                </w:tcPr>
                <w:p w14:paraId="077A87F3">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照射</w:t>
                  </w:r>
                </w:p>
                <w:p w14:paraId="3A131DA7">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模式</w:t>
                  </w:r>
                </w:p>
              </w:tc>
              <w:tc>
                <w:tcPr>
                  <w:tcW w:w="848" w:type="dxa"/>
                  <w:tcBorders>
                    <w:tl2br w:val="nil"/>
                    <w:tr2bl w:val="nil"/>
                  </w:tcBorders>
                  <w:vAlign w:val="center"/>
                </w:tcPr>
                <w:p w14:paraId="4DB59A00">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减弱</w:t>
                  </w:r>
                </w:p>
                <w:p w14:paraId="0187CA4C">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因子</w:t>
                  </w:r>
                </w:p>
              </w:tc>
              <w:tc>
                <w:tcPr>
                  <w:tcW w:w="959" w:type="dxa"/>
                  <w:tcBorders>
                    <w:tl2br w:val="nil"/>
                    <w:tr2bl w:val="nil"/>
                  </w:tcBorders>
                  <w:vAlign w:val="center"/>
                </w:tcPr>
                <w:p w14:paraId="594942EE">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散射辐射剂量率（μGy/h）</w:t>
                  </w:r>
                </w:p>
              </w:tc>
            </w:tr>
            <w:tr w14:paraId="7C7E61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tcBorders>
                    <w:tl2br w:val="nil"/>
                    <w:tr2bl w:val="nil"/>
                  </w:tcBorders>
                  <w:vAlign w:val="center"/>
                </w:tcPr>
                <w:p w14:paraId="4C6250B1">
                  <w:pPr>
                    <w:jc w:val="center"/>
                    <w:rPr>
                      <w:rFonts w:hint="default" w:ascii="Times New Roman" w:hAnsi="Times New Roman" w:eastAsia="宋体" w:cs="Times New Roman"/>
                      <w:szCs w:val="21"/>
                    </w:rPr>
                  </w:pPr>
                  <w:r>
                    <w:rPr>
                      <w:rFonts w:hint="default" w:ascii="Times New Roman" w:hAnsi="Times New Roman" w:eastAsia="宋体" w:cs="Times New Roman"/>
                      <w:szCs w:val="21"/>
                    </w:rPr>
                    <w:t>1</w:t>
                  </w:r>
                </w:p>
              </w:tc>
              <w:tc>
                <w:tcPr>
                  <w:tcW w:w="1515" w:type="dxa"/>
                  <w:tcBorders>
                    <w:tl2br w:val="nil"/>
                    <w:tr2bl w:val="nil"/>
                  </w:tcBorders>
                  <w:vAlign w:val="center"/>
                </w:tcPr>
                <w:p w14:paraId="12E6C4BD">
                  <w:pPr>
                    <w:jc w:val="center"/>
                    <w:rPr>
                      <w:rFonts w:hint="default" w:ascii="Times New Roman" w:hAnsi="Times New Roman" w:eastAsia="宋体" w:cs="Times New Roman"/>
                      <w:szCs w:val="21"/>
                    </w:rPr>
                  </w:pPr>
                  <w:r>
                    <w:rPr>
                      <w:rFonts w:hint="default" w:ascii="Times New Roman" w:hAnsi="Times New Roman" w:eastAsia="宋体" w:cs="Times New Roman"/>
                      <w:szCs w:val="21"/>
                    </w:rPr>
                    <w:t>DSA机房内主刀医生</w:t>
                  </w:r>
                </w:p>
              </w:tc>
              <w:tc>
                <w:tcPr>
                  <w:tcW w:w="1290" w:type="dxa"/>
                  <w:tcBorders>
                    <w:tl2br w:val="nil"/>
                    <w:tr2bl w:val="nil"/>
                  </w:tcBorders>
                  <w:vAlign w:val="center"/>
                </w:tcPr>
                <w:p w14:paraId="11682A3C">
                  <w:pPr>
                    <w:jc w:val="center"/>
                    <w:rPr>
                      <w:rFonts w:hint="default" w:ascii="Times New Roman" w:hAnsi="Times New Roman" w:eastAsia="宋体" w:cs="Times New Roman"/>
                      <w:szCs w:val="21"/>
                    </w:rPr>
                  </w:pPr>
                  <w:r>
                    <w:rPr>
                      <w:rFonts w:hint="default" w:ascii="Times New Roman" w:hAnsi="Times New Roman" w:eastAsia="宋体" w:cs="Times New Roman"/>
                      <w:szCs w:val="21"/>
                    </w:rPr>
                    <w:t>0.5</w:t>
                  </w:r>
                </w:p>
              </w:tc>
              <w:tc>
                <w:tcPr>
                  <w:tcW w:w="1846" w:type="dxa"/>
                  <w:tcBorders>
                    <w:tl2br w:val="nil"/>
                    <w:tr2bl w:val="nil"/>
                  </w:tcBorders>
                  <w:vAlign w:val="center"/>
                </w:tcPr>
                <w:p w14:paraId="2ABE8B08">
                  <w:pPr>
                    <w:jc w:val="center"/>
                    <w:rPr>
                      <w:rFonts w:hint="default" w:ascii="Times New Roman" w:hAnsi="Times New Roman" w:eastAsia="宋体" w:cs="Times New Roman"/>
                      <w:szCs w:val="21"/>
                    </w:rPr>
                  </w:pPr>
                  <w:r>
                    <w:rPr>
                      <w:rFonts w:hint="default" w:ascii="Times New Roman" w:hAnsi="Times New Roman" w:eastAsia="宋体" w:cs="Times New Roman"/>
                      <w:szCs w:val="21"/>
                    </w:rPr>
                    <w:t>0.5mmPb铅防护衣+0.5mmPb铅帘</w:t>
                  </w:r>
                </w:p>
              </w:tc>
              <w:tc>
                <w:tcPr>
                  <w:tcW w:w="1019" w:type="dxa"/>
                  <w:tcBorders>
                    <w:tl2br w:val="nil"/>
                    <w:tr2bl w:val="nil"/>
                  </w:tcBorders>
                  <w:vAlign w:val="center"/>
                </w:tcPr>
                <w:p w14:paraId="7DE9F936">
                  <w:pPr>
                    <w:jc w:val="center"/>
                    <w:rPr>
                      <w:rFonts w:hint="default" w:ascii="Times New Roman" w:hAnsi="Times New Roman" w:eastAsia="宋体" w:cs="Times New Roman"/>
                      <w:szCs w:val="21"/>
                    </w:rPr>
                  </w:pPr>
                  <w:r>
                    <w:rPr>
                      <w:rFonts w:hint="default" w:ascii="Times New Roman" w:hAnsi="Times New Roman" w:eastAsia="宋体" w:cs="Times New Roman"/>
                      <w:szCs w:val="21"/>
                    </w:rPr>
                    <w:t>1.00</w:t>
                  </w:r>
                </w:p>
              </w:tc>
              <w:tc>
                <w:tcPr>
                  <w:tcW w:w="472" w:type="dxa"/>
                  <w:tcBorders>
                    <w:tl2br w:val="nil"/>
                    <w:tr2bl w:val="nil"/>
                  </w:tcBorders>
                  <w:vAlign w:val="center"/>
                </w:tcPr>
                <w:p w14:paraId="7757707F">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vAlign w:val="center"/>
                </w:tcPr>
                <w:p w14:paraId="6E926AC8">
                  <w:pPr>
                    <w:pStyle w:val="52"/>
                    <w:bidi w:val="0"/>
                    <w:rPr>
                      <w:rFonts w:hint="default"/>
                    </w:rPr>
                  </w:pPr>
                  <w:r>
                    <w:rPr>
                      <w:rFonts w:hint="default"/>
                      <w:lang w:val="en-US" w:eastAsia="zh-CN"/>
                    </w:rPr>
                    <w:t>4.08E-03</w:t>
                  </w:r>
                </w:p>
              </w:tc>
              <w:tc>
                <w:tcPr>
                  <w:tcW w:w="959" w:type="dxa"/>
                  <w:tcBorders>
                    <w:tl2br w:val="nil"/>
                    <w:tr2bl w:val="nil"/>
                  </w:tcBorders>
                  <w:vAlign w:val="center"/>
                </w:tcPr>
                <w:p w14:paraId="58B4DAF7">
                  <w:pPr>
                    <w:pStyle w:val="52"/>
                    <w:bidi w:val="0"/>
                    <w:rPr>
                      <w:rFonts w:hint="default"/>
                    </w:rPr>
                  </w:pPr>
                  <w:r>
                    <w:rPr>
                      <w:rFonts w:hint="default"/>
                      <w:lang w:val="en-US" w:eastAsia="zh-CN"/>
                    </w:rPr>
                    <w:t xml:space="preserve">51.555 </w:t>
                  </w:r>
                </w:p>
              </w:tc>
            </w:tr>
            <w:tr w14:paraId="2EC8C2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tcBorders>
                    <w:tl2br w:val="nil"/>
                    <w:tr2bl w:val="nil"/>
                  </w:tcBorders>
                  <w:vAlign w:val="center"/>
                </w:tcPr>
                <w:p w14:paraId="0E840851">
                  <w:pPr>
                    <w:jc w:val="center"/>
                    <w:rPr>
                      <w:rFonts w:hint="default" w:ascii="Times New Roman" w:hAnsi="Times New Roman" w:eastAsia="宋体" w:cs="Times New Roman"/>
                      <w:szCs w:val="21"/>
                    </w:rPr>
                  </w:pPr>
                  <w:r>
                    <w:rPr>
                      <w:rFonts w:hint="default" w:ascii="Times New Roman" w:hAnsi="Times New Roman" w:eastAsia="宋体" w:cs="Times New Roman"/>
                      <w:szCs w:val="21"/>
                    </w:rPr>
                    <w:t>2</w:t>
                  </w:r>
                </w:p>
              </w:tc>
              <w:tc>
                <w:tcPr>
                  <w:tcW w:w="1515" w:type="dxa"/>
                  <w:tcBorders>
                    <w:tl2br w:val="nil"/>
                    <w:tr2bl w:val="nil"/>
                  </w:tcBorders>
                  <w:vAlign w:val="center"/>
                </w:tcPr>
                <w:p w14:paraId="009E780C">
                  <w:pPr>
                    <w:jc w:val="center"/>
                    <w:rPr>
                      <w:rFonts w:hint="default" w:ascii="Times New Roman" w:hAnsi="Times New Roman" w:eastAsia="宋体" w:cs="Times New Roman"/>
                      <w:szCs w:val="21"/>
                    </w:rPr>
                  </w:pPr>
                  <w:r>
                    <w:rPr>
                      <w:rFonts w:hint="default" w:ascii="Times New Roman" w:hAnsi="Times New Roman" w:eastAsia="宋体" w:cs="Times New Roman"/>
                      <w:szCs w:val="21"/>
                    </w:rPr>
                    <w:t>DSA机房内助手医生</w:t>
                  </w:r>
                </w:p>
              </w:tc>
              <w:tc>
                <w:tcPr>
                  <w:tcW w:w="1290" w:type="dxa"/>
                  <w:tcBorders>
                    <w:tl2br w:val="nil"/>
                    <w:tr2bl w:val="nil"/>
                  </w:tcBorders>
                  <w:vAlign w:val="center"/>
                </w:tcPr>
                <w:p w14:paraId="5ABE43B2">
                  <w:pPr>
                    <w:jc w:val="center"/>
                    <w:rPr>
                      <w:rFonts w:hint="default" w:ascii="Times New Roman" w:hAnsi="Times New Roman" w:eastAsia="宋体" w:cs="Times New Roman"/>
                      <w:szCs w:val="21"/>
                      <w:lang w:eastAsia="zh-CN"/>
                    </w:rPr>
                  </w:pPr>
                  <w:r>
                    <w:rPr>
                      <w:rFonts w:hint="default" w:ascii="Times New Roman" w:hAnsi="Times New Roman" w:eastAsia="宋体" w:cs="Times New Roman"/>
                      <w:szCs w:val="21"/>
                      <w:lang w:eastAsia="zh-CN"/>
                    </w:rPr>
                    <w:t>0.9</w:t>
                  </w:r>
                </w:p>
              </w:tc>
              <w:tc>
                <w:tcPr>
                  <w:tcW w:w="1846" w:type="dxa"/>
                  <w:tcBorders>
                    <w:tl2br w:val="nil"/>
                    <w:tr2bl w:val="nil"/>
                  </w:tcBorders>
                  <w:vAlign w:val="center"/>
                </w:tcPr>
                <w:p w14:paraId="11F1AE22">
                  <w:pPr>
                    <w:jc w:val="center"/>
                    <w:rPr>
                      <w:rFonts w:hint="default" w:ascii="Times New Roman" w:hAnsi="Times New Roman" w:eastAsia="宋体" w:cs="Times New Roman"/>
                      <w:szCs w:val="21"/>
                    </w:rPr>
                  </w:pPr>
                  <w:r>
                    <w:rPr>
                      <w:rFonts w:hint="default" w:ascii="Times New Roman" w:hAnsi="Times New Roman" w:eastAsia="宋体" w:cs="Times New Roman"/>
                      <w:szCs w:val="21"/>
                    </w:rPr>
                    <w:t>0.5mmPb铅防护衣</w:t>
                  </w:r>
                </w:p>
              </w:tc>
              <w:tc>
                <w:tcPr>
                  <w:tcW w:w="1019" w:type="dxa"/>
                  <w:tcBorders>
                    <w:tl2br w:val="nil"/>
                    <w:tr2bl w:val="nil"/>
                  </w:tcBorders>
                  <w:vAlign w:val="center"/>
                </w:tcPr>
                <w:p w14:paraId="335A8F89">
                  <w:pPr>
                    <w:jc w:val="center"/>
                    <w:rPr>
                      <w:rFonts w:hint="default" w:ascii="Times New Roman" w:hAnsi="Times New Roman" w:eastAsia="宋体" w:cs="Times New Roman"/>
                      <w:szCs w:val="21"/>
                    </w:rPr>
                  </w:pPr>
                  <w:r>
                    <w:rPr>
                      <w:rFonts w:hint="default" w:ascii="Times New Roman" w:hAnsi="Times New Roman" w:eastAsia="宋体" w:cs="Times New Roman"/>
                      <w:szCs w:val="21"/>
                    </w:rPr>
                    <w:t>0.50</w:t>
                  </w:r>
                </w:p>
              </w:tc>
              <w:tc>
                <w:tcPr>
                  <w:tcW w:w="472" w:type="dxa"/>
                  <w:tcBorders>
                    <w:tl2br w:val="nil"/>
                    <w:tr2bl w:val="nil"/>
                  </w:tcBorders>
                  <w:vAlign w:val="center"/>
                </w:tcPr>
                <w:p w14:paraId="41AA28DB">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vAlign w:val="center"/>
                </w:tcPr>
                <w:p w14:paraId="516EB84B">
                  <w:pPr>
                    <w:pStyle w:val="52"/>
                    <w:bidi w:val="0"/>
                    <w:rPr>
                      <w:rFonts w:hint="default"/>
                    </w:rPr>
                  </w:pPr>
                  <w:r>
                    <w:rPr>
                      <w:rFonts w:hint="default"/>
                      <w:lang w:val="en-US" w:eastAsia="zh-CN"/>
                    </w:rPr>
                    <w:t>2.52E-02</w:t>
                  </w:r>
                </w:p>
              </w:tc>
              <w:tc>
                <w:tcPr>
                  <w:tcW w:w="959" w:type="dxa"/>
                  <w:tcBorders>
                    <w:tl2br w:val="nil"/>
                    <w:tr2bl w:val="nil"/>
                  </w:tcBorders>
                  <w:vAlign w:val="center"/>
                </w:tcPr>
                <w:p w14:paraId="24D4E4BF">
                  <w:pPr>
                    <w:pStyle w:val="52"/>
                    <w:bidi w:val="0"/>
                    <w:rPr>
                      <w:rFonts w:hint="default"/>
                    </w:rPr>
                  </w:pPr>
                  <w:r>
                    <w:rPr>
                      <w:rFonts w:hint="default"/>
                      <w:lang w:val="en-US" w:eastAsia="zh-CN"/>
                    </w:rPr>
                    <w:t xml:space="preserve">98.280 </w:t>
                  </w:r>
                </w:p>
              </w:tc>
            </w:tr>
            <w:tr w14:paraId="100350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tcBorders>
                    <w:tl2br w:val="nil"/>
                    <w:tr2bl w:val="nil"/>
                  </w:tcBorders>
                  <w:vAlign w:val="center"/>
                </w:tcPr>
                <w:p w14:paraId="1B9BADD5">
                  <w:pPr>
                    <w:jc w:val="center"/>
                    <w:rPr>
                      <w:rFonts w:hint="default" w:ascii="Times New Roman" w:hAnsi="Times New Roman" w:eastAsia="宋体" w:cs="Times New Roman"/>
                      <w:szCs w:val="21"/>
                    </w:rPr>
                  </w:pPr>
                  <w:r>
                    <w:rPr>
                      <w:rFonts w:hint="default" w:ascii="Times New Roman" w:hAnsi="Times New Roman" w:eastAsia="宋体" w:cs="Times New Roman"/>
                      <w:szCs w:val="21"/>
                    </w:rPr>
                    <w:t>3</w:t>
                  </w:r>
                </w:p>
              </w:tc>
              <w:tc>
                <w:tcPr>
                  <w:tcW w:w="1515" w:type="dxa"/>
                  <w:tcBorders>
                    <w:tl2br w:val="nil"/>
                    <w:tr2bl w:val="nil"/>
                  </w:tcBorders>
                  <w:vAlign w:val="center"/>
                </w:tcPr>
                <w:p w14:paraId="5E8DB723">
                  <w:pPr>
                    <w:jc w:val="center"/>
                    <w:rPr>
                      <w:rFonts w:hint="default" w:ascii="Times New Roman" w:hAnsi="Times New Roman" w:eastAsia="宋体" w:cs="Times New Roman"/>
                      <w:szCs w:val="21"/>
                    </w:rPr>
                  </w:pPr>
                  <w:r>
                    <w:rPr>
                      <w:rFonts w:hint="default" w:ascii="Times New Roman" w:hAnsi="Times New Roman" w:eastAsia="宋体" w:cs="Times New Roman"/>
                      <w:szCs w:val="21"/>
                    </w:rPr>
                    <w:t>DSA机房内护士</w:t>
                  </w:r>
                </w:p>
              </w:tc>
              <w:tc>
                <w:tcPr>
                  <w:tcW w:w="1290" w:type="dxa"/>
                  <w:tcBorders>
                    <w:tl2br w:val="nil"/>
                    <w:tr2bl w:val="nil"/>
                  </w:tcBorders>
                  <w:vAlign w:val="center"/>
                </w:tcPr>
                <w:p w14:paraId="5CF21FD6">
                  <w:pPr>
                    <w:jc w:val="center"/>
                    <w:rPr>
                      <w:rFonts w:hint="default" w:ascii="Times New Roman" w:hAnsi="Times New Roman" w:eastAsia="宋体" w:cs="Times New Roman"/>
                      <w:szCs w:val="21"/>
                    </w:rPr>
                  </w:pPr>
                  <w:r>
                    <w:rPr>
                      <w:rFonts w:hint="default" w:ascii="Times New Roman" w:hAnsi="Times New Roman" w:eastAsia="宋体" w:cs="Times New Roman"/>
                      <w:szCs w:val="21"/>
                    </w:rPr>
                    <w:t>1.3</w:t>
                  </w:r>
                </w:p>
              </w:tc>
              <w:tc>
                <w:tcPr>
                  <w:tcW w:w="1846" w:type="dxa"/>
                  <w:tcBorders>
                    <w:tl2br w:val="nil"/>
                    <w:tr2bl w:val="nil"/>
                  </w:tcBorders>
                  <w:vAlign w:val="center"/>
                </w:tcPr>
                <w:p w14:paraId="5A017218">
                  <w:pPr>
                    <w:jc w:val="center"/>
                    <w:rPr>
                      <w:rFonts w:hint="default" w:ascii="Times New Roman" w:hAnsi="Times New Roman" w:eastAsia="宋体" w:cs="Times New Roman"/>
                      <w:szCs w:val="21"/>
                    </w:rPr>
                  </w:pPr>
                  <w:r>
                    <w:rPr>
                      <w:rFonts w:hint="default" w:ascii="Times New Roman" w:hAnsi="Times New Roman" w:eastAsia="宋体" w:cs="Times New Roman"/>
                      <w:szCs w:val="21"/>
                    </w:rPr>
                    <w:t>0.5mmPb铅防护衣</w:t>
                  </w:r>
                </w:p>
              </w:tc>
              <w:tc>
                <w:tcPr>
                  <w:tcW w:w="1019" w:type="dxa"/>
                  <w:tcBorders>
                    <w:tl2br w:val="nil"/>
                    <w:tr2bl w:val="nil"/>
                  </w:tcBorders>
                  <w:vAlign w:val="center"/>
                </w:tcPr>
                <w:p w14:paraId="5287C566">
                  <w:pPr>
                    <w:jc w:val="center"/>
                    <w:rPr>
                      <w:rFonts w:hint="default" w:ascii="Times New Roman" w:hAnsi="Times New Roman" w:eastAsia="宋体" w:cs="Times New Roman"/>
                      <w:szCs w:val="21"/>
                    </w:rPr>
                  </w:pPr>
                  <w:r>
                    <w:rPr>
                      <w:rFonts w:hint="default" w:ascii="Times New Roman" w:hAnsi="Times New Roman" w:eastAsia="宋体" w:cs="Times New Roman"/>
                      <w:szCs w:val="21"/>
                    </w:rPr>
                    <w:t>0.50</w:t>
                  </w:r>
                </w:p>
              </w:tc>
              <w:tc>
                <w:tcPr>
                  <w:tcW w:w="472" w:type="dxa"/>
                  <w:tcBorders>
                    <w:tl2br w:val="nil"/>
                    <w:tr2bl w:val="nil"/>
                  </w:tcBorders>
                  <w:vAlign w:val="center"/>
                </w:tcPr>
                <w:p w14:paraId="38E5F0DD">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vAlign w:val="center"/>
                </w:tcPr>
                <w:p w14:paraId="71AC0E9A">
                  <w:pPr>
                    <w:pStyle w:val="52"/>
                    <w:bidi w:val="0"/>
                    <w:rPr>
                      <w:rFonts w:hint="default"/>
                    </w:rPr>
                  </w:pPr>
                  <w:r>
                    <w:rPr>
                      <w:rFonts w:hint="default"/>
                      <w:lang w:val="en-US" w:eastAsia="zh-CN"/>
                    </w:rPr>
                    <w:t>2.52E-02</w:t>
                  </w:r>
                </w:p>
              </w:tc>
              <w:tc>
                <w:tcPr>
                  <w:tcW w:w="959" w:type="dxa"/>
                  <w:tcBorders>
                    <w:tl2br w:val="nil"/>
                    <w:tr2bl w:val="nil"/>
                  </w:tcBorders>
                  <w:vAlign w:val="center"/>
                </w:tcPr>
                <w:p w14:paraId="730F8A7E">
                  <w:pPr>
                    <w:pStyle w:val="52"/>
                    <w:bidi w:val="0"/>
                    <w:rPr>
                      <w:rFonts w:hint="default"/>
                    </w:rPr>
                  </w:pPr>
                  <w:r>
                    <w:rPr>
                      <w:rFonts w:hint="default"/>
                      <w:lang w:val="en-US" w:eastAsia="zh-CN"/>
                    </w:rPr>
                    <w:t xml:space="preserve">47.105 </w:t>
                  </w:r>
                </w:p>
              </w:tc>
            </w:tr>
            <w:tr w14:paraId="4E113A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restart"/>
                  <w:tcBorders>
                    <w:tl2br w:val="nil"/>
                    <w:tr2bl w:val="nil"/>
                  </w:tcBorders>
                  <w:vAlign w:val="center"/>
                </w:tcPr>
                <w:p w14:paraId="06C9839C">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1515" w:type="dxa"/>
                  <w:vMerge w:val="restart"/>
                  <w:tcBorders>
                    <w:tl2br w:val="nil"/>
                    <w:tr2bl w:val="nil"/>
                  </w:tcBorders>
                  <w:vAlign w:val="center"/>
                </w:tcPr>
                <w:p w14:paraId="1E0E84AD">
                  <w:pPr>
                    <w:jc w:val="center"/>
                    <w:rPr>
                      <w:rFonts w:hint="default" w:ascii="Times New Roman" w:hAnsi="Times New Roman" w:eastAsia="宋体" w:cs="Times New Roman"/>
                      <w:szCs w:val="21"/>
                    </w:rPr>
                  </w:pPr>
                  <w:r>
                    <w:rPr>
                      <w:rFonts w:hint="default" w:ascii="Times New Roman" w:hAnsi="Times New Roman" w:eastAsia="宋体" w:cs="Times New Roman"/>
                      <w:szCs w:val="21"/>
                    </w:rPr>
                    <w:t>北侧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污物暂存</w:t>
                  </w:r>
                  <w:r>
                    <w:rPr>
                      <w:rFonts w:hint="default" w:ascii="Times New Roman" w:hAnsi="Times New Roman" w:eastAsia="宋体" w:cs="Times New Roman"/>
                      <w:szCs w:val="21"/>
                    </w:rPr>
                    <w:t>）</w:t>
                  </w:r>
                </w:p>
              </w:tc>
              <w:tc>
                <w:tcPr>
                  <w:tcW w:w="1290" w:type="dxa"/>
                  <w:vMerge w:val="restart"/>
                  <w:tcBorders>
                    <w:tl2br w:val="nil"/>
                    <w:tr2bl w:val="nil"/>
                  </w:tcBorders>
                  <w:vAlign w:val="center"/>
                </w:tcPr>
                <w:p w14:paraId="3A19CBB6">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5.8</w:t>
                  </w:r>
                </w:p>
              </w:tc>
              <w:tc>
                <w:tcPr>
                  <w:tcW w:w="1846" w:type="dxa"/>
                  <w:vMerge w:val="restart"/>
                  <w:tcBorders>
                    <w:tl2br w:val="nil"/>
                    <w:tr2bl w:val="nil"/>
                  </w:tcBorders>
                  <w:vAlign w:val="center"/>
                </w:tcPr>
                <w:p w14:paraId="287355C3">
                  <w:pPr>
                    <w:jc w:val="center"/>
                    <w:rPr>
                      <w:rFonts w:hint="default" w:ascii="Times New Roman" w:hAnsi="Times New Roman" w:eastAsia="宋体" w:cs="Times New Roman"/>
                      <w:szCs w:val="21"/>
                    </w:rPr>
                  </w:pPr>
                  <w:r>
                    <w:rPr>
                      <w:rFonts w:hint="default" w:ascii="Times New Roman" w:hAnsi="Times New Roman" w:eastAsia="宋体" w:cs="Times New Roman"/>
                      <w:szCs w:val="21"/>
                    </w:rPr>
                    <w:t>3mmPb</w:t>
                  </w:r>
                </w:p>
              </w:tc>
              <w:tc>
                <w:tcPr>
                  <w:tcW w:w="1019" w:type="dxa"/>
                  <w:vMerge w:val="restart"/>
                  <w:tcBorders>
                    <w:tl2br w:val="nil"/>
                    <w:tr2bl w:val="nil"/>
                  </w:tcBorders>
                  <w:vAlign w:val="center"/>
                </w:tcPr>
                <w:p w14:paraId="532C2367">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3.00</w:t>
                  </w:r>
                </w:p>
              </w:tc>
              <w:tc>
                <w:tcPr>
                  <w:tcW w:w="472" w:type="dxa"/>
                  <w:tcBorders>
                    <w:tl2br w:val="nil"/>
                    <w:tr2bl w:val="nil"/>
                  </w:tcBorders>
                  <w:vAlign w:val="center"/>
                </w:tcPr>
                <w:p w14:paraId="2FB90711">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shd w:val="clear" w:color="auto" w:fill="auto"/>
                  <w:vAlign w:val="center"/>
                </w:tcPr>
                <w:p w14:paraId="431C7927">
                  <w:pPr>
                    <w:pStyle w:val="52"/>
                    <w:bidi w:val="0"/>
                    <w:rPr>
                      <w:rFonts w:hint="default"/>
                      <w:lang w:val="en-US" w:eastAsia="zh-CN"/>
                    </w:rPr>
                  </w:pPr>
                  <w:r>
                    <w:rPr>
                      <w:rFonts w:hint="default"/>
                      <w:lang w:val="en-US" w:eastAsia="zh-CN"/>
                    </w:rPr>
                    <w:t>7.93E-06</w:t>
                  </w:r>
                </w:p>
              </w:tc>
              <w:tc>
                <w:tcPr>
                  <w:tcW w:w="959" w:type="dxa"/>
                  <w:tcBorders>
                    <w:tl2br w:val="nil"/>
                    <w:tr2bl w:val="nil"/>
                  </w:tcBorders>
                  <w:shd w:val="clear" w:color="auto" w:fill="auto"/>
                  <w:vAlign w:val="center"/>
                </w:tcPr>
                <w:p w14:paraId="2311C921">
                  <w:pPr>
                    <w:pStyle w:val="52"/>
                    <w:bidi w:val="0"/>
                    <w:rPr>
                      <w:rFonts w:hint="default"/>
                      <w:lang w:val="en-US" w:eastAsia="zh-CN"/>
                    </w:rPr>
                  </w:pPr>
                  <w:r>
                    <w:rPr>
                      <w:rFonts w:hint="default"/>
                      <w:lang w:val="en-US" w:eastAsia="zh-CN"/>
                    </w:rPr>
                    <w:t>7.45E-04</w:t>
                  </w:r>
                </w:p>
              </w:tc>
            </w:tr>
            <w:tr w14:paraId="7E49D5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continue"/>
                  <w:tcBorders>
                    <w:tl2br w:val="nil"/>
                    <w:tr2bl w:val="nil"/>
                  </w:tcBorders>
                  <w:vAlign w:val="center"/>
                </w:tcPr>
                <w:p w14:paraId="40ABA468">
                  <w:pPr>
                    <w:jc w:val="center"/>
                    <w:rPr>
                      <w:rFonts w:hint="default" w:ascii="Times New Roman" w:hAnsi="Times New Roman" w:eastAsia="宋体" w:cs="Times New Roman"/>
                      <w:szCs w:val="21"/>
                    </w:rPr>
                  </w:pPr>
                </w:p>
              </w:tc>
              <w:tc>
                <w:tcPr>
                  <w:tcW w:w="1515" w:type="dxa"/>
                  <w:vMerge w:val="continue"/>
                  <w:tcBorders>
                    <w:tl2br w:val="nil"/>
                    <w:tr2bl w:val="nil"/>
                  </w:tcBorders>
                  <w:vAlign w:val="center"/>
                </w:tcPr>
                <w:p w14:paraId="49080876">
                  <w:pPr>
                    <w:jc w:val="center"/>
                    <w:rPr>
                      <w:rFonts w:hint="default" w:ascii="Times New Roman" w:hAnsi="Times New Roman" w:eastAsia="宋体" w:cs="Times New Roman"/>
                      <w:szCs w:val="21"/>
                    </w:rPr>
                  </w:pPr>
                </w:p>
              </w:tc>
              <w:tc>
                <w:tcPr>
                  <w:tcW w:w="1290" w:type="dxa"/>
                  <w:vMerge w:val="continue"/>
                  <w:tcBorders>
                    <w:tl2br w:val="nil"/>
                    <w:tr2bl w:val="nil"/>
                  </w:tcBorders>
                  <w:vAlign w:val="center"/>
                </w:tcPr>
                <w:p w14:paraId="1CA2EEAA">
                  <w:pPr>
                    <w:jc w:val="center"/>
                    <w:rPr>
                      <w:rFonts w:hint="default" w:ascii="Times New Roman" w:hAnsi="Times New Roman" w:eastAsia="宋体" w:cs="Times New Roman"/>
                      <w:szCs w:val="21"/>
                    </w:rPr>
                  </w:pPr>
                </w:p>
              </w:tc>
              <w:tc>
                <w:tcPr>
                  <w:tcW w:w="1846" w:type="dxa"/>
                  <w:vMerge w:val="continue"/>
                  <w:tcBorders>
                    <w:tl2br w:val="nil"/>
                    <w:tr2bl w:val="nil"/>
                  </w:tcBorders>
                  <w:vAlign w:val="center"/>
                </w:tcPr>
                <w:p w14:paraId="54616293">
                  <w:pPr>
                    <w:jc w:val="center"/>
                    <w:rPr>
                      <w:rFonts w:hint="default" w:ascii="Times New Roman" w:hAnsi="Times New Roman" w:eastAsia="宋体" w:cs="Times New Roman"/>
                      <w:szCs w:val="21"/>
                    </w:rPr>
                  </w:pPr>
                </w:p>
              </w:tc>
              <w:tc>
                <w:tcPr>
                  <w:tcW w:w="1019" w:type="dxa"/>
                  <w:vMerge w:val="continue"/>
                  <w:tcBorders>
                    <w:tl2br w:val="nil"/>
                    <w:tr2bl w:val="nil"/>
                  </w:tcBorders>
                  <w:vAlign w:val="center"/>
                </w:tcPr>
                <w:p w14:paraId="79D2B4E3">
                  <w:pPr>
                    <w:jc w:val="center"/>
                    <w:rPr>
                      <w:rFonts w:hint="default" w:ascii="Times New Roman" w:hAnsi="Times New Roman" w:eastAsia="宋体" w:cs="Times New Roman"/>
                      <w:szCs w:val="21"/>
                    </w:rPr>
                  </w:pPr>
                </w:p>
              </w:tc>
              <w:tc>
                <w:tcPr>
                  <w:tcW w:w="472" w:type="dxa"/>
                  <w:tcBorders>
                    <w:tl2br w:val="nil"/>
                    <w:tr2bl w:val="nil"/>
                  </w:tcBorders>
                  <w:vAlign w:val="center"/>
                </w:tcPr>
                <w:p w14:paraId="5CD339F4">
                  <w:pPr>
                    <w:jc w:val="center"/>
                    <w:rPr>
                      <w:rFonts w:hint="default" w:ascii="Times New Roman" w:hAnsi="Times New Roman" w:eastAsia="宋体" w:cs="Times New Roman"/>
                      <w:szCs w:val="21"/>
                    </w:rPr>
                  </w:pPr>
                  <w:r>
                    <w:rPr>
                      <w:rFonts w:hint="default" w:ascii="Times New Roman" w:hAnsi="Times New Roman" w:eastAsia="宋体" w:cs="Times New Roman"/>
                      <w:szCs w:val="21"/>
                    </w:rPr>
                    <w:t>拍片</w:t>
                  </w:r>
                </w:p>
              </w:tc>
              <w:tc>
                <w:tcPr>
                  <w:tcW w:w="848" w:type="dxa"/>
                  <w:tcBorders>
                    <w:tl2br w:val="nil"/>
                    <w:tr2bl w:val="nil"/>
                  </w:tcBorders>
                  <w:vAlign w:val="center"/>
                </w:tcPr>
                <w:p w14:paraId="20335400">
                  <w:pPr>
                    <w:pStyle w:val="52"/>
                    <w:bidi w:val="0"/>
                    <w:rPr>
                      <w:rFonts w:hint="default"/>
                    </w:rPr>
                  </w:pPr>
                  <w:r>
                    <w:rPr>
                      <w:rFonts w:hint="default"/>
                      <w:lang w:val="en-US" w:eastAsia="zh-CN"/>
                    </w:rPr>
                    <w:t>6.31E-05</w:t>
                  </w:r>
                </w:p>
              </w:tc>
              <w:tc>
                <w:tcPr>
                  <w:tcW w:w="959" w:type="dxa"/>
                  <w:tcBorders>
                    <w:tl2br w:val="nil"/>
                    <w:tr2bl w:val="nil"/>
                  </w:tcBorders>
                  <w:vAlign w:val="center"/>
                </w:tcPr>
                <w:p w14:paraId="0BB034C7">
                  <w:pPr>
                    <w:pStyle w:val="52"/>
                    <w:bidi w:val="0"/>
                    <w:rPr>
                      <w:rFonts w:hint="default"/>
                    </w:rPr>
                  </w:pPr>
                  <w:r>
                    <w:rPr>
                      <w:rFonts w:hint="default"/>
                      <w:lang w:val="en-US" w:eastAsia="zh-CN"/>
                    </w:rPr>
                    <w:t>1.07E-01</w:t>
                  </w:r>
                </w:p>
              </w:tc>
            </w:tr>
            <w:tr w14:paraId="063C5A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restart"/>
                  <w:tcBorders>
                    <w:tl2br w:val="nil"/>
                    <w:tr2bl w:val="nil"/>
                  </w:tcBorders>
                  <w:vAlign w:val="center"/>
                </w:tcPr>
                <w:p w14:paraId="13306DFE">
                  <w:pPr>
                    <w:jc w:val="center"/>
                    <w:rPr>
                      <w:rFonts w:hint="default" w:ascii="Times New Roman" w:hAnsi="Times New Roman" w:eastAsia="宋体" w:cs="Times New Roman"/>
                      <w:szCs w:val="21"/>
                    </w:rPr>
                  </w:pPr>
                  <w:r>
                    <w:rPr>
                      <w:rFonts w:hint="default" w:ascii="Times New Roman" w:hAnsi="Times New Roman" w:eastAsia="宋体" w:cs="Times New Roman"/>
                      <w:szCs w:val="21"/>
                    </w:rPr>
                    <w:t>5</w:t>
                  </w:r>
                </w:p>
              </w:tc>
              <w:tc>
                <w:tcPr>
                  <w:tcW w:w="1515" w:type="dxa"/>
                  <w:vMerge w:val="restart"/>
                  <w:tcBorders>
                    <w:tl2br w:val="nil"/>
                    <w:tr2bl w:val="nil"/>
                  </w:tcBorders>
                  <w:vAlign w:val="center"/>
                </w:tcPr>
                <w:p w14:paraId="1260675F">
                  <w:pPr>
                    <w:jc w:val="center"/>
                    <w:rPr>
                      <w:rFonts w:hint="default" w:ascii="Times New Roman" w:hAnsi="Times New Roman" w:eastAsia="宋体" w:cs="Times New Roman"/>
                      <w:szCs w:val="21"/>
                    </w:rPr>
                  </w:pPr>
                  <w:r>
                    <w:rPr>
                      <w:rFonts w:hint="eastAsia" w:ascii="Times New Roman" w:hAnsi="Times New Roman" w:cs="Times New Roman"/>
                      <w:szCs w:val="21"/>
                      <w:lang w:val="en-US" w:eastAsia="zh-CN"/>
                    </w:rPr>
                    <w:t>北侧墙体</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设备间</w:t>
                  </w:r>
                  <w:r>
                    <w:rPr>
                      <w:rFonts w:hint="default" w:ascii="Times New Roman" w:hAnsi="Times New Roman" w:eastAsia="宋体" w:cs="Times New Roman"/>
                      <w:szCs w:val="21"/>
                    </w:rPr>
                    <w:t>）</w:t>
                  </w:r>
                </w:p>
              </w:tc>
              <w:tc>
                <w:tcPr>
                  <w:tcW w:w="1290" w:type="dxa"/>
                  <w:vMerge w:val="restart"/>
                  <w:tcBorders>
                    <w:tl2br w:val="nil"/>
                    <w:tr2bl w:val="nil"/>
                  </w:tcBorders>
                  <w:vAlign w:val="center"/>
                </w:tcPr>
                <w:p w14:paraId="688BA675">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5.4</w:t>
                  </w:r>
                </w:p>
              </w:tc>
              <w:tc>
                <w:tcPr>
                  <w:tcW w:w="1846" w:type="dxa"/>
                  <w:vMerge w:val="restart"/>
                  <w:tcBorders>
                    <w:tl2br w:val="nil"/>
                    <w:tr2bl w:val="nil"/>
                  </w:tcBorders>
                  <w:vAlign w:val="center"/>
                </w:tcPr>
                <w:p w14:paraId="3DBB1DDA">
                  <w:pPr>
                    <w:jc w:val="center"/>
                    <w:rPr>
                      <w:rFonts w:hint="default" w:ascii="Times New Roman" w:hAnsi="Times New Roman" w:eastAsia="宋体" w:cs="Times New Roman"/>
                      <w:szCs w:val="21"/>
                    </w:rPr>
                  </w:pPr>
                  <w:r>
                    <w:rPr>
                      <w:rFonts w:hint="default" w:ascii="Times New Roman" w:hAnsi="Times New Roman" w:eastAsia="宋体" w:cs="Times New Roman"/>
                      <w:szCs w:val="21"/>
                    </w:rPr>
                    <w:t>370mm</w:t>
                  </w:r>
                  <w:r>
                    <w:rPr>
                      <w:rFonts w:hint="eastAsia" w:ascii="Times New Roman" w:hAnsi="Times New Roman" w:cs="Times New Roman"/>
                      <w:szCs w:val="21"/>
                      <w:lang w:eastAsia="zh-CN"/>
                    </w:rPr>
                    <w:t>红色实心砖墙</w:t>
                  </w:r>
                  <w:r>
                    <w:rPr>
                      <w:rFonts w:hint="default" w:ascii="Times New Roman" w:hAnsi="Times New Roman" w:eastAsia="宋体" w:cs="Times New Roman"/>
                      <w:szCs w:val="21"/>
                    </w:rPr>
                    <w:t>+10mm硫酸钡水泥砂浆</w:t>
                  </w:r>
                </w:p>
              </w:tc>
              <w:tc>
                <w:tcPr>
                  <w:tcW w:w="1019" w:type="dxa"/>
                  <w:vMerge w:val="restart"/>
                  <w:tcBorders>
                    <w:tl2br w:val="nil"/>
                    <w:tr2bl w:val="nil"/>
                  </w:tcBorders>
                  <w:vAlign w:val="center"/>
                </w:tcPr>
                <w:p w14:paraId="1E2C09AD">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4.14</w:t>
                  </w:r>
                </w:p>
              </w:tc>
              <w:tc>
                <w:tcPr>
                  <w:tcW w:w="472" w:type="dxa"/>
                  <w:tcBorders>
                    <w:tl2br w:val="nil"/>
                    <w:tr2bl w:val="nil"/>
                  </w:tcBorders>
                  <w:vAlign w:val="center"/>
                </w:tcPr>
                <w:p w14:paraId="27BD2A48">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vAlign w:val="center"/>
                </w:tcPr>
                <w:p w14:paraId="3AE9BA21">
                  <w:pPr>
                    <w:pStyle w:val="52"/>
                    <w:bidi w:val="0"/>
                    <w:rPr>
                      <w:rFonts w:hint="default"/>
                    </w:rPr>
                  </w:pPr>
                  <w:r>
                    <w:rPr>
                      <w:rFonts w:hint="default"/>
                      <w:lang w:val="en-US" w:eastAsia="zh-CN"/>
                    </w:rPr>
                    <w:t>2.40E-07</w:t>
                  </w:r>
                </w:p>
              </w:tc>
              <w:tc>
                <w:tcPr>
                  <w:tcW w:w="959" w:type="dxa"/>
                  <w:tcBorders>
                    <w:tl2br w:val="nil"/>
                    <w:tr2bl w:val="nil"/>
                  </w:tcBorders>
                  <w:vAlign w:val="center"/>
                </w:tcPr>
                <w:p w14:paraId="69525C85">
                  <w:pPr>
                    <w:pStyle w:val="52"/>
                    <w:bidi w:val="0"/>
                    <w:rPr>
                      <w:rFonts w:hint="default"/>
                    </w:rPr>
                  </w:pPr>
                  <w:r>
                    <w:rPr>
                      <w:rFonts w:hint="default"/>
                      <w:lang w:val="en-US" w:eastAsia="zh-CN"/>
                    </w:rPr>
                    <w:t>2.60E-05</w:t>
                  </w:r>
                </w:p>
              </w:tc>
            </w:tr>
            <w:tr w14:paraId="2BF194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continue"/>
                  <w:tcBorders>
                    <w:tl2br w:val="nil"/>
                    <w:tr2bl w:val="nil"/>
                  </w:tcBorders>
                  <w:vAlign w:val="center"/>
                </w:tcPr>
                <w:p w14:paraId="7F0FB232">
                  <w:pPr>
                    <w:jc w:val="center"/>
                    <w:rPr>
                      <w:rFonts w:hint="default" w:ascii="Times New Roman" w:hAnsi="Times New Roman" w:eastAsia="宋体" w:cs="Times New Roman"/>
                      <w:szCs w:val="21"/>
                    </w:rPr>
                  </w:pPr>
                </w:p>
              </w:tc>
              <w:tc>
                <w:tcPr>
                  <w:tcW w:w="1515" w:type="dxa"/>
                  <w:vMerge w:val="continue"/>
                  <w:tcBorders>
                    <w:tl2br w:val="nil"/>
                    <w:tr2bl w:val="nil"/>
                  </w:tcBorders>
                  <w:vAlign w:val="center"/>
                </w:tcPr>
                <w:p w14:paraId="0F9D52CD">
                  <w:pPr>
                    <w:jc w:val="center"/>
                    <w:rPr>
                      <w:rFonts w:hint="default" w:ascii="Times New Roman" w:hAnsi="Times New Roman" w:eastAsia="宋体" w:cs="Times New Roman"/>
                      <w:szCs w:val="21"/>
                    </w:rPr>
                  </w:pPr>
                </w:p>
              </w:tc>
              <w:tc>
                <w:tcPr>
                  <w:tcW w:w="1290" w:type="dxa"/>
                  <w:vMerge w:val="continue"/>
                  <w:tcBorders>
                    <w:tl2br w:val="nil"/>
                    <w:tr2bl w:val="nil"/>
                  </w:tcBorders>
                  <w:vAlign w:val="center"/>
                </w:tcPr>
                <w:p w14:paraId="0B349A80">
                  <w:pPr>
                    <w:jc w:val="center"/>
                    <w:rPr>
                      <w:rFonts w:hint="default" w:ascii="Times New Roman" w:hAnsi="Times New Roman" w:eastAsia="宋体" w:cs="Times New Roman"/>
                      <w:szCs w:val="21"/>
                    </w:rPr>
                  </w:pPr>
                </w:p>
              </w:tc>
              <w:tc>
                <w:tcPr>
                  <w:tcW w:w="1846" w:type="dxa"/>
                  <w:vMerge w:val="continue"/>
                  <w:tcBorders>
                    <w:tl2br w:val="nil"/>
                    <w:tr2bl w:val="nil"/>
                  </w:tcBorders>
                  <w:vAlign w:val="center"/>
                </w:tcPr>
                <w:p w14:paraId="318F6A97">
                  <w:pPr>
                    <w:jc w:val="center"/>
                    <w:rPr>
                      <w:rFonts w:hint="default" w:ascii="Times New Roman" w:hAnsi="Times New Roman" w:eastAsia="宋体" w:cs="Times New Roman"/>
                      <w:szCs w:val="21"/>
                    </w:rPr>
                  </w:pPr>
                </w:p>
              </w:tc>
              <w:tc>
                <w:tcPr>
                  <w:tcW w:w="1019" w:type="dxa"/>
                  <w:vMerge w:val="continue"/>
                  <w:tcBorders>
                    <w:tl2br w:val="nil"/>
                    <w:tr2bl w:val="nil"/>
                  </w:tcBorders>
                  <w:vAlign w:val="center"/>
                </w:tcPr>
                <w:p w14:paraId="4EF754D3">
                  <w:pPr>
                    <w:jc w:val="center"/>
                    <w:rPr>
                      <w:rFonts w:hint="default" w:ascii="Times New Roman" w:hAnsi="Times New Roman" w:eastAsia="宋体" w:cs="Times New Roman"/>
                      <w:szCs w:val="21"/>
                    </w:rPr>
                  </w:pPr>
                </w:p>
              </w:tc>
              <w:tc>
                <w:tcPr>
                  <w:tcW w:w="472" w:type="dxa"/>
                  <w:tcBorders>
                    <w:tl2br w:val="nil"/>
                    <w:tr2bl w:val="nil"/>
                  </w:tcBorders>
                  <w:vAlign w:val="center"/>
                </w:tcPr>
                <w:p w14:paraId="13762FC7">
                  <w:pPr>
                    <w:jc w:val="center"/>
                    <w:rPr>
                      <w:rFonts w:hint="default" w:ascii="Times New Roman" w:hAnsi="Times New Roman" w:eastAsia="宋体" w:cs="Times New Roman"/>
                      <w:szCs w:val="21"/>
                    </w:rPr>
                  </w:pPr>
                  <w:r>
                    <w:rPr>
                      <w:rFonts w:hint="default" w:ascii="Times New Roman" w:hAnsi="Times New Roman" w:eastAsia="宋体" w:cs="Times New Roman"/>
                      <w:szCs w:val="21"/>
                    </w:rPr>
                    <w:t>拍片</w:t>
                  </w:r>
                </w:p>
              </w:tc>
              <w:tc>
                <w:tcPr>
                  <w:tcW w:w="848" w:type="dxa"/>
                  <w:tcBorders>
                    <w:tl2br w:val="nil"/>
                    <w:tr2bl w:val="nil"/>
                  </w:tcBorders>
                  <w:vAlign w:val="center"/>
                </w:tcPr>
                <w:p w14:paraId="021CAE4D">
                  <w:pPr>
                    <w:pStyle w:val="52"/>
                    <w:bidi w:val="0"/>
                    <w:rPr>
                      <w:rFonts w:hint="default"/>
                    </w:rPr>
                  </w:pPr>
                  <w:r>
                    <w:rPr>
                      <w:rFonts w:hint="default"/>
                      <w:lang w:val="en-US" w:eastAsia="zh-CN"/>
                    </w:rPr>
                    <w:t>3.62E-06</w:t>
                  </w:r>
                </w:p>
              </w:tc>
              <w:tc>
                <w:tcPr>
                  <w:tcW w:w="959" w:type="dxa"/>
                  <w:tcBorders>
                    <w:tl2br w:val="nil"/>
                    <w:tr2bl w:val="nil"/>
                  </w:tcBorders>
                  <w:vAlign w:val="center"/>
                </w:tcPr>
                <w:p w14:paraId="35E11075">
                  <w:pPr>
                    <w:pStyle w:val="52"/>
                    <w:bidi w:val="0"/>
                    <w:rPr>
                      <w:rFonts w:hint="default"/>
                    </w:rPr>
                  </w:pPr>
                  <w:r>
                    <w:rPr>
                      <w:rFonts w:hint="default"/>
                      <w:lang w:val="en-US" w:eastAsia="zh-CN"/>
                    </w:rPr>
                    <w:t>7.06E-03</w:t>
                  </w:r>
                </w:p>
              </w:tc>
            </w:tr>
            <w:tr w14:paraId="694955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restart"/>
                  <w:tcBorders>
                    <w:tl2br w:val="nil"/>
                    <w:tr2bl w:val="nil"/>
                  </w:tcBorders>
                  <w:vAlign w:val="center"/>
                </w:tcPr>
                <w:p w14:paraId="53D24E8A">
                  <w:pPr>
                    <w:jc w:val="center"/>
                    <w:rPr>
                      <w:rFonts w:hint="default" w:ascii="Times New Roman" w:hAnsi="Times New Roman" w:eastAsia="宋体" w:cs="Times New Roman"/>
                      <w:szCs w:val="21"/>
                    </w:rPr>
                  </w:pPr>
                  <w:r>
                    <w:rPr>
                      <w:rFonts w:hint="default" w:ascii="Times New Roman" w:hAnsi="Times New Roman" w:eastAsia="宋体" w:cs="Times New Roman"/>
                      <w:szCs w:val="21"/>
                    </w:rPr>
                    <w:t>6</w:t>
                  </w:r>
                </w:p>
              </w:tc>
              <w:tc>
                <w:tcPr>
                  <w:tcW w:w="1515" w:type="dxa"/>
                  <w:vMerge w:val="restart"/>
                  <w:tcBorders>
                    <w:tl2br w:val="nil"/>
                    <w:tr2bl w:val="nil"/>
                  </w:tcBorders>
                  <w:vAlign w:val="center"/>
                </w:tcPr>
                <w:p w14:paraId="07B35431">
                  <w:pPr>
                    <w:jc w:val="center"/>
                    <w:rPr>
                      <w:rFonts w:hint="default" w:ascii="Times New Roman" w:hAnsi="Times New Roman" w:eastAsia="宋体" w:cs="Times New Roman"/>
                      <w:szCs w:val="21"/>
                    </w:rPr>
                  </w:pPr>
                  <w:r>
                    <w:rPr>
                      <w:rFonts w:hint="eastAsia" w:ascii="Times New Roman" w:hAnsi="Times New Roman" w:cs="Times New Roman"/>
                      <w:szCs w:val="21"/>
                      <w:lang w:val="en-US" w:eastAsia="zh-CN"/>
                    </w:rPr>
                    <w:t>西</w:t>
                  </w:r>
                  <w:r>
                    <w:rPr>
                      <w:rFonts w:hint="default" w:ascii="Times New Roman" w:hAnsi="Times New Roman" w:eastAsia="宋体" w:cs="Times New Roman"/>
                      <w:szCs w:val="21"/>
                    </w:rPr>
                    <w:t>北侧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病人准备</w:t>
                  </w:r>
                  <w:r>
                    <w:rPr>
                      <w:rFonts w:hint="default" w:ascii="Times New Roman" w:hAnsi="Times New Roman" w:eastAsia="宋体" w:cs="Times New Roman"/>
                      <w:szCs w:val="21"/>
                    </w:rPr>
                    <w:t>）</w:t>
                  </w:r>
                </w:p>
              </w:tc>
              <w:tc>
                <w:tcPr>
                  <w:tcW w:w="1290" w:type="dxa"/>
                  <w:vMerge w:val="restart"/>
                  <w:tcBorders>
                    <w:tl2br w:val="nil"/>
                    <w:tr2bl w:val="nil"/>
                  </w:tcBorders>
                  <w:vAlign w:val="center"/>
                </w:tcPr>
                <w:p w14:paraId="7EF7474C">
                  <w:pPr>
                    <w:jc w:val="center"/>
                    <w:rPr>
                      <w:rFonts w:hint="default" w:ascii="Times New Roman" w:hAnsi="Times New Roman" w:eastAsia="宋体" w:cs="Times New Roman"/>
                      <w:szCs w:val="21"/>
                      <w:lang w:eastAsia="zh-CN"/>
                    </w:rPr>
                  </w:pPr>
                  <w:r>
                    <w:rPr>
                      <w:rFonts w:hint="eastAsia" w:ascii="Times New Roman" w:hAnsi="Times New Roman" w:cs="Times New Roman"/>
                      <w:szCs w:val="21"/>
                      <w:lang w:val="en-US" w:eastAsia="zh-CN"/>
                    </w:rPr>
                    <w:t>5</w:t>
                  </w:r>
                  <w:r>
                    <w:rPr>
                      <w:rFonts w:hint="default" w:ascii="Times New Roman" w:hAnsi="Times New Roman" w:eastAsia="宋体" w:cs="Times New Roman"/>
                      <w:szCs w:val="21"/>
                    </w:rPr>
                    <w:t>.</w:t>
                  </w:r>
                  <w:r>
                    <w:rPr>
                      <w:rFonts w:hint="default" w:ascii="Times New Roman" w:hAnsi="Times New Roman" w:eastAsia="宋体" w:cs="Times New Roman"/>
                      <w:szCs w:val="21"/>
                      <w:lang w:val="en-US" w:eastAsia="zh-CN"/>
                    </w:rPr>
                    <w:t>6</w:t>
                  </w:r>
                </w:p>
              </w:tc>
              <w:tc>
                <w:tcPr>
                  <w:tcW w:w="1846" w:type="dxa"/>
                  <w:vMerge w:val="restart"/>
                  <w:tcBorders>
                    <w:tl2br w:val="nil"/>
                    <w:tr2bl w:val="nil"/>
                  </w:tcBorders>
                  <w:vAlign w:val="center"/>
                </w:tcPr>
                <w:p w14:paraId="66CE0A76">
                  <w:pPr>
                    <w:jc w:val="center"/>
                    <w:rPr>
                      <w:rFonts w:hint="default" w:ascii="Times New Roman" w:hAnsi="Times New Roman" w:eastAsia="宋体" w:cs="Times New Roman"/>
                      <w:szCs w:val="21"/>
                    </w:rPr>
                  </w:pPr>
                  <w:r>
                    <w:rPr>
                      <w:rFonts w:hint="default" w:ascii="Times New Roman" w:hAnsi="Times New Roman" w:eastAsia="宋体" w:cs="Times New Roman"/>
                      <w:szCs w:val="21"/>
                    </w:rPr>
                    <w:t>3mmPb</w:t>
                  </w:r>
                </w:p>
              </w:tc>
              <w:tc>
                <w:tcPr>
                  <w:tcW w:w="1019" w:type="dxa"/>
                  <w:vMerge w:val="restart"/>
                  <w:tcBorders>
                    <w:tl2br w:val="nil"/>
                    <w:tr2bl w:val="nil"/>
                  </w:tcBorders>
                  <w:vAlign w:val="center"/>
                </w:tcPr>
                <w:p w14:paraId="14A2D5CE">
                  <w:pPr>
                    <w:jc w:val="center"/>
                    <w:rPr>
                      <w:rFonts w:hint="eastAsia" w:ascii="Times New Roman" w:hAnsi="Times New Roman" w:eastAsia="宋体" w:cs="Times New Roman"/>
                      <w:szCs w:val="21"/>
                      <w:lang w:eastAsia="zh-CN"/>
                    </w:rPr>
                  </w:pPr>
                  <w:r>
                    <w:rPr>
                      <w:rFonts w:hint="eastAsia" w:ascii="Times New Roman" w:hAnsi="Times New Roman" w:cs="Times New Roman"/>
                      <w:szCs w:val="21"/>
                      <w:lang w:val="en-US" w:eastAsia="zh-CN"/>
                    </w:rPr>
                    <w:t>3.00</w:t>
                  </w:r>
                </w:p>
              </w:tc>
              <w:tc>
                <w:tcPr>
                  <w:tcW w:w="472" w:type="dxa"/>
                  <w:tcBorders>
                    <w:tl2br w:val="nil"/>
                    <w:tr2bl w:val="nil"/>
                  </w:tcBorders>
                  <w:vAlign w:val="center"/>
                </w:tcPr>
                <w:p w14:paraId="5D37E194">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vAlign w:val="center"/>
                </w:tcPr>
                <w:p w14:paraId="28EB4A4D">
                  <w:pPr>
                    <w:pStyle w:val="52"/>
                    <w:bidi w:val="0"/>
                    <w:rPr>
                      <w:rFonts w:hint="default"/>
                    </w:rPr>
                  </w:pPr>
                  <w:r>
                    <w:rPr>
                      <w:rFonts w:hint="default"/>
                      <w:lang w:val="en-US" w:eastAsia="zh-CN"/>
                    </w:rPr>
                    <w:t>7.93E-06</w:t>
                  </w:r>
                </w:p>
              </w:tc>
              <w:tc>
                <w:tcPr>
                  <w:tcW w:w="959" w:type="dxa"/>
                  <w:tcBorders>
                    <w:tl2br w:val="nil"/>
                    <w:tr2bl w:val="nil"/>
                  </w:tcBorders>
                  <w:vAlign w:val="center"/>
                </w:tcPr>
                <w:p w14:paraId="33613628">
                  <w:pPr>
                    <w:pStyle w:val="52"/>
                    <w:bidi w:val="0"/>
                    <w:rPr>
                      <w:rFonts w:hint="default"/>
                    </w:rPr>
                  </w:pPr>
                  <w:r>
                    <w:rPr>
                      <w:rFonts w:hint="default"/>
                      <w:lang w:val="en-US" w:eastAsia="zh-CN"/>
                    </w:rPr>
                    <w:t>7.99E-04</w:t>
                  </w:r>
                </w:p>
              </w:tc>
            </w:tr>
            <w:tr w14:paraId="33628A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continue"/>
                  <w:tcBorders>
                    <w:tl2br w:val="nil"/>
                    <w:tr2bl w:val="nil"/>
                  </w:tcBorders>
                  <w:vAlign w:val="center"/>
                </w:tcPr>
                <w:p w14:paraId="6956DCC6">
                  <w:pPr>
                    <w:jc w:val="center"/>
                    <w:rPr>
                      <w:rFonts w:hint="default" w:ascii="Times New Roman" w:hAnsi="Times New Roman" w:eastAsia="宋体" w:cs="Times New Roman"/>
                      <w:szCs w:val="21"/>
                    </w:rPr>
                  </w:pPr>
                </w:p>
              </w:tc>
              <w:tc>
                <w:tcPr>
                  <w:tcW w:w="1515" w:type="dxa"/>
                  <w:vMerge w:val="continue"/>
                  <w:tcBorders>
                    <w:tl2br w:val="nil"/>
                    <w:tr2bl w:val="nil"/>
                  </w:tcBorders>
                  <w:vAlign w:val="center"/>
                </w:tcPr>
                <w:p w14:paraId="503F6909">
                  <w:pPr>
                    <w:jc w:val="center"/>
                    <w:rPr>
                      <w:rFonts w:hint="default" w:ascii="Times New Roman" w:hAnsi="Times New Roman" w:eastAsia="宋体" w:cs="Times New Roman"/>
                      <w:szCs w:val="21"/>
                    </w:rPr>
                  </w:pPr>
                </w:p>
              </w:tc>
              <w:tc>
                <w:tcPr>
                  <w:tcW w:w="1290" w:type="dxa"/>
                  <w:vMerge w:val="continue"/>
                  <w:tcBorders>
                    <w:tl2br w:val="nil"/>
                    <w:tr2bl w:val="nil"/>
                  </w:tcBorders>
                  <w:vAlign w:val="center"/>
                </w:tcPr>
                <w:p w14:paraId="1553C081">
                  <w:pPr>
                    <w:jc w:val="center"/>
                    <w:rPr>
                      <w:rFonts w:hint="default" w:ascii="Times New Roman" w:hAnsi="Times New Roman" w:eastAsia="宋体" w:cs="Times New Roman"/>
                      <w:szCs w:val="21"/>
                    </w:rPr>
                  </w:pPr>
                </w:p>
              </w:tc>
              <w:tc>
                <w:tcPr>
                  <w:tcW w:w="1846" w:type="dxa"/>
                  <w:vMerge w:val="continue"/>
                  <w:tcBorders>
                    <w:tl2br w:val="nil"/>
                    <w:tr2bl w:val="nil"/>
                  </w:tcBorders>
                  <w:vAlign w:val="center"/>
                </w:tcPr>
                <w:p w14:paraId="46C84EC0">
                  <w:pPr>
                    <w:jc w:val="center"/>
                    <w:rPr>
                      <w:rFonts w:hint="default" w:ascii="Times New Roman" w:hAnsi="Times New Roman" w:eastAsia="宋体" w:cs="Times New Roman"/>
                      <w:szCs w:val="21"/>
                    </w:rPr>
                  </w:pPr>
                </w:p>
              </w:tc>
              <w:tc>
                <w:tcPr>
                  <w:tcW w:w="1019" w:type="dxa"/>
                  <w:vMerge w:val="continue"/>
                  <w:tcBorders>
                    <w:tl2br w:val="nil"/>
                    <w:tr2bl w:val="nil"/>
                  </w:tcBorders>
                  <w:vAlign w:val="center"/>
                </w:tcPr>
                <w:p w14:paraId="672CCDFB">
                  <w:pPr>
                    <w:jc w:val="center"/>
                    <w:rPr>
                      <w:rFonts w:hint="default" w:ascii="Times New Roman" w:hAnsi="Times New Roman" w:eastAsia="宋体" w:cs="Times New Roman"/>
                      <w:szCs w:val="21"/>
                    </w:rPr>
                  </w:pPr>
                </w:p>
              </w:tc>
              <w:tc>
                <w:tcPr>
                  <w:tcW w:w="472" w:type="dxa"/>
                  <w:tcBorders>
                    <w:tl2br w:val="nil"/>
                    <w:tr2bl w:val="nil"/>
                  </w:tcBorders>
                  <w:vAlign w:val="center"/>
                </w:tcPr>
                <w:p w14:paraId="3D95A75C">
                  <w:pPr>
                    <w:jc w:val="center"/>
                    <w:rPr>
                      <w:rFonts w:hint="default" w:ascii="Times New Roman" w:hAnsi="Times New Roman" w:eastAsia="宋体" w:cs="Times New Roman"/>
                      <w:szCs w:val="21"/>
                    </w:rPr>
                  </w:pPr>
                  <w:r>
                    <w:rPr>
                      <w:rFonts w:hint="default" w:ascii="Times New Roman" w:hAnsi="Times New Roman" w:eastAsia="宋体" w:cs="Times New Roman"/>
                      <w:szCs w:val="21"/>
                    </w:rPr>
                    <w:t>拍片</w:t>
                  </w:r>
                </w:p>
              </w:tc>
              <w:tc>
                <w:tcPr>
                  <w:tcW w:w="848" w:type="dxa"/>
                  <w:tcBorders>
                    <w:tl2br w:val="nil"/>
                    <w:tr2bl w:val="nil"/>
                  </w:tcBorders>
                  <w:vAlign w:val="center"/>
                </w:tcPr>
                <w:p w14:paraId="7C8D11C2">
                  <w:pPr>
                    <w:pStyle w:val="52"/>
                    <w:bidi w:val="0"/>
                    <w:rPr>
                      <w:rFonts w:hint="default"/>
                    </w:rPr>
                  </w:pPr>
                  <w:r>
                    <w:rPr>
                      <w:rFonts w:hint="default"/>
                      <w:lang w:val="en-US" w:eastAsia="zh-CN"/>
                    </w:rPr>
                    <w:t>6.31E-05</w:t>
                  </w:r>
                </w:p>
              </w:tc>
              <w:tc>
                <w:tcPr>
                  <w:tcW w:w="959" w:type="dxa"/>
                  <w:tcBorders>
                    <w:tl2br w:val="nil"/>
                    <w:tr2bl w:val="nil"/>
                  </w:tcBorders>
                  <w:vAlign w:val="center"/>
                </w:tcPr>
                <w:p w14:paraId="71AF5354">
                  <w:pPr>
                    <w:pStyle w:val="52"/>
                    <w:bidi w:val="0"/>
                    <w:rPr>
                      <w:rFonts w:hint="default"/>
                    </w:rPr>
                  </w:pPr>
                  <w:r>
                    <w:rPr>
                      <w:rFonts w:hint="default"/>
                      <w:lang w:val="en-US" w:eastAsia="zh-CN"/>
                    </w:rPr>
                    <w:t>1.14E-01</w:t>
                  </w:r>
                </w:p>
              </w:tc>
            </w:tr>
            <w:tr w14:paraId="42C76C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restart"/>
                  <w:tcBorders>
                    <w:tl2br w:val="nil"/>
                    <w:tr2bl w:val="nil"/>
                  </w:tcBorders>
                  <w:vAlign w:val="center"/>
                </w:tcPr>
                <w:p w14:paraId="1033A537">
                  <w:pPr>
                    <w:jc w:val="center"/>
                    <w:rPr>
                      <w:rFonts w:hint="default" w:ascii="Times New Roman" w:hAnsi="Times New Roman" w:eastAsia="宋体" w:cs="Times New Roman"/>
                      <w:szCs w:val="21"/>
                    </w:rPr>
                  </w:pPr>
                  <w:r>
                    <w:rPr>
                      <w:rFonts w:hint="default" w:ascii="Times New Roman" w:hAnsi="Times New Roman" w:eastAsia="宋体" w:cs="Times New Roman"/>
                      <w:szCs w:val="21"/>
                    </w:rPr>
                    <w:t>7</w:t>
                  </w:r>
                </w:p>
              </w:tc>
              <w:tc>
                <w:tcPr>
                  <w:tcW w:w="1515" w:type="dxa"/>
                  <w:vMerge w:val="restart"/>
                  <w:tcBorders>
                    <w:tl2br w:val="nil"/>
                    <w:tr2bl w:val="nil"/>
                  </w:tcBorders>
                  <w:vAlign w:val="center"/>
                </w:tcPr>
                <w:p w14:paraId="29FF2C4D">
                  <w:pPr>
                    <w:jc w:val="center"/>
                    <w:rPr>
                      <w:rFonts w:hint="default" w:ascii="Times New Roman" w:hAnsi="Times New Roman" w:eastAsia="宋体" w:cs="Times New Roman"/>
                      <w:szCs w:val="21"/>
                    </w:rPr>
                  </w:pPr>
                  <w:r>
                    <w:rPr>
                      <w:rFonts w:hint="eastAsia" w:ascii="Times New Roman" w:hAnsi="Times New Roman" w:cs="Times New Roman"/>
                      <w:szCs w:val="21"/>
                      <w:lang w:val="en-US" w:eastAsia="zh-CN"/>
                    </w:rPr>
                    <w:t>西</w:t>
                  </w:r>
                  <w:r>
                    <w:rPr>
                      <w:rFonts w:hint="default" w:ascii="Times New Roman" w:hAnsi="Times New Roman" w:eastAsia="宋体" w:cs="Times New Roman"/>
                      <w:szCs w:val="21"/>
                    </w:rPr>
                    <w:t>侧墙体外30cm处30cm处（</w:t>
                  </w:r>
                  <w:r>
                    <w:rPr>
                      <w:rFonts w:hint="eastAsia" w:ascii="Times New Roman" w:hAnsi="Times New Roman" w:cs="Times New Roman"/>
                      <w:szCs w:val="21"/>
                      <w:lang w:val="en-US" w:eastAsia="zh-CN"/>
                    </w:rPr>
                    <w:t>通道</w:t>
                  </w:r>
                  <w:r>
                    <w:rPr>
                      <w:rFonts w:hint="default" w:ascii="Times New Roman" w:hAnsi="Times New Roman" w:eastAsia="宋体" w:cs="Times New Roman"/>
                      <w:szCs w:val="21"/>
                    </w:rPr>
                    <w:t>）</w:t>
                  </w:r>
                </w:p>
              </w:tc>
              <w:tc>
                <w:tcPr>
                  <w:tcW w:w="1290" w:type="dxa"/>
                  <w:vMerge w:val="restart"/>
                  <w:tcBorders>
                    <w:tl2br w:val="nil"/>
                    <w:tr2bl w:val="nil"/>
                  </w:tcBorders>
                  <w:vAlign w:val="center"/>
                </w:tcPr>
                <w:p w14:paraId="0F04D42A">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4.5</w:t>
                  </w:r>
                </w:p>
              </w:tc>
              <w:tc>
                <w:tcPr>
                  <w:tcW w:w="1846" w:type="dxa"/>
                  <w:vMerge w:val="restart"/>
                  <w:tcBorders>
                    <w:tl2br w:val="nil"/>
                    <w:tr2bl w:val="nil"/>
                  </w:tcBorders>
                  <w:vAlign w:val="center"/>
                </w:tcPr>
                <w:p w14:paraId="707B9781">
                  <w:pPr>
                    <w:jc w:val="center"/>
                    <w:rPr>
                      <w:rFonts w:hint="default" w:ascii="Times New Roman" w:hAnsi="Times New Roman" w:eastAsia="宋体" w:cs="Times New Roman"/>
                      <w:szCs w:val="21"/>
                    </w:rPr>
                  </w:pPr>
                  <w:r>
                    <w:rPr>
                      <w:rFonts w:hint="default" w:ascii="Times New Roman" w:hAnsi="Times New Roman" w:eastAsia="宋体" w:cs="Times New Roman"/>
                      <w:szCs w:val="21"/>
                    </w:rPr>
                    <w:t>370mm</w:t>
                  </w:r>
                  <w:r>
                    <w:rPr>
                      <w:rFonts w:hint="eastAsia" w:ascii="Times New Roman" w:hAnsi="Times New Roman" w:cs="Times New Roman"/>
                      <w:szCs w:val="21"/>
                      <w:lang w:eastAsia="zh-CN"/>
                    </w:rPr>
                    <w:t>红色实心砖墙</w:t>
                  </w:r>
                  <w:r>
                    <w:rPr>
                      <w:rFonts w:hint="default" w:ascii="Times New Roman" w:hAnsi="Times New Roman" w:eastAsia="宋体" w:cs="Times New Roman"/>
                      <w:szCs w:val="21"/>
                    </w:rPr>
                    <w:t>+10mm硫酸钡水泥砂浆</w:t>
                  </w:r>
                </w:p>
              </w:tc>
              <w:tc>
                <w:tcPr>
                  <w:tcW w:w="1019" w:type="dxa"/>
                  <w:vMerge w:val="restart"/>
                  <w:tcBorders>
                    <w:tl2br w:val="nil"/>
                    <w:tr2bl w:val="nil"/>
                  </w:tcBorders>
                  <w:vAlign w:val="center"/>
                </w:tcPr>
                <w:p w14:paraId="37259AF2">
                  <w:pPr>
                    <w:jc w:val="center"/>
                    <w:rPr>
                      <w:rFonts w:hint="eastAsia" w:ascii="Times New Roman" w:hAnsi="Times New Roman" w:eastAsia="宋体" w:cs="Times New Roman"/>
                      <w:szCs w:val="21"/>
                      <w:lang w:eastAsia="zh-CN"/>
                    </w:rPr>
                  </w:pPr>
                  <w:r>
                    <w:rPr>
                      <w:rFonts w:hint="eastAsia" w:ascii="Times New Roman" w:hAnsi="Times New Roman" w:cs="Times New Roman"/>
                      <w:szCs w:val="21"/>
                      <w:lang w:val="en-US" w:eastAsia="zh-CN"/>
                    </w:rPr>
                    <w:t>4.14</w:t>
                  </w:r>
                </w:p>
              </w:tc>
              <w:tc>
                <w:tcPr>
                  <w:tcW w:w="472" w:type="dxa"/>
                  <w:tcBorders>
                    <w:tl2br w:val="nil"/>
                    <w:tr2bl w:val="nil"/>
                  </w:tcBorders>
                  <w:vAlign w:val="center"/>
                </w:tcPr>
                <w:p w14:paraId="251AAB03">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vAlign w:val="center"/>
                </w:tcPr>
                <w:p w14:paraId="4FC9DE0D">
                  <w:pPr>
                    <w:pStyle w:val="52"/>
                    <w:bidi w:val="0"/>
                    <w:rPr>
                      <w:rFonts w:hint="default"/>
                    </w:rPr>
                  </w:pPr>
                  <w:r>
                    <w:rPr>
                      <w:rFonts w:hint="default"/>
                      <w:lang w:val="en-US" w:eastAsia="zh-CN"/>
                    </w:rPr>
                    <w:t>2.40E-07</w:t>
                  </w:r>
                </w:p>
              </w:tc>
              <w:tc>
                <w:tcPr>
                  <w:tcW w:w="959" w:type="dxa"/>
                  <w:tcBorders>
                    <w:tl2br w:val="nil"/>
                    <w:tr2bl w:val="nil"/>
                  </w:tcBorders>
                  <w:vAlign w:val="center"/>
                </w:tcPr>
                <w:p w14:paraId="2E874FA2">
                  <w:pPr>
                    <w:pStyle w:val="52"/>
                    <w:bidi w:val="0"/>
                    <w:rPr>
                      <w:rFonts w:hint="default"/>
                    </w:rPr>
                  </w:pPr>
                  <w:r>
                    <w:rPr>
                      <w:rFonts w:hint="default"/>
                      <w:lang w:val="en-US" w:eastAsia="zh-CN"/>
                    </w:rPr>
                    <w:t>3.74E-05</w:t>
                  </w:r>
                </w:p>
              </w:tc>
            </w:tr>
            <w:tr w14:paraId="335D08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continue"/>
                  <w:tcBorders>
                    <w:tl2br w:val="nil"/>
                    <w:tr2bl w:val="nil"/>
                  </w:tcBorders>
                  <w:vAlign w:val="center"/>
                </w:tcPr>
                <w:p w14:paraId="4F8FCF01">
                  <w:pPr>
                    <w:jc w:val="center"/>
                    <w:rPr>
                      <w:rFonts w:hint="default" w:ascii="Times New Roman" w:hAnsi="Times New Roman" w:eastAsia="宋体" w:cs="Times New Roman"/>
                      <w:szCs w:val="21"/>
                    </w:rPr>
                  </w:pPr>
                </w:p>
              </w:tc>
              <w:tc>
                <w:tcPr>
                  <w:tcW w:w="1515" w:type="dxa"/>
                  <w:vMerge w:val="continue"/>
                  <w:tcBorders>
                    <w:tl2br w:val="nil"/>
                    <w:tr2bl w:val="nil"/>
                  </w:tcBorders>
                  <w:vAlign w:val="center"/>
                </w:tcPr>
                <w:p w14:paraId="58694CE7">
                  <w:pPr>
                    <w:jc w:val="center"/>
                    <w:rPr>
                      <w:rFonts w:hint="default" w:ascii="Times New Roman" w:hAnsi="Times New Roman" w:eastAsia="宋体" w:cs="Times New Roman"/>
                      <w:szCs w:val="21"/>
                    </w:rPr>
                  </w:pPr>
                </w:p>
              </w:tc>
              <w:tc>
                <w:tcPr>
                  <w:tcW w:w="1290" w:type="dxa"/>
                  <w:vMerge w:val="continue"/>
                  <w:tcBorders>
                    <w:tl2br w:val="nil"/>
                    <w:tr2bl w:val="nil"/>
                  </w:tcBorders>
                  <w:vAlign w:val="center"/>
                </w:tcPr>
                <w:p w14:paraId="68F600AF">
                  <w:pPr>
                    <w:jc w:val="center"/>
                    <w:rPr>
                      <w:rFonts w:hint="default" w:ascii="Times New Roman" w:hAnsi="Times New Roman" w:eastAsia="宋体" w:cs="Times New Roman"/>
                      <w:szCs w:val="21"/>
                    </w:rPr>
                  </w:pPr>
                </w:p>
              </w:tc>
              <w:tc>
                <w:tcPr>
                  <w:tcW w:w="1846" w:type="dxa"/>
                  <w:vMerge w:val="continue"/>
                  <w:tcBorders>
                    <w:tl2br w:val="nil"/>
                    <w:tr2bl w:val="nil"/>
                  </w:tcBorders>
                  <w:vAlign w:val="center"/>
                </w:tcPr>
                <w:p w14:paraId="3D8B303C">
                  <w:pPr>
                    <w:jc w:val="center"/>
                    <w:rPr>
                      <w:rFonts w:hint="default" w:ascii="Times New Roman" w:hAnsi="Times New Roman" w:eastAsia="宋体" w:cs="Times New Roman"/>
                      <w:szCs w:val="21"/>
                    </w:rPr>
                  </w:pPr>
                </w:p>
              </w:tc>
              <w:tc>
                <w:tcPr>
                  <w:tcW w:w="1019" w:type="dxa"/>
                  <w:vMerge w:val="continue"/>
                  <w:tcBorders>
                    <w:tl2br w:val="nil"/>
                    <w:tr2bl w:val="nil"/>
                  </w:tcBorders>
                  <w:vAlign w:val="center"/>
                </w:tcPr>
                <w:p w14:paraId="0D990A3C">
                  <w:pPr>
                    <w:jc w:val="center"/>
                    <w:rPr>
                      <w:rFonts w:hint="default" w:ascii="Times New Roman" w:hAnsi="Times New Roman" w:eastAsia="宋体" w:cs="Times New Roman"/>
                      <w:szCs w:val="21"/>
                    </w:rPr>
                  </w:pPr>
                </w:p>
              </w:tc>
              <w:tc>
                <w:tcPr>
                  <w:tcW w:w="472" w:type="dxa"/>
                  <w:tcBorders>
                    <w:tl2br w:val="nil"/>
                    <w:tr2bl w:val="nil"/>
                  </w:tcBorders>
                  <w:vAlign w:val="center"/>
                </w:tcPr>
                <w:p w14:paraId="75DBF388">
                  <w:pPr>
                    <w:jc w:val="center"/>
                    <w:rPr>
                      <w:rFonts w:hint="default" w:ascii="Times New Roman" w:hAnsi="Times New Roman" w:eastAsia="宋体" w:cs="Times New Roman"/>
                      <w:szCs w:val="21"/>
                    </w:rPr>
                  </w:pPr>
                  <w:r>
                    <w:rPr>
                      <w:rFonts w:hint="default" w:ascii="Times New Roman" w:hAnsi="Times New Roman" w:eastAsia="宋体" w:cs="Times New Roman"/>
                      <w:szCs w:val="21"/>
                    </w:rPr>
                    <w:t>拍片</w:t>
                  </w:r>
                </w:p>
              </w:tc>
              <w:tc>
                <w:tcPr>
                  <w:tcW w:w="848" w:type="dxa"/>
                  <w:tcBorders>
                    <w:tl2br w:val="nil"/>
                    <w:tr2bl w:val="nil"/>
                  </w:tcBorders>
                  <w:vAlign w:val="center"/>
                </w:tcPr>
                <w:p w14:paraId="70E02A5C">
                  <w:pPr>
                    <w:pStyle w:val="52"/>
                    <w:bidi w:val="0"/>
                    <w:rPr>
                      <w:rFonts w:hint="default"/>
                    </w:rPr>
                  </w:pPr>
                  <w:r>
                    <w:rPr>
                      <w:rFonts w:hint="default"/>
                      <w:lang w:val="en-US" w:eastAsia="zh-CN"/>
                    </w:rPr>
                    <w:t>3.62E-06</w:t>
                  </w:r>
                </w:p>
              </w:tc>
              <w:tc>
                <w:tcPr>
                  <w:tcW w:w="959" w:type="dxa"/>
                  <w:tcBorders>
                    <w:tl2br w:val="nil"/>
                    <w:tr2bl w:val="nil"/>
                  </w:tcBorders>
                  <w:vAlign w:val="center"/>
                </w:tcPr>
                <w:p w14:paraId="42F7B592">
                  <w:pPr>
                    <w:pStyle w:val="52"/>
                    <w:bidi w:val="0"/>
                    <w:rPr>
                      <w:rFonts w:hint="default"/>
                    </w:rPr>
                  </w:pPr>
                  <w:r>
                    <w:rPr>
                      <w:rFonts w:hint="default"/>
                      <w:lang w:val="en-US" w:eastAsia="zh-CN"/>
                    </w:rPr>
                    <w:t>1.02E-02</w:t>
                  </w:r>
                </w:p>
              </w:tc>
            </w:tr>
            <w:tr w14:paraId="0B221F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51" w:hRule="atLeast"/>
                <w:jc w:val="center"/>
              </w:trPr>
              <w:tc>
                <w:tcPr>
                  <w:tcW w:w="667" w:type="dxa"/>
                  <w:vMerge w:val="restart"/>
                  <w:tcBorders>
                    <w:tl2br w:val="nil"/>
                    <w:tr2bl w:val="nil"/>
                  </w:tcBorders>
                  <w:vAlign w:val="center"/>
                </w:tcPr>
                <w:p w14:paraId="666D3FD2">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8</w:t>
                  </w:r>
                </w:p>
              </w:tc>
              <w:tc>
                <w:tcPr>
                  <w:tcW w:w="1515" w:type="dxa"/>
                  <w:vMerge w:val="restart"/>
                  <w:tcBorders>
                    <w:tl2br w:val="nil"/>
                    <w:tr2bl w:val="nil"/>
                  </w:tcBorders>
                  <w:vAlign w:val="center"/>
                </w:tcPr>
                <w:p w14:paraId="1BCB31A7">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南</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窗</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控制室</w:t>
                  </w:r>
                  <w:r>
                    <w:rPr>
                      <w:rFonts w:hint="default" w:ascii="Times New Roman" w:hAnsi="Times New Roman" w:eastAsia="宋体" w:cs="Times New Roman"/>
                      <w:szCs w:val="21"/>
                    </w:rPr>
                    <w:t>）</w:t>
                  </w:r>
                </w:p>
              </w:tc>
              <w:tc>
                <w:tcPr>
                  <w:tcW w:w="1290" w:type="dxa"/>
                  <w:vMerge w:val="restart"/>
                  <w:tcBorders>
                    <w:tl2br w:val="nil"/>
                    <w:tr2bl w:val="nil"/>
                  </w:tcBorders>
                  <w:vAlign w:val="center"/>
                </w:tcPr>
                <w:p w14:paraId="64B88A36">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6.6</w:t>
                  </w:r>
                </w:p>
              </w:tc>
              <w:tc>
                <w:tcPr>
                  <w:tcW w:w="1846" w:type="dxa"/>
                  <w:vMerge w:val="restart"/>
                  <w:tcBorders>
                    <w:tl2br w:val="nil"/>
                    <w:tr2bl w:val="nil"/>
                  </w:tcBorders>
                  <w:vAlign w:val="center"/>
                </w:tcPr>
                <w:p w14:paraId="4F77BB38">
                  <w:pPr>
                    <w:jc w:val="center"/>
                    <w:rPr>
                      <w:rFonts w:hint="default" w:ascii="Times New Roman" w:hAnsi="Times New Roman" w:eastAsia="宋体" w:cs="Times New Roman"/>
                      <w:szCs w:val="21"/>
                    </w:rPr>
                  </w:pPr>
                  <w:r>
                    <w:rPr>
                      <w:rFonts w:hint="default" w:ascii="Times New Roman" w:hAnsi="Times New Roman" w:eastAsia="宋体" w:cs="Times New Roman"/>
                      <w:szCs w:val="21"/>
                    </w:rPr>
                    <w:t>3mmPb</w:t>
                  </w:r>
                </w:p>
              </w:tc>
              <w:tc>
                <w:tcPr>
                  <w:tcW w:w="1019" w:type="dxa"/>
                  <w:vMerge w:val="restart"/>
                  <w:tcBorders>
                    <w:tl2br w:val="nil"/>
                    <w:tr2bl w:val="nil"/>
                  </w:tcBorders>
                  <w:vAlign w:val="center"/>
                </w:tcPr>
                <w:p w14:paraId="10FAEF83">
                  <w:pPr>
                    <w:jc w:val="center"/>
                    <w:rPr>
                      <w:rFonts w:hint="default" w:ascii="Times New Roman" w:hAnsi="Times New Roman" w:eastAsia="宋体" w:cs="Times New Roman"/>
                      <w:szCs w:val="21"/>
                    </w:rPr>
                  </w:pPr>
                  <w:r>
                    <w:rPr>
                      <w:rFonts w:hint="default" w:ascii="Times New Roman" w:hAnsi="Times New Roman" w:eastAsia="宋体" w:cs="Times New Roman"/>
                      <w:szCs w:val="21"/>
                    </w:rPr>
                    <w:t>3.00</w:t>
                  </w:r>
                </w:p>
              </w:tc>
              <w:tc>
                <w:tcPr>
                  <w:tcW w:w="472" w:type="dxa"/>
                  <w:tcBorders>
                    <w:tl2br w:val="nil"/>
                    <w:tr2bl w:val="nil"/>
                  </w:tcBorders>
                  <w:vAlign w:val="center"/>
                </w:tcPr>
                <w:p w14:paraId="396E13A2">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vAlign w:val="center"/>
                </w:tcPr>
                <w:p w14:paraId="0E9BFED9">
                  <w:pPr>
                    <w:pStyle w:val="52"/>
                    <w:bidi w:val="0"/>
                    <w:rPr>
                      <w:rFonts w:hint="default"/>
                    </w:rPr>
                  </w:pPr>
                  <w:r>
                    <w:rPr>
                      <w:rFonts w:hint="default"/>
                      <w:lang w:val="en-US" w:eastAsia="zh-CN"/>
                    </w:rPr>
                    <w:t>7.93E-06</w:t>
                  </w:r>
                </w:p>
              </w:tc>
              <w:tc>
                <w:tcPr>
                  <w:tcW w:w="959" w:type="dxa"/>
                  <w:tcBorders>
                    <w:tl2br w:val="nil"/>
                    <w:tr2bl w:val="nil"/>
                  </w:tcBorders>
                  <w:vAlign w:val="center"/>
                </w:tcPr>
                <w:p w14:paraId="15D466BD">
                  <w:pPr>
                    <w:pStyle w:val="52"/>
                    <w:bidi w:val="0"/>
                    <w:rPr>
                      <w:rFonts w:hint="default"/>
                    </w:rPr>
                  </w:pPr>
                  <w:r>
                    <w:rPr>
                      <w:rFonts w:hint="default"/>
                      <w:lang w:val="en-US" w:eastAsia="zh-CN"/>
                    </w:rPr>
                    <w:t>5.75E-04</w:t>
                  </w:r>
                </w:p>
              </w:tc>
            </w:tr>
            <w:tr w14:paraId="436366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51" w:hRule="atLeast"/>
                <w:jc w:val="center"/>
              </w:trPr>
              <w:tc>
                <w:tcPr>
                  <w:tcW w:w="667" w:type="dxa"/>
                  <w:vMerge w:val="continue"/>
                  <w:tcBorders>
                    <w:tl2br w:val="nil"/>
                    <w:tr2bl w:val="nil"/>
                  </w:tcBorders>
                  <w:vAlign w:val="center"/>
                </w:tcPr>
                <w:p w14:paraId="2B3E32C9">
                  <w:pPr>
                    <w:widowControl/>
                    <w:jc w:val="center"/>
                    <w:textAlignment w:val="center"/>
                    <w:rPr>
                      <w:rFonts w:hint="default" w:ascii="Times New Roman" w:hAnsi="Times New Roman" w:eastAsia="宋体" w:cs="Times New Roman"/>
                      <w:szCs w:val="21"/>
                    </w:rPr>
                  </w:pPr>
                </w:p>
              </w:tc>
              <w:tc>
                <w:tcPr>
                  <w:tcW w:w="1515" w:type="dxa"/>
                  <w:vMerge w:val="continue"/>
                  <w:tcBorders>
                    <w:tl2br w:val="nil"/>
                    <w:tr2bl w:val="nil"/>
                  </w:tcBorders>
                  <w:vAlign w:val="center"/>
                </w:tcPr>
                <w:p w14:paraId="311B4380">
                  <w:pPr>
                    <w:widowControl/>
                    <w:jc w:val="center"/>
                    <w:textAlignment w:val="center"/>
                    <w:rPr>
                      <w:rFonts w:hint="default" w:ascii="Times New Roman" w:hAnsi="Times New Roman" w:eastAsia="宋体" w:cs="Times New Roman"/>
                      <w:szCs w:val="21"/>
                    </w:rPr>
                  </w:pPr>
                </w:p>
              </w:tc>
              <w:tc>
                <w:tcPr>
                  <w:tcW w:w="1290" w:type="dxa"/>
                  <w:vMerge w:val="continue"/>
                  <w:tcBorders>
                    <w:tl2br w:val="nil"/>
                    <w:tr2bl w:val="nil"/>
                  </w:tcBorders>
                  <w:vAlign w:val="center"/>
                </w:tcPr>
                <w:p w14:paraId="0DDBFF10">
                  <w:pPr>
                    <w:widowControl/>
                    <w:jc w:val="center"/>
                    <w:textAlignment w:val="center"/>
                    <w:rPr>
                      <w:rFonts w:hint="default" w:ascii="Times New Roman" w:hAnsi="Times New Roman" w:eastAsia="宋体" w:cs="Times New Roman"/>
                      <w:szCs w:val="21"/>
                    </w:rPr>
                  </w:pPr>
                </w:p>
              </w:tc>
              <w:tc>
                <w:tcPr>
                  <w:tcW w:w="1846" w:type="dxa"/>
                  <w:vMerge w:val="continue"/>
                  <w:tcBorders>
                    <w:tl2br w:val="nil"/>
                    <w:tr2bl w:val="nil"/>
                  </w:tcBorders>
                  <w:vAlign w:val="center"/>
                </w:tcPr>
                <w:p w14:paraId="373FAF6C">
                  <w:pPr>
                    <w:widowControl/>
                    <w:jc w:val="center"/>
                    <w:textAlignment w:val="center"/>
                    <w:rPr>
                      <w:rFonts w:hint="default" w:ascii="Times New Roman" w:hAnsi="Times New Roman" w:eastAsia="宋体" w:cs="Times New Roman"/>
                      <w:szCs w:val="21"/>
                    </w:rPr>
                  </w:pPr>
                </w:p>
              </w:tc>
              <w:tc>
                <w:tcPr>
                  <w:tcW w:w="1019" w:type="dxa"/>
                  <w:vMerge w:val="continue"/>
                  <w:tcBorders>
                    <w:tl2br w:val="nil"/>
                    <w:tr2bl w:val="nil"/>
                  </w:tcBorders>
                  <w:vAlign w:val="center"/>
                </w:tcPr>
                <w:p w14:paraId="39FB3AA2">
                  <w:pPr>
                    <w:widowControl/>
                    <w:jc w:val="center"/>
                    <w:textAlignment w:val="center"/>
                    <w:rPr>
                      <w:rFonts w:hint="default" w:ascii="Times New Roman" w:hAnsi="Times New Roman" w:eastAsia="宋体" w:cs="Times New Roman"/>
                      <w:szCs w:val="21"/>
                    </w:rPr>
                  </w:pPr>
                </w:p>
              </w:tc>
              <w:tc>
                <w:tcPr>
                  <w:tcW w:w="472" w:type="dxa"/>
                  <w:tcBorders>
                    <w:tl2br w:val="nil"/>
                    <w:tr2bl w:val="nil"/>
                  </w:tcBorders>
                  <w:vAlign w:val="center"/>
                </w:tcPr>
                <w:p w14:paraId="3A3300D8">
                  <w:pPr>
                    <w:jc w:val="center"/>
                    <w:rPr>
                      <w:rFonts w:hint="default" w:ascii="Times New Roman" w:hAnsi="Times New Roman" w:eastAsia="宋体" w:cs="Times New Roman"/>
                      <w:szCs w:val="21"/>
                    </w:rPr>
                  </w:pPr>
                  <w:r>
                    <w:rPr>
                      <w:rFonts w:hint="default" w:ascii="Times New Roman" w:hAnsi="Times New Roman" w:eastAsia="宋体" w:cs="Times New Roman"/>
                      <w:szCs w:val="21"/>
                    </w:rPr>
                    <w:t>拍片</w:t>
                  </w:r>
                </w:p>
              </w:tc>
              <w:tc>
                <w:tcPr>
                  <w:tcW w:w="848" w:type="dxa"/>
                  <w:tcBorders>
                    <w:tl2br w:val="nil"/>
                    <w:tr2bl w:val="nil"/>
                  </w:tcBorders>
                  <w:vAlign w:val="center"/>
                </w:tcPr>
                <w:p w14:paraId="5F07B8BC">
                  <w:pPr>
                    <w:pStyle w:val="52"/>
                    <w:bidi w:val="0"/>
                    <w:rPr>
                      <w:rFonts w:hint="default"/>
                    </w:rPr>
                  </w:pPr>
                  <w:r>
                    <w:rPr>
                      <w:rFonts w:hint="default"/>
                      <w:lang w:val="en-US" w:eastAsia="zh-CN"/>
                    </w:rPr>
                    <w:t>6.31E-05</w:t>
                  </w:r>
                </w:p>
              </w:tc>
              <w:tc>
                <w:tcPr>
                  <w:tcW w:w="959" w:type="dxa"/>
                  <w:tcBorders>
                    <w:tl2br w:val="nil"/>
                    <w:tr2bl w:val="nil"/>
                  </w:tcBorders>
                  <w:vAlign w:val="center"/>
                </w:tcPr>
                <w:p w14:paraId="74352454">
                  <w:pPr>
                    <w:pStyle w:val="52"/>
                    <w:bidi w:val="0"/>
                    <w:rPr>
                      <w:rFonts w:hint="default"/>
                    </w:rPr>
                  </w:pPr>
                  <w:r>
                    <w:rPr>
                      <w:rFonts w:hint="default"/>
                      <w:lang w:val="en-US" w:eastAsia="zh-CN"/>
                    </w:rPr>
                    <w:t>8.24E-02</w:t>
                  </w:r>
                </w:p>
              </w:tc>
            </w:tr>
            <w:tr w14:paraId="7D691A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restart"/>
                  <w:tcBorders>
                    <w:tl2br w:val="nil"/>
                    <w:tr2bl w:val="nil"/>
                  </w:tcBorders>
                  <w:vAlign w:val="center"/>
                </w:tcPr>
                <w:p w14:paraId="7E949D5F">
                  <w:pPr>
                    <w:jc w:val="center"/>
                    <w:rPr>
                      <w:rFonts w:hint="default" w:ascii="Times New Roman" w:hAnsi="Times New Roman" w:eastAsia="宋体" w:cs="Times New Roman"/>
                      <w:szCs w:val="21"/>
                    </w:rPr>
                  </w:pPr>
                  <w:r>
                    <w:rPr>
                      <w:rFonts w:hint="default" w:ascii="Times New Roman" w:hAnsi="Times New Roman" w:eastAsia="宋体" w:cs="Times New Roman"/>
                      <w:szCs w:val="21"/>
                    </w:rPr>
                    <w:t>9</w:t>
                  </w:r>
                </w:p>
              </w:tc>
              <w:tc>
                <w:tcPr>
                  <w:tcW w:w="1515" w:type="dxa"/>
                  <w:vMerge w:val="restart"/>
                  <w:tcBorders>
                    <w:tl2br w:val="nil"/>
                    <w:tr2bl w:val="nil"/>
                  </w:tcBorders>
                  <w:vAlign w:val="center"/>
                </w:tcPr>
                <w:p w14:paraId="59E65438">
                  <w:pPr>
                    <w:jc w:val="center"/>
                    <w:rPr>
                      <w:rFonts w:hint="default" w:ascii="Times New Roman" w:hAnsi="Times New Roman" w:eastAsia="宋体" w:cs="Times New Roman"/>
                      <w:szCs w:val="21"/>
                    </w:rPr>
                  </w:pPr>
                  <w:r>
                    <w:rPr>
                      <w:rFonts w:hint="default" w:ascii="Times New Roman" w:hAnsi="Times New Roman" w:eastAsia="宋体" w:cs="Times New Roman"/>
                      <w:szCs w:val="21"/>
                      <w:lang w:val="en-US" w:eastAsia="zh-CN"/>
                    </w:rPr>
                    <w:t>南</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控制室</w:t>
                  </w:r>
                  <w:r>
                    <w:rPr>
                      <w:rFonts w:hint="default" w:ascii="Times New Roman" w:hAnsi="Times New Roman" w:eastAsia="宋体" w:cs="Times New Roman"/>
                      <w:szCs w:val="21"/>
                    </w:rPr>
                    <w:t>）</w:t>
                  </w:r>
                </w:p>
              </w:tc>
              <w:tc>
                <w:tcPr>
                  <w:tcW w:w="1290" w:type="dxa"/>
                  <w:vMerge w:val="restart"/>
                  <w:tcBorders>
                    <w:tl2br w:val="nil"/>
                    <w:tr2bl w:val="nil"/>
                  </w:tcBorders>
                  <w:vAlign w:val="center"/>
                </w:tcPr>
                <w:p w14:paraId="1434846C">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6.8</w:t>
                  </w:r>
                </w:p>
              </w:tc>
              <w:tc>
                <w:tcPr>
                  <w:tcW w:w="1846" w:type="dxa"/>
                  <w:vMerge w:val="restart"/>
                  <w:tcBorders>
                    <w:tl2br w:val="nil"/>
                    <w:tr2bl w:val="nil"/>
                  </w:tcBorders>
                  <w:vAlign w:val="center"/>
                </w:tcPr>
                <w:p w14:paraId="4C1DFE18">
                  <w:pPr>
                    <w:jc w:val="center"/>
                    <w:rPr>
                      <w:rFonts w:hint="default" w:ascii="Times New Roman" w:hAnsi="Times New Roman" w:eastAsia="宋体" w:cs="Times New Roman"/>
                      <w:szCs w:val="21"/>
                    </w:rPr>
                  </w:pPr>
                  <w:r>
                    <w:rPr>
                      <w:rFonts w:hint="default" w:ascii="Times New Roman" w:hAnsi="Times New Roman" w:eastAsia="宋体" w:cs="Times New Roman"/>
                      <w:szCs w:val="21"/>
                    </w:rPr>
                    <w:t>3mmPb</w:t>
                  </w:r>
                </w:p>
              </w:tc>
              <w:tc>
                <w:tcPr>
                  <w:tcW w:w="1019" w:type="dxa"/>
                  <w:vMerge w:val="restart"/>
                  <w:tcBorders>
                    <w:tl2br w:val="nil"/>
                    <w:tr2bl w:val="nil"/>
                  </w:tcBorders>
                  <w:vAlign w:val="center"/>
                </w:tcPr>
                <w:p w14:paraId="7E0E74D3">
                  <w:pPr>
                    <w:jc w:val="center"/>
                    <w:rPr>
                      <w:rFonts w:hint="eastAsia" w:ascii="Times New Roman" w:hAnsi="Times New Roman" w:eastAsia="宋体" w:cs="Times New Roman"/>
                      <w:szCs w:val="21"/>
                      <w:lang w:eastAsia="zh-CN"/>
                    </w:rPr>
                  </w:pPr>
                  <w:r>
                    <w:rPr>
                      <w:rFonts w:hint="default" w:ascii="Times New Roman" w:hAnsi="Times New Roman" w:eastAsia="宋体" w:cs="Times New Roman"/>
                      <w:szCs w:val="21"/>
                    </w:rPr>
                    <w:t>3.00</w:t>
                  </w:r>
                </w:p>
              </w:tc>
              <w:tc>
                <w:tcPr>
                  <w:tcW w:w="472" w:type="dxa"/>
                  <w:tcBorders>
                    <w:tl2br w:val="nil"/>
                    <w:tr2bl w:val="nil"/>
                  </w:tcBorders>
                  <w:vAlign w:val="center"/>
                </w:tcPr>
                <w:p w14:paraId="440FCA45">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vAlign w:val="center"/>
                </w:tcPr>
                <w:p w14:paraId="078EE93F">
                  <w:pPr>
                    <w:pStyle w:val="52"/>
                    <w:bidi w:val="0"/>
                    <w:rPr>
                      <w:rFonts w:hint="default"/>
                    </w:rPr>
                  </w:pPr>
                  <w:r>
                    <w:rPr>
                      <w:rFonts w:hint="default"/>
                      <w:lang w:val="en-US" w:eastAsia="zh-CN"/>
                    </w:rPr>
                    <w:t>7.93E-06</w:t>
                  </w:r>
                </w:p>
              </w:tc>
              <w:tc>
                <w:tcPr>
                  <w:tcW w:w="959" w:type="dxa"/>
                  <w:tcBorders>
                    <w:tl2br w:val="nil"/>
                    <w:tr2bl w:val="nil"/>
                  </w:tcBorders>
                  <w:vAlign w:val="center"/>
                </w:tcPr>
                <w:p w14:paraId="012A84D2">
                  <w:pPr>
                    <w:pStyle w:val="52"/>
                    <w:bidi w:val="0"/>
                    <w:rPr>
                      <w:rFonts w:hint="default"/>
                    </w:rPr>
                  </w:pPr>
                  <w:r>
                    <w:rPr>
                      <w:rFonts w:hint="default"/>
                      <w:lang w:val="en-US" w:eastAsia="zh-CN"/>
                    </w:rPr>
                    <w:t>5.42E-04</w:t>
                  </w:r>
                </w:p>
              </w:tc>
            </w:tr>
            <w:tr w14:paraId="30B378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continue"/>
                  <w:tcBorders>
                    <w:tl2br w:val="nil"/>
                    <w:tr2bl w:val="nil"/>
                  </w:tcBorders>
                  <w:vAlign w:val="center"/>
                </w:tcPr>
                <w:p w14:paraId="35E630EA">
                  <w:pPr>
                    <w:jc w:val="center"/>
                    <w:rPr>
                      <w:rFonts w:hint="default" w:ascii="Times New Roman" w:hAnsi="Times New Roman" w:eastAsia="宋体" w:cs="Times New Roman"/>
                      <w:szCs w:val="21"/>
                    </w:rPr>
                  </w:pPr>
                </w:p>
              </w:tc>
              <w:tc>
                <w:tcPr>
                  <w:tcW w:w="1515" w:type="dxa"/>
                  <w:vMerge w:val="continue"/>
                  <w:tcBorders>
                    <w:tl2br w:val="nil"/>
                    <w:tr2bl w:val="nil"/>
                  </w:tcBorders>
                  <w:vAlign w:val="center"/>
                </w:tcPr>
                <w:p w14:paraId="24AECD00">
                  <w:pPr>
                    <w:jc w:val="center"/>
                    <w:rPr>
                      <w:rFonts w:hint="default" w:ascii="Times New Roman" w:hAnsi="Times New Roman" w:eastAsia="宋体" w:cs="Times New Roman"/>
                      <w:szCs w:val="21"/>
                    </w:rPr>
                  </w:pPr>
                </w:p>
              </w:tc>
              <w:tc>
                <w:tcPr>
                  <w:tcW w:w="1290" w:type="dxa"/>
                  <w:vMerge w:val="continue"/>
                  <w:tcBorders>
                    <w:tl2br w:val="nil"/>
                    <w:tr2bl w:val="nil"/>
                  </w:tcBorders>
                  <w:vAlign w:val="center"/>
                </w:tcPr>
                <w:p w14:paraId="6C8EE313">
                  <w:pPr>
                    <w:jc w:val="center"/>
                    <w:rPr>
                      <w:rFonts w:hint="default" w:ascii="Times New Roman" w:hAnsi="Times New Roman" w:eastAsia="宋体" w:cs="Times New Roman"/>
                      <w:szCs w:val="21"/>
                    </w:rPr>
                  </w:pPr>
                </w:p>
              </w:tc>
              <w:tc>
                <w:tcPr>
                  <w:tcW w:w="1846" w:type="dxa"/>
                  <w:vMerge w:val="continue"/>
                  <w:tcBorders>
                    <w:tl2br w:val="nil"/>
                    <w:tr2bl w:val="nil"/>
                  </w:tcBorders>
                  <w:vAlign w:val="center"/>
                </w:tcPr>
                <w:p w14:paraId="6BA92059">
                  <w:pPr>
                    <w:jc w:val="center"/>
                    <w:rPr>
                      <w:rFonts w:hint="default" w:ascii="Times New Roman" w:hAnsi="Times New Roman" w:eastAsia="宋体" w:cs="Times New Roman"/>
                      <w:szCs w:val="21"/>
                    </w:rPr>
                  </w:pPr>
                </w:p>
              </w:tc>
              <w:tc>
                <w:tcPr>
                  <w:tcW w:w="1019" w:type="dxa"/>
                  <w:vMerge w:val="continue"/>
                  <w:tcBorders>
                    <w:tl2br w:val="nil"/>
                    <w:tr2bl w:val="nil"/>
                  </w:tcBorders>
                  <w:vAlign w:val="center"/>
                </w:tcPr>
                <w:p w14:paraId="634945FF">
                  <w:pPr>
                    <w:jc w:val="center"/>
                    <w:rPr>
                      <w:rFonts w:hint="default" w:ascii="Times New Roman" w:hAnsi="Times New Roman" w:eastAsia="宋体" w:cs="Times New Roman"/>
                      <w:szCs w:val="21"/>
                    </w:rPr>
                  </w:pPr>
                </w:p>
              </w:tc>
              <w:tc>
                <w:tcPr>
                  <w:tcW w:w="472" w:type="dxa"/>
                  <w:tcBorders>
                    <w:tl2br w:val="nil"/>
                    <w:tr2bl w:val="nil"/>
                  </w:tcBorders>
                  <w:vAlign w:val="center"/>
                </w:tcPr>
                <w:p w14:paraId="0D4EE08E">
                  <w:pPr>
                    <w:jc w:val="center"/>
                    <w:rPr>
                      <w:rFonts w:hint="default" w:ascii="Times New Roman" w:hAnsi="Times New Roman" w:eastAsia="宋体" w:cs="Times New Roman"/>
                      <w:szCs w:val="21"/>
                    </w:rPr>
                  </w:pPr>
                  <w:r>
                    <w:rPr>
                      <w:rFonts w:hint="default" w:ascii="Times New Roman" w:hAnsi="Times New Roman" w:eastAsia="宋体" w:cs="Times New Roman"/>
                      <w:szCs w:val="21"/>
                    </w:rPr>
                    <w:t>拍片</w:t>
                  </w:r>
                </w:p>
              </w:tc>
              <w:tc>
                <w:tcPr>
                  <w:tcW w:w="848" w:type="dxa"/>
                  <w:tcBorders>
                    <w:tl2br w:val="nil"/>
                    <w:tr2bl w:val="nil"/>
                  </w:tcBorders>
                  <w:vAlign w:val="center"/>
                </w:tcPr>
                <w:p w14:paraId="36DB40AD">
                  <w:pPr>
                    <w:pStyle w:val="52"/>
                    <w:bidi w:val="0"/>
                    <w:rPr>
                      <w:rFonts w:hint="default"/>
                    </w:rPr>
                  </w:pPr>
                  <w:r>
                    <w:rPr>
                      <w:rFonts w:hint="default"/>
                      <w:lang w:val="en-US" w:eastAsia="zh-CN"/>
                    </w:rPr>
                    <w:t>6.31E-05</w:t>
                  </w:r>
                </w:p>
              </w:tc>
              <w:tc>
                <w:tcPr>
                  <w:tcW w:w="959" w:type="dxa"/>
                  <w:tcBorders>
                    <w:tl2br w:val="nil"/>
                    <w:tr2bl w:val="nil"/>
                  </w:tcBorders>
                  <w:vAlign w:val="center"/>
                </w:tcPr>
                <w:p w14:paraId="36156B65">
                  <w:pPr>
                    <w:pStyle w:val="52"/>
                    <w:bidi w:val="0"/>
                    <w:rPr>
                      <w:rFonts w:hint="default"/>
                    </w:rPr>
                  </w:pPr>
                  <w:r>
                    <w:rPr>
                      <w:rFonts w:hint="default"/>
                      <w:lang w:val="en-US" w:eastAsia="zh-CN"/>
                    </w:rPr>
                    <w:t>7.76E-02</w:t>
                  </w:r>
                </w:p>
              </w:tc>
            </w:tr>
            <w:tr w14:paraId="706865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restart"/>
                  <w:tcBorders>
                    <w:tl2br w:val="nil"/>
                    <w:tr2bl w:val="nil"/>
                  </w:tcBorders>
                  <w:vAlign w:val="center"/>
                </w:tcPr>
                <w:p w14:paraId="13D5F2AC">
                  <w:pPr>
                    <w:jc w:val="center"/>
                    <w:rPr>
                      <w:rFonts w:hint="default" w:ascii="Times New Roman" w:hAnsi="Times New Roman" w:eastAsia="宋体" w:cs="Times New Roman"/>
                      <w:szCs w:val="21"/>
                    </w:rPr>
                  </w:pPr>
                  <w:r>
                    <w:rPr>
                      <w:rFonts w:hint="default" w:ascii="Times New Roman" w:hAnsi="Times New Roman" w:eastAsia="宋体" w:cs="Times New Roman"/>
                      <w:szCs w:val="21"/>
                    </w:rPr>
                    <w:t>10</w:t>
                  </w:r>
                </w:p>
              </w:tc>
              <w:tc>
                <w:tcPr>
                  <w:tcW w:w="1515" w:type="dxa"/>
                  <w:vMerge w:val="restart"/>
                  <w:tcBorders>
                    <w:tl2br w:val="nil"/>
                    <w:tr2bl w:val="nil"/>
                  </w:tcBorders>
                  <w:vAlign w:val="center"/>
                </w:tcPr>
                <w:p w14:paraId="0CB3AEA9">
                  <w:pPr>
                    <w:jc w:val="center"/>
                    <w:rPr>
                      <w:rFonts w:hint="default" w:ascii="Times New Roman" w:hAnsi="Times New Roman" w:eastAsia="宋体" w:cs="Times New Roman"/>
                      <w:szCs w:val="21"/>
                    </w:rPr>
                  </w:pPr>
                  <w:r>
                    <w:rPr>
                      <w:rFonts w:hint="default" w:ascii="Times New Roman" w:hAnsi="Times New Roman" w:eastAsia="宋体" w:cs="Times New Roman"/>
                      <w:szCs w:val="21"/>
                      <w:lang w:val="en-US" w:eastAsia="zh-CN"/>
                    </w:rPr>
                    <w:t>东</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墙体</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室外通道</w:t>
                  </w:r>
                  <w:r>
                    <w:rPr>
                      <w:rFonts w:hint="default" w:ascii="Times New Roman" w:hAnsi="Times New Roman" w:eastAsia="宋体" w:cs="Times New Roman"/>
                      <w:szCs w:val="21"/>
                    </w:rPr>
                    <w:t>）</w:t>
                  </w:r>
                </w:p>
              </w:tc>
              <w:tc>
                <w:tcPr>
                  <w:tcW w:w="1290" w:type="dxa"/>
                  <w:vMerge w:val="restart"/>
                  <w:tcBorders>
                    <w:tl2br w:val="nil"/>
                    <w:tr2bl w:val="nil"/>
                  </w:tcBorders>
                  <w:vAlign w:val="center"/>
                </w:tcPr>
                <w:p w14:paraId="02D3A11A">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4.9</w:t>
                  </w:r>
                </w:p>
              </w:tc>
              <w:tc>
                <w:tcPr>
                  <w:tcW w:w="1846" w:type="dxa"/>
                  <w:vMerge w:val="restart"/>
                  <w:tcBorders>
                    <w:tl2br w:val="nil"/>
                    <w:tr2bl w:val="nil"/>
                  </w:tcBorders>
                  <w:vAlign w:val="center"/>
                </w:tcPr>
                <w:p w14:paraId="453B8409">
                  <w:pPr>
                    <w:jc w:val="center"/>
                    <w:rPr>
                      <w:rFonts w:hint="default" w:ascii="Times New Roman" w:hAnsi="Times New Roman" w:eastAsia="宋体" w:cs="Times New Roman"/>
                      <w:szCs w:val="21"/>
                    </w:rPr>
                  </w:pPr>
                  <w:r>
                    <w:rPr>
                      <w:rFonts w:hint="default" w:ascii="Times New Roman" w:hAnsi="Times New Roman" w:eastAsia="宋体" w:cs="Times New Roman"/>
                      <w:szCs w:val="21"/>
                    </w:rPr>
                    <w:t>370mm</w:t>
                  </w:r>
                  <w:r>
                    <w:rPr>
                      <w:rFonts w:hint="eastAsia" w:ascii="Times New Roman" w:hAnsi="Times New Roman" w:cs="Times New Roman"/>
                      <w:szCs w:val="21"/>
                      <w:lang w:eastAsia="zh-CN"/>
                    </w:rPr>
                    <w:t>红色实心砖墙</w:t>
                  </w:r>
                  <w:r>
                    <w:rPr>
                      <w:rFonts w:hint="default" w:ascii="Times New Roman" w:hAnsi="Times New Roman" w:eastAsia="宋体" w:cs="Times New Roman"/>
                      <w:szCs w:val="21"/>
                    </w:rPr>
                    <w:t>+10mm硫酸钡水泥砂浆</w:t>
                  </w:r>
                </w:p>
              </w:tc>
              <w:tc>
                <w:tcPr>
                  <w:tcW w:w="1019" w:type="dxa"/>
                  <w:vMerge w:val="restart"/>
                  <w:tcBorders>
                    <w:tl2br w:val="nil"/>
                    <w:tr2bl w:val="nil"/>
                  </w:tcBorders>
                  <w:vAlign w:val="center"/>
                </w:tcPr>
                <w:p w14:paraId="0D2AEDE5">
                  <w:pPr>
                    <w:jc w:val="center"/>
                    <w:rPr>
                      <w:rFonts w:hint="default" w:ascii="Times New Roman" w:hAnsi="Times New Roman" w:eastAsia="宋体" w:cs="Times New Roman"/>
                      <w:szCs w:val="21"/>
                    </w:rPr>
                  </w:pPr>
                  <w:r>
                    <w:rPr>
                      <w:rFonts w:hint="eastAsia" w:ascii="Times New Roman" w:hAnsi="Times New Roman" w:cs="Times New Roman"/>
                      <w:szCs w:val="21"/>
                      <w:lang w:val="en-US" w:eastAsia="zh-CN"/>
                    </w:rPr>
                    <w:t>4.14</w:t>
                  </w:r>
                </w:p>
              </w:tc>
              <w:tc>
                <w:tcPr>
                  <w:tcW w:w="472" w:type="dxa"/>
                  <w:tcBorders>
                    <w:tl2br w:val="nil"/>
                    <w:tr2bl w:val="nil"/>
                  </w:tcBorders>
                  <w:vAlign w:val="center"/>
                </w:tcPr>
                <w:p w14:paraId="46C60D19">
                  <w:pPr>
                    <w:jc w:val="center"/>
                    <w:rPr>
                      <w:rFonts w:hint="default" w:ascii="Times New Roman" w:hAnsi="Times New Roman" w:eastAsia="宋体" w:cs="Times New Roman"/>
                      <w:szCs w:val="21"/>
                    </w:rPr>
                  </w:pPr>
                  <w:r>
                    <w:rPr>
                      <w:rFonts w:hint="default" w:ascii="Times New Roman" w:hAnsi="Times New Roman" w:eastAsia="宋体" w:cs="Times New Roman"/>
                      <w:szCs w:val="21"/>
                    </w:rPr>
                    <w:t>透视</w:t>
                  </w:r>
                </w:p>
              </w:tc>
              <w:tc>
                <w:tcPr>
                  <w:tcW w:w="848" w:type="dxa"/>
                  <w:tcBorders>
                    <w:tl2br w:val="nil"/>
                    <w:tr2bl w:val="nil"/>
                  </w:tcBorders>
                  <w:vAlign w:val="center"/>
                </w:tcPr>
                <w:p w14:paraId="1FE3D0D0">
                  <w:pPr>
                    <w:pStyle w:val="52"/>
                    <w:bidi w:val="0"/>
                    <w:rPr>
                      <w:rFonts w:hint="default"/>
                    </w:rPr>
                  </w:pPr>
                  <w:r>
                    <w:rPr>
                      <w:rFonts w:hint="default"/>
                      <w:lang w:val="en-US" w:eastAsia="zh-CN"/>
                    </w:rPr>
                    <w:t>2.40E-07</w:t>
                  </w:r>
                </w:p>
              </w:tc>
              <w:tc>
                <w:tcPr>
                  <w:tcW w:w="959" w:type="dxa"/>
                  <w:tcBorders>
                    <w:tl2br w:val="nil"/>
                    <w:tr2bl w:val="nil"/>
                  </w:tcBorders>
                  <w:vAlign w:val="center"/>
                </w:tcPr>
                <w:p w14:paraId="50AF4A11">
                  <w:pPr>
                    <w:pStyle w:val="52"/>
                    <w:bidi w:val="0"/>
                    <w:rPr>
                      <w:rFonts w:hint="default"/>
                    </w:rPr>
                  </w:pPr>
                  <w:r>
                    <w:rPr>
                      <w:rFonts w:hint="default"/>
                      <w:lang w:val="en-US" w:eastAsia="zh-CN"/>
                    </w:rPr>
                    <w:t>3.16E-05</w:t>
                  </w:r>
                </w:p>
              </w:tc>
            </w:tr>
            <w:tr w14:paraId="73BFFC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67" w:type="dxa"/>
                  <w:vMerge w:val="continue"/>
                  <w:tcBorders>
                    <w:tl2br w:val="nil"/>
                    <w:tr2bl w:val="nil"/>
                  </w:tcBorders>
                  <w:vAlign w:val="center"/>
                </w:tcPr>
                <w:p w14:paraId="68242C02">
                  <w:pPr>
                    <w:jc w:val="center"/>
                    <w:rPr>
                      <w:rFonts w:hint="default" w:ascii="Times New Roman" w:hAnsi="Times New Roman" w:eastAsia="宋体" w:cs="Times New Roman"/>
                      <w:szCs w:val="21"/>
                    </w:rPr>
                  </w:pPr>
                </w:p>
              </w:tc>
              <w:tc>
                <w:tcPr>
                  <w:tcW w:w="1515" w:type="dxa"/>
                  <w:vMerge w:val="continue"/>
                  <w:tcBorders>
                    <w:tl2br w:val="nil"/>
                    <w:tr2bl w:val="nil"/>
                  </w:tcBorders>
                  <w:vAlign w:val="center"/>
                </w:tcPr>
                <w:p w14:paraId="16030E06">
                  <w:pPr>
                    <w:jc w:val="center"/>
                    <w:rPr>
                      <w:rFonts w:hint="default" w:ascii="Times New Roman" w:hAnsi="Times New Roman" w:eastAsia="宋体" w:cs="Times New Roman"/>
                      <w:szCs w:val="21"/>
                    </w:rPr>
                  </w:pPr>
                </w:p>
              </w:tc>
              <w:tc>
                <w:tcPr>
                  <w:tcW w:w="1290" w:type="dxa"/>
                  <w:vMerge w:val="continue"/>
                  <w:tcBorders>
                    <w:tl2br w:val="nil"/>
                    <w:tr2bl w:val="nil"/>
                  </w:tcBorders>
                  <w:vAlign w:val="center"/>
                </w:tcPr>
                <w:p w14:paraId="353C8675">
                  <w:pPr>
                    <w:jc w:val="center"/>
                    <w:rPr>
                      <w:rFonts w:hint="default" w:ascii="Times New Roman" w:hAnsi="Times New Roman" w:eastAsia="宋体" w:cs="Times New Roman"/>
                      <w:szCs w:val="21"/>
                    </w:rPr>
                  </w:pPr>
                </w:p>
              </w:tc>
              <w:tc>
                <w:tcPr>
                  <w:tcW w:w="1846" w:type="dxa"/>
                  <w:vMerge w:val="continue"/>
                  <w:tcBorders>
                    <w:tl2br w:val="nil"/>
                    <w:tr2bl w:val="nil"/>
                  </w:tcBorders>
                  <w:vAlign w:val="center"/>
                </w:tcPr>
                <w:p w14:paraId="507BC2C6">
                  <w:pPr>
                    <w:jc w:val="center"/>
                    <w:rPr>
                      <w:rFonts w:hint="default" w:ascii="Times New Roman" w:hAnsi="Times New Roman" w:eastAsia="宋体" w:cs="Times New Roman"/>
                      <w:szCs w:val="21"/>
                    </w:rPr>
                  </w:pPr>
                </w:p>
              </w:tc>
              <w:tc>
                <w:tcPr>
                  <w:tcW w:w="1019" w:type="dxa"/>
                  <w:vMerge w:val="continue"/>
                  <w:tcBorders>
                    <w:tl2br w:val="nil"/>
                    <w:tr2bl w:val="nil"/>
                  </w:tcBorders>
                  <w:vAlign w:val="center"/>
                </w:tcPr>
                <w:p w14:paraId="1DA3E68B">
                  <w:pPr>
                    <w:jc w:val="center"/>
                    <w:rPr>
                      <w:rFonts w:hint="default" w:ascii="Times New Roman" w:hAnsi="Times New Roman" w:eastAsia="宋体" w:cs="Times New Roman"/>
                      <w:szCs w:val="21"/>
                    </w:rPr>
                  </w:pPr>
                </w:p>
              </w:tc>
              <w:tc>
                <w:tcPr>
                  <w:tcW w:w="472" w:type="dxa"/>
                  <w:tcBorders>
                    <w:tl2br w:val="nil"/>
                    <w:tr2bl w:val="nil"/>
                  </w:tcBorders>
                  <w:vAlign w:val="center"/>
                </w:tcPr>
                <w:p w14:paraId="16FC354A">
                  <w:pPr>
                    <w:jc w:val="center"/>
                    <w:rPr>
                      <w:rFonts w:hint="default" w:ascii="Times New Roman" w:hAnsi="Times New Roman" w:eastAsia="宋体" w:cs="Times New Roman"/>
                      <w:szCs w:val="21"/>
                    </w:rPr>
                  </w:pPr>
                  <w:r>
                    <w:rPr>
                      <w:rFonts w:hint="default" w:ascii="Times New Roman" w:hAnsi="Times New Roman" w:eastAsia="宋体" w:cs="Times New Roman"/>
                      <w:szCs w:val="21"/>
                    </w:rPr>
                    <w:t>拍片</w:t>
                  </w:r>
                </w:p>
              </w:tc>
              <w:tc>
                <w:tcPr>
                  <w:tcW w:w="848" w:type="dxa"/>
                  <w:tcBorders>
                    <w:tl2br w:val="nil"/>
                    <w:tr2bl w:val="nil"/>
                  </w:tcBorders>
                  <w:vAlign w:val="center"/>
                </w:tcPr>
                <w:p w14:paraId="7BDC011A">
                  <w:pPr>
                    <w:pStyle w:val="52"/>
                    <w:bidi w:val="0"/>
                    <w:rPr>
                      <w:rFonts w:hint="default"/>
                    </w:rPr>
                  </w:pPr>
                  <w:r>
                    <w:rPr>
                      <w:rFonts w:hint="default"/>
                      <w:lang w:val="en-US" w:eastAsia="zh-CN"/>
                    </w:rPr>
                    <w:t>3.62E-06</w:t>
                  </w:r>
                </w:p>
              </w:tc>
              <w:tc>
                <w:tcPr>
                  <w:tcW w:w="959" w:type="dxa"/>
                  <w:tcBorders>
                    <w:tl2br w:val="nil"/>
                    <w:tr2bl w:val="nil"/>
                  </w:tcBorders>
                  <w:vAlign w:val="center"/>
                </w:tcPr>
                <w:p w14:paraId="4400BB1D">
                  <w:pPr>
                    <w:pStyle w:val="52"/>
                    <w:bidi w:val="0"/>
                    <w:rPr>
                      <w:rFonts w:hint="default"/>
                    </w:rPr>
                  </w:pPr>
                  <w:r>
                    <w:rPr>
                      <w:rFonts w:hint="default"/>
                      <w:lang w:val="en-US" w:eastAsia="zh-CN"/>
                    </w:rPr>
                    <w:t>8.57E-03</w:t>
                  </w:r>
                </w:p>
              </w:tc>
            </w:tr>
          </w:tbl>
          <w:p w14:paraId="082C0EBA">
            <w:pPr>
              <w:spacing w:line="360" w:lineRule="auto"/>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（3）泄漏辐射剂量估算</w:t>
            </w:r>
          </w:p>
          <w:p w14:paraId="0E02E2B6">
            <w:pPr>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根据国际放射防护委员会第33号出版物《医用外照射源的辐射防护》</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77</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用于诊断目的的每一个X射线管必须封闭在管套内，以使得位于该套管内的X射线管在制造厂规定的每个额定值时，离焦点1m处所测得的泄漏辐射在空气中的比释动能不超过1.0mGy/h”</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在距离源1m处不超过100cm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的面积上或者在离管或源壳5cm处的10cm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面积上进行平均测量</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，以及</w:t>
            </w:r>
            <w:r>
              <w:rPr>
                <w:rFonts w:hint="default" w:ascii="Times New Roman" w:hAnsi="Times New Roman" w:cs="Times New Roman"/>
                <w:color w:val="000000" w:themeColor="text1"/>
                <w:sz w:val="24"/>
                <w14:textFill>
                  <w14:solidFill>
                    <w14:schemeClr w14:val="tx1"/>
                  </w14:solidFill>
                </w14:textFill>
              </w:rPr>
              <w:t>《医用电气设备 第1-3部分</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基本安全和基本性能的通用要求</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并列标准</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诊断X射线设备的辐射防护》</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GB 9706.103-2020</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中29.204</w:t>
            </w:r>
            <w:r>
              <w:rPr>
                <w:rFonts w:hint="eastAsia" w:ascii="Times New Roman" w:hAnsi="Times New Roman"/>
                <w:color w:val="000000" w:themeColor="text1"/>
                <w:sz w:val="24"/>
                <w14:textFill>
                  <w14:solidFill>
                    <w14:schemeClr w14:val="tx1"/>
                  </w14:solidFill>
                </w14:textFill>
              </w:rPr>
              <w:t>.3的相应要求。故取本项目DSA离焦点1m处的泄漏辐射空气比释动能率为1.0mGy/h。</w:t>
            </w:r>
          </w:p>
          <w:p w14:paraId="52750D93">
            <w:pPr>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泄漏辐射剂量率利用点源辐射进行计算，各预测点的泄漏辐射剂量率可</w:t>
            </w:r>
            <w:r>
              <w:rPr>
                <w:rFonts w:hint="eastAsia" w:ascii="Times New Roman" w:hAnsi="Times New Roman"/>
                <w:color w:val="000000" w:themeColor="text1"/>
                <w:sz w:val="24"/>
                <w:lang w:eastAsia="zh-CN"/>
                <w14:textFill>
                  <w14:solidFill>
                    <w14:schemeClr w14:val="tx1"/>
                  </w14:solidFill>
                </w14:textFill>
              </w:rPr>
              <w:t>用如</w:t>
            </w:r>
            <w:r>
              <w:rPr>
                <w:rFonts w:ascii="Times New Roman" w:hAnsi="Times New Roman"/>
                <w:color w:val="000000" w:themeColor="text1"/>
                <w:sz w:val="24"/>
                <w14:textFill>
                  <w14:solidFill>
                    <w14:schemeClr w14:val="tx1"/>
                  </w14:solidFill>
                </w14:textFill>
              </w:rPr>
              <w:t>下（式5）进行计算。</w:t>
            </w:r>
          </w:p>
          <w:p w14:paraId="6C272474">
            <w:pPr>
              <w:adjustRightInd w:val="0"/>
              <w:snapToGrid w:val="0"/>
              <w:jc w:val="center"/>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 xml:space="preserve">           </w:t>
            </w:r>
            <w:r>
              <w:rPr>
                <w:rFonts w:ascii="Times New Roman" w:hAnsi="Times New Roman"/>
                <w:b/>
                <w:bCs/>
                <w:color w:val="000000" w:themeColor="text1"/>
                <w:position w:val="-24"/>
                <w:sz w:val="24"/>
                <w14:textFill>
                  <w14:solidFill>
                    <w14:schemeClr w14:val="tx1"/>
                  </w14:solidFill>
                </w14:textFill>
              </w:rPr>
              <w:object>
                <v:shape id="_x0000_i1030" o:spt="75" type="#_x0000_t75" style="height:31.3pt;width:56.95pt;" o:ole="t" filled="f" o:preferrelative="t" stroked="f" coordsize="21600,21600">
                  <v:path/>
                  <v:fill on="f" focussize="0,0"/>
                  <v:stroke on="f" joinstyle="miter"/>
                  <v:imagedata r:id="rId33" o:title=""/>
                  <o:lock v:ext="edit" aspectratio="t"/>
                  <w10:wrap type="none"/>
                  <w10:anchorlock/>
                </v:shape>
                <o:OLEObject Type="Embed" ProgID="Equation.3" ShapeID="_x0000_i1030" DrawAspect="Content" ObjectID="_1468075730" r:id="rId32">
                  <o:LockedField>false</o:LockedField>
                </o:OLEObject>
              </w:object>
            </w:r>
            <w:r>
              <w:rPr>
                <w:rFonts w:ascii="Times New Roman" w:hAnsi="Times New Roman"/>
                <w:b/>
                <w:bCs/>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 （式5）</w:t>
            </w:r>
          </w:p>
          <w:p w14:paraId="7DAD8ED0">
            <w:pPr>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式中：</w:t>
            </w:r>
          </w:p>
          <w:p w14:paraId="1E108BBD">
            <w:pPr>
              <w:spacing w:line="360" w:lineRule="auto"/>
              <w:ind w:firstLine="1200" w:firstLineChars="500"/>
              <w:jc w:val="left"/>
              <w:rPr>
                <w:rFonts w:ascii="Times New Roman" w:hAnsi="Times New Roman"/>
                <w:color w:val="000000" w:themeColor="text1"/>
                <w:sz w:val="24"/>
                <w14:textFill>
                  <w14:solidFill>
                    <w14:schemeClr w14:val="tx1"/>
                  </w14:solidFill>
                </w14:textFill>
              </w:rPr>
            </w:pPr>
            <w:r>
              <w:rPr>
                <w:rFonts w:ascii="Times New Roman" w:hAnsi="Times New Roman"/>
                <w:i/>
                <w:iCs/>
                <w:color w:val="000000" w:themeColor="text1"/>
                <w:sz w:val="24"/>
                <w14:textFill>
                  <w14:solidFill>
                    <w14:schemeClr w14:val="tx1"/>
                  </w14:solidFill>
                </w14:textFill>
              </w:rPr>
              <w:t>H</w:t>
            </w:r>
            <w:r>
              <w:rPr>
                <w:rFonts w:ascii="Times New Roman" w:hAnsi="Times New Roman"/>
                <w:color w:val="000000" w:themeColor="text1"/>
                <w:sz w:val="24"/>
                <w14:textFill>
                  <w14:solidFill>
                    <w14:schemeClr w14:val="tx1"/>
                  </w14:solidFill>
                </w14:textFill>
              </w:rPr>
              <w:t>—预测点处的泄漏辐射剂量率，μGy/h；</w:t>
            </w:r>
          </w:p>
          <w:p w14:paraId="56FFA48D">
            <w:pPr>
              <w:tabs>
                <w:tab w:val="left" w:pos="671"/>
              </w:tabs>
              <w:spacing w:line="360" w:lineRule="auto"/>
              <w:ind w:firstLine="720" w:firstLineChars="300"/>
              <w:jc w:val="left"/>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i/>
                <w:iCs/>
                <w:color w:val="000000" w:themeColor="text1"/>
                <w:sz w:val="24"/>
                <w14:textFill>
                  <w14:solidFill>
                    <w14:schemeClr w14:val="tx1"/>
                  </w14:solidFill>
                </w14:textFill>
              </w:rPr>
              <w:t>H</w:t>
            </w:r>
            <w:r>
              <w:rPr>
                <w:rFonts w:ascii="Times New Roman" w:hAnsi="Times New Roman"/>
                <w:i/>
                <w:iCs/>
                <w:color w:val="000000" w:themeColor="text1"/>
                <w:sz w:val="24"/>
                <w:vertAlign w:val="subscript"/>
                <w14:textFill>
                  <w14:solidFill>
                    <w14:schemeClr w14:val="tx1"/>
                  </w14:solidFill>
                </w14:textFill>
              </w:rPr>
              <w:t>0</w:t>
            </w:r>
            <w:r>
              <w:rPr>
                <w:rFonts w:ascii="Times New Roman" w:hAnsi="Times New Roman"/>
                <w:color w:val="000000" w:themeColor="text1"/>
                <w:sz w:val="24"/>
                <w14:textFill>
                  <w14:solidFill>
                    <w14:schemeClr w14:val="tx1"/>
                  </w14:solidFill>
                </w14:textFill>
              </w:rPr>
              <w:t>—距靶点1m处的最大剂量率，</w:t>
            </w:r>
            <w:r>
              <w:rPr>
                <w:rFonts w:hint="eastAsia" w:ascii="Times New Roman" w:hAnsi="Times New Roman"/>
                <w:color w:val="000000" w:themeColor="text1"/>
                <w:sz w:val="24"/>
                <w14:textFill>
                  <w14:solidFill>
                    <w14:schemeClr w14:val="tx1"/>
                  </w14:solidFill>
                </w14:textFill>
              </w:rPr>
              <w:t>1000</w:t>
            </w:r>
            <w:r>
              <w:rPr>
                <w:rFonts w:ascii="Times New Roman" w:hAnsi="Times New Roman"/>
                <w:color w:val="000000" w:themeColor="text1"/>
                <w:sz w:val="24"/>
                <w14:textFill>
                  <w14:solidFill>
                    <w14:schemeClr w14:val="tx1"/>
                  </w14:solidFill>
                </w14:textFill>
              </w:rPr>
              <w:t>μGy/h；</w:t>
            </w:r>
          </w:p>
          <w:p w14:paraId="0440C6AF">
            <w:pPr>
              <w:spacing w:line="360" w:lineRule="auto"/>
              <w:ind w:firstLine="1200" w:firstLineChars="500"/>
              <w:jc w:val="left"/>
              <w:rPr>
                <w:rFonts w:ascii="Times New Roman" w:hAnsi="Times New Roman"/>
                <w:color w:val="000000" w:themeColor="text1"/>
                <w:sz w:val="24"/>
                <w14:textFill>
                  <w14:solidFill>
                    <w14:schemeClr w14:val="tx1"/>
                  </w14:solidFill>
                </w14:textFill>
              </w:rPr>
            </w:pPr>
            <w:r>
              <w:rPr>
                <w:rFonts w:ascii="Times New Roman" w:hAnsi="Times New Roman"/>
                <w:i/>
                <w:iCs/>
                <w:color w:val="000000" w:themeColor="text1"/>
                <w:sz w:val="24"/>
                <w14:textFill>
                  <w14:solidFill>
                    <w14:schemeClr w14:val="tx1"/>
                  </w14:solidFill>
                </w14:textFill>
              </w:rPr>
              <w:t>R</w:t>
            </w:r>
            <w:r>
              <w:rPr>
                <w:rFonts w:ascii="Times New Roman" w:hAnsi="Times New Roman"/>
                <w:color w:val="000000" w:themeColor="text1"/>
                <w:sz w:val="24"/>
                <w14:textFill>
                  <w14:solidFill>
                    <w14:schemeClr w14:val="tx1"/>
                  </w14:solidFill>
                </w14:textFill>
              </w:rPr>
              <w:t>—靶点距关注点的距离，m；</w:t>
            </w:r>
          </w:p>
          <w:p w14:paraId="75574581">
            <w:pPr>
              <w:spacing w:line="360" w:lineRule="auto"/>
              <w:ind w:firstLine="1200" w:firstLineChars="500"/>
              <w:jc w:val="left"/>
              <w:rPr>
                <w:rFonts w:ascii="Times New Roman" w:hAnsi="Times New Roman"/>
                <w:color w:val="000000" w:themeColor="text1"/>
                <w:sz w:val="24"/>
                <w14:textFill>
                  <w14:solidFill>
                    <w14:schemeClr w14:val="tx1"/>
                  </w14:solidFill>
                </w14:textFill>
              </w:rPr>
            </w:pPr>
            <w:r>
              <w:rPr>
                <w:rFonts w:ascii="Times New Roman" w:hAnsi="Times New Roman"/>
                <w:i/>
                <w:iCs/>
                <w:color w:val="000000" w:themeColor="text1"/>
                <w:sz w:val="24"/>
                <w14:textFill>
                  <w14:solidFill>
                    <w14:schemeClr w14:val="tx1"/>
                  </w14:solidFill>
                </w14:textFill>
              </w:rPr>
              <w:t>B</w:t>
            </w:r>
            <w:r>
              <w:rPr>
                <w:rFonts w:ascii="Times New Roman" w:hAnsi="Times New Roman"/>
                <w:color w:val="000000" w:themeColor="text1"/>
                <w:sz w:val="24"/>
                <w14:textFill>
                  <w14:solidFill>
                    <w14:schemeClr w14:val="tx1"/>
                  </w14:solidFill>
                </w14:textFill>
              </w:rPr>
              <w:t>—减弱因子。</w:t>
            </w:r>
          </w:p>
          <w:p w14:paraId="58875212">
            <w:pPr>
              <w:spacing w:line="360" w:lineRule="auto"/>
              <w:ind w:firstLine="480" w:firstLineChars="200"/>
              <w:jc w:val="left"/>
              <w:rPr>
                <w:rFonts w:hint="default" w:ascii="Times New Roman" w:hAnsi="Times New Roman"/>
                <w:color w:val="000000" w:themeColor="text1"/>
                <w:sz w:val="24"/>
                <w:lang w:val="en-US" w:eastAsia="zh-CN"/>
                <w14:textFill>
                  <w14:solidFill>
                    <w14:schemeClr w14:val="tx1"/>
                  </w14:solidFill>
                </w14:textFill>
              </w:rPr>
            </w:pPr>
            <w:r>
              <w:rPr>
                <w:rFonts w:ascii="Times New Roman" w:hAnsi="Times New Roman"/>
                <w:color w:val="000000" w:themeColor="text1"/>
                <w:sz w:val="24"/>
                <w14:textFill>
                  <w14:solidFill>
                    <w14:schemeClr w14:val="tx1"/>
                  </w14:solidFill>
                </w14:textFill>
              </w:rPr>
              <w:t>各预测点泄漏辐射剂量率计算参数及结果见下表11-5。</w:t>
            </w:r>
            <w:r>
              <w:rPr>
                <w:rFonts w:hint="default" w:ascii="Times New Roman" w:hAnsi="Times New Roman"/>
                <w:color w:val="000000" w:themeColor="text1"/>
                <w:sz w:val="24"/>
                <w:lang w:val="en-US" w:eastAsia="zh-CN"/>
                <w14:textFill>
                  <w14:solidFill>
                    <w14:schemeClr w14:val="tx1"/>
                  </w14:solidFill>
                </w14:textFill>
              </w:rPr>
              <w:t>DSA机房净空高4.5m，地面楼板厚度0.</w:t>
            </w:r>
            <w:r>
              <w:rPr>
                <w:rFonts w:hint="eastAsia" w:ascii="Times New Roman" w:hAnsi="Times New Roman"/>
                <w:color w:val="000000" w:themeColor="text1"/>
                <w:sz w:val="24"/>
                <w:lang w:val="en-US" w:eastAsia="zh-CN"/>
                <w14:textFill>
                  <w14:solidFill>
                    <w14:schemeClr w14:val="tx1"/>
                  </w14:solidFill>
                </w14:textFill>
              </w:rPr>
              <w:t>26</w:t>
            </w:r>
            <w:r>
              <w:rPr>
                <w:rFonts w:hint="default" w:ascii="Times New Roman" w:hAnsi="Times New Roman"/>
                <w:color w:val="000000" w:themeColor="text1"/>
                <w:sz w:val="24"/>
                <w:lang w:val="en-US" w:eastAsia="zh-CN"/>
                <w14:textFill>
                  <w14:solidFill>
                    <w14:schemeClr w14:val="tx1"/>
                  </w14:solidFill>
                </w14:textFill>
              </w:rPr>
              <w:t>m，保守按照靶点</w:t>
            </w:r>
            <w:r>
              <w:rPr>
                <w:rFonts w:hint="eastAsia" w:ascii="Times New Roman" w:hAnsi="Times New Roman"/>
                <w:color w:val="000000" w:themeColor="text1"/>
                <w:sz w:val="24"/>
                <w:lang w:val="en-US" w:eastAsia="zh-CN"/>
                <w14:textFill>
                  <w14:solidFill>
                    <w14:schemeClr w14:val="tx1"/>
                  </w14:solidFill>
                </w14:textFill>
              </w:rPr>
              <w:t>距</w:t>
            </w:r>
            <w:r>
              <w:rPr>
                <w:rFonts w:hint="default" w:ascii="Times New Roman" w:hAnsi="Times New Roman"/>
                <w:color w:val="000000" w:themeColor="text1"/>
                <w:sz w:val="24"/>
                <w:lang w:val="en-US" w:eastAsia="zh-CN"/>
                <w14:textFill>
                  <w14:solidFill>
                    <w14:schemeClr w14:val="tx1"/>
                  </w14:solidFill>
                </w14:textFill>
              </w:rPr>
              <w:t>地面0.5m，病人与靶点的距离取1m</w:t>
            </w:r>
            <w:r>
              <w:rPr>
                <w:rFonts w:hint="eastAsia" w:ascii="Times New Roman" w:hAnsi="Times New Roman"/>
                <w:color w:val="000000" w:themeColor="text1"/>
                <w:sz w:val="24"/>
                <w:lang w:val="en-US" w:eastAsia="zh-CN"/>
                <w14:textFill>
                  <w14:solidFill>
                    <w14:schemeClr w14:val="tx1"/>
                  </w14:solidFill>
                </w14:textFill>
              </w:rPr>
              <w:t>。</w:t>
            </w:r>
          </w:p>
          <w:p w14:paraId="44F77D91">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各关注点的泄漏辐射剂量率计算参数及结果</w:t>
            </w:r>
          </w:p>
          <w:tbl>
            <w:tblPr>
              <w:tblStyle w:val="23"/>
              <w:tblW w:w="851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62"/>
              <w:gridCol w:w="1815"/>
              <w:gridCol w:w="825"/>
              <w:gridCol w:w="1800"/>
              <w:gridCol w:w="1100"/>
              <w:gridCol w:w="454"/>
              <w:gridCol w:w="956"/>
              <w:gridCol w:w="904"/>
            </w:tblGrid>
            <w:tr w14:paraId="77A54B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tcBorders>
                    <w:tl2br w:val="nil"/>
                    <w:tr2bl w:val="nil"/>
                  </w:tcBorders>
                  <w:vAlign w:val="center"/>
                </w:tcPr>
                <w:p w14:paraId="2C23E692">
                  <w:pPr>
                    <w:jc w:val="center"/>
                    <w:rPr>
                      <w:rFonts w:ascii="Times New Roman" w:hAnsi="Times New Roman"/>
                      <w:b/>
                      <w:bCs/>
                      <w:szCs w:val="21"/>
                    </w:rPr>
                  </w:pPr>
                  <w:r>
                    <w:rPr>
                      <w:rFonts w:ascii="Times New Roman" w:hAnsi="Times New Roman"/>
                      <w:b/>
                      <w:bCs/>
                      <w:szCs w:val="21"/>
                    </w:rPr>
                    <w:t>序号</w:t>
                  </w:r>
                </w:p>
              </w:tc>
              <w:tc>
                <w:tcPr>
                  <w:tcW w:w="1815" w:type="dxa"/>
                  <w:tcBorders>
                    <w:tl2br w:val="nil"/>
                    <w:tr2bl w:val="nil"/>
                  </w:tcBorders>
                  <w:vAlign w:val="center"/>
                </w:tcPr>
                <w:p w14:paraId="6EE55D9B">
                  <w:pPr>
                    <w:jc w:val="center"/>
                    <w:rPr>
                      <w:rFonts w:ascii="Times New Roman" w:hAnsi="Times New Roman"/>
                      <w:b/>
                      <w:bCs/>
                      <w:szCs w:val="21"/>
                    </w:rPr>
                  </w:pPr>
                  <w:r>
                    <w:rPr>
                      <w:rFonts w:ascii="Times New Roman" w:hAnsi="Times New Roman"/>
                      <w:b/>
                      <w:bCs/>
                      <w:szCs w:val="21"/>
                    </w:rPr>
                    <w:t>关注点位描述</w:t>
                  </w:r>
                </w:p>
              </w:tc>
              <w:tc>
                <w:tcPr>
                  <w:tcW w:w="825" w:type="dxa"/>
                  <w:tcBorders>
                    <w:tl2br w:val="nil"/>
                    <w:tr2bl w:val="nil"/>
                  </w:tcBorders>
                  <w:vAlign w:val="center"/>
                </w:tcPr>
                <w:p w14:paraId="7D7EFAD4">
                  <w:pPr>
                    <w:jc w:val="center"/>
                    <w:rPr>
                      <w:rFonts w:ascii="Times New Roman" w:hAnsi="Times New Roman"/>
                      <w:b/>
                      <w:bCs/>
                      <w:szCs w:val="21"/>
                    </w:rPr>
                  </w:pPr>
                  <w:r>
                    <w:rPr>
                      <w:rFonts w:ascii="Times New Roman" w:hAnsi="Times New Roman"/>
                      <w:b/>
                      <w:bCs/>
                      <w:szCs w:val="21"/>
                    </w:rPr>
                    <w:t>靶点到关注点距离（m）</w:t>
                  </w:r>
                </w:p>
              </w:tc>
              <w:tc>
                <w:tcPr>
                  <w:tcW w:w="1800" w:type="dxa"/>
                  <w:tcBorders>
                    <w:tl2br w:val="nil"/>
                    <w:tr2bl w:val="nil"/>
                  </w:tcBorders>
                  <w:vAlign w:val="center"/>
                </w:tcPr>
                <w:p w14:paraId="6DB22BCF">
                  <w:pPr>
                    <w:jc w:val="center"/>
                    <w:rPr>
                      <w:rFonts w:ascii="Times New Roman" w:hAnsi="Times New Roman"/>
                      <w:b/>
                      <w:bCs/>
                      <w:szCs w:val="21"/>
                    </w:rPr>
                  </w:pPr>
                  <w:r>
                    <w:rPr>
                      <w:rFonts w:ascii="Times New Roman" w:hAnsi="Times New Roman"/>
                      <w:b/>
                      <w:bCs/>
                      <w:szCs w:val="21"/>
                    </w:rPr>
                    <w:t>屏蔽材料与厚度（mm）</w:t>
                  </w:r>
                </w:p>
              </w:tc>
              <w:tc>
                <w:tcPr>
                  <w:tcW w:w="1100" w:type="dxa"/>
                  <w:tcBorders>
                    <w:tl2br w:val="nil"/>
                    <w:tr2bl w:val="nil"/>
                  </w:tcBorders>
                  <w:vAlign w:val="center"/>
                </w:tcPr>
                <w:p w14:paraId="70594863">
                  <w:pPr>
                    <w:jc w:val="center"/>
                    <w:rPr>
                      <w:rFonts w:ascii="Times New Roman" w:hAnsi="Times New Roman"/>
                      <w:b/>
                      <w:bCs/>
                      <w:szCs w:val="21"/>
                    </w:rPr>
                  </w:pPr>
                  <w:r>
                    <w:rPr>
                      <w:rFonts w:ascii="Times New Roman" w:hAnsi="Times New Roman"/>
                      <w:b/>
                      <w:bCs/>
                      <w:szCs w:val="21"/>
                    </w:rPr>
                    <w:t>折合铅</w:t>
                  </w:r>
                </w:p>
                <w:p w14:paraId="06A2BD95">
                  <w:pPr>
                    <w:jc w:val="center"/>
                    <w:rPr>
                      <w:rFonts w:ascii="Times New Roman" w:hAnsi="Times New Roman"/>
                      <w:b/>
                      <w:bCs/>
                      <w:szCs w:val="21"/>
                    </w:rPr>
                  </w:pPr>
                  <w:r>
                    <w:rPr>
                      <w:rFonts w:ascii="Times New Roman" w:hAnsi="Times New Roman"/>
                      <w:b/>
                      <w:bCs/>
                      <w:szCs w:val="21"/>
                    </w:rPr>
                    <w:t>当量</w:t>
                  </w:r>
                </w:p>
                <w:p w14:paraId="77EE5345">
                  <w:pPr>
                    <w:jc w:val="center"/>
                    <w:rPr>
                      <w:rFonts w:ascii="Times New Roman" w:hAnsi="Times New Roman"/>
                      <w:b/>
                      <w:bCs/>
                      <w:szCs w:val="21"/>
                    </w:rPr>
                  </w:pPr>
                  <w:r>
                    <w:rPr>
                      <w:rFonts w:ascii="Times New Roman" w:hAnsi="Times New Roman"/>
                      <w:b/>
                      <w:bCs/>
                      <w:szCs w:val="21"/>
                    </w:rPr>
                    <w:t>（mmPb）</w:t>
                  </w:r>
                </w:p>
              </w:tc>
              <w:tc>
                <w:tcPr>
                  <w:tcW w:w="454" w:type="dxa"/>
                  <w:tcBorders>
                    <w:tl2br w:val="nil"/>
                    <w:tr2bl w:val="nil"/>
                  </w:tcBorders>
                  <w:vAlign w:val="center"/>
                </w:tcPr>
                <w:p w14:paraId="26FB02DD">
                  <w:pPr>
                    <w:jc w:val="center"/>
                    <w:rPr>
                      <w:rFonts w:ascii="Times New Roman" w:hAnsi="Times New Roman"/>
                      <w:b/>
                      <w:bCs/>
                      <w:szCs w:val="21"/>
                    </w:rPr>
                  </w:pPr>
                  <w:r>
                    <w:rPr>
                      <w:rFonts w:ascii="Times New Roman" w:hAnsi="Times New Roman"/>
                      <w:b/>
                      <w:bCs/>
                      <w:szCs w:val="21"/>
                    </w:rPr>
                    <w:t>照射</w:t>
                  </w:r>
                </w:p>
                <w:p w14:paraId="04956D00">
                  <w:pPr>
                    <w:jc w:val="center"/>
                    <w:rPr>
                      <w:rFonts w:ascii="Times New Roman" w:hAnsi="Times New Roman"/>
                      <w:b/>
                      <w:bCs/>
                      <w:szCs w:val="21"/>
                    </w:rPr>
                  </w:pPr>
                  <w:r>
                    <w:rPr>
                      <w:rFonts w:ascii="Times New Roman" w:hAnsi="Times New Roman"/>
                      <w:b/>
                      <w:bCs/>
                      <w:szCs w:val="21"/>
                    </w:rPr>
                    <w:t>模式</w:t>
                  </w:r>
                </w:p>
              </w:tc>
              <w:tc>
                <w:tcPr>
                  <w:tcW w:w="956" w:type="dxa"/>
                  <w:tcBorders>
                    <w:tl2br w:val="nil"/>
                    <w:tr2bl w:val="nil"/>
                  </w:tcBorders>
                  <w:vAlign w:val="center"/>
                </w:tcPr>
                <w:p w14:paraId="03797D3D">
                  <w:pPr>
                    <w:jc w:val="center"/>
                    <w:rPr>
                      <w:rFonts w:ascii="Times New Roman" w:hAnsi="Times New Roman"/>
                      <w:b/>
                      <w:bCs/>
                      <w:szCs w:val="21"/>
                    </w:rPr>
                  </w:pPr>
                  <w:r>
                    <w:rPr>
                      <w:rFonts w:ascii="Times New Roman" w:hAnsi="Times New Roman"/>
                      <w:b/>
                      <w:bCs/>
                      <w:szCs w:val="21"/>
                    </w:rPr>
                    <w:t>减弱</w:t>
                  </w:r>
                </w:p>
                <w:p w14:paraId="75F4BBEB">
                  <w:pPr>
                    <w:jc w:val="center"/>
                    <w:rPr>
                      <w:rFonts w:ascii="Times New Roman" w:hAnsi="Times New Roman"/>
                      <w:b/>
                      <w:bCs/>
                      <w:szCs w:val="21"/>
                    </w:rPr>
                  </w:pPr>
                  <w:r>
                    <w:rPr>
                      <w:rFonts w:ascii="Times New Roman" w:hAnsi="Times New Roman"/>
                      <w:b/>
                      <w:bCs/>
                      <w:szCs w:val="21"/>
                    </w:rPr>
                    <w:t>因子</w:t>
                  </w:r>
                </w:p>
              </w:tc>
              <w:tc>
                <w:tcPr>
                  <w:tcW w:w="904" w:type="dxa"/>
                  <w:tcBorders>
                    <w:tl2br w:val="nil"/>
                    <w:tr2bl w:val="nil"/>
                  </w:tcBorders>
                  <w:vAlign w:val="center"/>
                </w:tcPr>
                <w:p w14:paraId="68A40DAA">
                  <w:pPr>
                    <w:jc w:val="center"/>
                    <w:rPr>
                      <w:rFonts w:ascii="Times New Roman" w:hAnsi="Times New Roman"/>
                      <w:b/>
                      <w:bCs/>
                      <w:szCs w:val="21"/>
                    </w:rPr>
                  </w:pPr>
                  <w:r>
                    <w:rPr>
                      <w:rFonts w:ascii="Times New Roman" w:hAnsi="Times New Roman"/>
                      <w:b/>
                      <w:bCs/>
                      <w:szCs w:val="21"/>
                    </w:rPr>
                    <w:t>泄漏辐射剂量率（μGy/h）</w:t>
                  </w:r>
                </w:p>
              </w:tc>
            </w:tr>
            <w:tr w14:paraId="6C2AC5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tcBorders>
                    <w:tl2br w:val="nil"/>
                    <w:tr2bl w:val="nil"/>
                  </w:tcBorders>
                  <w:vAlign w:val="center"/>
                </w:tcPr>
                <w:p w14:paraId="2E9ADBC2">
                  <w:pPr>
                    <w:jc w:val="center"/>
                    <w:rPr>
                      <w:rFonts w:ascii="Times New Roman" w:hAnsi="Times New Roman"/>
                      <w:szCs w:val="21"/>
                    </w:rPr>
                  </w:pPr>
                  <w:r>
                    <w:rPr>
                      <w:rFonts w:ascii="Times New Roman" w:hAnsi="Times New Roman"/>
                      <w:szCs w:val="21"/>
                    </w:rPr>
                    <w:t>1</w:t>
                  </w:r>
                </w:p>
              </w:tc>
              <w:tc>
                <w:tcPr>
                  <w:tcW w:w="1815" w:type="dxa"/>
                  <w:tcBorders>
                    <w:tl2br w:val="nil"/>
                    <w:tr2bl w:val="nil"/>
                  </w:tcBorders>
                  <w:vAlign w:val="center"/>
                </w:tcPr>
                <w:p w14:paraId="493148B8">
                  <w:pPr>
                    <w:jc w:val="center"/>
                    <w:rPr>
                      <w:rFonts w:ascii="Times New Roman" w:hAnsi="Times New Roman"/>
                      <w:szCs w:val="21"/>
                    </w:rPr>
                  </w:pPr>
                  <w:r>
                    <w:rPr>
                      <w:rFonts w:hint="default" w:ascii="Times New Roman" w:hAnsi="Times New Roman" w:eastAsia="宋体" w:cs="Times New Roman"/>
                      <w:szCs w:val="21"/>
                    </w:rPr>
                    <w:t>DSA机房内主刀医生</w:t>
                  </w:r>
                </w:p>
              </w:tc>
              <w:tc>
                <w:tcPr>
                  <w:tcW w:w="825" w:type="dxa"/>
                  <w:tcBorders>
                    <w:tl2br w:val="nil"/>
                    <w:tr2bl w:val="nil"/>
                  </w:tcBorders>
                  <w:vAlign w:val="center"/>
                </w:tcPr>
                <w:p w14:paraId="086AB17E">
                  <w:pPr>
                    <w:jc w:val="center"/>
                    <w:rPr>
                      <w:rFonts w:ascii="Times New Roman" w:hAnsi="Times New Roman"/>
                      <w:szCs w:val="21"/>
                    </w:rPr>
                  </w:pPr>
                  <w:r>
                    <w:rPr>
                      <w:rFonts w:hint="default" w:ascii="Times New Roman" w:hAnsi="Times New Roman" w:eastAsia="宋体" w:cs="Times New Roman"/>
                      <w:szCs w:val="21"/>
                    </w:rPr>
                    <w:t>0.5</w:t>
                  </w:r>
                </w:p>
              </w:tc>
              <w:tc>
                <w:tcPr>
                  <w:tcW w:w="1800" w:type="dxa"/>
                  <w:tcBorders>
                    <w:tl2br w:val="nil"/>
                    <w:tr2bl w:val="nil"/>
                  </w:tcBorders>
                  <w:vAlign w:val="center"/>
                </w:tcPr>
                <w:p w14:paraId="21F0FB63">
                  <w:pPr>
                    <w:jc w:val="center"/>
                    <w:rPr>
                      <w:rFonts w:ascii="Times New Roman" w:hAnsi="Times New Roman"/>
                      <w:szCs w:val="21"/>
                    </w:rPr>
                  </w:pPr>
                  <w:r>
                    <w:rPr>
                      <w:rFonts w:hint="default" w:ascii="Times New Roman" w:hAnsi="Times New Roman" w:eastAsia="宋体" w:cs="Times New Roman"/>
                      <w:szCs w:val="21"/>
                    </w:rPr>
                    <w:t>0.5mmPb铅防护衣+0.5mmPb铅帘</w:t>
                  </w:r>
                </w:p>
              </w:tc>
              <w:tc>
                <w:tcPr>
                  <w:tcW w:w="1100" w:type="dxa"/>
                  <w:tcBorders>
                    <w:tl2br w:val="nil"/>
                    <w:tr2bl w:val="nil"/>
                  </w:tcBorders>
                  <w:vAlign w:val="center"/>
                </w:tcPr>
                <w:p w14:paraId="4C7DE8BB">
                  <w:pPr>
                    <w:jc w:val="center"/>
                    <w:rPr>
                      <w:rFonts w:ascii="Times New Roman" w:hAnsi="Times New Roman"/>
                      <w:szCs w:val="21"/>
                    </w:rPr>
                  </w:pPr>
                  <w:r>
                    <w:rPr>
                      <w:rFonts w:hint="default" w:ascii="Times New Roman" w:hAnsi="Times New Roman" w:eastAsia="宋体" w:cs="Times New Roman"/>
                      <w:szCs w:val="21"/>
                    </w:rPr>
                    <w:t>1.00</w:t>
                  </w:r>
                </w:p>
              </w:tc>
              <w:tc>
                <w:tcPr>
                  <w:tcW w:w="454" w:type="dxa"/>
                  <w:tcBorders>
                    <w:tl2br w:val="nil"/>
                    <w:tr2bl w:val="nil"/>
                  </w:tcBorders>
                  <w:vAlign w:val="center"/>
                </w:tcPr>
                <w:p w14:paraId="6B4B59B7">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339FDFD3">
                  <w:pPr>
                    <w:pStyle w:val="52"/>
                    <w:bidi w:val="0"/>
                    <w:rPr>
                      <w:rFonts w:ascii="Times New Roman" w:hAnsi="Times New Roman"/>
                      <w:szCs w:val="21"/>
                    </w:rPr>
                  </w:pPr>
                  <w:r>
                    <w:rPr>
                      <w:rFonts w:hint="default"/>
                      <w:lang w:val="en-US" w:eastAsia="zh-CN"/>
                    </w:rPr>
                    <w:t>4.08E-03</w:t>
                  </w:r>
                </w:p>
              </w:tc>
              <w:tc>
                <w:tcPr>
                  <w:tcW w:w="904" w:type="dxa"/>
                  <w:tcBorders>
                    <w:tl2br w:val="nil"/>
                    <w:tr2bl w:val="nil"/>
                  </w:tcBorders>
                  <w:vAlign w:val="center"/>
                </w:tcPr>
                <w:p w14:paraId="5DA6E709">
                  <w:pPr>
                    <w:pStyle w:val="52"/>
                  </w:pPr>
                  <w:r>
                    <w:rPr>
                      <w:rFonts w:hint="default"/>
                      <w:lang w:val="en-US" w:eastAsia="zh-CN"/>
                    </w:rPr>
                    <w:t xml:space="preserve">16.320 </w:t>
                  </w:r>
                </w:p>
              </w:tc>
            </w:tr>
            <w:tr w14:paraId="525605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tcBorders>
                    <w:tl2br w:val="nil"/>
                    <w:tr2bl w:val="nil"/>
                  </w:tcBorders>
                  <w:vAlign w:val="center"/>
                </w:tcPr>
                <w:p w14:paraId="0F2ABD6B">
                  <w:pPr>
                    <w:jc w:val="center"/>
                    <w:rPr>
                      <w:rFonts w:ascii="Times New Roman" w:hAnsi="Times New Roman"/>
                      <w:szCs w:val="21"/>
                    </w:rPr>
                  </w:pPr>
                  <w:r>
                    <w:rPr>
                      <w:rFonts w:ascii="Times New Roman" w:hAnsi="Times New Roman"/>
                      <w:szCs w:val="21"/>
                    </w:rPr>
                    <w:t>2</w:t>
                  </w:r>
                </w:p>
              </w:tc>
              <w:tc>
                <w:tcPr>
                  <w:tcW w:w="1815" w:type="dxa"/>
                  <w:tcBorders>
                    <w:tl2br w:val="nil"/>
                    <w:tr2bl w:val="nil"/>
                  </w:tcBorders>
                  <w:vAlign w:val="center"/>
                </w:tcPr>
                <w:p w14:paraId="5D18ABF9">
                  <w:pPr>
                    <w:jc w:val="center"/>
                    <w:rPr>
                      <w:rFonts w:ascii="Times New Roman" w:hAnsi="Times New Roman"/>
                      <w:szCs w:val="21"/>
                    </w:rPr>
                  </w:pPr>
                  <w:r>
                    <w:rPr>
                      <w:rFonts w:hint="default" w:ascii="Times New Roman" w:hAnsi="Times New Roman" w:eastAsia="宋体" w:cs="Times New Roman"/>
                      <w:szCs w:val="21"/>
                    </w:rPr>
                    <w:t>DSA机房内助手医生</w:t>
                  </w:r>
                </w:p>
              </w:tc>
              <w:tc>
                <w:tcPr>
                  <w:tcW w:w="825" w:type="dxa"/>
                  <w:tcBorders>
                    <w:tl2br w:val="nil"/>
                    <w:tr2bl w:val="nil"/>
                  </w:tcBorders>
                  <w:vAlign w:val="center"/>
                </w:tcPr>
                <w:p w14:paraId="1ED8EB7B">
                  <w:pPr>
                    <w:jc w:val="center"/>
                    <w:rPr>
                      <w:rFonts w:hint="eastAsia" w:ascii="Times New Roman" w:hAnsi="Times New Roman" w:eastAsia="宋体"/>
                      <w:szCs w:val="21"/>
                      <w:lang w:eastAsia="zh-CN"/>
                    </w:rPr>
                  </w:pPr>
                  <w:r>
                    <w:rPr>
                      <w:rFonts w:hint="default" w:ascii="Times New Roman" w:hAnsi="Times New Roman" w:eastAsia="宋体" w:cs="Times New Roman"/>
                      <w:szCs w:val="21"/>
                      <w:lang w:eastAsia="zh-CN"/>
                    </w:rPr>
                    <w:t>0.9</w:t>
                  </w:r>
                </w:p>
              </w:tc>
              <w:tc>
                <w:tcPr>
                  <w:tcW w:w="1800" w:type="dxa"/>
                  <w:tcBorders>
                    <w:tl2br w:val="nil"/>
                    <w:tr2bl w:val="nil"/>
                  </w:tcBorders>
                  <w:vAlign w:val="center"/>
                </w:tcPr>
                <w:p w14:paraId="0A37B528">
                  <w:pPr>
                    <w:jc w:val="center"/>
                    <w:rPr>
                      <w:rFonts w:ascii="Times New Roman" w:hAnsi="Times New Roman"/>
                      <w:szCs w:val="21"/>
                    </w:rPr>
                  </w:pPr>
                  <w:r>
                    <w:rPr>
                      <w:rFonts w:hint="default" w:ascii="Times New Roman" w:hAnsi="Times New Roman" w:eastAsia="宋体" w:cs="Times New Roman"/>
                      <w:szCs w:val="21"/>
                    </w:rPr>
                    <w:t>0.5mmPb铅防护衣</w:t>
                  </w:r>
                </w:p>
              </w:tc>
              <w:tc>
                <w:tcPr>
                  <w:tcW w:w="1100" w:type="dxa"/>
                  <w:tcBorders>
                    <w:tl2br w:val="nil"/>
                    <w:tr2bl w:val="nil"/>
                  </w:tcBorders>
                  <w:vAlign w:val="center"/>
                </w:tcPr>
                <w:p w14:paraId="10CAD404">
                  <w:pPr>
                    <w:jc w:val="center"/>
                    <w:rPr>
                      <w:rFonts w:ascii="Times New Roman" w:hAnsi="Times New Roman"/>
                      <w:szCs w:val="21"/>
                    </w:rPr>
                  </w:pPr>
                  <w:r>
                    <w:rPr>
                      <w:rFonts w:hint="default" w:ascii="Times New Roman" w:hAnsi="Times New Roman" w:eastAsia="宋体" w:cs="Times New Roman"/>
                      <w:szCs w:val="21"/>
                    </w:rPr>
                    <w:t>0.50</w:t>
                  </w:r>
                </w:p>
              </w:tc>
              <w:tc>
                <w:tcPr>
                  <w:tcW w:w="454" w:type="dxa"/>
                  <w:tcBorders>
                    <w:tl2br w:val="nil"/>
                    <w:tr2bl w:val="nil"/>
                  </w:tcBorders>
                  <w:vAlign w:val="center"/>
                </w:tcPr>
                <w:p w14:paraId="2962D6BC">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7F87E525">
                  <w:pPr>
                    <w:pStyle w:val="52"/>
                    <w:bidi w:val="0"/>
                    <w:rPr>
                      <w:rFonts w:ascii="Times New Roman" w:hAnsi="Times New Roman"/>
                      <w:szCs w:val="21"/>
                    </w:rPr>
                  </w:pPr>
                  <w:r>
                    <w:rPr>
                      <w:rFonts w:hint="default"/>
                      <w:lang w:val="en-US" w:eastAsia="zh-CN"/>
                    </w:rPr>
                    <w:t>2.52E-02</w:t>
                  </w:r>
                </w:p>
              </w:tc>
              <w:tc>
                <w:tcPr>
                  <w:tcW w:w="904" w:type="dxa"/>
                  <w:tcBorders>
                    <w:tl2br w:val="nil"/>
                    <w:tr2bl w:val="nil"/>
                  </w:tcBorders>
                  <w:vAlign w:val="center"/>
                </w:tcPr>
                <w:p w14:paraId="3FC88D2D">
                  <w:pPr>
                    <w:pStyle w:val="52"/>
                  </w:pPr>
                  <w:r>
                    <w:rPr>
                      <w:rFonts w:hint="default"/>
                      <w:lang w:val="en-US" w:eastAsia="zh-CN"/>
                    </w:rPr>
                    <w:t xml:space="preserve">31.111 </w:t>
                  </w:r>
                </w:p>
              </w:tc>
            </w:tr>
            <w:tr w14:paraId="7AE963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tcBorders>
                    <w:tl2br w:val="nil"/>
                    <w:tr2bl w:val="nil"/>
                  </w:tcBorders>
                  <w:vAlign w:val="center"/>
                </w:tcPr>
                <w:p w14:paraId="7AAA0635">
                  <w:pPr>
                    <w:jc w:val="center"/>
                    <w:rPr>
                      <w:rFonts w:ascii="Times New Roman" w:hAnsi="Times New Roman"/>
                      <w:szCs w:val="21"/>
                    </w:rPr>
                  </w:pPr>
                  <w:r>
                    <w:rPr>
                      <w:rFonts w:ascii="Times New Roman" w:hAnsi="Times New Roman"/>
                      <w:szCs w:val="21"/>
                    </w:rPr>
                    <w:t>3</w:t>
                  </w:r>
                </w:p>
              </w:tc>
              <w:tc>
                <w:tcPr>
                  <w:tcW w:w="1815" w:type="dxa"/>
                  <w:tcBorders>
                    <w:tl2br w:val="nil"/>
                    <w:tr2bl w:val="nil"/>
                  </w:tcBorders>
                  <w:vAlign w:val="center"/>
                </w:tcPr>
                <w:p w14:paraId="05EA0A44">
                  <w:pPr>
                    <w:jc w:val="center"/>
                    <w:rPr>
                      <w:rFonts w:ascii="Times New Roman" w:hAnsi="Times New Roman"/>
                      <w:szCs w:val="21"/>
                    </w:rPr>
                  </w:pPr>
                  <w:r>
                    <w:rPr>
                      <w:rFonts w:hint="default" w:ascii="Times New Roman" w:hAnsi="Times New Roman" w:eastAsia="宋体" w:cs="Times New Roman"/>
                      <w:szCs w:val="21"/>
                    </w:rPr>
                    <w:t>DSA机房内护士</w:t>
                  </w:r>
                </w:p>
              </w:tc>
              <w:tc>
                <w:tcPr>
                  <w:tcW w:w="825" w:type="dxa"/>
                  <w:tcBorders>
                    <w:tl2br w:val="nil"/>
                    <w:tr2bl w:val="nil"/>
                  </w:tcBorders>
                  <w:vAlign w:val="center"/>
                </w:tcPr>
                <w:p w14:paraId="7969FB0F">
                  <w:pPr>
                    <w:jc w:val="center"/>
                    <w:rPr>
                      <w:rFonts w:ascii="Times New Roman" w:hAnsi="Times New Roman"/>
                      <w:szCs w:val="21"/>
                    </w:rPr>
                  </w:pPr>
                  <w:r>
                    <w:rPr>
                      <w:rFonts w:hint="default" w:ascii="Times New Roman" w:hAnsi="Times New Roman" w:eastAsia="宋体" w:cs="Times New Roman"/>
                      <w:szCs w:val="21"/>
                    </w:rPr>
                    <w:t>1.3</w:t>
                  </w:r>
                </w:p>
              </w:tc>
              <w:tc>
                <w:tcPr>
                  <w:tcW w:w="1800" w:type="dxa"/>
                  <w:tcBorders>
                    <w:tl2br w:val="nil"/>
                    <w:tr2bl w:val="nil"/>
                  </w:tcBorders>
                  <w:vAlign w:val="center"/>
                </w:tcPr>
                <w:p w14:paraId="51120500">
                  <w:pPr>
                    <w:jc w:val="center"/>
                    <w:rPr>
                      <w:rFonts w:ascii="Times New Roman" w:hAnsi="Times New Roman"/>
                      <w:szCs w:val="21"/>
                    </w:rPr>
                  </w:pPr>
                  <w:r>
                    <w:rPr>
                      <w:rFonts w:hint="default" w:ascii="Times New Roman" w:hAnsi="Times New Roman" w:eastAsia="宋体" w:cs="Times New Roman"/>
                      <w:szCs w:val="21"/>
                    </w:rPr>
                    <w:t>0.5mmPb铅防护衣</w:t>
                  </w:r>
                </w:p>
              </w:tc>
              <w:tc>
                <w:tcPr>
                  <w:tcW w:w="1100" w:type="dxa"/>
                  <w:tcBorders>
                    <w:tl2br w:val="nil"/>
                    <w:tr2bl w:val="nil"/>
                  </w:tcBorders>
                  <w:vAlign w:val="center"/>
                </w:tcPr>
                <w:p w14:paraId="59200954">
                  <w:pPr>
                    <w:jc w:val="center"/>
                    <w:rPr>
                      <w:rFonts w:ascii="Times New Roman" w:hAnsi="Times New Roman"/>
                      <w:szCs w:val="21"/>
                    </w:rPr>
                  </w:pPr>
                  <w:r>
                    <w:rPr>
                      <w:rFonts w:hint="default" w:ascii="Times New Roman" w:hAnsi="Times New Roman" w:eastAsia="宋体" w:cs="Times New Roman"/>
                      <w:szCs w:val="21"/>
                    </w:rPr>
                    <w:t>0.50</w:t>
                  </w:r>
                </w:p>
              </w:tc>
              <w:tc>
                <w:tcPr>
                  <w:tcW w:w="454" w:type="dxa"/>
                  <w:tcBorders>
                    <w:tl2br w:val="nil"/>
                    <w:tr2bl w:val="nil"/>
                  </w:tcBorders>
                  <w:vAlign w:val="center"/>
                </w:tcPr>
                <w:p w14:paraId="5179B1EB">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05A9274D">
                  <w:pPr>
                    <w:pStyle w:val="52"/>
                    <w:bidi w:val="0"/>
                    <w:rPr>
                      <w:rFonts w:ascii="Times New Roman" w:hAnsi="Times New Roman"/>
                      <w:szCs w:val="21"/>
                    </w:rPr>
                  </w:pPr>
                  <w:r>
                    <w:rPr>
                      <w:rFonts w:hint="default"/>
                      <w:lang w:val="en-US" w:eastAsia="zh-CN"/>
                    </w:rPr>
                    <w:t>2.52E-02</w:t>
                  </w:r>
                </w:p>
              </w:tc>
              <w:tc>
                <w:tcPr>
                  <w:tcW w:w="904" w:type="dxa"/>
                  <w:tcBorders>
                    <w:tl2br w:val="nil"/>
                    <w:tr2bl w:val="nil"/>
                  </w:tcBorders>
                  <w:vAlign w:val="center"/>
                </w:tcPr>
                <w:p w14:paraId="087C001F">
                  <w:pPr>
                    <w:pStyle w:val="52"/>
                  </w:pPr>
                  <w:r>
                    <w:rPr>
                      <w:rFonts w:hint="default"/>
                      <w:lang w:val="en-US" w:eastAsia="zh-CN"/>
                    </w:rPr>
                    <w:t xml:space="preserve">14.911 </w:t>
                  </w:r>
                </w:p>
              </w:tc>
            </w:tr>
            <w:tr w14:paraId="138D4A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restart"/>
                  <w:tcBorders>
                    <w:tl2br w:val="nil"/>
                    <w:tr2bl w:val="nil"/>
                  </w:tcBorders>
                  <w:vAlign w:val="center"/>
                </w:tcPr>
                <w:p w14:paraId="1AC558F7">
                  <w:pPr>
                    <w:jc w:val="center"/>
                    <w:rPr>
                      <w:rFonts w:ascii="Times New Roman" w:hAnsi="Times New Roman"/>
                      <w:szCs w:val="21"/>
                    </w:rPr>
                  </w:pPr>
                  <w:r>
                    <w:rPr>
                      <w:rFonts w:ascii="Times New Roman" w:hAnsi="Times New Roman"/>
                      <w:szCs w:val="21"/>
                    </w:rPr>
                    <w:t>4</w:t>
                  </w:r>
                </w:p>
              </w:tc>
              <w:tc>
                <w:tcPr>
                  <w:tcW w:w="1815" w:type="dxa"/>
                  <w:vMerge w:val="restart"/>
                  <w:tcBorders>
                    <w:tl2br w:val="nil"/>
                    <w:tr2bl w:val="nil"/>
                  </w:tcBorders>
                  <w:vAlign w:val="center"/>
                </w:tcPr>
                <w:p w14:paraId="6D21F522">
                  <w:pPr>
                    <w:jc w:val="center"/>
                    <w:rPr>
                      <w:rFonts w:ascii="Times New Roman" w:hAnsi="Times New Roman"/>
                      <w:szCs w:val="21"/>
                    </w:rPr>
                  </w:pPr>
                  <w:r>
                    <w:rPr>
                      <w:rFonts w:hint="default" w:ascii="Times New Roman" w:hAnsi="Times New Roman" w:eastAsia="宋体" w:cs="Times New Roman"/>
                      <w:szCs w:val="21"/>
                    </w:rPr>
                    <w:t>北侧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污物暂存</w:t>
                  </w:r>
                  <w:r>
                    <w:rPr>
                      <w:rFonts w:hint="default" w:ascii="Times New Roman" w:hAnsi="Times New Roman" w:eastAsia="宋体" w:cs="Times New Roman"/>
                      <w:szCs w:val="21"/>
                    </w:rPr>
                    <w:t>）</w:t>
                  </w:r>
                </w:p>
              </w:tc>
              <w:tc>
                <w:tcPr>
                  <w:tcW w:w="825" w:type="dxa"/>
                  <w:vMerge w:val="restart"/>
                  <w:tcBorders>
                    <w:tl2br w:val="nil"/>
                    <w:tr2bl w:val="nil"/>
                  </w:tcBorders>
                  <w:vAlign w:val="center"/>
                </w:tcPr>
                <w:p w14:paraId="78A21725">
                  <w:pPr>
                    <w:jc w:val="center"/>
                    <w:rPr>
                      <w:rFonts w:ascii="Times New Roman" w:hAnsi="Times New Roman"/>
                      <w:szCs w:val="21"/>
                    </w:rPr>
                  </w:pPr>
                  <w:r>
                    <w:rPr>
                      <w:rFonts w:hint="eastAsia" w:ascii="Times New Roman" w:hAnsi="Times New Roman" w:cs="Times New Roman"/>
                      <w:szCs w:val="21"/>
                      <w:lang w:val="en-US" w:eastAsia="zh-CN"/>
                    </w:rPr>
                    <w:t>5.8</w:t>
                  </w:r>
                </w:p>
              </w:tc>
              <w:tc>
                <w:tcPr>
                  <w:tcW w:w="1800" w:type="dxa"/>
                  <w:vMerge w:val="restart"/>
                  <w:tcBorders>
                    <w:tl2br w:val="nil"/>
                    <w:tr2bl w:val="nil"/>
                  </w:tcBorders>
                  <w:vAlign w:val="center"/>
                </w:tcPr>
                <w:p w14:paraId="48EE2435">
                  <w:pPr>
                    <w:jc w:val="center"/>
                    <w:rPr>
                      <w:rFonts w:ascii="Times New Roman" w:hAnsi="Times New Roman"/>
                      <w:szCs w:val="21"/>
                    </w:rPr>
                  </w:pPr>
                  <w:r>
                    <w:rPr>
                      <w:rFonts w:hint="default" w:ascii="Times New Roman" w:hAnsi="Times New Roman" w:eastAsia="宋体" w:cs="Times New Roman"/>
                      <w:szCs w:val="21"/>
                    </w:rPr>
                    <w:t>3mmPb</w:t>
                  </w:r>
                </w:p>
              </w:tc>
              <w:tc>
                <w:tcPr>
                  <w:tcW w:w="1100" w:type="dxa"/>
                  <w:vMerge w:val="restart"/>
                  <w:tcBorders>
                    <w:tl2br w:val="nil"/>
                    <w:tr2bl w:val="nil"/>
                  </w:tcBorders>
                  <w:vAlign w:val="center"/>
                </w:tcPr>
                <w:p w14:paraId="51982D57">
                  <w:pPr>
                    <w:jc w:val="center"/>
                    <w:rPr>
                      <w:rFonts w:hint="eastAsia" w:ascii="Times New Roman" w:hAnsi="Times New Roman" w:eastAsia="宋体"/>
                      <w:szCs w:val="21"/>
                      <w:lang w:eastAsia="zh-CN"/>
                    </w:rPr>
                  </w:pPr>
                  <w:r>
                    <w:rPr>
                      <w:rFonts w:hint="eastAsia" w:ascii="Times New Roman" w:hAnsi="Times New Roman" w:cs="Times New Roman"/>
                      <w:szCs w:val="21"/>
                      <w:lang w:val="en-US" w:eastAsia="zh-CN"/>
                    </w:rPr>
                    <w:t>3.00</w:t>
                  </w:r>
                </w:p>
              </w:tc>
              <w:tc>
                <w:tcPr>
                  <w:tcW w:w="454" w:type="dxa"/>
                  <w:tcBorders>
                    <w:tl2br w:val="nil"/>
                    <w:tr2bl w:val="nil"/>
                  </w:tcBorders>
                  <w:vAlign w:val="center"/>
                </w:tcPr>
                <w:p w14:paraId="2D98A586">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793114B1">
                  <w:pPr>
                    <w:pStyle w:val="52"/>
                    <w:bidi w:val="0"/>
                    <w:rPr>
                      <w:rFonts w:ascii="Times New Roman" w:hAnsi="Times New Roman"/>
                      <w:color w:val="auto"/>
                      <w:szCs w:val="21"/>
                    </w:rPr>
                  </w:pPr>
                  <w:r>
                    <w:rPr>
                      <w:rFonts w:hint="default"/>
                      <w:lang w:val="en-US" w:eastAsia="zh-CN"/>
                    </w:rPr>
                    <w:t>7.93E-06</w:t>
                  </w:r>
                </w:p>
              </w:tc>
              <w:tc>
                <w:tcPr>
                  <w:tcW w:w="904" w:type="dxa"/>
                  <w:tcBorders>
                    <w:tl2br w:val="nil"/>
                    <w:tr2bl w:val="nil"/>
                  </w:tcBorders>
                  <w:vAlign w:val="center"/>
                </w:tcPr>
                <w:p w14:paraId="19F7C777">
                  <w:pPr>
                    <w:pStyle w:val="52"/>
                  </w:pPr>
                  <w:r>
                    <w:rPr>
                      <w:rFonts w:hint="default"/>
                      <w:lang w:val="en-US" w:eastAsia="zh-CN"/>
                    </w:rPr>
                    <w:t>2.36E-04</w:t>
                  </w:r>
                </w:p>
              </w:tc>
            </w:tr>
            <w:tr w14:paraId="56A5FC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continue"/>
                  <w:tcBorders>
                    <w:tl2br w:val="nil"/>
                    <w:tr2bl w:val="nil"/>
                  </w:tcBorders>
                  <w:vAlign w:val="center"/>
                </w:tcPr>
                <w:p w14:paraId="4CBAB2E9">
                  <w:pPr>
                    <w:jc w:val="center"/>
                    <w:rPr>
                      <w:rFonts w:ascii="Times New Roman" w:hAnsi="Times New Roman"/>
                      <w:szCs w:val="21"/>
                    </w:rPr>
                  </w:pPr>
                </w:p>
              </w:tc>
              <w:tc>
                <w:tcPr>
                  <w:tcW w:w="1815" w:type="dxa"/>
                  <w:vMerge w:val="continue"/>
                  <w:tcBorders>
                    <w:tl2br w:val="nil"/>
                    <w:tr2bl w:val="nil"/>
                  </w:tcBorders>
                  <w:vAlign w:val="center"/>
                </w:tcPr>
                <w:p w14:paraId="36C72C66">
                  <w:pPr>
                    <w:jc w:val="center"/>
                    <w:rPr>
                      <w:rFonts w:ascii="Times New Roman" w:hAnsi="Times New Roman"/>
                      <w:szCs w:val="21"/>
                    </w:rPr>
                  </w:pPr>
                </w:p>
              </w:tc>
              <w:tc>
                <w:tcPr>
                  <w:tcW w:w="825" w:type="dxa"/>
                  <w:vMerge w:val="continue"/>
                  <w:tcBorders>
                    <w:tl2br w:val="nil"/>
                    <w:tr2bl w:val="nil"/>
                  </w:tcBorders>
                  <w:vAlign w:val="center"/>
                </w:tcPr>
                <w:p w14:paraId="780B313F">
                  <w:pPr>
                    <w:jc w:val="center"/>
                    <w:rPr>
                      <w:rFonts w:ascii="Times New Roman" w:hAnsi="Times New Roman"/>
                      <w:szCs w:val="21"/>
                    </w:rPr>
                  </w:pPr>
                </w:p>
              </w:tc>
              <w:tc>
                <w:tcPr>
                  <w:tcW w:w="1800" w:type="dxa"/>
                  <w:vMerge w:val="continue"/>
                  <w:tcBorders>
                    <w:tl2br w:val="nil"/>
                    <w:tr2bl w:val="nil"/>
                  </w:tcBorders>
                  <w:vAlign w:val="center"/>
                </w:tcPr>
                <w:p w14:paraId="34C2BE9F">
                  <w:pPr>
                    <w:jc w:val="center"/>
                    <w:rPr>
                      <w:rFonts w:ascii="Times New Roman" w:hAnsi="Times New Roman"/>
                      <w:szCs w:val="21"/>
                    </w:rPr>
                  </w:pPr>
                </w:p>
              </w:tc>
              <w:tc>
                <w:tcPr>
                  <w:tcW w:w="1100" w:type="dxa"/>
                  <w:vMerge w:val="continue"/>
                  <w:tcBorders>
                    <w:tl2br w:val="nil"/>
                    <w:tr2bl w:val="nil"/>
                  </w:tcBorders>
                  <w:vAlign w:val="center"/>
                </w:tcPr>
                <w:p w14:paraId="1D4E6B2E">
                  <w:pPr>
                    <w:jc w:val="center"/>
                    <w:rPr>
                      <w:rFonts w:ascii="Times New Roman" w:hAnsi="Times New Roman"/>
                      <w:szCs w:val="21"/>
                    </w:rPr>
                  </w:pPr>
                </w:p>
              </w:tc>
              <w:tc>
                <w:tcPr>
                  <w:tcW w:w="454" w:type="dxa"/>
                  <w:tcBorders>
                    <w:tl2br w:val="nil"/>
                    <w:tr2bl w:val="nil"/>
                  </w:tcBorders>
                  <w:vAlign w:val="center"/>
                </w:tcPr>
                <w:p w14:paraId="178FB5F7">
                  <w:pPr>
                    <w:jc w:val="center"/>
                    <w:rPr>
                      <w:rFonts w:ascii="Times New Roman" w:hAnsi="Times New Roman"/>
                      <w:szCs w:val="21"/>
                    </w:rPr>
                  </w:pPr>
                  <w:r>
                    <w:rPr>
                      <w:rFonts w:hint="default" w:ascii="Times New Roman" w:hAnsi="Times New Roman" w:eastAsia="宋体" w:cs="Times New Roman"/>
                      <w:szCs w:val="21"/>
                    </w:rPr>
                    <w:t>拍片</w:t>
                  </w:r>
                </w:p>
              </w:tc>
              <w:tc>
                <w:tcPr>
                  <w:tcW w:w="956" w:type="dxa"/>
                  <w:tcBorders>
                    <w:tl2br w:val="nil"/>
                    <w:tr2bl w:val="nil"/>
                  </w:tcBorders>
                  <w:vAlign w:val="center"/>
                </w:tcPr>
                <w:p w14:paraId="00757EC7">
                  <w:pPr>
                    <w:pStyle w:val="52"/>
                    <w:bidi w:val="0"/>
                    <w:rPr>
                      <w:rFonts w:ascii="Times New Roman" w:hAnsi="Times New Roman"/>
                      <w:color w:val="auto"/>
                      <w:szCs w:val="21"/>
                    </w:rPr>
                  </w:pPr>
                  <w:r>
                    <w:rPr>
                      <w:rFonts w:hint="default"/>
                      <w:lang w:val="en-US" w:eastAsia="zh-CN"/>
                    </w:rPr>
                    <w:t>4.14E-05</w:t>
                  </w:r>
                </w:p>
              </w:tc>
              <w:tc>
                <w:tcPr>
                  <w:tcW w:w="904" w:type="dxa"/>
                  <w:tcBorders>
                    <w:tl2br w:val="nil"/>
                    <w:tr2bl w:val="nil"/>
                  </w:tcBorders>
                  <w:vAlign w:val="center"/>
                </w:tcPr>
                <w:p w14:paraId="26613C2C">
                  <w:pPr>
                    <w:pStyle w:val="52"/>
                  </w:pPr>
                  <w:r>
                    <w:rPr>
                      <w:rFonts w:hint="default"/>
                      <w:lang w:val="en-US" w:eastAsia="zh-CN"/>
                    </w:rPr>
                    <w:t>1.23E-03</w:t>
                  </w:r>
                </w:p>
              </w:tc>
            </w:tr>
            <w:tr w14:paraId="69B90D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restart"/>
                  <w:tcBorders>
                    <w:tl2br w:val="nil"/>
                    <w:tr2bl w:val="nil"/>
                  </w:tcBorders>
                  <w:vAlign w:val="center"/>
                </w:tcPr>
                <w:p w14:paraId="0B199FF8">
                  <w:pPr>
                    <w:jc w:val="center"/>
                    <w:rPr>
                      <w:rFonts w:ascii="Times New Roman" w:hAnsi="Times New Roman"/>
                      <w:szCs w:val="21"/>
                    </w:rPr>
                  </w:pPr>
                  <w:r>
                    <w:rPr>
                      <w:rFonts w:ascii="Times New Roman" w:hAnsi="Times New Roman"/>
                      <w:szCs w:val="21"/>
                    </w:rPr>
                    <w:t>5</w:t>
                  </w:r>
                </w:p>
              </w:tc>
              <w:tc>
                <w:tcPr>
                  <w:tcW w:w="1815" w:type="dxa"/>
                  <w:vMerge w:val="restart"/>
                  <w:tcBorders>
                    <w:tl2br w:val="nil"/>
                    <w:tr2bl w:val="nil"/>
                  </w:tcBorders>
                  <w:vAlign w:val="center"/>
                </w:tcPr>
                <w:p w14:paraId="0CDBD49B">
                  <w:pPr>
                    <w:jc w:val="center"/>
                    <w:rPr>
                      <w:rFonts w:ascii="Times New Roman" w:hAnsi="Times New Roman"/>
                      <w:szCs w:val="21"/>
                    </w:rPr>
                  </w:pPr>
                  <w:r>
                    <w:rPr>
                      <w:rFonts w:hint="eastAsia" w:ascii="Times New Roman" w:hAnsi="Times New Roman" w:cs="Times New Roman"/>
                      <w:szCs w:val="21"/>
                      <w:lang w:val="en-US" w:eastAsia="zh-CN"/>
                    </w:rPr>
                    <w:t>北侧墙体</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设备间</w:t>
                  </w:r>
                  <w:r>
                    <w:rPr>
                      <w:rFonts w:hint="default" w:ascii="Times New Roman" w:hAnsi="Times New Roman" w:eastAsia="宋体" w:cs="Times New Roman"/>
                      <w:szCs w:val="21"/>
                    </w:rPr>
                    <w:t>）</w:t>
                  </w:r>
                </w:p>
              </w:tc>
              <w:tc>
                <w:tcPr>
                  <w:tcW w:w="825" w:type="dxa"/>
                  <w:vMerge w:val="restart"/>
                  <w:tcBorders>
                    <w:tl2br w:val="nil"/>
                    <w:tr2bl w:val="nil"/>
                  </w:tcBorders>
                  <w:vAlign w:val="center"/>
                </w:tcPr>
                <w:p w14:paraId="7F695F49">
                  <w:pPr>
                    <w:jc w:val="center"/>
                    <w:rPr>
                      <w:rFonts w:ascii="Times New Roman" w:hAnsi="Times New Roman"/>
                      <w:szCs w:val="21"/>
                    </w:rPr>
                  </w:pPr>
                  <w:r>
                    <w:rPr>
                      <w:rFonts w:hint="eastAsia" w:ascii="Times New Roman" w:hAnsi="Times New Roman" w:cs="Times New Roman"/>
                      <w:szCs w:val="21"/>
                      <w:lang w:val="en-US" w:eastAsia="zh-CN"/>
                    </w:rPr>
                    <w:t>5.4</w:t>
                  </w:r>
                </w:p>
              </w:tc>
              <w:tc>
                <w:tcPr>
                  <w:tcW w:w="1800" w:type="dxa"/>
                  <w:vMerge w:val="restart"/>
                  <w:tcBorders>
                    <w:tl2br w:val="nil"/>
                    <w:tr2bl w:val="nil"/>
                  </w:tcBorders>
                  <w:vAlign w:val="center"/>
                </w:tcPr>
                <w:p w14:paraId="087DEFD7">
                  <w:pPr>
                    <w:jc w:val="center"/>
                    <w:rPr>
                      <w:rFonts w:ascii="Times New Roman" w:hAnsi="Times New Roman"/>
                      <w:szCs w:val="21"/>
                    </w:rPr>
                  </w:pPr>
                  <w:r>
                    <w:rPr>
                      <w:rFonts w:hint="default" w:ascii="Times New Roman" w:hAnsi="Times New Roman" w:eastAsia="宋体" w:cs="Times New Roman"/>
                      <w:szCs w:val="21"/>
                    </w:rPr>
                    <w:t>370mm</w:t>
                  </w:r>
                  <w:r>
                    <w:rPr>
                      <w:rFonts w:hint="eastAsia" w:ascii="Times New Roman" w:hAnsi="Times New Roman" w:cs="Times New Roman"/>
                      <w:szCs w:val="21"/>
                      <w:lang w:eastAsia="zh-CN"/>
                    </w:rPr>
                    <w:t>红色实心砖墙</w:t>
                  </w:r>
                  <w:r>
                    <w:rPr>
                      <w:rFonts w:hint="default" w:ascii="Times New Roman" w:hAnsi="Times New Roman" w:eastAsia="宋体" w:cs="Times New Roman"/>
                      <w:szCs w:val="21"/>
                    </w:rPr>
                    <w:t>+10mm硫酸钡水泥砂浆</w:t>
                  </w:r>
                </w:p>
              </w:tc>
              <w:tc>
                <w:tcPr>
                  <w:tcW w:w="1100" w:type="dxa"/>
                  <w:vMerge w:val="restart"/>
                  <w:tcBorders>
                    <w:tl2br w:val="nil"/>
                    <w:tr2bl w:val="nil"/>
                  </w:tcBorders>
                  <w:vAlign w:val="center"/>
                </w:tcPr>
                <w:p w14:paraId="36472A9B">
                  <w:pPr>
                    <w:jc w:val="center"/>
                    <w:rPr>
                      <w:rFonts w:ascii="Times New Roman" w:hAnsi="Times New Roman"/>
                      <w:szCs w:val="21"/>
                    </w:rPr>
                  </w:pPr>
                  <w:r>
                    <w:rPr>
                      <w:rFonts w:hint="eastAsia" w:ascii="Times New Roman" w:hAnsi="Times New Roman" w:cs="Times New Roman"/>
                      <w:szCs w:val="21"/>
                      <w:lang w:val="en-US" w:eastAsia="zh-CN"/>
                    </w:rPr>
                    <w:t>4.14</w:t>
                  </w:r>
                </w:p>
              </w:tc>
              <w:tc>
                <w:tcPr>
                  <w:tcW w:w="454" w:type="dxa"/>
                  <w:tcBorders>
                    <w:tl2br w:val="nil"/>
                    <w:tr2bl w:val="nil"/>
                  </w:tcBorders>
                  <w:vAlign w:val="center"/>
                </w:tcPr>
                <w:p w14:paraId="4E348471">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1193233C">
                  <w:pPr>
                    <w:pStyle w:val="52"/>
                    <w:bidi w:val="0"/>
                    <w:rPr>
                      <w:rFonts w:ascii="Times New Roman" w:hAnsi="Times New Roman"/>
                      <w:color w:val="auto"/>
                      <w:szCs w:val="21"/>
                    </w:rPr>
                  </w:pPr>
                  <w:r>
                    <w:rPr>
                      <w:rFonts w:hint="default"/>
                      <w:lang w:val="en-US" w:eastAsia="zh-CN"/>
                    </w:rPr>
                    <w:t>2.40E-07</w:t>
                  </w:r>
                </w:p>
              </w:tc>
              <w:tc>
                <w:tcPr>
                  <w:tcW w:w="904" w:type="dxa"/>
                  <w:tcBorders>
                    <w:tl2br w:val="nil"/>
                    <w:tr2bl w:val="nil"/>
                  </w:tcBorders>
                  <w:vAlign w:val="center"/>
                </w:tcPr>
                <w:p w14:paraId="72E227CE">
                  <w:pPr>
                    <w:pStyle w:val="52"/>
                  </w:pPr>
                  <w:r>
                    <w:rPr>
                      <w:rFonts w:hint="default"/>
                      <w:lang w:val="en-US" w:eastAsia="zh-CN"/>
                    </w:rPr>
                    <w:t>8.23E-06</w:t>
                  </w:r>
                </w:p>
              </w:tc>
            </w:tr>
            <w:tr w14:paraId="06F69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continue"/>
                  <w:tcBorders>
                    <w:tl2br w:val="nil"/>
                    <w:tr2bl w:val="nil"/>
                  </w:tcBorders>
                  <w:vAlign w:val="center"/>
                </w:tcPr>
                <w:p w14:paraId="1ADDD66F">
                  <w:pPr>
                    <w:jc w:val="center"/>
                    <w:rPr>
                      <w:rFonts w:ascii="Times New Roman" w:hAnsi="Times New Roman"/>
                      <w:szCs w:val="21"/>
                    </w:rPr>
                  </w:pPr>
                </w:p>
              </w:tc>
              <w:tc>
                <w:tcPr>
                  <w:tcW w:w="1815" w:type="dxa"/>
                  <w:vMerge w:val="continue"/>
                  <w:tcBorders>
                    <w:tl2br w:val="nil"/>
                    <w:tr2bl w:val="nil"/>
                  </w:tcBorders>
                  <w:vAlign w:val="center"/>
                </w:tcPr>
                <w:p w14:paraId="354A711E">
                  <w:pPr>
                    <w:jc w:val="center"/>
                    <w:rPr>
                      <w:rFonts w:ascii="Times New Roman" w:hAnsi="Times New Roman"/>
                      <w:szCs w:val="21"/>
                    </w:rPr>
                  </w:pPr>
                </w:p>
              </w:tc>
              <w:tc>
                <w:tcPr>
                  <w:tcW w:w="825" w:type="dxa"/>
                  <w:vMerge w:val="continue"/>
                  <w:tcBorders>
                    <w:tl2br w:val="nil"/>
                    <w:tr2bl w:val="nil"/>
                  </w:tcBorders>
                  <w:vAlign w:val="center"/>
                </w:tcPr>
                <w:p w14:paraId="119B1D99">
                  <w:pPr>
                    <w:jc w:val="center"/>
                    <w:rPr>
                      <w:rFonts w:ascii="Times New Roman" w:hAnsi="Times New Roman"/>
                      <w:szCs w:val="21"/>
                    </w:rPr>
                  </w:pPr>
                </w:p>
              </w:tc>
              <w:tc>
                <w:tcPr>
                  <w:tcW w:w="1800" w:type="dxa"/>
                  <w:vMerge w:val="continue"/>
                  <w:tcBorders>
                    <w:tl2br w:val="nil"/>
                    <w:tr2bl w:val="nil"/>
                  </w:tcBorders>
                  <w:vAlign w:val="center"/>
                </w:tcPr>
                <w:p w14:paraId="5DC5A885">
                  <w:pPr>
                    <w:jc w:val="center"/>
                    <w:rPr>
                      <w:rFonts w:ascii="Times New Roman" w:hAnsi="Times New Roman"/>
                      <w:szCs w:val="21"/>
                    </w:rPr>
                  </w:pPr>
                </w:p>
              </w:tc>
              <w:tc>
                <w:tcPr>
                  <w:tcW w:w="1100" w:type="dxa"/>
                  <w:vMerge w:val="continue"/>
                  <w:tcBorders>
                    <w:tl2br w:val="nil"/>
                    <w:tr2bl w:val="nil"/>
                  </w:tcBorders>
                  <w:vAlign w:val="center"/>
                </w:tcPr>
                <w:p w14:paraId="63F73206">
                  <w:pPr>
                    <w:jc w:val="center"/>
                    <w:rPr>
                      <w:rFonts w:ascii="Times New Roman" w:hAnsi="Times New Roman"/>
                      <w:szCs w:val="21"/>
                    </w:rPr>
                  </w:pPr>
                </w:p>
              </w:tc>
              <w:tc>
                <w:tcPr>
                  <w:tcW w:w="454" w:type="dxa"/>
                  <w:tcBorders>
                    <w:tl2br w:val="nil"/>
                    <w:tr2bl w:val="nil"/>
                  </w:tcBorders>
                  <w:vAlign w:val="center"/>
                </w:tcPr>
                <w:p w14:paraId="65B71E73">
                  <w:pPr>
                    <w:jc w:val="center"/>
                    <w:rPr>
                      <w:rFonts w:ascii="Times New Roman" w:hAnsi="Times New Roman"/>
                      <w:szCs w:val="21"/>
                    </w:rPr>
                  </w:pPr>
                  <w:r>
                    <w:rPr>
                      <w:rFonts w:hint="default" w:ascii="Times New Roman" w:hAnsi="Times New Roman" w:eastAsia="宋体" w:cs="Times New Roman"/>
                      <w:szCs w:val="21"/>
                    </w:rPr>
                    <w:t>拍片</w:t>
                  </w:r>
                </w:p>
              </w:tc>
              <w:tc>
                <w:tcPr>
                  <w:tcW w:w="956" w:type="dxa"/>
                  <w:tcBorders>
                    <w:tl2br w:val="nil"/>
                    <w:tr2bl w:val="nil"/>
                  </w:tcBorders>
                  <w:vAlign w:val="center"/>
                </w:tcPr>
                <w:p w14:paraId="4D5DD38A">
                  <w:pPr>
                    <w:pStyle w:val="52"/>
                    <w:bidi w:val="0"/>
                    <w:rPr>
                      <w:rFonts w:ascii="Times New Roman" w:hAnsi="Times New Roman"/>
                      <w:color w:val="auto"/>
                      <w:szCs w:val="21"/>
                    </w:rPr>
                  </w:pPr>
                  <w:r>
                    <w:rPr>
                      <w:rFonts w:hint="default"/>
                      <w:lang w:val="en-US" w:eastAsia="zh-CN"/>
                    </w:rPr>
                    <w:t>2.39E-06</w:t>
                  </w:r>
                </w:p>
              </w:tc>
              <w:tc>
                <w:tcPr>
                  <w:tcW w:w="904" w:type="dxa"/>
                  <w:tcBorders>
                    <w:tl2br w:val="nil"/>
                    <w:tr2bl w:val="nil"/>
                  </w:tcBorders>
                  <w:vAlign w:val="center"/>
                </w:tcPr>
                <w:p w14:paraId="7A2BD55D">
                  <w:pPr>
                    <w:pStyle w:val="52"/>
                  </w:pPr>
                  <w:r>
                    <w:rPr>
                      <w:rFonts w:hint="default"/>
                      <w:lang w:val="en-US" w:eastAsia="zh-CN"/>
                    </w:rPr>
                    <w:t>8.20E-05</w:t>
                  </w:r>
                </w:p>
              </w:tc>
            </w:tr>
            <w:tr w14:paraId="41D68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restart"/>
                  <w:tcBorders>
                    <w:tl2br w:val="nil"/>
                    <w:tr2bl w:val="nil"/>
                  </w:tcBorders>
                  <w:vAlign w:val="center"/>
                </w:tcPr>
                <w:p w14:paraId="3070F2A5">
                  <w:pPr>
                    <w:jc w:val="center"/>
                    <w:rPr>
                      <w:rFonts w:ascii="Times New Roman" w:hAnsi="Times New Roman"/>
                      <w:szCs w:val="21"/>
                    </w:rPr>
                  </w:pPr>
                  <w:r>
                    <w:rPr>
                      <w:rFonts w:ascii="Times New Roman" w:hAnsi="Times New Roman"/>
                      <w:szCs w:val="21"/>
                    </w:rPr>
                    <w:t>6</w:t>
                  </w:r>
                </w:p>
              </w:tc>
              <w:tc>
                <w:tcPr>
                  <w:tcW w:w="1815" w:type="dxa"/>
                  <w:vMerge w:val="restart"/>
                  <w:tcBorders>
                    <w:tl2br w:val="nil"/>
                    <w:tr2bl w:val="nil"/>
                  </w:tcBorders>
                  <w:vAlign w:val="center"/>
                </w:tcPr>
                <w:p w14:paraId="5352E6CD">
                  <w:pPr>
                    <w:jc w:val="center"/>
                    <w:rPr>
                      <w:rFonts w:ascii="Times New Roman" w:hAnsi="Times New Roman"/>
                      <w:szCs w:val="21"/>
                    </w:rPr>
                  </w:pPr>
                  <w:r>
                    <w:rPr>
                      <w:rFonts w:hint="eastAsia" w:ascii="Times New Roman" w:hAnsi="Times New Roman" w:cs="Times New Roman"/>
                      <w:szCs w:val="21"/>
                      <w:lang w:val="en-US" w:eastAsia="zh-CN"/>
                    </w:rPr>
                    <w:t>西</w:t>
                  </w:r>
                  <w:r>
                    <w:rPr>
                      <w:rFonts w:hint="default" w:ascii="Times New Roman" w:hAnsi="Times New Roman" w:eastAsia="宋体" w:cs="Times New Roman"/>
                      <w:szCs w:val="21"/>
                    </w:rPr>
                    <w:t>北侧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病人准备</w:t>
                  </w:r>
                  <w:r>
                    <w:rPr>
                      <w:rFonts w:hint="default" w:ascii="Times New Roman" w:hAnsi="Times New Roman" w:eastAsia="宋体" w:cs="Times New Roman"/>
                      <w:szCs w:val="21"/>
                    </w:rPr>
                    <w:t>）</w:t>
                  </w:r>
                </w:p>
              </w:tc>
              <w:tc>
                <w:tcPr>
                  <w:tcW w:w="825" w:type="dxa"/>
                  <w:vMerge w:val="restart"/>
                  <w:tcBorders>
                    <w:tl2br w:val="nil"/>
                    <w:tr2bl w:val="nil"/>
                  </w:tcBorders>
                  <w:vAlign w:val="center"/>
                </w:tcPr>
                <w:p w14:paraId="55EE6573">
                  <w:pPr>
                    <w:jc w:val="center"/>
                    <w:rPr>
                      <w:rFonts w:ascii="Times New Roman" w:hAnsi="Times New Roman"/>
                      <w:szCs w:val="21"/>
                    </w:rPr>
                  </w:pPr>
                  <w:r>
                    <w:rPr>
                      <w:rFonts w:hint="eastAsia" w:ascii="Times New Roman" w:hAnsi="Times New Roman" w:cs="Times New Roman"/>
                      <w:szCs w:val="21"/>
                      <w:lang w:val="en-US" w:eastAsia="zh-CN"/>
                    </w:rPr>
                    <w:t>5</w:t>
                  </w:r>
                  <w:r>
                    <w:rPr>
                      <w:rFonts w:hint="default" w:ascii="Times New Roman" w:hAnsi="Times New Roman" w:eastAsia="宋体" w:cs="Times New Roman"/>
                      <w:szCs w:val="21"/>
                    </w:rPr>
                    <w:t>.</w:t>
                  </w:r>
                  <w:r>
                    <w:rPr>
                      <w:rFonts w:hint="default" w:ascii="Times New Roman" w:hAnsi="Times New Roman" w:eastAsia="宋体" w:cs="Times New Roman"/>
                      <w:szCs w:val="21"/>
                      <w:lang w:val="en-US" w:eastAsia="zh-CN"/>
                    </w:rPr>
                    <w:t>6</w:t>
                  </w:r>
                </w:p>
              </w:tc>
              <w:tc>
                <w:tcPr>
                  <w:tcW w:w="1800" w:type="dxa"/>
                  <w:vMerge w:val="restart"/>
                  <w:tcBorders>
                    <w:tl2br w:val="nil"/>
                    <w:tr2bl w:val="nil"/>
                  </w:tcBorders>
                  <w:vAlign w:val="center"/>
                </w:tcPr>
                <w:p w14:paraId="69219013">
                  <w:pPr>
                    <w:jc w:val="center"/>
                    <w:rPr>
                      <w:rFonts w:ascii="Times New Roman" w:hAnsi="Times New Roman"/>
                      <w:szCs w:val="21"/>
                    </w:rPr>
                  </w:pPr>
                  <w:r>
                    <w:rPr>
                      <w:rFonts w:hint="default" w:ascii="Times New Roman" w:hAnsi="Times New Roman" w:eastAsia="宋体" w:cs="Times New Roman"/>
                      <w:szCs w:val="21"/>
                    </w:rPr>
                    <w:t>3mmPb</w:t>
                  </w:r>
                </w:p>
              </w:tc>
              <w:tc>
                <w:tcPr>
                  <w:tcW w:w="1100" w:type="dxa"/>
                  <w:vMerge w:val="restart"/>
                  <w:tcBorders>
                    <w:tl2br w:val="nil"/>
                    <w:tr2bl w:val="nil"/>
                  </w:tcBorders>
                  <w:vAlign w:val="center"/>
                </w:tcPr>
                <w:p w14:paraId="3DEE2216">
                  <w:pPr>
                    <w:jc w:val="center"/>
                    <w:rPr>
                      <w:rFonts w:hint="eastAsia" w:ascii="Times New Roman" w:hAnsi="Times New Roman" w:eastAsia="宋体"/>
                      <w:szCs w:val="21"/>
                      <w:lang w:eastAsia="zh-CN"/>
                    </w:rPr>
                  </w:pPr>
                  <w:r>
                    <w:rPr>
                      <w:rFonts w:hint="eastAsia" w:ascii="Times New Roman" w:hAnsi="Times New Roman" w:cs="Times New Roman"/>
                      <w:szCs w:val="21"/>
                      <w:lang w:val="en-US" w:eastAsia="zh-CN"/>
                    </w:rPr>
                    <w:t>3.00</w:t>
                  </w:r>
                </w:p>
              </w:tc>
              <w:tc>
                <w:tcPr>
                  <w:tcW w:w="454" w:type="dxa"/>
                  <w:tcBorders>
                    <w:tl2br w:val="nil"/>
                    <w:tr2bl w:val="nil"/>
                  </w:tcBorders>
                  <w:vAlign w:val="center"/>
                </w:tcPr>
                <w:p w14:paraId="05D2593E">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6888620B">
                  <w:pPr>
                    <w:pStyle w:val="52"/>
                    <w:bidi w:val="0"/>
                    <w:rPr>
                      <w:rFonts w:ascii="Times New Roman" w:hAnsi="Times New Roman"/>
                      <w:color w:val="auto"/>
                      <w:szCs w:val="21"/>
                    </w:rPr>
                  </w:pPr>
                  <w:r>
                    <w:rPr>
                      <w:rFonts w:hint="default"/>
                      <w:lang w:val="en-US" w:eastAsia="zh-CN"/>
                    </w:rPr>
                    <w:t>7.93E-06</w:t>
                  </w:r>
                </w:p>
              </w:tc>
              <w:tc>
                <w:tcPr>
                  <w:tcW w:w="904" w:type="dxa"/>
                  <w:tcBorders>
                    <w:tl2br w:val="nil"/>
                    <w:tr2bl w:val="nil"/>
                  </w:tcBorders>
                  <w:vAlign w:val="center"/>
                </w:tcPr>
                <w:p w14:paraId="4186AA3C">
                  <w:pPr>
                    <w:pStyle w:val="52"/>
                  </w:pPr>
                  <w:r>
                    <w:rPr>
                      <w:rFonts w:hint="default"/>
                      <w:lang w:val="en-US" w:eastAsia="zh-CN"/>
                    </w:rPr>
                    <w:t>2.53E-04</w:t>
                  </w:r>
                </w:p>
              </w:tc>
            </w:tr>
            <w:tr w14:paraId="1409EA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continue"/>
                  <w:tcBorders>
                    <w:tl2br w:val="nil"/>
                    <w:tr2bl w:val="nil"/>
                  </w:tcBorders>
                  <w:vAlign w:val="center"/>
                </w:tcPr>
                <w:p w14:paraId="71A034FF">
                  <w:pPr>
                    <w:jc w:val="center"/>
                    <w:rPr>
                      <w:rFonts w:ascii="Times New Roman" w:hAnsi="Times New Roman"/>
                      <w:szCs w:val="21"/>
                    </w:rPr>
                  </w:pPr>
                </w:p>
              </w:tc>
              <w:tc>
                <w:tcPr>
                  <w:tcW w:w="1815" w:type="dxa"/>
                  <w:vMerge w:val="continue"/>
                  <w:tcBorders>
                    <w:tl2br w:val="nil"/>
                    <w:tr2bl w:val="nil"/>
                  </w:tcBorders>
                  <w:vAlign w:val="center"/>
                </w:tcPr>
                <w:p w14:paraId="3830DE2E">
                  <w:pPr>
                    <w:jc w:val="center"/>
                    <w:rPr>
                      <w:rFonts w:ascii="Times New Roman" w:hAnsi="Times New Roman"/>
                      <w:szCs w:val="21"/>
                    </w:rPr>
                  </w:pPr>
                </w:p>
              </w:tc>
              <w:tc>
                <w:tcPr>
                  <w:tcW w:w="825" w:type="dxa"/>
                  <w:vMerge w:val="continue"/>
                  <w:tcBorders>
                    <w:tl2br w:val="nil"/>
                    <w:tr2bl w:val="nil"/>
                  </w:tcBorders>
                  <w:vAlign w:val="center"/>
                </w:tcPr>
                <w:p w14:paraId="726FF718">
                  <w:pPr>
                    <w:jc w:val="center"/>
                    <w:rPr>
                      <w:rFonts w:ascii="Times New Roman" w:hAnsi="Times New Roman"/>
                      <w:szCs w:val="21"/>
                    </w:rPr>
                  </w:pPr>
                </w:p>
              </w:tc>
              <w:tc>
                <w:tcPr>
                  <w:tcW w:w="1800" w:type="dxa"/>
                  <w:vMerge w:val="continue"/>
                  <w:tcBorders>
                    <w:tl2br w:val="nil"/>
                    <w:tr2bl w:val="nil"/>
                  </w:tcBorders>
                  <w:vAlign w:val="center"/>
                </w:tcPr>
                <w:p w14:paraId="078963B0">
                  <w:pPr>
                    <w:jc w:val="center"/>
                    <w:rPr>
                      <w:rFonts w:ascii="Times New Roman" w:hAnsi="Times New Roman"/>
                      <w:szCs w:val="21"/>
                    </w:rPr>
                  </w:pPr>
                </w:p>
              </w:tc>
              <w:tc>
                <w:tcPr>
                  <w:tcW w:w="1100" w:type="dxa"/>
                  <w:vMerge w:val="continue"/>
                  <w:tcBorders>
                    <w:tl2br w:val="nil"/>
                    <w:tr2bl w:val="nil"/>
                  </w:tcBorders>
                  <w:vAlign w:val="center"/>
                </w:tcPr>
                <w:p w14:paraId="11384F60">
                  <w:pPr>
                    <w:jc w:val="center"/>
                    <w:rPr>
                      <w:rFonts w:ascii="Times New Roman" w:hAnsi="Times New Roman"/>
                      <w:szCs w:val="21"/>
                    </w:rPr>
                  </w:pPr>
                </w:p>
              </w:tc>
              <w:tc>
                <w:tcPr>
                  <w:tcW w:w="454" w:type="dxa"/>
                  <w:tcBorders>
                    <w:tl2br w:val="nil"/>
                    <w:tr2bl w:val="nil"/>
                  </w:tcBorders>
                  <w:vAlign w:val="center"/>
                </w:tcPr>
                <w:p w14:paraId="66441202">
                  <w:pPr>
                    <w:jc w:val="center"/>
                    <w:rPr>
                      <w:rFonts w:ascii="Times New Roman" w:hAnsi="Times New Roman"/>
                      <w:szCs w:val="21"/>
                    </w:rPr>
                  </w:pPr>
                  <w:r>
                    <w:rPr>
                      <w:rFonts w:hint="default" w:ascii="Times New Roman" w:hAnsi="Times New Roman" w:eastAsia="宋体" w:cs="Times New Roman"/>
                      <w:szCs w:val="21"/>
                    </w:rPr>
                    <w:t>拍片</w:t>
                  </w:r>
                </w:p>
              </w:tc>
              <w:tc>
                <w:tcPr>
                  <w:tcW w:w="956" w:type="dxa"/>
                  <w:tcBorders>
                    <w:tl2br w:val="nil"/>
                    <w:tr2bl w:val="nil"/>
                  </w:tcBorders>
                  <w:vAlign w:val="center"/>
                </w:tcPr>
                <w:p w14:paraId="6A6A6E02">
                  <w:pPr>
                    <w:pStyle w:val="52"/>
                    <w:bidi w:val="0"/>
                    <w:rPr>
                      <w:rFonts w:ascii="Times New Roman" w:hAnsi="Times New Roman"/>
                      <w:color w:val="auto"/>
                      <w:szCs w:val="21"/>
                    </w:rPr>
                  </w:pPr>
                  <w:r>
                    <w:rPr>
                      <w:rFonts w:hint="default"/>
                      <w:lang w:val="en-US" w:eastAsia="zh-CN"/>
                    </w:rPr>
                    <w:t>4.14E-05</w:t>
                  </w:r>
                </w:p>
              </w:tc>
              <w:tc>
                <w:tcPr>
                  <w:tcW w:w="904" w:type="dxa"/>
                  <w:tcBorders>
                    <w:tl2br w:val="nil"/>
                    <w:tr2bl w:val="nil"/>
                  </w:tcBorders>
                  <w:vAlign w:val="center"/>
                </w:tcPr>
                <w:p w14:paraId="0AE5DDB4">
                  <w:pPr>
                    <w:pStyle w:val="52"/>
                  </w:pPr>
                  <w:r>
                    <w:rPr>
                      <w:rFonts w:hint="default"/>
                      <w:lang w:val="en-US" w:eastAsia="zh-CN"/>
                    </w:rPr>
                    <w:t>1.32E-03</w:t>
                  </w:r>
                </w:p>
              </w:tc>
            </w:tr>
            <w:tr w14:paraId="790AE2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restart"/>
                  <w:tcBorders>
                    <w:tl2br w:val="nil"/>
                    <w:tr2bl w:val="nil"/>
                  </w:tcBorders>
                  <w:vAlign w:val="center"/>
                </w:tcPr>
                <w:p w14:paraId="0EFD96F5">
                  <w:pPr>
                    <w:jc w:val="center"/>
                    <w:rPr>
                      <w:rFonts w:ascii="Times New Roman" w:hAnsi="Times New Roman"/>
                      <w:szCs w:val="21"/>
                    </w:rPr>
                  </w:pPr>
                  <w:r>
                    <w:rPr>
                      <w:rFonts w:ascii="Times New Roman" w:hAnsi="Times New Roman"/>
                      <w:szCs w:val="21"/>
                    </w:rPr>
                    <w:t>7</w:t>
                  </w:r>
                </w:p>
              </w:tc>
              <w:tc>
                <w:tcPr>
                  <w:tcW w:w="1815" w:type="dxa"/>
                  <w:vMerge w:val="restart"/>
                  <w:tcBorders>
                    <w:tl2br w:val="nil"/>
                    <w:tr2bl w:val="nil"/>
                  </w:tcBorders>
                  <w:vAlign w:val="center"/>
                </w:tcPr>
                <w:p w14:paraId="54454C16">
                  <w:pPr>
                    <w:jc w:val="center"/>
                    <w:rPr>
                      <w:rFonts w:ascii="Times New Roman" w:hAnsi="Times New Roman"/>
                      <w:szCs w:val="21"/>
                    </w:rPr>
                  </w:pPr>
                  <w:r>
                    <w:rPr>
                      <w:rFonts w:hint="eastAsia" w:ascii="Times New Roman" w:hAnsi="Times New Roman" w:cs="Times New Roman"/>
                      <w:szCs w:val="21"/>
                      <w:lang w:val="en-US" w:eastAsia="zh-CN"/>
                    </w:rPr>
                    <w:t>西</w:t>
                  </w:r>
                  <w:r>
                    <w:rPr>
                      <w:rFonts w:hint="default" w:ascii="Times New Roman" w:hAnsi="Times New Roman" w:eastAsia="宋体" w:cs="Times New Roman"/>
                      <w:szCs w:val="21"/>
                    </w:rPr>
                    <w:t>侧墙体外30cm处30cm处（</w:t>
                  </w:r>
                  <w:r>
                    <w:rPr>
                      <w:rFonts w:hint="eastAsia" w:ascii="Times New Roman" w:hAnsi="Times New Roman" w:cs="Times New Roman"/>
                      <w:szCs w:val="21"/>
                      <w:lang w:val="en-US" w:eastAsia="zh-CN"/>
                    </w:rPr>
                    <w:t>通道</w:t>
                  </w:r>
                  <w:r>
                    <w:rPr>
                      <w:rFonts w:hint="default" w:ascii="Times New Roman" w:hAnsi="Times New Roman" w:eastAsia="宋体" w:cs="Times New Roman"/>
                      <w:szCs w:val="21"/>
                    </w:rPr>
                    <w:t>）</w:t>
                  </w:r>
                </w:p>
              </w:tc>
              <w:tc>
                <w:tcPr>
                  <w:tcW w:w="825" w:type="dxa"/>
                  <w:vMerge w:val="restart"/>
                  <w:tcBorders>
                    <w:tl2br w:val="nil"/>
                    <w:tr2bl w:val="nil"/>
                  </w:tcBorders>
                  <w:vAlign w:val="center"/>
                </w:tcPr>
                <w:p w14:paraId="2DD6B178">
                  <w:pPr>
                    <w:jc w:val="center"/>
                    <w:rPr>
                      <w:rFonts w:ascii="Times New Roman" w:hAnsi="Times New Roman"/>
                      <w:szCs w:val="21"/>
                    </w:rPr>
                  </w:pPr>
                  <w:r>
                    <w:rPr>
                      <w:rFonts w:hint="eastAsia" w:ascii="Times New Roman" w:hAnsi="Times New Roman" w:cs="Times New Roman"/>
                      <w:szCs w:val="21"/>
                      <w:lang w:val="en-US" w:eastAsia="zh-CN"/>
                    </w:rPr>
                    <w:t>4.5</w:t>
                  </w:r>
                </w:p>
              </w:tc>
              <w:tc>
                <w:tcPr>
                  <w:tcW w:w="1800" w:type="dxa"/>
                  <w:vMerge w:val="restart"/>
                  <w:tcBorders>
                    <w:tl2br w:val="nil"/>
                    <w:tr2bl w:val="nil"/>
                  </w:tcBorders>
                  <w:vAlign w:val="center"/>
                </w:tcPr>
                <w:p w14:paraId="133B0DF3">
                  <w:pPr>
                    <w:jc w:val="center"/>
                    <w:rPr>
                      <w:rFonts w:ascii="Times New Roman" w:hAnsi="Times New Roman"/>
                      <w:szCs w:val="21"/>
                    </w:rPr>
                  </w:pPr>
                  <w:r>
                    <w:rPr>
                      <w:rFonts w:hint="default" w:ascii="Times New Roman" w:hAnsi="Times New Roman" w:eastAsia="宋体" w:cs="Times New Roman"/>
                      <w:szCs w:val="21"/>
                    </w:rPr>
                    <w:t>370mm</w:t>
                  </w:r>
                  <w:r>
                    <w:rPr>
                      <w:rFonts w:hint="eastAsia" w:ascii="Times New Roman" w:hAnsi="Times New Roman" w:cs="Times New Roman"/>
                      <w:szCs w:val="21"/>
                      <w:lang w:eastAsia="zh-CN"/>
                    </w:rPr>
                    <w:t>红色实心砖墙</w:t>
                  </w:r>
                  <w:r>
                    <w:rPr>
                      <w:rFonts w:hint="default" w:ascii="Times New Roman" w:hAnsi="Times New Roman" w:eastAsia="宋体" w:cs="Times New Roman"/>
                      <w:szCs w:val="21"/>
                    </w:rPr>
                    <w:t>+10mm硫酸钡水泥砂浆</w:t>
                  </w:r>
                </w:p>
              </w:tc>
              <w:tc>
                <w:tcPr>
                  <w:tcW w:w="1100" w:type="dxa"/>
                  <w:vMerge w:val="restart"/>
                  <w:tcBorders>
                    <w:tl2br w:val="nil"/>
                    <w:tr2bl w:val="nil"/>
                  </w:tcBorders>
                  <w:vAlign w:val="center"/>
                </w:tcPr>
                <w:p w14:paraId="785A3479">
                  <w:pPr>
                    <w:jc w:val="center"/>
                    <w:rPr>
                      <w:rFonts w:hint="eastAsia" w:ascii="Times New Roman" w:hAnsi="Times New Roman" w:eastAsia="宋体"/>
                      <w:szCs w:val="21"/>
                      <w:lang w:eastAsia="zh-CN"/>
                    </w:rPr>
                  </w:pPr>
                  <w:r>
                    <w:rPr>
                      <w:rFonts w:hint="eastAsia" w:ascii="Times New Roman" w:hAnsi="Times New Roman" w:cs="Times New Roman"/>
                      <w:szCs w:val="21"/>
                      <w:lang w:val="en-US" w:eastAsia="zh-CN"/>
                    </w:rPr>
                    <w:t>4.14</w:t>
                  </w:r>
                </w:p>
              </w:tc>
              <w:tc>
                <w:tcPr>
                  <w:tcW w:w="454" w:type="dxa"/>
                  <w:tcBorders>
                    <w:tl2br w:val="nil"/>
                    <w:tr2bl w:val="nil"/>
                  </w:tcBorders>
                  <w:vAlign w:val="center"/>
                </w:tcPr>
                <w:p w14:paraId="6623E673">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2F061ADD">
                  <w:pPr>
                    <w:pStyle w:val="52"/>
                    <w:bidi w:val="0"/>
                    <w:rPr>
                      <w:rFonts w:ascii="Times New Roman" w:hAnsi="Times New Roman"/>
                      <w:color w:val="auto"/>
                      <w:szCs w:val="21"/>
                    </w:rPr>
                  </w:pPr>
                  <w:r>
                    <w:rPr>
                      <w:rFonts w:hint="default"/>
                      <w:lang w:val="en-US" w:eastAsia="zh-CN"/>
                    </w:rPr>
                    <w:t>2.40E-07</w:t>
                  </w:r>
                </w:p>
              </w:tc>
              <w:tc>
                <w:tcPr>
                  <w:tcW w:w="904" w:type="dxa"/>
                  <w:tcBorders>
                    <w:tl2br w:val="nil"/>
                    <w:tr2bl w:val="nil"/>
                  </w:tcBorders>
                  <w:vAlign w:val="center"/>
                </w:tcPr>
                <w:p w14:paraId="6D02B9EF">
                  <w:pPr>
                    <w:pStyle w:val="52"/>
                  </w:pPr>
                  <w:r>
                    <w:rPr>
                      <w:rFonts w:hint="default"/>
                      <w:lang w:val="en-US" w:eastAsia="zh-CN"/>
                    </w:rPr>
                    <w:t>1.19E-05</w:t>
                  </w:r>
                </w:p>
              </w:tc>
            </w:tr>
            <w:tr w14:paraId="1855BB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continue"/>
                  <w:tcBorders>
                    <w:tl2br w:val="nil"/>
                    <w:tr2bl w:val="nil"/>
                  </w:tcBorders>
                  <w:vAlign w:val="center"/>
                </w:tcPr>
                <w:p w14:paraId="63C8136F">
                  <w:pPr>
                    <w:jc w:val="center"/>
                    <w:rPr>
                      <w:rFonts w:ascii="Times New Roman" w:hAnsi="Times New Roman"/>
                      <w:szCs w:val="21"/>
                    </w:rPr>
                  </w:pPr>
                </w:p>
              </w:tc>
              <w:tc>
                <w:tcPr>
                  <w:tcW w:w="1815" w:type="dxa"/>
                  <w:vMerge w:val="continue"/>
                  <w:tcBorders>
                    <w:tl2br w:val="nil"/>
                    <w:tr2bl w:val="nil"/>
                  </w:tcBorders>
                  <w:vAlign w:val="center"/>
                </w:tcPr>
                <w:p w14:paraId="7E53FCFF">
                  <w:pPr>
                    <w:jc w:val="center"/>
                    <w:rPr>
                      <w:rFonts w:ascii="Times New Roman" w:hAnsi="Times New Roman"/>
                      <w:szCs w:val="21"/>
                    </w:rPr>
                  </w:pPr>
                </w:p>
              </w:tc>
              <w:tc>
                <w:tcPr>
                  <w:tcW w:w="825" w:type="dxa"/>
                  <w:vMerge w:val="continue"/>
                  <w:tcBorders>
                    <w:tl2br w:val="nil"/>
                    <w:tr2bl w:val="nil"/>
                  </w:tcBorders>
                  <w:vAlign w:val="center"/>
                </w:tcPr>
                <w:p w14:paraId="1DD70A81">
                  <w:pPr>
                    <w:jc w:val="center"/>
                    <w:rPr>
                      <w:rFonts w:ascii="Times New Roman" w:hAnsi="Times New Roman"/>
                      <w:szCs w:val="21"/>
                    </w:rPr>
                  </w:pPr>
                </w:p>
              </w:tc>
              <w:tc>
                <w:tcPr>
                  <w:tcW w:w="1800" w:type="dxa"/>
                  <w:vMerge w:val="continue"/>
                  <w:tcBorders>
                    <w:tl2br w:val="nil"/>
                    <w:tr2bl w:val="nil"/>
                  </w:tcBorders>
                  <w:vAlign w:val="center"/>
                </w:tcPr>
                <w:p w14:paraId="18F3F8B5">
                  <w:pPr>
                    <w:jc w:val="center"/>
                    <w:rPr>
                      <w:rFonts w:ascii="Times New Roman" w:hAnsi="Times New Roman"/>
                      <w:szCs w:val="21"/>
                    </w:rPr>
                  </w:pPr>
                </w:p>
              </w:tc>
              <w:tc>
                <w:tcPr>
                  <w:tcW w:w="1100" w:type="dxa"/>
                  <w:vMerge w:val="continue"/>
                  <w:tcBorders>
                    <w:tl2br w:val="nil"/>
                    <w:tr2bl w:val="nil"/>
                  </w:tcBorders>
                  <w:vAlign w:val="center"/>
                </w:tcPr>
                <w:p w14:paraId="67B14BC4">
                  <w:pPr>
                    <w:jc w:val="center"/>
                    <w:rPr>
                      <w:rFonts w:ascii="Times New Roman" w:hAnsi="Times New Roman"/>
                      <w:szCs w:val="21"/>
                    </w:rPr>
                  </w:pPr>
                </w:p>
              </w:tc>
              <w:tc>
                <w:tcPr>
                  <w:tcW w:w="454" w:type="dxa"/>
                  <w:tcBorders>
                    <w:tl2br w:val="nil"/>
                    <w:tr2bl w:val="nil"/>
                  </w:tcBorders>
                  <w:vAlign w:val="center"/>
                </w:tcPr>
                <w:p w14:paraId="1176EE89">
                  <w:pPr>
                    <w:jc w:val="center"/>
                    <w:rPr>
                      <w:rFonts w:ascii="Times New Roman" w:hAnsi="Times New Roman"/>
                      <w:szCs w:val="21"/>
                    </w:rPr>
                  </w:pPr>
                  <w:r>
                    <w:rPr>
                      <w:rFonts w:hint="default" w:ascii="Times New Roman" w:hAnsi="Times New Roman" w:eastAsia="宋体" w:cs="Times New Roman"/>
                      <w:szCs w:val="21"/>
                    </w:rPr>
                    <w:t>拍片</w:t>
                  </w:r>
                </w:p>
              </w:tc>
              <w:tc>
                <w:tcPr>
                  <w:tcW w:w="956" w:type="dxa"/>
                  <w:tcBorders>
                    <w:tl2br w:val="nil"/>
                    <w:tr2bl w:val="nil"/>
                  </w:tcBorders>
                  <w:vAlign w:val="center"/>
                </w:tcPr>
                <w:p w14:paraId="00B82E66">
                  <w:pPr>
                    <w:pStyle w:val="52"/>
                    <w:bidi w:val="0"/>
                    <w:rPr>
                      <w:rFonts w:ascii="Times New Roman" w:hAnsi="Times New Roman"/>
                      <w:color w:val="auto"/>
                      <w:szCs w:val="21"/>
                    </w:rPr>
                  </w:pPr>
                  <w:r>
                    <w:rPr>
                      <w:rFonts w:hint="default"/>
                      <w:lang w:val="en-US" w:eastAsia="zh-CN"/>
                    </w:rPr>
                    <w:t>2.39E-06</w:t>
                  </w:r>
                </w:p>
              </w:tc>
              <w:tc>
                <w:tcPr>
                  <w:tcW w:w="904" w:type="dxa"/>
                  <w:tcBorders>
                    <w:tl2br w:val="nil"/>
                    <w:tr2bl w:val="nil"/>
                  </w:tcBorders>
                  <w:vAlign w:val="center"/>
                </w:tcPr>
                <w:p w14:paraId="2260CC93">
                  <w:pPr>
                    <w:pStyle w:val="52"/>
                  </w:pPr>
                  <w:r>
                    <w:rPr>
                      <w:rFonts w:hint="default"/>
                      <w:lang w:val="en-US" w:eastAsia="zh-CN"/>
                    </w:rPr>
                    <w:t>1.18E-04</w:t>
                  </w:r>
                </w:p>
              </w:tc>
            </w:tr>
            <w:tr w14:paraId="751760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restart"/>
                  <w:tcBorders>
                    <w:tl2br w:val="nil"/>
                    <w:tr2bl w:val="nil"/>
                  </w:tcBorders>
                  <w:vAlign w:val="center"/>
                </w:tcPr>
                <w:p w14:paraId="320C55CF">
                  <w:pPr>
                    <w:jc w:val="center"/>
                    <w:rPr>
                      <w:rFonts w:ascii="Times New Roman" w:hAnsi="Times New Roman"/>
                      <w:szCs w:val="21"/>
                    </w:rPr>
                  </w:pPr>
                  <w:r>
                    <w:rPr>
                      <w:rFonts w:ascii="Times New Roman" w:hAnsi="Times New Roman"/>
                      <w:szCs w:val="21"/>
                    </w:rPr>
                    <w:t>8</w:t>
                  </w:r>
                </w:p>
              </w:tc>
              <w:tc>
                <w:tcPr>
                  <w:tcW w:w="1815" w:type="dxa"/>
                  <w:vMerge w:val="restart"/>
                  <w:tcBorders>
                    <w:tl2br w:val="nil"/>
                    <w:tr2bl w:val="nil"/>
                  </w:tcBorders>
                  <w:vAlign w:val="center"/>
                </w:tcPr>
                <w:p w14:paraId="6D8B65CE">
                  <w:pPr>
                    <w:jc w:val="center"/>
                    <w:rPr>
                      <w:rFonts w:ascii="Times New Roman" w:hAnsi="Times New Roman"/>
                      <w:szCs w:val="21"/>
                    </w:rPr>
                  </w:pPr>
                  <w:r>
                    <w:rPr>
                      <w:rFonts w:hint="default" w:ascii="Times New Roman" w:hAnsi="Times New Roman" w:eastAsia="宋体" w:cs="Times New Roman"/>
                      <w:szCs w:val="21"/>
                      <w:lang w:val="en-US" w:eastAsia="zh-CN"/>
                    </w:rPr>
                    <w:t>南</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窗</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控制室</w:t>
                  </w:r>
                  <w:r>
                    <w:rPr>
                      <w:rFonts w:hint="default" w:ascii="Times New Roman" w:hAnsi="Times New Roman" w:eastAsia="宋体" w:cs="Times New Roman"/>
                      <w:szCs w:val="21"/>
                    </w:rPr>
                    <w:t>）</w:t>
                  </w:r>
                </w:p>
              </w:tc>
              <w:tc>
                <w:tcPr>
                  <w:tcW w:w="825" w:type="dxa"/>
                  <w:vMerge w:val="restart"/>
                  <w:tcBorders>
                    <w:tl2br w:val="nil"/>
                    <w:tr2bl w:val="nil"/>
                  </w:tcBorders>
                  <w:vAlign w:val="center"/>
                </w:tcPr>
                <w:p w14:paraId="64D33102">
                  <w:pPr>
                    <w:jc w:val="center"/>
                    <w:rPr>
                      <w:rFonts w:ascii="Times New Roman" w:hAnsi="Times New Roman"/>
                      <w:szCs w:val="21"/>
                    </w:rPr>
                  </w:pPr>
                  <w:r>
                    <w:rPr>
                      <w:rFonts w:hint="eastAsia" w:ascii="Times New Roman" w:hAnsi="Times New Roman" w:cs="Times New Roman"/>
                      <w:szCs w:val="21"/>
                      <w:lang w:val="en-US" w:eastAsia="zh-CN"/>
                    </w:rPr>
                    <w:t>6.6</w:t>
                  </w:r>
                </w:p>
              </w:tc>
              <w:tc>
                <w:tcPr>
                  <w:tcW w:w="1800" w:type="dxa"/>
                  <w:vMerge w:val="restart"/>
                  <w:tcBorders>
                    <w:tl2br w:val="nil"/>
                    <w:tr2bl w:val="nil"/>
                  </w:tcBorders>
                  <w:vAlign w:val="center"/>
                </w:tcPr>
                <w:p w14:paraId="4F5C732C">
                  <w:pPr>
                    <w:jc w:val="center"/>
                    <w:rPr>
                      <w:rFonts w:ascii="Times New Roman" w:hAnsi="Times New Roman"/>
                      <w:szCs w:val="21"/>
                    </w:rPr>
                  </w:pPr>
                  <w:r>
                    <w:rPr>
                      <w:rFonts w:hint="default" w:ascii="Times New Roman" w:hAnsi="Times New Roman" w:eastAsia="宋体" w:cs="Times New Roman"/>
                      <w:szCs w:val="21"/>
                    </w:rPr>
                    <w:t>3mmPb</w:t>
                  </w:r>
                </w:p>
              </w:tc>
              <w:tc>
                <w:tcPr>
                  <w:tcW w:w="1100" w:type="dxa"/>
                  <w:vMerge w:val="restart"/>
                  <w:tcBorders>
                    <w:tl2br w:val="nil"/>
                    <w:tr2bl w:val="nil"/>
                  </w:tcBorders>
                  <w:vAlign w:val="center"/>
                </w:tcPr>
                <w:p w14:paraId="0DA67033">
                  <w:pPr>
                    <w:jc w:val="center"/>
                    <w:rPr>
                      <w:rFonts w:ascii="Times New Roman" w:hAnsi="Times New Roman"/>
                      <w:szCs w:val="21"/>
                    </w:rPr>
                  </w:pPr>
                  <w:r>
                    <w:rPr>
                      <w:rFonts w:hint="default" w:ascii="Times New Roman" w:hAnsi="Times New Roman" w:eastAsia="宋体" w:cs="Times New Roman"/>
                      <w:szCs w:val="21"/>
                    </w:rPr>
                    <w:t>3.00</w:t>
                  </w:r>
                </w:p>
              </w:tc>
              <w:tc>
                <w:tcPr>
                  <w:tcW w:w="454" w:type="dxa"/>
                  <w:tcBorders>
                    <w:tl2br w:val="nil"/>
                    <w:tr2bl w:val="nil"/>
                  </w:tcBorders>
                  <w:vAlign w:val="center"/>
                </w:tcPr>
                <w:p w14:paraId="28CBE4CB">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771FAB2C">
                  <w:pPr>
                    <w:pStyle w:val="52"/>
                    <w:bidi w:val="0"/>
                    <w:rPr>
                      <w:rFonts w:ascii="Times New Roman" w:hAnsi="Times New Roman"/>
                      <w:color w:val="auto"/>
                      <w:szCs w:val="21"/>
                    </w:rPr>
                  </w:pPr>
                  <w:r>
                    <w:rPr>
                      <w:rFonts w:hint="default"/>
                      <w:lang w:val="en-US" w:eastAsia="zh-CN"/>
                    </w:rPr>
                    <w:t>7.93E-06</w:t>
                  </w:r>
                </w:p>
              </w:tc>
              <w:tc>
                <w:tcPr>
                  <w:tcW w:w="904" w:type="dxa"/>
                  <w:tcBorders>
                    <w:tl2br w:val="nil"/>
                    <w:tr2bl w:val="nil"/>
                  </w:tcBorders>
                  <w:vAlign w:val="center"/>
                </w:tcPr>
                <w:p w14:paraId="4E7443D5">
                  <w:pPr>
                    <w:pStyle w:val="52"/>
                  </w:pPr>
                  <w:r>
                    <w:rPr>
                      <w:rFonts w:hint="default"/>
                      <w:lang w:val="en-US" w:eastAsia="zh-CN"/>
                    </w:rPr>
                    <w:t>1.82E-04</w:t>
                  </w:r>
                </w:p>
              </w:tc>
            </w:tr>
            <w:tr w14:paraId="3D3707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continue"/>
                  <w:tcBorders>
                    <w:tl2br w:val="nil"/>
                    <w:tr2bl w:val="nil"/>
                  </w:tcBorders>
                  <w:vAlign w:val="center"/>
                </w:tcPr>
                <w:p w14:paraId="23C17EF1">
                  <w:pPr>
                    <w:jc w:val="center"/>
                    <w:rPr>
                      <w:rFonts w:ascii="Times New Roman" w:hAnsi="Times New Roman"/>
                      <w:szCs w:val="21"/>
                    </w:rPr>
                  </w:pPr>
                </w:p>
              </w:tc>
              <w:tc>
                <w:tcPr>
                  <w:tcW w:w="1815" w:type="dxa"/>
                  <w:vMerge w:val="continue"/>
                  <w:tcBorders>
                    <w:tl2br w:val="nil"/>
                    <w:tr2bl w:val="nil"/>
                  </w:tcBorders>
                  <w:vAlign w:val="center"/>
                </w:tcPr>
                <w:p w14:paraId="72281880">
                  <w:pPr>
                    <w:widowControl/>
                    <w:jc w:val="center"/>
                    <w:textAlignment w:val="center"/>
                    <w:rPr>
                      <w:rFonts w:ascii="Times New Roman" w:hAnsi="Times New Roman"/>
                      <w:szCs w:val="21"/>
                    </w:rPr>
                  </w:pPr>
                </w:p>
              </w:tc>
              <w:tc>
                <w:tcPr>
                  <w:tcW w:w="825" w:type="dxa"/>
                  <w:vMerge w:val="continue"/>
                  <w:tcBorders>
                    <w:tl2br w:val="nil"/>
                    <w:tr2bl w:val="nil"/>
                  </w:tcBorders>
                  <w:vAlign w:val="center"/>
                </w:tcPr>
                <w:p w14:paraId="3D665CEE">
                  <w:pPr>
                    <w:widowControl/>
                    <w:jc w:val="center"/>
                    <w:textAlignment w:val="center"/>
                    <w:rPr>
                      <w:rFonts w:ascii="Times New Roman" w:hAnsi="Times New Roman"/>
                      <w:szCs w:val="21"/>
                    </w:rPr>
                  </w:pPr>
                </w:p>
              </w:tc>
              <w:tc>
                <w:tcPr>
                  <w:tcW w:w="1800" w:type="dxa"/>
                  <w:vMerge w:val="continue"/>
                  <w:tcBorders>
                    <w:tl2br w:val="nil"/>
                    <w:tr2bl w:val="nil"/>
                  </w:tcBorders>
                  <w:vAlign w:val="center"/>
                </w:tcPr>
                <w:p w14:paraId="09A8EDA8">
                  <w:pPr>
                    <w:widowControl/>
                    <w:jc w:val="center"/>
                    <w:textAlignment w:val="center"/>
                    <w:rPr>
                      <w:rFonts w:ascii="Times New Roman" w:hAnsi="Times New Roman"/>
                      <w:szCs w:val="21"/>
                    </w:rPr>
                  </w:pPr>
                </w:p>
              </w:tc>
              <w:tc>
                <w:tcPr>
                  <w:tcW w:w="1100" w:type="dxa"/>
                  <w:vMerge w:val="continue"/>
                  <w:tcBorders>
                    <w:tl2br w:val="nil"/>
                    <w:tr2bl w:val="nil"/>
                  </w:tcBorders>
                  <w:vAlign w:val="center"/>
                </w:tcPr>
                <w:p w14:paraId="2870B305">
                  <w:pPr>
                    <w:widowControl/>
                    <w:jc w:val="center"/>
                    <w:textAlignment w:val="center"/>
                    <w:rPr>
                      <w:rFonts w:ascii="Times New Roman" w:hAnsi="Times New Roman"/>
                      <w:szCs w:val="21"/>
                    </w:rPr>
                  </w:pPr>
                </w:p>
              </w:tc>
              <w:tc>
                <w:tcPr>
                  <w:tcW w:w="454" w:type="dxa"/>
                  <w:tcBorders>
                    <w:tl2br w:val="nil"/>
                    <w:tr2bl w:val="nil"/>
                  </w:tcBorders>
                  <w:vAlign w:val="center"/>
                </w:tcPr>
                <w:p w14:paraId="0C264AA6">
                  <w:pPr>
                    <w:jc w:val="center"/>
                    <w:rPr>
                      <w:rFonts w:ascii="Times New Roman" w:hAnsi="Times New Roman"/>
                      <w:szCs w:val="21"/>
                    </w:rPr>
                  </w:pPr>
                  <w:r>
                    <w:rPr>
                      <w:rFonts w:hint="default" w:ascii="Times New Roman" w:hAnsi="Times New Roman" w:eastAsia="宋体" w:cs="Times New Roman"/>
                      <w:szCs w:val="21"/>
                    </w:rPr>
                    <w:t>拍片</w:t>
                  </w:r>
                </w:p>
              </w:tc>
              <w:tc>
                <w:tcPr>
                  <w:tcW w:w="956" w:type="dxa"/>
                  <w:tcBorders>
                    <w:tl2br w:val="nil"/>
                    <w:tr2bl w:val="nil"/>
                  </w:tcBorders>
                  <w:vAlign w:val="center"/>
                </w:tcPr>
                <w:p w14:paraId="75939720">
                  <w:pPr>
                    <w:pStyle w:val="52"/>
                    <w:bidi w:val="0"/>
                    <w:rPr>
                      <w:rFonts w:ascii="Times New Roman" w:hAnsi="Times New Roman"/>
                      <w:color w:val="auto"/>
                      <w:szCs w:val="21"/>
                    </w:rPr>
                  </w:pPr>
                  <w:r>
                    <w:rPr>
                      <w:rFonts w:hint="default"/>
                      <w:lang w:val="en-US" w:eastAsia="zh-CN"/>
                    </w:rPr>
                    <w:t>4.14E-05</w:t>
                  </w:r>
                </w:p>
              </w:tc>
              <w:tc>
                <w:tcPr>
                  <w:tcW w:w="904" w:type="dxa"/>
                  <w:tcBorders>
                    <w:tl2br w:val="nil"/>
                    <w:tr2bl w:val="nil"/>
                  </w:tcBorders>
                  <w:vAlign w:val="center"/>
                </w:tcPr>
                <w:p w14:paraId="6DD45A98">
                  <w:pPr>
                    <w:pStyle w:val="52"/>
                  </w:pPr>
                  <w:r>
                    <w:rPr>
                      <w:rFonts w:hint="default"/>
                      <w:lang w:val="en-US" w:eastAsia="zh-CN"/>
                    </w:rPr>
                    <w:t>9.50E-04</w:t>
                  </w:r>
                </w:p>
              </w:tc>
            </w:tr>
            <w:tr w14:paraId="62E91F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restart"/>
                  <w:tcBorders>
                    <w:tl2br w:val="nil"/>
                    <w:tr2bl w:val="nil"/>
                  </w:tcBorders>
                  <w:vAlign w:val="center"/>
                </w:tcPr>
                <w:p w14:paraId="1CB2014E">
                  <w:pPr>
                    <w:jc w:val="center"/>
                    <w:rPr>
                      <w:rFonts w:ascii="Times New Roman" w:hAnsi="Times New Roman"/>
                      <w:szCs w:val="21"/>
                    </w:rPr>
                  </w:pPr>
                  <w:r>
                    <w:rPr>
                      <w:rFonts w:ascii="Times New Roman" w:hAnsi="Times New Roman"/>
                      <w:szCs w:val="21"/>
                    </w:rPr>
                    <w:t>9</w:t>
                  </w:r>
                </w:p>
              </w:tc>
              <w:tc>
                <w:tcPr>
                  <w:tcW w:w="1815" w:type="dxa"/>
                  <w:vMerge w:val="restart"/>
                  <w:tcBorders>
                    <w:tl2br w:val="nil"/>
                    <w:tr2bl w:val="nil"/>
                  </w:tcBorders>
                  <w:vAlign w:val="center"/>
                </w:tcPr>
                <w:p w14:paraId="756D5F35">
                  <w:pPr>
                    <w:jc w:val="center"/>
                    <w:rPr>
                      <w:rFonts w:ascii="Times New Roman" w:hAnsi="Times New Roman"/>
                      <w:szCs w:val="21"/>
                    </w:rPr>
                  </w:pPr>
                  <w:r>
                    <w:rPr>
                      <w:rFonts w:hint="default" w:ascii="Times New Roman" w:hAnsi="Times New Roman" w:eastAsia="宋体" w:cs="Times New Roman"/>
                      <w:szCs w:val="21"/>
                      <w:lang w:val="en-US" w:eastAsia="zh-CN"/>
                    </w:rPr>
                    <w:t>南</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控制室</w:t>
                  </w:r>
                  <w:r>
                    <w:rPr>
                      <w:rFonts w:hint="default" w:ascii="Times New Roman" w:hAnsi="Times New Roman" w:eastAsia="宋体" w:cs="Times New Roman"/>
                      <w:szCs w:val="21"/>
                    </w:rPr>
                    <w:t>）</w:t>
                  </w:r>
                </w:p>
              </w:tc>
              <w:tc>
                <w:tcPr>
                  <w:tcW w:w="825" w:type="dxa"/>
                  <w:vMerge w:val="restart"/>
                  <w:tcBorders>
                    <w:tl2br w:val="nil"/>
                    <w:tr2bl w:val="nil"/>
                  </w:tcBorders>
                  <w:vAlign w:val="center"/>
                </w:tcPr>
                <w:p w14:paraId="2C707EDD">
                  <w:pPr>
                    <w:jc w:val="center"/>
                    <w:rPr>
                      <w:rFonts w:ascii="Times New Roman" w:hAnsi="Times New Roman"/>
                      <w:szCs w:val="21"/>
                    </w:rPr>
                  </w:pPr>
                  <w:r>
                    <w:rPr>
                      <w:rFonts w:hint="eastAsia" w:ascii="Times New Roman" w:hAnsi="Times New Roman" w:cs="Times New Roman"/>
                      <w:szCs w:val="21"/>
                      <w:lang w:val="en-US" w:eastAsia="zh-CN"/>
                    </w:rPr>
                    <w:t>6.8</w:t>
                  </w:r>
                </w:p>
              </w:tc>
              <w:tc>
                <w:tcPr>
                  <w:tcW w:w="1800" w:type="dxa"/>
                  <w:vMerge w:val="restart"/>
                  <w:tcBorders>
                    <w:tl2br w:val="nil"/>
                    <w:tr2bl w:val="nil"/>
                  </w:tcBorders>
                  <w:vAlign w:val="center"/>
                </w:tcPr>
                <w:p w14:paraId="53C83BA4">
                  <w:pPr>
                    <w:jc w:val="center"/>
                    <w:rPr>
                      <w:rFonts w:ascii="Times New Roman" w:hAnsi="Times New Roman"/>
                      <w:szCs w:val="21"/>
                    </w:rPr>
                  </w:pPr>
                  <w:r>
                    <w:rPr>
                      <w:rFonts w:hint="default" w:ascii="Times New Roman" w:hAnsi="Times New Roman" w:eastAsia="宋体" w:cs="Times New Roman"/>
                      <w:szCs w:val="21"/>
                    </w:rPr>
                    <w:t>3mmPb</w:t>
                  </w:r>
                </w:p>
              </w:tc>
              <w:tc>
                <w:tcPr>
                  <w:tcW w:w="1100" w:type="dxa"/>
                  <w:vMerge w:val="restart"/>
                  <w:tcBorders>
                    <w:tl2br w:val="nil"/>
                    <w:tr2bl w:val="nil"/>
                  </w:tcBorders>
                  <w:vAlign w:val="center"/>
                </w:tcPr>
                <w:p w14:paraId="17936D85">
                  <w:pPr>
                    <w:jc w:val="center"/>
                    <w:rPr>
                      <w:rFonts w:hint="eastAsia" w:ascii="Times New Roman" w:hAnsi="Times New Roman" w:eastAsia="宋体"/>
                      <w:szCs w:val="21"/>
                      <w:lang w:eastAsia="zh-CN"/>
                    </w:rPr>
                  </w:pPr>
                  <w:r>
                    <w:rPr>
                      <w:rFonts w:hint="default" w:ascii="Times New Roman" w:hAnsi="Times New Roman" w:eastAsia="宋体" w:cs="Times New Roman"/>
                      <w:szCs w:val="21"/>
                    </w:rPr>
                    <w:t>3.00</w:t>
                  </w:r>
                </w:p>
              </w:tc>
              <w:tc>
                <w:tcPr>
                  <w:tcW w:w="454" w:type="dxa"/>
                  <w:tcBorders>
                    <w:tl2br w:val="nil"/>
                    <w:tr2bl w:val="nil"/>
                  </w:tcBorders>
                  <w:vAlign w:val="center"/>
                </w:tcPr>
                <w:p w14:paraId="7FFDB49C">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48A58F4D">
                  <w:pPr>
                    <w:pStyle w:val="52"/>
                    <w:bidi w:val="0"/>
                    <w:rPr>
                      <w:rFonts w:ascii="Times New Roman" w:hAnsi="Times New Roman"/>
                      <w:color w:val="auto"/>
                      <w:szCs w:val="21"/>
                    </w:rPr>
                  </w:pPr>
                  <w:r>
                    <w:rPr>
                      <w:rFonts w:hint="default"/>
                      <w:lang w:val="en-US" w:eastAsia="zh-CN"/>
                    </w:rPr>
                    <w:t>7.93E-06</w:t>
                  </w:r>
                </w:p>
              </w:tc>
              <w:tc>
                <w:tcPr>
                  <w:tcW w:w="904" w:type="dxa"/>
                  <w:tcBorders>
                    <w:tl2br w:val="nil"/>
                    <w:tr2bl w:val="nil"/>
                  </w:tcBorders>
                  <w:vAlign w:val="center"/>
                </w:tcPr>
                <w:p w14:paraId="37F1EC0C">
                  <w:pPr>
                    <w:pStyle w:val="52"/>
                  </w:pPr>
                  <w:r>
                    <w:rPr>
                      <w:rFonts w:hint="default"/>
                      <w:lang w:val="en-US" w:eastAsia="zh-CN"/>
                    </w:rPr>
                    <w:t>1.71E-04</w:t>
                  </w:r>
                </w:p>
              </w:tc>
            </w:tr>
            <w:tr w14:paraId="52C580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continue"/>
                  <w:tcBorders>
                    <w:tl2br w:val="nil"/>
                    <w:tr2bl w:val="nil"/>
                  </w:tcBorders>
                  <w:vAlign w:val="center"/>
                </w:tcPr>
                <w:p w14:paraId="2959373D">
                  <w:pPr>
                    <w:jc w:val="center"/>
                    <w:rPr>
                      <w:rFonts w:ascii="Times New Roman" w:hAnsi="Times New Roman"/>
                      <w:szCs w:val="21"/>
                    </w:rPr>
                  </w:pPr>
                </w:p>
              </w:tc>
              <w:tc>
                <w:tcPr>
                  <w:tcW w:w="1815" w:type="dxa"/>
                  <w:vMerge w:val="continue"/>
                  <w:tcBorders>
                    <w:tl2br w:val="nil"/>
                    <w:tr2bl w:val="nil"/>
                  </w:tcBorders>
                  <w:vAlign w:val="center"/>
                </w:tcPr>
                <w:p w14:paraId="7F312497">
                  <w:pPr>
                    <w:jc w:val="center"/>
                    <w:rPr>
                      <w:rFonts w:ascii="Times New Roman" w:hAnsi="Times New Roman"/>
                      <w:szCs w:val="21"/>
                    </w:rPr>
                  </w:pPr>
                </w:p>
              </w:tc>
              <w:tc>
                <w:tcPr>
                  <w:tcW w:w="825" w:type="dxa"/>
                  <w:vMerge w:val="continue"/>
                  <w:tcBorders>
                    <w:tl2br w:val="nil"/>
                    <w:tr2bl w:val="nil"/>
                  </w:tcBorders>
                  <w:vAlign w:val="center"/>
                </w:tcPr>
                <w:p w14:paraId="1CB3202E">
                  <w:pPr>
                    <w:jc w:val="center"/>
                    <w:rPr>
                      <w:rFonts w:ascii="Times New Roman" w:hAnsi="Times New Roman"/>
                      <w:szCs w:val="21"/>
                    </w:rPr>
                  </w:pPr>
                </w:p>
              </w:tc>
              <w:tc>
                <w:tcPr>
                  <w:tcW w:w="1800" w:type="dxa"/>
                  <w:vMerge w:val="continue"/>
                  <w:tcBorders>
                    <w:tl2br w:val="nil"/>
                    <w:tr2bl w:val="nil"/>
                  </w:tcBorders>
                  <w:vAlign w:val="center"/>
                </w:tcPr>
                <w:p w14:paraId="39F3C0FD">
                  <w:pPr>
                    <w:jc w:val="center"/>
                    <w:rPr>
                      <w:rFonts w:ascii="Times New Roman" w:hAnsi="Times New Roman"/>
                      <w:szCs w:val="21"/>
                    </w:rPr>
                  </w:pPr>
                </w:p>
              </w:tc>
              <w:tc>
                <w:tcPr>
                  <w:tcW w:w="1100" w:type="dxa"/>
                  <w:vMerge w:val="continue"/>
                  <w:tcBorders>
                    <w:tl2br w:val="nil"/>
                    <w:tr2bl w:val="nil"/>
                  </w:tcBorders>
                  <w:vAlign w:val="center"/>
                </w:tcPr>
                <w:p w14:paraId="26F718C2">
                  <w:pPr>
                    <w:jc w:val="center"/>
                    <w:rPr>
                      <w:rFonts w:ascii="Times New Roman" w:hAnsi="Times New Roman"/>
                      <w:szCs w:val="21"/>
                    </w:rPr>
                  </w:pPr>
                </w:p>
              </w:tc>
              <w:tc>
                <w:tcPr>
                  <w:tcW w:w="454" w:type="dxa"/>
                  <w:tcBorders>
                    <w:tl2br w:val="nil"/>
                    <w:tr2bl w:val="nil"/>
                  </w:tcBorders>
                  <w:vAlign w:val="center"/>
                </w:tcPr>
                <w:p w14:paraId="1A5D0FE2">
                  <w:pPr>
                    <w:jc w:val="center"/>
                    <w:rPr>
                      <w:rFonts w:ascii="Times New Roman" w:hAnsi="Times New Roman"/>
                      <w:szCs w:val="21"/>
                    </w:rPr>
                  </w:pPr>
                  <w:r>
                    <w:rPr>
                      <w:rFonts w:hint="default" w:ascii="Times New Roman" w:hAnsi="Times New Roman" w:eastAsia="宋体" w:cs="Times New Roman"/>
                      <w:szCs w:val="21"/>
                    </w:rPr>
                    <w:t>拍片</w:t>
                  </w:r>
                </w:p>
              </w:tc>
              <w:tc>
                <w:tcPr>
                  <w:tcW w:w="956" w:type="dxa"/>
                  <w:tcBorders>
                    <w:tl2br w:val="nil"/>
                    <w:tr2bl w:val="nil"/>
                  </w:tcBorders>
                  <w:vAlign w:val="center"/>
                </w:tcPr>
                <w:p w14:paraId="4B7E9480">
                  <w:pPr>
                    <w:pStyle w:val="52"/>
                    <w:bidi w:val="0"/>
                    <w:rPr>
                      <w:rFonts w:ascii="Times New Roman" w:hAnsi="Times New Roman"/>
                      <w:color w:val="auto"/>
                      <w:szCs w:val="21"/>
                    </w:rPr>
                  </w:pPr>
                  <w:r>
                    <w:rPr>
                      <w:rFonts w:hint="default"/>
                      <w:lang w:val="en-US" w:eastAsia="zh-CN"/>
                    </w:rPr>
                    <w:t>4.14E-05</w:t>
                  </w:r>
                </w:p>
              </w:tc>
              <w:tc>
                <w:tcPr>
                  <w:tcW w:w="904" w:type="dxa"/>
                  <w:tcBorders>
                    <w:tl2br w:val="nil"/>
                    <w:tr2bl w:val="nil"/>
                  </w:tcBorders>
                  <w:vAlign w:val="center"/>
                </w:tcPr>
                <w:p w14:paraId="1BF29DBB">
                  <w:pPr>
                    <w:pStyle w:val="52"/>
                  </w:pPr>
                  <w:r>
                    <w:rPr>
                      <w:rFonts w:hint="default"/>
                      <w:lang w:val="en-US" w:eastAsia="zh-CN"/>
                    </w:rPr>
                    <w:t>8.95E-04</w:t>
                  </w:r>
                </w:p>
              </w:tc>
            </w:tr>
            <w:tr w14:paraId="79FD34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restart"/>
                  <w:tcBorders>
                    <w:tl2br w:val="nil"/>
                    <w:tr2bl w:val="nil"/>
                  </w:tcBorders>
                  <w:vAlign w:val="center"/>
                </w:tcPr>
                <w:p w14:paraId="5F94990A">
                  <w:pPr>
                    <w:jc w:val="center"/>
                    <w:rPr>
                      <w:rFonts w:ascii="Times New Roman" w:hAnsi="Times New Roman"/>
                      <w:szCs w:val="21"/>
                    </w:rPr>
                  </w:pPr>
                  <w:r>
                    <w:rPr>
                      <w:rFonts w:ascii="Times New Roman" w:hAnsi="Times New Roman"/>
                      <w:szCs w:val="21"/>
                    </w:rPr>
                    <w:t>10</w:t>
                  </w:r>
                </w:p>
              </w:tc>
              <w:tc>
                <w:tcPr>
                  <w:tcW w:w="1815" w:type="dxa"/>
                  <w:vMerge w:val="restart"/>
                  <w:tcBorders>
                    <w:tl2br w:val="nil"/>
                    <w:tr2bl w:val="nil"/>
                  </w:tcBorders>
                  <w:vAlign w:val="center"/>
                </w:tcPr>
                <w:p w14:paraId="343F0FBE">
                  <w:pPr>
                    <w:jc w:val="center"/>
                    <w:rPr>
                      <w:rFonts w:ascii="Times New Roman" w:hAnsi="Times New Roman"/>
                      <w:szCs w:val="21"/>
                    </w:rPr>
                  </w:pPr>
                  <w:r>
                    <w:rPr>
                      <w:rFonts w:hint="default" w:ascii="Times New Roman" w:hAnsi="Times New Roman" w:eastAsia="宋体" w:cs="Times New Roman"/>
                      <w:szCs w:val="21"/>
                      <w:lang w:val="en-US" w:eastAsia="zh-CN"/>
                    </w:rPr>
                    <w:t>东</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墙体</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室外通道</w:t>
                  </w:r>
                  <w:r>
                    <w:rPr>
                      <w:rFonts w:hint="default" w:ascii="Times New Roman" w:hAnsi="Times New Roman" w:eastAsia="宋体" w:cs="Times New Roman"/>
                      <w:szCs w:val="21"/>
                    </w:rPr>
                    <w:t>）</w:t>
                  </w:r>
                </w:p>
              </w:tc>
              <w:tc>
                <w:tcPr>
                  <w:tcW w:w="825" w:type="dxa"/>
                  <w:vMerge w:val="restart"/>
                  <w:tcBorders>
                    <w:tl2br w:val="nil"/>
                    <w:tr2bl w:val="nil"/>
                  </w:tcBorders>
                  <w:vAlign w:val="center"/>
                </w:tcPr>
                <w:p w14:paraId="5167C1E3">
                  <w:pPr>
                    <w:jc w:val="center"/>
                    <w:rPr>
                      <w:rFonts w:ascii="Times New Roman" w:hAnsi="Times New Roman"/>
                      <w:szCs w:val="21"/>
                    </w:rPr>
                  </w:pPr>
                  <w:r>
                    <w:rPr>
                      <w:rFonts w:hint="eastAsia" w:ascii="Times New Roman" w:hAnsi="Times New Roman" w:cs="Times New Roman"/>
                      <w:szCs w:val="21"/>
                      <w:lang w:val="en-US" w:eastAsia="zh-CN"/>
                    </w:rPr>
                    <w:t>4.9</w:t>
                  </w:r>
                </w:p>
              </w:tc>
              <w:tc>
                <w:tcPr>
                  <w:tcW w:w="1800" w:type="dxa"/>
                  <w:vMerge w:val="restart"/>
                  <w:tcBorders>
                    <w:tl2br w:val="nil"/>
                    <w:tr2bl w:val="nil"/>
                  </w:tcBorders>
                  <w:vAlign w:val="center"/>
                </w:tcPr>
                <w:p w14:paraId="083D27FB">
                  <w:pPr>
                    <w:jc w:val="center"/>
                    <w:rPr>
                      <w:rFonts w:ascii="Times New Roman" w:hAnsi="Times New Roman"/>
                      <w:szCs w:val="21"/>
                    </w:rPr>
                  </w:pPr>
                  <w:r>
                    <w:rPr>
                      <w:rFonts w:hint="default" w:ascii="Times New Roman" w:hAnsi="Times New Roman" w:eastAsia="宋体" w:cs="Times New Roman"/>
                      <w:szCs w:val="21"/>
                    </w:rPr>
                    <w:t>370mm</w:t>
                  </w:r>
                  <w:r>
                    <w:rPr>
                      <w:rFonts w:hint="eastAsia" w:ascii="Times New Roman" w:hAnsi="Times New Roman" w:cs="Times New Roman"/>
                      <w:szCs w:val="21"/>
                      <w:lang w:eastAsia="zh-CN"/>
                    </w:rPr>
                    <w:t>红色实心砖墙</w:t>
                  </w:r>
                  <w:r>
                    <w:rPr>
                      <w:rFonts w:hint="default" w:ascii="Times New Roman" w:hAnsi="Times New Roman" w:eastAsia="宋体" w:cs="Times New Roman"/>
                      <w:szCs w:val="21"/>
                    </w:rPr>
                    <w:t>+10mm硫酸钡水泥砂浆</w:t>
                  </w:r>
                </w:p>
              </w:tc>
              <w:tc>
                <w:tcPr>
                  <w:tcW w:w="1100" w:type="dxa"/>
                  <w:vMerge w:val="restart"/>
                  <w:tcBorders>
                    <w:tl2br w:val="nil"/>
                    <w:tr2bl w:val="nil"/>
                  </w:tcBorders>
                  <w:vAlign w:val="center"/>
                </w:tcPr>
                <w:p w14:paraId="6C3B7CB3">
                  <w:pPr>
                    <w:jc w:val="center"/>
                    <w:rPr>
                      <w:rFonts w:ascii="Times New Roman" w:hAnsi="Times New Roman"/>
                      <w:szCs w:val="21"/>
                    </w:rPr>
                  </w:pPr>
                  <w:r>
                    <w:rPr>
                      <w:rFonts w:hint="eastAsia" w:ascii="Times New Roman" w:hAnsi="Times New Roman" w:cs="Times New Roman"/>
                      <w:szCs w:val="21"/>
                      <w:lang w:val="en-US" w:eastAsia="zh-CN"/>
                    </w:rPr>
                    <w:t>4.14</w:t>
                  </w:r>
                </w:p>
              </w:tc>
              <w:tc>
                <w:tcPr>
                  <w:tcW w:w="454" w:type="dxa"/>
                  <w:tcBorders>
                    <w:tl2br w:val="nil"/>
                    <w:tr2bl w:val="nil"/>
                  </w:tcBorders>
                  <w:vAlign w:val="center"/>
                </w:tcPr>
                <w:p w14:paraId="53192224">
                  <w:pPr>
                    <w:jc w:val="center"/>
                    <w:rPr>
                      <w:rFonts w:ascii="Times New Roman" w:hAnsi="Times New Roman"/>
                      <w:szCs w:val="21"/>
                    </w:rPr>
                  </w:pPr>
                  <w:r>
                    <w:rPr>
                      <w:rFonts w:hint="default" w:ascii="Times New Roman" w:hAnsi="Times New Roman" w:eastAsia="宋体" w:cs="Times New Roman"/>
                      <w:szCs w:val="21"/>
                    </w:rPr>
                    <w:t>透视</w:t>
                  </w:r>
                </w:p>
              </w:tc>
              <w:tc>
                <w:tcPr>
                  <w:tcW w:w="956" w:type="dxa"/>
                  <w:tcBorders>
                    <w:tl2br w:val="nil"/>
                    <w:tr2bl w:val="nil"/>
                  </w:tcBorders>
                  <w:vAlign w:val="center"/>
                </w:tcPr>
                <w:p w14:paraId="28AE8F09">
                  <w:pPr>
                    <w:pStyle w:val="52"/>
                    <w:bidi w:val="0"/>
                    <w:rPr>
                      <w:rFonts w:ascii="Times New Roman" w:hAnsi="Times New Roman"/>
                      <w:color w:val="auto"/>
                      <w:szCs w:val="21"/>
                    </w:rPr>
                  </w:pPr>
                  <w:r>
                    <w:rPr>
                      <w:rFonts w:hint="default"/>
                      <w:lang w:val="en-US" w:eastAsia="zh-CN"/>
                    </w:rPr>
                    <w:t>2.40E-07</w:t>
                  </w:r>
                </w:p>
              </w:tc>
              <w:tc>
                <w:tcPr>
                  <w:tcW w:w="904" w:type="dxa"/>
                  <w:tcBorders>
                    <w:tl2br w:val="nil"/>
                    <w:tr2bl w:val="nil"/>
                  </w:tcBorders>
                  <w:vAlign w:val="center"/>
                </w:tcPr>
                <w:p w14:paraId="11804EB5">
                  <w:pPr>
                    <w:pStyle w:val="52"/>
                  </w:pPr>
                  <w:r>
                    <w:rPr>
                      <w:rFonts w:hint="default"/>
                      <w:lang w:val="en-US" w:eastAsia="zh-CN"/>
                    </w:rPr>
                    <w:t>1.00E-05</w:t>
                  </w:r>
                </w:p>
              </w:tc>
            </w:tr>
            <w:tr w14:paraId="3706C2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62" w:type="dxa"/>
                  <w:vMerge w:val="continue"/>
                  <w:tcBorders>
                    <w:tl2br w:val="nil"/>
                    <w:tr2bl w:val="nil"/>
                  </w:tcBorders>
                  <w:vAlign w:val="center"/>
                </w:tcPr>
                <w:p w14:paraId="5542873B">
                  <w:pPr>
                    <w:jc w:val="center"/>
                    <w:rPr>
                      <w:rFonts w:ascii="Times New Roman" w:hAnsi="Times New Roman"/>
                      <w:szCs w:val="21"/>
                    </w:rPr>
                  </w:pPr>
                </w:p>
              </w:tc>
              <w:tc>
                <w:tcPr>
                  <w:tcW w:w="1815" w:type="dxa"/>
                  <w:vMerge w:val="continue"/>
                  <w:tcBorders>
                    <w:tl2br w:val="nil"/>
                    <w:tr2bl w:val="nil"/>
                  </w:tcBorders>
                  <w:vAlign w:val="center"/>
                </w:tcPr>
                <w:p w14:paraId="5D715C67">
                  <w:pPr>
                    <w:jc w:val="center"/>
                    <w:rPr>
                      <w:rFonts w:ascii="Times New Roman" w:hAnsi="Times New Roman"/>
                      <w:szCs w:val="21"/>
                    </w:rPr>
                  </w:pPr>
                </w:p>
              </w:tc>
              <w:tc>
                <w:tcPr>
                  <w:tcW w:w="825" w:type="dxa"/>
                  <w:vMerge w:val="continue"/>
                  <w:tcBorders>
                    <w:tl2br w:val="nil"/>
                    <w:tr2bl w:val="nil"/>
                  </w:tcBorders>
                  <w:vAlign w:val="center"/>
                </w:tcPr>
                <w:p w14:paraId="66679146">
                  <w:pPr>
                    <w:jc w:val="center"/>
                    <w:rPr>
                      <w:rFonts w:ascii="Times New Roman" w:hAnsi="Times New Roman"/>
                      <w:szCs w:val="21"/>
                    </w:rPr>
                  </w:pPr>
                </w:p>
              </w:tc>
              <w:tc>
                <w:tcPr>
                  <w:tcW w:w="1800" w:type="dxa"/>
                  <w:vMerge w:val="continue"/>
                  <w:tcBorders>
                    <w:tl2br w:val="nil"/>
                    <w:tr2bl w:val="nil"/>
                  </w:tcBorders>
                  <w:vAlign w:val="center"/>
                </w:tcPr>
                <w:p w14:paraId="7B201F88">
                  <w:pPr>
                    <w:jc w:val="center"/>
                    <w:rPr>
                      <w:rFonts w:ascii="Times New Roman" w:hAnsi="Times New Roman"/>
                      <w:szCs w:val="21"/>
                    </w:rPr>
                  </w:pPr>
                </w:p>
              </w:tc>
              <w:tc>
                <w:tcPr>
                  <w:tcW w:w="1100" w:type="dxa"/>
                  <w:vMerge w:val="continue"/>
                  <w:tcBorders>
                    <w:tl2br w:val="nil"/>
                    <w:tr2bl w:val="nil"/>
                  </w:tcBorders>
                  <w:vAlign w:val="center"/>
                </w:tcPr>
                <w:p w14:paraId="0DAC87CB">
                  <w:pPr>
                    <w:jc w:val="center"/>
                    <w:rPr>
                      <w:rFonts w:ascii="Times New Roman" w:hAnsi="Times New Roman"/>
                      <w:szCs w:val="21"/>
                    </w:rPr>
                  </w:pPr>
                </w:p>
              </w:tc>
              <w:tc>
                <w:tcPr>
                  <w:tcW w:w="454" w:type="dxa"/>
                  <w:tcBorders>
                    <w:tl2br w:val="nil"/>
                    <w:tr2bl w:val="nil"/>
                  </w:tcBorders>
                  <w:vAlign w:val="center"/>
                </w:tcPr>
                <w:p w14:paraId="51CBD9DB">
                  <w:pPr>
                    <w:jc w:val="center"/>
                    <w:rPr>
                      <w:rFonts w:ascii="Times New Roman" w:hAnsi="Times New Roman"/>
                      <w:szCs w:val="21"/>
                    </w:rPr>
                  </w:pPr>
                  <w:r>
                    <w:rPr>
                      <w:rFonts w:hint="default" w:ascii="Times New Roman" w:hAnsi="Times New Roman" w:eastAsia="宋体" w:cs="Times New Roman"/>
                      <w:szCs w:val="21"/>
                    </w:rPr>
                    <w:t>拍片</w:t>
                  </w:r>
                </w:p>
              </w:tc>
              <w:tc>
                <w:tcPr>
                  <w:tcW w:w="956" w:type="dxa"/>
                  <w:tcBorders>
                    <w:tl2br w:val="nil"/>
                    <w:tr2bl w:val="nil"/>
                  </w:tcBorders>
                  <w:vAlign w:val="center"/>
                </w:tcPr>
                <w:p w14:paraId="153A16B7">
                  <w:pPr>
                    <w:pStyle w:val="52"/>
                    <w:bidi w:val="0"/>
                    <w:rPr>
                      <w:rFonts w:ascii="Times New Roman" w:hAnsi="Times New Roman"/>
                      <w:color w:val="auto"/>
                      <w:szCs w:val="21"/>
                    </w:rPr>
                  </w:pPr>
                  <w:r>
                    <w:rPr>
                      <w:rFonts w:hint="default"/>
                      <w:lang w:val="en-US" w:eastAsia="zh-CN"/>
                    </w:rPr>
                    <w:t>2.39E-06</w:t>
                  </w:r>
                </w:p>
              </w:tc>
              <w:tc>
                <w:tcPr>
                  <w:tcW w:w="904" w:type="dxa"/>
                  <w:tcBorders>
                    <w:tl2br w:val="nil"/>
                    <w:tr2bl w:val="nil"/>
                  </w:tcBorders>
                  <w:vAlign w:val="center"/>
                </w:tcPr>
                <w:p w14:paraId="14EF9F51">
                  <w:pPr>
                    <w:pStyle w:val="52"/>
                  </w:pPr>
                  <w:r>
                    <w:rPr>
                      <w:rFonts w:hint="default"/>
                      <w:lang w:val="en-US" w:eastAsia="zh-CN"/>
                    </w:rPr>
                    <w:t>9.95E-05</w:t>
                  </w:r>
                </w:p>
              </w:tc>
            </w:tr>
          </w:tbl>
          <w:p w14:paraId="1DC426CD">
            <w:pPr>
              <w:widowControl/>
              <w:jc w:val="left"/>
              <w:rPr>
                <w:rFonts w:ascii="Times New Roman" w:hAnsi="Times New Roman"/>
                <w:color w:val="000000" w:themeColor="text1"/>
                <w14:textFill>
                  <w14:solidFill>
                    <w14:schemeClr w14:val="tx1"/>
                  </w14:solidFill>
                </w14:textFill>
              </w:rPr>
            </w:pPr>
            <w:r>
              <w:rPr>
                <w:rFonts w:hint="eastAsia" w:ascii="Times New Roman" w:hAnsi="Times New Roman"/>
                <w:b/>
                <w:bCs/>
                <w:color w:val="000000" w:themeColor="text1"/>
                <w:kern w:val="0"/>
                <w:sz w:val="24"/>
                <w:lang w:bidi="ar"/>
                <w14:textFill>
                  <w14:solidFill>
                    <w14:schemeClr w14:val="tx1"/>
                  </w14:solidFill>
                </w14:textFill>
              </w:rPr>
              <w:t>（4）</w:t>
            </w:r>
            <w:r>
              <w:rPr>
                <w:rFonts w:ascii="Times New Roman" w:hAnsi="Times New Roman"/>
                <w:b/>
                <w:bCs/>
                <w:color w:val="000000" w:themeColor="text1"/>
                <w:kern w:val="0"/>
                <w:sz w:val="24"/>
                <w:lang w:bidi="ar"/>
                <w14:textFill>
                  <w14:solidFill>
                    <w14:schemeClr w14:val="tx1"/>
                  </w14:solidFill>
                </w14:textFill>
              </w:rPr>
              <w:t>关注点辐射剂量率综合分析</w:t>
            </w:r>
          </w:p>
          <w:p w14:paraId="2DE3BA17">
            <w:pPr>
              <w:spacing w:line="360" w:lineRule="auto"/>
              <w:ind w:firstLine="480" w:firstLineChars="200"/>
              <w:jc w:val="left"/>
              <w:rPr>
                <w:rFonts w:hint="eastAsia" w:ascii="Times New Roman" w:hAnsi="Times New Roman" w:eastAsia="宋体"/>
                <w:color w:val="000000" w:themeColor="text1"/>
                <w:sz w:val="24"/>
                <w:lang w:eastAsia="zh-CN"/>
                <w14:textFill>
                  <w14:solidFill>
                    <w14:schemeClr w14:val="tx1"/>
                  </w14:solidFill>
                </w14:textFill>
              </w:rPr>
            </w:pPr>
            <w:r>
              <w:rPr>
                <w:rFonts w:hint="eastAsia" w:ascii="Times New Roman" w:hAnsi="Times New Roman"/>
                <w:color w:val="000000" w:themeColor="text1"/>
                <w:sz w:val="24"/>
                <w:lang w:val="en-US" w:eastAsia="zh-CN"/>
                <w14:textFill>
                  <w14:solidFill>
                    <w14:schemeClr w14:val="tx1"/>
                  </w14:solidFill>
                </w14:textFill>
              </w:rPr>
              <w:t>根据</w:t>
            </w:r>
            <w:r>
              <w:rPr>
                <w:rFonts w:hint="eastAsia" w:ascii="Times New Roman" w:hAnsi="Times New Roman"/>
                <w:color w:val="000000" w:themeColor="text1"/>
                <w:sz w:val="24"/>
                <w14:textFill>
                  <w14:solidFill>
                    <w14:schemeClr w14:val="tx1"/>
                  </w14:solidFill>
                </w14:textFill>
              </w:rPr>
              <w:t>国际放射防护委员会（ICRP）第103号出版物《Radiological Protection from Low-Dose and Low-Dose-Rate Exposures》（2007年发布）</w:t>
            </w:r>
            <w:r>
              <w:rPr>
                <w:rFonts w:hint="eastAsia" w:ascii="Times New Roman" w:hAnsi="Times New Roman"/>
                <w:color w:val="000000" w:themeColor="text1"/>
                <w:sz w:val="24"/>
                <w:lang w:val="en-US" w:eastAsia="zh-CN"/>
                <w14:textFill>
                  <w14:solidFill>
                    <w14:schemeClr w14:val="tx1"/>
                  </w14:solidFill>
                </w14:textFill>
              </w:rPr>
              <w:t>文中内容：</w:t>
            </w:r>
            <w:r>
              <w:rPr>
                <w:rFonts w:hint="eastAsia" w:ascii="Times New Roman" w:hAnsi="Times New Roman"/>
                <w:color w:val="000000" w:themeColor="text1"/>
                <w:sz w:val="24"/>
                <w14:textFill>
                  <w14:solidFill>
                    <w14:schemeClr w14:val="tx1"/>
                  </w14:solidFill>
                </w14:textFill>
              </w:rPr>
              <w:t>吸收剂量D，单位Gy（戈瑞）=1J/Kg；当量剂量H，单位Sv（希沃特）=1J/Kg，与吸收剂量的关系为H=W</w:t>
            </w:r>
            <w:r>
              <w:rPr>
                <w:rFonts w:hint="eastAsia" w:ascii="Times New Roman" w:hAnsi="Times New Roman"/>
                <w:color w:val="000000" w:themeColor="text1"/>
                <w:sz w:val="24"/>
                <w:vertAlign w:val="subscript"/>
                <w14:textFill>
                  <w14:solidFill>
                    <w14:schemeClr w14:val="tx1"/>
                  </w14:solidFill>
                </w14:textFill>
              </w:rPr>
              <w:t>R</w:t>
            </w:r>
            <w:r>
              <w:rPr>
                <w:rFonts w:hint="eastAsia" w:ascii="Times New Roman" w:hAnsi="Times New Roman"/>
                <w:color w:val="000000" w:themeColor="text1"/>
                <w:sz w:val="24"/>
                <w14:textFill>
                  <w14:solidFill>
                    <w14:schemeClr w14:val="tx1"/>
                  </w14:solidFill>
                </w14:textFill>
              </w:rPr>
              <w:t>D（W</w:t>
            </w:r>
            <w:r>
              <w:rPr>
                <w:rFonts w:hint="eastAsia" w:ascii="Times New Roman" w:hAnsi="Times New Roman"/>
                <w:color w:val="000000" w:themeColor="text1"/>
                <w:sz w:val="24"/>
                <w:vertAlign w:val="subscript"/>
                <w14:textFill>
                  <w14:solidFill>
                    <w14:schemeClr w14:val="tx1"/>
                  </w14:solidFill>
                </w14:textFill>
              </w:rPr>
              <w:t>R</w:t>
            </w:r>
            <w:r>
              <w:rPr>
                <w:rFonts w:hint="eastAsia" w:ascii="Times New Roman" w:hAnsi="Times New Roman"/>
                <w:color w:val="000000" w:themeColor="text1"/>
                <w:sz w:val="24"/>
                <w14:textFill>
                  <w14:solidFill>
                    <w14:schemeClr w14:val="tx1"/>
                  </w14:solidFill>
                </w14:textFill>
              </w:rPr>
              <w:t>称为辐射权重因子）</w:t>
            </w:r>
            <w:r>
              <w:rPr>
                <w:rFonts w:hint="eastAsia" w:ascii="Times New Roman" w:hAnsi="Times New Roman"/>
                <w:color w:val="000000" w:themeColor="text1"/>
                <w:sz w:val="24"/>
                <w:lang w:eastAsia="zh-CN"/>
                <w14:textFill>
                  <w14:solidFill>
                    <w14:schemeClr w14:val="tx1"/>
                  </w14:solidFill>
                </w14:textFill>
              </w:rPr>
              <w:t>。ICRP对所有低传能线密度（LET）辐射（包括所有能量的X射线和γ射线）选定辐射权重因子为1。</w:t>
            </w:r>
            <w:r>
              <w:rPr>
                <w:rFonts w:hint="eastAsia" w:ascii="Times New Roman" w:hAnsi="Times New Roman"/>
                <w:color w:val="000000" w:themeColor="text1"/>
                <w:sz w:val="24"/>
                <w:lang w:val="en-US" w:eastAsia="zh-CN"/>
                <w14:textFill>
                  <w14:solidFill>
                    <w14:schemeClr w14:val="tx1"/>
                  </w14:solidFill>
                </w14:textFill>
              </w:rPr>
              <w:t>故</w:t>
            </w:r>
            <w:r>
              <w:rPr>
                <w:rFonts w:hint="eastAsia" w:ascii="Times New Roman" w:hAnsi="Times New Roman"/>
                <w:color w:val="000000" w:themeColor="text1"/>
                <w:sz w:val="24"/>
                <w14:textFill>
                  <w14:solidFill>
                    <w14:schemeClr w14:val="tx1"/>
                  </w14:solidFill>
                </w14:textFill>
              </w:rPr>
              <w:t>X射线的辐射权重因子为1</w:t>
            </w:r>
            <w:r>
              <w:rPr>
                <w:rFonts w:hint="eastAsia" w:ascii="Times New Roman" w:hAnsi="Times New Roman"/>
                <w:color w:val="000000" w:themeColor="text1"/>
                <w:sz w:val="24"/>
                <w:lang w:eastAsia="zh-CN"/>
                <w14:textFill>
                  <w14:solidFill>
                    <w14:schemeClr w14:val="tx1"/>
                  </w14:solidFill>
                </w14:textFill>
              </w:rPr>
              <w:t>。</w:t>
            </w:r>
          </w:p>
          <w:p w14:paraId="02F76A7C">
            <w:pPr>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本项目所致保护目标最大辐射剂量率理论预测结果见表11-</w:t>
            </w:r>
            <w:r>
              <w:rPr>
                <w:rFonts w:hint="eastAsia" w:ascii="Times New Roman" w:hAnsi="Times New Roman"/>
                <w:color w:val="000000" w:themeColor="text1"/>
                <w:sz w:val="24"/>
                <w:lang w:val="en-US" w:eastAsia="zh-CN"/>
                <w14:textFill>
                  <w14:solidFill>
                    <w14:schemeClr w14:val="tx1"/>
                  </w14:solidFill>
                </w14:textFill>
              </w:rPr>
              <w:t>7</w:t>
            </w:r>
            <w:r>
              <w:rPr>
                <w:rFonts w:ascii="Times New Roman" w:hAnsi="Times New Roman"/>
                <w:color w:val="000000" w:themeColor="text1"/>
                <w:sz w:val="24"/>
                <w14:textFill>
                  <w14:solidFill>
                    <w14:schemeClr w14:val="tx1"/>
                  </w14:solidFill>
                </w14:textFill>
              </w:rPr>
              <w:t>。</w:t>
            </w:r>
          </w:p>
          <w:p w14:paraId="37ED6296">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本项目各预测点保护目标最大辐射剂量率表</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088"/>
              <w:gridCol w:w="678"/>
              <w:gridCol w:w="1084"/>
              <w:gridCol w:w="1225"/>
              <w:gridCol w:w="1326"/>
              <w:gridCol w:w="1327"/>
            </w:tblGrid>
            <w:tr w14:paraId="58A471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restart"/>
                  <w:vAlign w:val="center"/>
                </w:tcPr>
                <w:p w14:paraId="02C9A9BD">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保护目标相对位置</w:t>
                  </w:r>
                </w:p>
              </w:tc>
              <w:tc>
                <w:tcPr>
                  <w:tcW w:w="2088" w:type="dxa"/>
                  <w:vMerge w:val="restart"/>
                  <w:vAlign w:val="center"/>
                </w:tcPr>
                <w:p w14:paraId="640BAE3E">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关注点位描述</w:t>
                  </w:r>
                </w:p>
              </w:tc>
              <w:tc>
                <w:tcPr>
                  <w:tcW w:w="678" w:type="dxa"/>
                  <w:vMerge w:val="restart"/>
                  <w:vAlign w:val="center"/>
                </w:tcPr>
                <w:p w14:paraId="4A2514CF">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照射类型</w:t>
                  </w:r>
                </w:p>
              </w:tc>
              <w:tc>
                <w:tcPr>
                  <w:tcW w:w="3635" w:type="dxa"/>
                  <w:gridSpan w:val="3"/>
                  <w:vAlign w:val="center"/>
                </w:tcPr>
                <w:p w14:paraId="605D049C">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辐射剂量率（</w:t>
                  </w:r>
                  <w:r>
                    <w:rPr>
                      <w:rFonts w:ascii="Times New Roman" w:hAnsi="Times New Roman"/>
                      <w:bCs/>
                      <w:color w:val="000000" w:themeColor="text1"/>
                      <w:szCs w:val="21"/>
                      <w14:textFill>
                        <w14:solidFill>
                          <w14:schemeClr w14:val="tx1"/>
                        </w14:solidFill>
                      </w14:textFill>
                    </w:rPr>
                    <w:t>μ</w:t>
                  </w:r>
                  <w:r>
                    <w:rPr>
                      <w:rFonts w:ascii="Times New Roman" w:hAnsi="Times New Roman"/>
                      <w:b/>
                      <w:bCs/>
                      <w:color w:val="000000" w:themeColor="text1"/>
                      <w:szCs w:val="21"/>
                      <w14:textFill>
                        <w14:solidFill>
                          <w14:schemeClr w14:val="tx1"/>
                        </w14:solidFill>
                      </w14:textFill>
                    </w:rPr>
                    <w:t>Sv/h）</w:t>
                  </w:r>
                </w:p>
              </w:tc>
              <w:tc>
                <w:tcPr>
                  <w:tcW w:w="1327" w:type="dxa"/>
                  <w:vMerge w:val="restart"/>
                  <w:vAlign w:val="center"/>
                </w:tcPr>
                <w:p w14:paraId="74EFDCC7">
                  <w:pPr>
                    <w:jc w:val="center"/>
                    <w:rPr>
                      <w:rFonts w:ascii="Times New Roman" w:hAnsi="Times New Roman"/>
                      <w:color w:val="000000" w:themeColor="text1"/>
                      <w:szCs w:val="21"/>
                      <w14:textFill>
                        <w14:solidFill>
                          <w14:schemeClr w14:val="tx1"/>
                        </w14:solidFill>
                      </w14:textFill>
                    </w:rPr>
                  </w:pPr>
                  <w:bookmarkStart w:id="30" w:name="OLE_LINK6"/>
                  <w:r>
                    <w:rPr>
                      <w:rFonts w:ascii="Times New Roman" w:hAnsi="Times New Roman"/>
                      <w:b/>
                      <w:bCs/>
                      <w:color w:val="000000" w:themeColor="text1"/>
                      <w:szCs w:val="21"/>
                      <w14:textFill>
                        <w14:solidFill>
                          <w14:schemeClr w14:val="tx1"/>
                        </w14:solidFill>
                      </w14:textFill>
                    </w:rPr>
                    <w:t>综合辐射剂量（</w:t>
                  </w:r>
                  <w:r>
                    <w:rPr>
                      <w:rFonts w:ascii="Times New Roman" w:hAnsi="Times New Roman"/>
                      <w:bCs/>
                      <w:color w:val="000000" w:themeColor="text1"/>
                      <w:szCs w:val="21"/>
                      <w14:textFill>
                        <w14:solidFill>
                          <w14:schemeClr w14:val="tx1"/>
                        </w14:solidFill>
                      </w14:textFill>
                    </w:rPr>
                    <w:t>μ</w:t>
                  </w:r>
                  <w:r>
                    <w:rPr>
                      <w:rFonts w:ascii="Times New Roman" w:hAnsi="Times New Roman"/>
                      <w:b/>
                      <w:bCs/>
                      <w:color w:val="000000" w:themeColor="text1"/>
                      <w:szCs w:val="21"/>
                      <w14:textFill>
                        <w14:solidFill>
                          <w14:schemeClr w14:val="tx1"/>
                        </w14:solidFill>
                      </w14:textFill>
                    </w:rPr>
                    <w:t>Sv/h）</w:t>
                  </w:r>
                  <w:bookmarkEnd w:id="30"/>
                </w:p>
              </w:tc>
            </w:tr>
            <w:tr w14:paraId="7B327D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tcBorders>
                    <w:bottom w:val="single" w:color="auto" w:sz="4" w:space="0"/>
                  </w:tcBorders>
                  <w:vAlign w:val="center"/>
                </w:tcPr>
                <w:p w14:paraId="591C8969">
                  <w:pPr>
                    <w:jc w:val="center"/>
                    <w:rPr>
                      <w:rFonts w:ascii="Times New Roman" w:hAnsi="Times New Roman"/>
                      <w:color w:val="000000" w:themeColor="text1"/>
                      <w:szCs w:val="21"/>
                      <w14:textFill>
                        <w14:solidFill>
                          <w14:schemeClr w14:val="tx1"/>
                        </w14:solidFill>
                      </w14:textFill>
                    </w:rPr>
                  </w:pPr>
                </w:p>
              </w:tc>
              <w:tc>
                <w:tcPr>
                  <w:tcW w:w="2088" w:type="dxa"/>
                  <w:vMerge w:val="continue"/>
                  <w:tcBorders>
                    <w:bottom w:val="single" w:color="auto" w:sz="4" w:space="0"/>
                  </w:tcBorders>
                  <w:vAlign w:val="center"/>
                </w:tcPr>
                <w:p w14:paraId="53DD6489">
                  <w:pPr>
                    <w:jc w:val="center"/>
                    <w:rPr>
                      <w:rFonts w:ascii="Times New Roman" w:hAnsi="Times New Roman"/>
                      <w:color w:val="000000" w:themeColor="text1"/>
                      <w:szCs w:val="21"/>
                      <w14:textFill>
                        <w14:solidFill>
                          <w14:schemeClr w14:val="tx1"/>
                        </w14:solidFill>
                      </w14:textFill>
                    </w:rPr>
                  </w:pPr>
                </w:p>
              </w:tc>
              <w:tc>
                <w:tcPr>
                  <w:tcW w:w="678" w:type="dxa"/>
                  <w:vMerge w:val="continue"/>
                  <w:tcBorders>
                    <w:bottom w:val="single" w:color="auto" w:sz="4" w:space="0"/>
                  </w:tcBorders>
                  <w:vAlign w:val="center"/>
                </w:tcPr>
                <w:p w14:paraId="32277AB2">
                  <w:pPr>
                    <w:jc w:val="center"/>
                    <w:rPr>
                      <w:rFonts w:ascii="Times New Roman" w:hAnsi="Times New Roman"/>
                      <w:color w:val="000000" w:themeColor="text1"/>
                      <w:szCs w:val="21"/>
                      <w14:textFill>
                        <w14:solidFill>
                          <w14:schemeClr w14:val="tx1"/>
                        </w14:solidFill>
                      </w14:textFill>
                    </w:rPr>
                  </w:pPr>
                </w:p>
              </w:tc>
              <w:tc>
                <w:tcPr>
                  <w:tcW w:w="1084" w:type="dxa"/>
                  <w:tcBorders>
                    <w:bottom w:val="single" w:color="auto" w:sz="4" w:space="0"/>
                  </w:tcBorders>
                  <w:vAlign w:val="center"/>
                </w:tcPr>
                <w:p w14:paraId="6A6877DD">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主射</w:t>
                  </w:r>
                </w:p>
              </w:tc>
              <w:tc>
                <w:tcPr>
                  <w:tcW w:w="1225" w:type="dxa"/>
                  <w:tcBorders>
                    <w:bottom w:val="single" w:color="auto" w:sz="4" w:space="0"/>
                  </w:tcBorders>
                  <w:vAlign w:val="center"/>
                </w:tcPr>
                <w:p w14:paraId="1A00E814">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散射</w:t>
                  </w:r>
                </w:p>
              </w:tc>
              <w:tc>
                <w:tcPr>
                  <w:tcW w:w="1326" w:type="dxa"/>
                  <w:tcBorders>
                    <w:bottom w:val="single" w:color="auto" w:sz="4" w:space="0"/>
                  </w:tcBorders>
                  <w:vAlign w:val="center"/>
                </w:tcPr>
                <w:p w14:paraId="78D10B88">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漏射</w:t>
                  </w:r>
                </w:p>
              </w:tc>
              <w:tc>
                <w:tcPr>
                  <w:tcW w:w="1327" w:type="dxa"/>
                  <w:vMerge w:val="continue"/>
                  <w:tcBorders>
                    <w:bottom w:val="single" w:color="auto" w:sz="4" w:space="0"/>
                  </w:tcBorders>
                  <w:vAlign w:val="center"/>
                </w:tcPr>
                <w:p w14:paraId="29281B3B">
                  <w:pPr>
                    <w:jc w:val="center"/>
                    <w:rPr>
                      <w:rFonts w:ascii="Times New Roman" w:hAnsi="Times New Roman"/>
                      <w:color w:val="000000" w:themeColor="text1"/>
                      <w:szCs w:val="21"/>
                      <w14:textFill>
                        <w14:solidFill>
                          <w14:schemeClr w14:val="tx1"/>
                        </w14:solidFill>
                      </w14:textFill>
                    </w:rPr>
                  </w:pPr>
                </w:p>
              </w:tc>
            </w:tr>
            <w:tr w14:paraId="575843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925" w:type="dxa"/>
                  <w:vMerge w:val="restart"/>
                  <w:tcBorders>
                    <w:top w:val="single" w:color="auto" w:sz="4" w:space="0"/>
                    <w:left w:val="nil"/>
                  </w:tcBorders>
                  <w:vAlign w:val="center"/>
                </w:tcPr>
                <w:p w14:paraId="3A13A7B2">
                  <w:pPr>
                    <w:jc w:val="center"/>
                    <w:rPr>
                      <w:rFonts w:ascii="Times New Roman" w:hAnsi="Times New Roman"/>
                      <w:color w:val="000000" w:themeColor="text1"/>
                      <w:szCs w:val="21"/>
                      <w14:textFill>
                        <w14:solidFill>
                          <w14:schemeClr w14:val="tx1"/>
                        </w14:solidFill>
                      </w14:textFill>
                    </w:rPr>
                  </w:pPr>
                  <w:bookmarkStart w:id="31" w:name="OLE_LINK14" w:colFirst="7" w:colLast="7"/>
                  <w:r>
                    <w:rPr>
                      <w:rFonts w:ascii="Times New Roman" w:hAnsi="Times New Roman"/>
                      <w:color w:val="000000" w:themeColor="text1"/>
                      <w:szCs w:val="21"/>
                      <w14:textFill>
                        <w14:solidFill>
                          <w14:schemeClr w14:val="tx1"/>
                        </w14:solidFill>
                      </w14:textFill>
                    </w:rPr>
                    <w:t>DSA周围</w:t>
                  </w:r>
                </w:p>
              </w:tc>
              <w:tc>
                <w:tcPr>
                  <w:tcW w:w="2088" w:type="dxa"/>
                  <w:tcBorders>
                    <w:top w:val="single" w:color="auto" w:sz="4" w:space="0"/>
                  </w:tcBorders>
                  <w:vAlign w:val="center"/>
                </w:tcPr>
                <w:p w14:paraId="38E4CFA9">
                  <w:pPr>
                    <w:jc w:val="center"/>
                    <w:rPr>
                      <w:rFonts w:hint="eastAsia" w:ascii="Times New Roman" w:hAnsi="Times New Roman" w:eastAsia="宋体"/>
                      <w:color w:val="000000" w:themeColor="text1"/>
                      <w:szCs w:val="21"/>
                      <w:lang w:eastAsia="zh-CN"/>
                      <w14:textFill>
                        <w14:solidFill>
                          <w14:schemeClr w14:val="tx1"/>
                        </w14:solidFill>
                      </w14:textFill>
                    </w:rPr>
                  </w:pPr>
                  <w:r>
                    <w:rPr>
                      <w:rFonts w:hint="default" w:ascii="Times New Roman" w:hAnsi="Times New Roman" w:eastAsia="宋体" w:cs="Times New Roman"/>
                      <w:szCs w:val="21"/>
                    </w:rPr>
                    <w:t>DSA机房内主刀医生</w:t>
                  </w:r>
                </w:p>
              </w:tc>
              <w:tc>
                <w:tcPr>
                  <w:tcW w:w="678" w:type="dxa"/>
                  <w:tcBorders>
                    <w:top w:val="single" w:color="auto" w:sz="4" w:space="0"/>
                    <w:bottom w:val="single" w:color="auto" w:sz="4" w:space="0"/>
                  </w:tcBorders>
                  <w:vAlign w:val="center"/>
                </w:tcPr>
                <w:p w14:paraId="32068377">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tcBorders>
                    <w:top w:val="single" w:color="auto" w:sz="4" w:space="0"/>
                    <w:bottom w:val="single" w:color="auto" w:sz="4" w:space="0"/>
                  </w:tcBorders>
                  <w:vAlign w:val="center"/>
                </w:tcPr>
                <w:p w14:paraId="0B1D1A24">
                  <w:pPr>
                    <w:widowControl/>
                    <w:jc w:val="center"/>
                    <w:textAlignment w:val="center"/>
                    <w:rPr>
                      <w:rFonts w:ascii="Times New Roman" w:hAnsi="Times New Roman"/>
                      <w:b/>
                      <w:bCs/>
                      <w:color w:val="000000" w:themeColor="text1"/>
                      <w:szCs w:val="21"/>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tcBorders>
                    <w:top w:val="single" w:color="auto" w:sz="4" w:space="0"/>
                    <w:bottom w:val="single" w:color="auto" w:sz="4" w:space="0"/>
                  </w:tcBorders>
                  <w:vAlign w:val="center"/>
                </w:tcPr>
                <w:p w14:paraId="5AFE460B">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 xml:space="preserve">51.555 </w:t>
                  </w:r>
                </w:p>
              </w:tc>
              <w:tc>
                <w:tcPr>
                  <w:tcW w:w="1326" w:type="dxa"/>
                  <w:tcBorders>
                    <w:top w:val="single" w:color="auto" w:sz="4" w:space="0"/>
                    <w:bottom w:val="single" w:color="auto" w:sz="4" w:space="0"/>
                  </w:tcBorders>
                  <w:vAlign w:val="center"/>
                </w:tcPr>
                <w:p w14:paraId="761A2EBC">
                  <w:pPr>
                    <w:pStyle w:val="52"/>
                    <w:rPr>
                      <w:rFonts w:ascii="Times New Roman" w:hAnsi="Times New Roman"/>
                      <w:color w:val="000000" w:themeColor="text1"/>
                      <w:szCs w:val="21"/>
                      <w14:textFill>
                        <w14:solidFill>
                          <w14:schemeClr w14:val="tx1"/>
                        </w14:solidFill>
                      </w14:textFill>
                    </w:rPr>
                  </w:pPr>
                  <w:r>
                    <w:rPr>
                      <w:rFonts w:hint="default"/>
                      <w:lang w:val="en-US" w:eastAsia="zh-CN"/>
                    </w:rPr>
                    <w:t xml:space="preserve">16.320 </w:t>
                  </w:r>
                </w:p>
              </w:tc>
              <w:tc>
                <w:tcPr>
                  <w:tcW w:w="1327" w:type="dxa"/>
                  <w:tcBorders>
                    <w:top w:val="single" w:color="auto" w:sz="4" w:space="0"/>
                    <w:bottom w:val="single" w:color="auto" w:sz="4" w:space="0"/>
                  </w:tcBorders>
                  <w:vAlign w:val="center"/>
                </w:tcPr>
                <w:p w14:paraId="486D4598">
                  <w:pPr>
                    <w:pStyle w:val="52"/>
                  </w:pPr>
                  <w:r>
                    <w:rPr>
                      <w:rFonts w:hint="default"/>
                      <w:lang w:val="en-US" w:eastAsia="zh-CN"/>
                    </w:rPr>
                    <w:t xml:space="preserve">67.88 </w:t>
                  </w:r>
                </w:p>
              </w:tc>
            </w:tr>
            <w:tr w14:paraId="29FC87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tcBorders>
                    <w:left w:val="nil"/>
                  </w:tcBorders>
                  <w:vAlign w:val="center"/>
                </w:tcPr>
                <w:p w14:paraId="3ADEA477">
                  <w:pPr>
                    <w:jc w:val="center"/>
                    <w:rPr>
                      <w:rFonts w:ascii="Times New Roman" w:hAnsi="Times New Roman"/>
                      <w:color w:val="000000" w:themeColor="text1"/>
                      <w:szCs w:val="21"/>
                      <w14:textFill>
                        <w14:solidFill>
                          <w14:schemeClr w14:val="tx1"/>
                        </w14:solidFill>
                      </w14:textFill>
                    </w:rPr>
                  </w:pPr>
                </w:p>
              </w:tc>
              <w:tc>
                <w:tcPr>
                  <w:tcW w:w="2088" w:type="dxa"/>
                  <w:tcBorders>
                    <w:top w:val="single" w:color="auto" w:sz="4" w:space="0"/>
                  </w:tcBorders>
                  <w:vAlign w:val="center"/>
                </w:tcPr>
                <w:p w14:paraId="284748D6">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rPr>
                    <w:t>DSA机房内助手医生</w:t>
                  </w:r>
                </w:p>
              </w:tc>
              <w:tc>
                <w:tcPr>
                  <w:tcW w:w="678" w:type="dxa"/>
                  <w:tcBorders>
                    <w:top w:val="single" w:color="auto" w:sz="4" w:space="0"/>
                    <w:bottom w:val="single" w:color="auto" w:sz="4" w:space="0"/>
                  </w:tcBorders>
                  <w:vAlign w:val="center"/>
                </w:tcPr>
                <w:p w14:paraId="07D397A6">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tcBorders>
                    <w:top w:val="single" w:color="auto" w:sz="4" w:space="0"/>
                    <w:bottom w:val="single" w:color="auto" w:sz="4" w:space="0"/>
                  </w:tcBorders>
                  <w:vAlign w:val="center"/>
                </w:tcPr>
                <w:p w14:paraId="3BFAAA6D">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tcBorders>
                    <w:top w:val="single" w:color="auto" w:sz="4" w:space="0"/>
                    <w:bottom w:val="single" w:color="auto" w:sz="4" w:space="0"/>
                  </w:tcBorders>
                  <w:vAlign w:val="center"/>
                </w:tcPr>
                <w:p w14:paraId="5D155843">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 xml:space="preserve">98.280 </w:t>
                  </w:r>
                </w:p>
              </w:tc>
              <w:tc>
                <w:tcPr>
                  <w:tcW w:w="1326" w:type="dxa"/>
                  <w:tcBorders>
                    <w:top w:val="single" w:color="auto" w:sz="4" w:space="0"/>
                    <w:bottom w:val="single" w:color="auto" w:sz="4" w:space="0"/>
                  </w:tcBorders>
                  <w:vAlign w:val="center"/>
                </w:tcPr>
                <w:p w14:paraId="74B44D24">
                  <w:pPr>
                    <w:pStyle w:val="52"/>
                    <w:rPr>
                      <w:rFonts w:ascii="Times New Roman" w:hAnsi="Times New Roman"/>
                      <w:color w:val="000000" w:themeColor="text1"/>
                      <w:szCs w:val="21"/>
                      <w14:textFill>
                        <w14:solidFill>
                          <w14:schemeClr w14:val="tx1"/>
                        </w14:solidFill>
                      </w14:textFill>
                    </w:rPr>
                  </w:pPr>
                  <w:r>
                    <w:rPr>
                      <w:rFonts w:hint="default"/>
                      <w:lang w:val="en-US" w:eastAsia="zh-CN"/>
                    </w:rPr>
                    <w:t xml:space="preserve">31.111 </w:t>
                  </w:r>
                </w:p>
              </w:tc>
              <w:tc>
                <w:tcPr>
                  <w:tcW w:w="1327" w:type="dxa"/>
                  <w:tcBorders>
                    <w:top w:val="single" w:color="auto" w:sz="4" w:space="0"/>
                    <w:bottom w:val="single" w:color="auto" w:sz="4" w:space="0"/>
                  </w:tcBorders>
                  <w:vAlign w:val="center"/>
                </w:tcPr>
                <w:p w14:paraId="03B44765">
                  <w:pPr>
                    <w:pStyle w:val="52"/>
                  </w:pPr>
                  <w:r>
                    <w:rPr>
                      <w:rFonts w:hint="default"/>
                      <w:lang w:val="en-US" w:eastAsia="zh-CN"/>
                    </w:rPr>
                    <w:t xml:space="preserve">129.39 </w:t>
                  </w:r>
                </w:p>
              </w:tc>
            </w:tr>
            <w:tr w14:paraId="597BC9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tcBorders>
                    <w:left w:val="nil"/>
                  </w:tcBorders>
                  <w:vAlign w:val="center"/>
                </w:tcPr>
                <w:p w14:paraId="74BDBC2A">
                  <w:pPr>
                    <w:jc w:val="center"/>
                    <w:rPr>
                      <w:rFonts w:ascii="Times New Roman" w:hAnsi="Times New Roman"/>
                      <w:color w:val="000000" w:themeColor="text1"/>
                      <w:szCs w:val="21"/>
                      <w14:textFill>
                        <w14:solidFill>
                          <w14:schemeClr w14:val="tx1"/>
                        </w14:solidFill>
                      </w14:textFill>
                    </w:rPr>
                  </w:pPr>
                </w:p>
              </w:tc>
              <w:tc>
                <w:tcPr>
                  <w:tcW w:w="2088" w:type="dxa"/>
                  <w:tcBorders>
                    <w:top w:val="single" w:color="auto" w:sz="4" w:space="0"/>
                  </w:tcBorders>
                  <w:vAlign w:val="center"/>
                </w:tcPr>
                <w:p w14:paraId="4C616427">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rPr>
                    <w:t>DSA机房内护士</w:t>
                  </w:r>
                </w:p>
              </w:tc>
              <w:tc>
                <w:tcPr>
                  <w:tcW w:w="678" w:type="dxa"/>
                  <w:tcBorders>
                    <w:top w:val="single" w:color="auto" w:sz="4" w:space="0"/>
                    <w:bottom w:val="single" w:color="auto" w:sz="4" w:space="0"/>
                  </w:tcBorders>
                  <w:vAlign w:val="center"/>
                </w:tcPr>
                <w:p w14:paraId="0764D34D">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tcBorders>
                    <w:top w:val="single" w:color="auto" w:sz="4" w:space="0"/>
                    <w:bottom w:val="single" w:color="auto" w:sz="4" w:space="0"/>
                  </w:tcBorders>
                  <w:vAlign w:val="center"/>
                </w:tcPr>
                <w:p w14:paraId="61C5A18C">
                  <w:pPr>
                    <w:widowControl/>
                    <w:jc w:val="center"/>
                    <w:textAlignment w:val="center"/>
                    <w:rPr>
                      <w:rFonts w:ascii="Times New Roman" w:hAnsi="Times New Roman"/>
                      <w:b/>
                      <w:bCs/>
                      <w:color w:val="000000" w:themeColor="text1"/>
                      <w:szCs w:val="21"/>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tcBorders>
                    <w:top w:val="single" w:color="auto" w:sz="4" w:space="0"/>
                    <w:bottom w:val="single" w:color="auto" w:sz="4" w:space="0"/>
                  </w:tcBorders>
                  <w:vAlign w:val="center"/>
                </w:tcPr>
                <w:p w14:paraId="26794B4A">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 xml:space="preserve">47.105 </w:t>
                  </w:r>
                </w:p>
              </w:tc>
              <w:tc>
                <w:tcPr>
                  <w:tcW w:w="1326" w:type="dxa"/>
                  <w:tcBorders>
                    <w:top w:val="single" w:color="auto" w:sz="4" w:space="0"/>
                    <w:bottom w:val="single" w:color="auto" w:sz="4" w:space="0"/>
                  </w:tcBorders>
                  <w:vAlign w:val="center"/>
                </w:tcPr>
                <w:p w14:paraId="0D2A6491">
                  <w:pPr>
                    <w:pStyle w:val="52"/>
                    <w:rPr>
                      <w:rFonts w:ascii="Times New Roman" w:hAnsi="Times New Roman"/>
                      <w:color w:val="000000" w:themeColor="text1"/>
                      <w:szCs w:val="21"/>
                      <w14:textFill>
                        <w14:solidFill>
                          <w14:schemeClr w14:val="tx1"/>
                        </w14:solidFill>
                      </w14:textFill>
                    </w:rPr>
                  </w:pPr>
                  <w:r>
                    <w:rPr>
                      <w:rFonts w:hint="default"/>
                      <w:lang w:val="en-US" w:eastAsia="zh-CN"/>
                    </w:rPr>
                    <w:t xml:space="preserve">14.911 </w:t>
                  </w:r>
                </w:p>
              </w:tc>
              <w:tc>
                <w:tcPr>
                  <w:tcW w:w="1327" w:type="dxa"/>
                  <w:tcBorders>
                    <w:top w:val="single" w:color="auto" w:sz="4" w:space="0"/>
                    <w:bottom w:val="single" w:color="auto" w:sz="4" w:space="0"/>
                  </w:tcBorders>
                  <w:vAlign w:val="center"/>
                </w:tcPr>
                <w:p w14:paraId="3BCCD79D">
                  <w:pPr>
                    <w:pStyle w:val="52"/>
                  </w:pPr>
                  <w:r>
                    <w:rPr>
                      <w:rFonts w:hint="default"/>
                      <w:lang w:val="en-US" w:eastAsia="zh-CN"/>
                    </w:rPr>
                    <w:t xml:space="preserve">62.02 </w:t>
                  </w:r>
                </w:p>
              </w:tc>
            </w:tr>
            <w:tr w14:paraId="3AAB1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925" w:type="dxa"/>
                  <w:vMerge w:val="restart"/>
                  <w:tcBorders>
                    <w:top w:val="single" w:color="auto" w:sz="4" w:space="0"/>
                  </w:tcBorders>
                  <w:vAlign w:val="center"/>
                </w:tcPr>
                <w:p w14:paraId="2906801D">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DSA机房周围</w:t>
                  </w:r>
                </w:p>
              </w:tc>
              <w:tc>
                <w:tcPr>
                  <w:tcW w:w="2088" w:type="dxa"/>
                  <w:vMerge w:val="restart"/>
                  <w:tcBorders>
                    <w:top w:val="single" w:color="auto" w:sz="4" w:space="0"/>
                  </w:tcBorders>
                  <w:vAlign w:val="center"/>
                </w:tcPr>
                <w:p w14:paraId="1BE1A7D4">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rPr>
                    <w:t>北侧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污物暂存</w:t>
                  </w:r>
                  <w:r>
                    <w:rPr>
                      <w:rFonts w:hint="default" w:ascii="Times New Roman" w:hAnsi="Times New Roman" w:eastAsia="宋体" w:cs="Times New Roman"/>
                      <w:szCs w:val="21"/>
                    </w:rPr>
                    <w:t>）</w:t>
                  </w:r>
                </w:p>
              </w:tc>
              <w:tc>
                <w:tcPr>
                  <w:tcW w:w="678" w:type="dxa"/>
                  <w:tcBorders>
                    <w:top w:val="single" w:color="auto" w:sz="4" w:space="0"/>
                  </w:tcBorders>
                  <w:vAlign w:val="center"/>
                </w:tcPr>
                <w:p w14:paraId="35C6F9BD">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tcBorders>
                    <w:top w:val="single" w:color="auto" w:sz="4" w:space="0"/>
                  </w:tcBorders>
                  <w:vAlign w:val="center"/>
                </w:tcPr>
                <w:p w14:paraId="23B07186">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tcBorders>
                    <w:top w:val="single" w:color="auto" w:sz="4" w:space="0"/>
                  </w:tcBorders>
                  <w:vAlign w:val="center"/>
                </w:tcPr>
                <w:p w14:paraId="028DF010">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7.45E-04</w:t>
                  </w:r>
                </w:p>
              </w:tc>
              <w:tc>
                <w:tcPr>
                  <w:tcW w:w="1326" w:type="dxa"/>
                  <w:tcBorders>
                    <w:top w:val="single" w:color="auto" w:sz="4" w:space="0"/>
                  </w:tcBorders>
                  <w:vAlign w:val="center"/>
                </w:tcPr>
                <w:p w14:paraId="547BBB60">
                  <w:pPr>
                    <w:pStyle w:val="52"/>
                    <w:rPr>
                      <w:rFonts w:ascii="Times New Roman" w:hAnsi="Times New Roman"/>
                      <w:color w:val="000000" w:themeColor="text1"/>
                      <w:szCs w:val="21"/>
                      <w14:textFill>
                        <w14:solidFill>
                          <w14:schemeClr w14:val="tx1"/>
                        </w14:solidFill>
                      </w14:textFill>
                    </w:rPr>
                  </w:pPr>
                  <w:r>
                    <w:rPr>
                      <w:rFonts w:hint="default"/>
                      <w:lang w:val="en-US" w:eastAsia="zh-CN"/>
                    </w:rPr>
                    <w:t>2.36E-04</w:t>
                  </w:r>
                </w:p>
              </w:tc>
              <w:tc>
                <w:tcPr>
                  <w:tcW w:w="1327" w:type="dxa"/>
                  <w:tcBorders>
                    <w:top w:val="single" w:color="auto" w:sz="4" w:space="0"/>
                  </w:tcBorders>
                  <w:vAlign w:val="center"/>
                </w:tcPr>
                <w:p w14:paraId="0D527C4D">
                  <w:pPr>
                    <w:pStyle w:val="52"/>
                  </w:pPr>
                  <w:r>
                    <w:rPr>
                      <w:rFonts w:hint="default"/>
                      <w:lang w:val="en-US" w:eastAsia="zh-CN"/>
                    </w:rPr>
                    <w:t>9.81E-04</w:t>
                  </w:r>
                </w:p>
              </w:tc>
            </w:tr>
            <w:tr w14:paraId="4BAE55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70C6F814">
                  <w:pPr>
                    <w:jc w:val="center"/>
                    <w:rPr>
                      <w:rFonts w:ascii="Times New Roman" w:hAnsi="Times New Roman"/>
                      <w:color w:val="000000" w:themeColor="text1"/>
                      <w:szCs w:val="21"/>
                      <w14:textFill>
                        <w14:solidFill>
                          <w14:schemeClr w14:val="tx1"/>
                        </w14:solidFill>
                      </w14:textFill>
                    </w:rPr>
                  </w:pPr>
                </w:p>
              </w:tc>
              <w:tc>
                <w:tcPr>
                  <w:tcW w:w="2088" w:type="dxa"/>
                  <w:vMerge w:val="continue"/>
                  <w:vAlign w:val="center"/>
                </w:tcPr>
                <w:p w14:paraId="5D66C95C">
                  <w:pPr>
                    <w:jc w:val="center"/>
                    <w:rPr>
                      <w:rFonts w:ascii="Times New Roman" w:hAnsi="Times New Roman"/>
                      <w:color w:val="000000" w:themeColor="text1"/>
                      <w:szCs w:val="21"/>
                      <w14:textFill>
                        <w14:solidFill>
                          <w14:schemeClr w14:val="tx1"/>
                        </w14:solidFill>
                      </w14:textFill>
                    </w:rPr>
                  </w:pPr>
                </w:p>
              </w:tc>
              <w:tc>
                <w:tcPr>
                  <w:tcW w:w="678" w:type="dxa"/>
                  <w:vAlign w:val="center"/>
                </w:tcPr>
                <w:p w14:paraId="3323F0C0">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84" w:type="dxa"/>
                  <w:vAlign w:val="center"/>
                </w:tcPr>
                <w:p w14:paraId="64E85B53">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2446D039">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1.07E-01</w:t>
                  </w:r>
                </w:p>
              </w:tc>
              <w:tc>
                <w:tcPr>
                  <w:tcW w:w="1326" w:type="dxa"/>
                  <w:vAlign w:val="center"/>
                </w:tcPr>
                <w:p w14:paraId="4D957E0C">
                  <w:pPr>
                    <w:pStyle w:val="52"/>
                    <w:rPr>
                      <w:rFonts w:ascii="Times New Roman" w:hAnsi="Times New Roman"/>
                      <w:color w:val="000000" w:themeColor="text1"/>
                      <w:szCs w:val="21"/>
                      <w14:textFill>
                        <w14:solidFill>
                          <w14:schemeClr w14:val="tx1"/>
                        </w14:solidFill>
                      </w14:textFill>
                    </w:rPr>
                  </w:pPr>
                  <w:r>
                    <w:rPr>
                      <w:rFonts w:hint="default"/>
                      <w:lang w:val="en-US" w:eastAsia="zh-CN"/>
                    </w:rPr>
                    <w:t>1.23E-03</w:t>
                  </w:r>
                </w:p>
              </w:tc>
              <w:tc>
                <w:tcPr>
                  <w:tcW w:w="1327" w:type="dxa"/>
                  <w:vAlign w:val="center"/>
                </w:tcPr>
                <w:p w14:paraId="6DB9584B">
                  <w:pPr>
                    <w:pStyle w:val="52"/>
                  </w:pPr>
                  <w:r>
                    <w:rPr>
                      <w:rFonts w:hint="default"/>
                      <w:lang w:val="en-US" w:eastAsia="zh-CN"/>
                    </w:rPr>
                    <w:t>1.08E-01</w:t>
                  </w:r>
                </w:p>
              </w:tc>
            </w:tr>
            <w:tr w14:paraId="1707B4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207B1871">
                  <w:pPr>
                    <w:jc w:val="center"/>
                    <w:rPr>
                      <w:rFonts w:ascii="Times New Roman" w:hAnsi="Times New Roman"/>
                      <w:color w:val="000000" w:themeColor="text1"/>
                      <w:szCs w:val="21"/>
                      <w14:textFill>
                        <w14:solidFill>
                          <w14:schemeClr w14:val="tx1"/>
                        </w14:solidFill>
                      </w14:textFill>
                    </w:rPr>
                  </w:pPr>
                </w:p>
              </w:tc>
              <w:tc>
                <w:tcPr>
                  <w:tcW w:w="2088" w:type="dxa"/>
                  <w:vMerge w:val="restart"/>
                  <w:vAlign w:val="center"/>
                </w:tcPr>
                <w:p w14:paraId="0DCE2E2A">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s="Times New Roman"/>
                      <w:szCs w:val="21"/>
                      <w:lang w:val="en-US" w:eastAsia="zh-CN"/>
                    </w:rPr>
                    <w:t>北侧墙体</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设备间</w:t>
                  </w:r>
                  <w:r>
                    <w:rPr>
                      <w:rFonts w:hint="default" w:ascii="Times New Roman" w:hAnsi="Times New Roman" w:eastAsia="宋体" w:cs="Times New Roman"/>
                      <w:szCs w:val="21"/>
                    </w:rPr>
                    <w:t>）</w:t>
                  </w:r>
                </w:p>
              </w:tc>
              <w:tc>
                <w:tcPr>
                  <w:tcW w:w="678" w:type="dxa"/>
                  <w:vAlign w:val="center"/>
                </w:tcPr>
                <w:p w14:paraId="140C1E69">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vAlign w:val="center"/>
                </w:tcPr>
                <w:p w14:paraId="78F9F0EA">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77C66558">
                  <w:pPr>
                    <w:pStyle w:val="52"/>
                    <w:bidi w:val="0"/>
                    <w:rPr>
                      <w:rFonts w:ascii="Times New Roman" w:hAnsi="Times New Roman"/>
                      <w:color w:val="0000FF"/>
                      <w:szCs w:val="21"/>
                    </w:rPr>
                  </w:pPr>
                  <w:r>
                    <w:rPr>
                      <w:rFonts w:hint="default"/>
                      <w:lang w:val="en-US" w:eastAsia="zh-CN"/>
                    </w:rPr>
                    <w:t>2.60E-05</w:t>
                  </w:r>
                </w:p>
              </w:tc>
              <w:tc>
                <w:tcPr>
                  <w:tcW w:w="1326" w:type="dxa"/>
                  <w:vAlign w:val="center"/>
                </w:tcPr>
                <w:p w14:paraId="60A64DDE">
                  <w:pPr>
                    <w:pStyle w:val="52"/>
                    <w:rPr>
                      <w:rFonts w:ascii="Times New Roman" w:hAnsi="Times New Roman"/>
                      <w:color w:val="000000" w:themeColor="text1"/>
                      <w:szCs w:val="21"/>
                      <w14:textFill>
                        <w14:solidFill>
                          <w14:schemeClr w14:val="tx1"/>
                        </w14:solidFill>
                      </w14:textFill>
                    </w:rPr>
                  </w:pPr>
                  <w:r>
                    <w:rPr>
                      <w:rFonts w:hint="default"/>
                      <w:lang w:val="en-US" w:eastAsia="zh-CN"/>
                    </w:rPr>
                    <w:t>8.23E-06</w:t>
                  </w:r>
                </w:p>
              </w:tc>
              <w:tc>
                <w:tcPr>
                  <w:tcW w:w="1327" w:type="dxa"/>
                  <w:vAlign w:val="center"/>
                </w:tcPr>
                <w:p w14:paraId="3C3150CA">
                  <w:pPr>
                    <w:pStyle w:val="52"/>
                  </w:pPr>
                  <w:r>
                    <w:rPr>
                      <w:rFonts w:hint="default"/>
                      <w:lang w:val="en-US" w:eastAsia="zh-CN"/>
                    </w:rPr>
                    <w:t>3.42E-05</w:t>
                  </w:r>
                </w:p>
              </w:tc>
            </w:tr>
            <w:tr w14:paraId="680637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3D8057D7">
                  <w:pPr>
                    <w:jc w:val="center"/>
                    <w:rPr>
                      <w:rFonts w:ascii="Times New Roman" w:hAnsi="Times New Roman"/>
                      <w:color w:val="000000" w:themeColor="text1"/>
                      <w:szCs w:val="21"/>
                      <w14:textFill>
                        <w14:solidFill>
                          <w14:schemeClr w14:val="tx1"/>
                        </w14:solidFill>
                      </w14:textFill>
                    </w:rPr>
                  </w:pPr>
                </w:p>
              </w:tc>
              <w:tc>
                <w:tcPr>
                  <w:tcW w:w="2088" w:type="dxa"/>
                  <w:vMerge w:val="continue"/>
                  <w:vAlign w:val="center"/>
                </w:tcPr>
                <w:p w14:paraId="371D3F30">
                  <w:pPr>
                    <w:jc w:val="center"/>
                    <w:rPr>
                      <w:rFonts w:ascii="Times New Roman" w:hAnsi="Times New Roman"/>
                      <w:color w:val="000000" w:themeColor="text1"/>
                      <w:szCs w:val="21"/>
                      <w14:textFill>
                        <w14:solidFill>
                          <w14:schemeClr w14:val="tx1"/>
                        </w14:solidFill>
                      </w14:textFill>
                    </w:rPr>
                  </w:pPr>
                </w:p>
              </w:tc>
              <w:tc>
                <w:tcPr>
                  <w:tcW w:w="678" w:type="dxa"/>
                  <w:vAlign w:val="center"/>
                </w:tcPr>
                <w:p w14:paraId="0722237B">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84" w:type="dxa"/>
                  <w:vAlign w:val="center"/>
                </w:tcPr>
                <w:p w14:paraId="78D186F2">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24A87976">
                  <w:pPr>
                    <w:pStyle w:val="52"/>
                    <w:bidi w:val="0"/>
                    <w:rPr>
                      <w:rFonts w:ascii="Times New Roman" w:hAnsi="Times New Roman"/>
                      <w:color w:val="0000FF"/>
                      <w:szCs w:val="21"/>
                    </w:rPr>
                  </w:pPr>
                  <w:r>
                    <w:rPr>
                      <w:rFonts w:hint="default"/>
                      <w:lang w:val="en-US" w:eastAsia="zh-CN"/>
                    </w:rPr>
                    <w:t>7.06E-03</w:t>
                  </w:r>
                </w:p>
              </w:tc>
              <w:tc>
                <w:tcPr>
                  <w:tcW w:w="1326" w:type="dxa"/>
                  <w:vAlign w:val="center"/>
                </w:tcPr>
                <w:p w14:paraId="7500F389">
                  <w:pPr>
                    <w:pStyle w:val="52"/>
                    <w:rPr>
                      <w:rFonts w:ascii="Times New Roman" w:hAnsi="Times New Roman"/>
                      <w:color w:val="000000" w:themeColor="text1"/>
                      <w:szCs w:val="21"/>
                      <w14:textFill>
                        <w14:solidFill>
                          <w14:schemeClr w14:val="tx1"/>
                        </w14:solidFill>
                      </w14:textFill>
                    </w:rPr>
                  </w:pPr>
                  <w:r>
                    <w:rPr>
                      <w:rFonts w:hint="default"/>
                      <w:lang w:val="en-US" w:eastAsia="zh-CN"/>
                    </w:rPr>
                    <w:t>8.20E-05</w:t>
                  </w:r>
                </w:p>
              </w:tc>
              <w:tc>
                <w:tcPr>
                  <w:tcW w:w="1327" w:type="dxa"/>
                  <w:vAlign w:val="center"/>
                </w:tcPr>
                <w:p w14:paraId="7C8C1CFF">
                  <w:pPr>
                    <w:pStyle w:val="52"/>
                  </w:pPr>
                  <w:r>
                    <w:rPr>
                      <w:rFonts w:hint="default"/>
                      <w:lang w:val="en-US" w:eastAsia="zh-CN"/>
                    </w:rPr>
                    <w:t>7.14E-03</w:t>
                  </w:r>
                </w:p>
              </w:tc>
            </w:tr>
            <w:tr w14:paraId="730E5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0311DEEF">
                  <w:pPr>
                    <w:jc w:val="center"/>
                    <w:rPr>
                      <w:rFonts w:ascii="Times New Roman" w:hAnsi="Times New Roman"/>
                      <w:color w:val="000000" w:themeColor="text1"/>
                      <w:szCs w:val="21"/>
                      <w14:textFill>
                        <w14:solidFill>
                          <w14:schemeClr w14:val="tx1"/>
                        </w14:solidFill>
                      </w14:textFill>
                    </w:rPr>
                  </w:pPr>
                </w:p>
              </w:tc>
              <w:tc>
                <w:tcPr>
                  <w:tcW w:w="2088" w:type="dxa"/>
                  <w:vMerge w:val="restart"/>
                  <w:vAlign w:val="center"/>
                </w:tcPr>
                <w:p w14:paraId="69C129A6">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s="Times New Roman"/>
                      <w:szCs w:val="21"/>
                      <w:lang w:val="en-US" w:eastAsia="zh-CN"/>
                    </w:rPr>
                    <w:t>西</w:t>
                  </w:r>
                  <w:r>
                    <w:rPr>
                      <w:rFonts w:hint="default" w:ascii="Times New Roman" w:hAnsi="Times New Roman" w:eastAsia="宋体" w:cs="Times New Roman"/>
                      <w:szCs w:val="21"/>
                    </w:rPr>
                    <w:t>北侧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病人准备</w:t>
                  </w:r>
                  <w:r>
                    <w:rPr>
                      <w:rFonts w:hint="default" w:ascii="Times New Roman" w:hAnsi="Times New Roman" w:eastAsia="宋体" w:cs="Times New Roman"/>
                      <w:szCs w:val="21"/>
                    </w:rPr>
                    <w:t>）</w:t>
                  </w:r>
                </w:p>
              </w:tc>
              <w:tc>
                <w:tcPr>
                  <w:tcW w:w="678" w:type="dxa"/>
                  <w:vAlign w:val="center"/>
                </w:tcPr>
                <w:p w14:paraId="2730D082">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vAlign w:val="center"/>
                </w:tcPr>
                <w:p w14:paraId="345BA314">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4886CA40">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7.99E-04</w:t>
                  </w:r>
                </w:p>
              </w:tc>
              <w:tc>
                <w:tcPr>
                  <w:tcW w:w="1326" w:type="dxa"/>
                  <w:vAlign w:val="center"/>
                </w:tcPr>
                <w:p w14:paraId="4DB3ED35">
                  <w:pPr>
                    <w:pStyle w:val="52"/>
                    <w:rPr>
                      <w:rFonts w:ascii="Times New Roman" w:hAnsi="Times New Roman"/>
                      <w:color w:val="000000" w:themeColor="text1"/>
                      <w:szCs w:val="21"/>
                      <w14:textFill>
                        <w14:solidFill>
                          <w14:schemeClr w14:val="tx1"/>
                        </w14:solidFill>
                      </w14:textFill>
                    </w:rPr>
                  </w:pPr>
                  <w:r>
                    <w:rPr>
                      <w:rFonts w:hint="default"/>
                      <w:lang w:val="en-US" w:eastAsia="zh-CN"/>
                    </w:rPr>
                    <w:t>2.53E-04</w:t>
                  </w:r>
                </w:p>
              </w:tc>
              <w:tc>
                <w:tcPr>
                  <w:tcW w:w="1327" w:type="dxa"/>
                  <w:vAlign w:val="center"/>
                </w:tcPr>
                <w:p w14:paraId="5CDC54C9">
                  <w:pPr>
                    <w:pStyle w:val="52"/>
                  </w:pPr>
                  <w:r>
                    <w:rPr>
                      <w:rFonts w:hint="default"/>
                      <w:lang w:val="en-US" w:eastAsia="zh-CN"/>
                    </w:rPr>
                    <w:t>1.05E-03</w:t>
                  </w:r>
                </w:p>
              </w:tc>
            </w:tr>
            <w:tr w14:paraId="0B5335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489255C3">
                  <w:pPr>
                    <w:jc w:val="center"/>
                    <w:rPr>
                      <w:rFonts w:ascii="Times New Roman" w:hAnsi="Times New Roman"/>
                      <w:color w:val="000000" w:themeColor="text1"/>
                      <w:szCs w:val="21"/>
                      <w14:textFill>
                        <w14:solidFill>
                          <w14:schemeClr w14:val="tx1"/>
                        </w14:solidFill>
                      </w14:textFill>
                    </w:rPr>
                  </w:pPr>
                </w:p>
              </w:tc>
              <w:tc>
                <w:tcPr>
                  <w:tcW w:w="2088" w:type="dxa"/>
                  <w:vMerge w:val="continue"/>
                  <w:vAlign w:val="center"/>
                </w:tcPr>
                <w:p w14:paraId="4142FDEA">
                  <w:pPr>
                    <w:jc w:val="center"/>
                    <w:rPr>
                      <w:rFonts w:ascii="Times New Roman" w:hAnsi="Times New Roman"/>
                      <w:color w:val="000000" w:themeColor="text1"/>
                      <w:szCs w:val="21"/>
                      <w14:textFill>
                        <w14:solidFill>
                          <w14:schemeClr w14:val="tx1"/>
                        </w14:solidFill>
                      </w14:textFill>
                    </w:rPr>
                  </w:pPr>
                </w:p>
              </w:tc>
              <w:tc>
                <w:tcPr>
                  <w:tcW w:w="678" w:type="dxa"/>
                  <w:vAlign w:val="center"/>
                </w:tcPr>
                <w:p w14:paraId="196628D4">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84" w:type="dxa"/>
                  <w:vAlign w:val="center"/>
                </w:tcPr>
                <w:p w14:paraId="011478ED">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7A829352">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1.14E-01</w:t>
                  </w:r>
                </w:p>
              </w:tc>
              <w:tc>
                <w:tcPr>
                  <w:tcW w:w="1326" w:type="dxa"/>
                  <w:vAlign w:val="center"/>
                </w:tcPr>
                <w:p w14:paraId="50E26112">
                  <w:pPr>
                    <w:pStyle w:val="52"/>
                    <w:rPr>
                      <w:rFonts w:ascii="Times New Roman" w:hAnsi="Times New Roman"/>
                      <w:color w:val="000000" w:themeColor="text1"/>
                      <w:szCs w:val="21"/>
                      <w14:textFill>
                        <w14:solidFill>
                          <w14:schemeClr w14:val="tx1"/>
                        </w14:solidFill>
                      </w14:textFill>
                    </w:rPr>
                  </w:pPr>
                  <w:r>
                    <w:rPr>
                      <w:rFonts w:hint="default"/>
                      <w:lang w:val="en-US" w:eastAsia="zh-CN"/>
                    </w:rPr>
                    <w:t>1.32E-03</w:t>
                  </w:r>
                </w:p>
              </w:tc>
              <w:tc>
                <w:tcPr>
                  <w:tcW w:w="1327" w:type="dxa"/>
                  <w:vAlign w:val="center"/>
                </w:tcPr>
                <w:p w14:paraId="226DA818">
                  <w:pPr>
                    <w:pStyle w:val="52"/>
                  </w:pPr>
                  <w:r>
                    <w:rPr>
                      <w:rFonts w:hint="default"/>
                      <w:lang w:val="en-US" w:eastAsia="zh-CN"/>
                    </w:rPr>
                    <w:t>1.15E-01</w:t>
                  </w:r>
                </w:p>
              </w:tc>
            </w:tr>
            <w:tr w14:paraId="1B0F60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268ED45B">
                  <w:pPr>
                    <w:jc w:val="center"/>
                    <w:rPr>
                      <w:rFonts w:ascii="Times New Roman" w:hAnsi="Times New Roman"/>
                      <w:color w:val="000000" w:themeColor="text1"/>
                      <w:szCs w:val="21"/>
                      <w14:textFill>
                        <w14:solidFill>
                          <w14:schemeClr w14:val="tx1"/>
                        </w14:solidFill>
                      </w14:textFill>
                    </w:rPr>
                  </w:pPr>
                </w:p>
              </w:tc>
              <w:tc>
                <w:tcPr>
                  <w:tcW w:w="2088" w:type="dxa"/>
                  <w:vMerge w:val="restart"/>
                  <w:vAlign w:val="center"/>
                </w:tcPr>
                <w:p w14:paraId="09CC5099">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s="Times New Roman"/>
                      <w:szCs w:val="21"/>
                      <w:lang w:val="en-US" w:eastAsia="zh-CN"/>
                    </w:rPr>
                    <w:t>西</w:t>
                  </w:r>
                  <w:r>
                    <w:rPr>
                      <w:rFonts w:hint="default" w:ascii="Times New Roman" w:hAnsi="Times New Roman" w:eastAsia="宋体" w:cs="Times New Roman"/>
                      <w:szCs w:val="21"/>
                    </w:rPr>
                    <w:t>侧墙体外30cm处30cm处（</w:t>
                  </w:r>
                  <w:r>
                    <w:rPr>
                      <w:rFonts w:hint="eastAsia" w:ascii="Times New Roman" w:hAnsi="Times New Roman" w:cs="Times New Roman"/>
                      <w:szCs w:val="21"/>
                      <w:lang w:val="en-US" w:eastAsia="zh-CN"/>
                    </w:rPr>
                    <w:t>通道</w:t>
                  </w:r>
                  <w:r>
                    <w:rPr>
                      <w:rFonts w:hint="default" w:ascii="Times New Roman" w:hAnsi="Times New Roman" w:eastAsia="宋体" w:cs="Times New Roman"/>
                      <w:szCs w:val="21"/>
                    </w:rPr>
                    <w:t>）</w:t>
                  </w:r>
                </w:p>
              </w:tc>
              <w:tc>
                <w:tcPr>
                  <w:tcW w:w="678" w:type="dxa"/>
                  <w:vAlign w:val="center"/>
                </w:tcPr>
                <w:p w14:paraId="53FD2B25">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vAlign w:val="center"/>
                </w:tcPr>
                <w:p w14:paraId="4593A71B">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22F4242A">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3.74E-05</w:t>
                  </w:r>
                </w:p>
              </w:tc>
              <w:tc>
                <w:tcPr>
                  <w:tcW w:w="1326" w:type="dxa"/>
                  <w:vAlign w:val="center"/>
                </w:tcPr>
                <w:p w14:paraId="7CA4398D">
                  <w:pPr>
                    <w:pStyle w:val="52"/>
                    <w:rPr>
                      <w:rFonts w:ascii="Times New Roman" w:hAnsi="Times New Roman"/>
                      <w:color w:val="000000" w:themeColor="text1"/>
                      <w:szCs w:val="21"/>
                      <w14:textFill>
                        <w14:solidFill>
                          <w14:schemeClr w14:val="tx1"/>
                        </w14:solidFill>
                      </w14:textFill>
                    </w:rPr>
                  </w:pPr>
                  <w:r>
                    <w:rPr>
                      <w:rFonts w:hint="default"/>
                      <w:lang w:val="en-US" w:eastAsia="zh-CN"/>
                    </w:rPr>
                    <w:t>1.19E-05</w:t>
                  </w:r>
                </w:p>
              </w:tc>
              <w:tc>
                <w:tcPr>
                  <w:tcW w:w="1327" w:type="dxa"/>
                  <w:vAlign w:val="center"/>
                </w:tcPr>
                <w:p w14:paraId="7B2B3387">
                  <w:pPr>
                    <w:pStyle w:val="52"/>
                  </w:pPr>
                  <w:r>
                    <w:rPr>
                      <w:rFonts w:hint="default"/>
                      <w:lang w:val="en-US" w:eastAsia="zh-CN"/>
                    </w:rPr>
                    <w:t>4.93E-05</w:t>
                  </w:r>
                </w:p>
              </w:tc>
            </w:tr>
            <w:tr w14:paraId="750F19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578634FC">
                  <w:pPr>
                    <w:jc w:val="center"/>
                    <w:rPr>
                      <w:rFonts w:ascii="Times New Roman" w:hAnsi="Times New Roman"/>
                      <w:color w:val="000000" w:themeColor="text1"/>
                      <w:szCs w:val="21"/>
                      <w14:textFill>
                        <w14:solidFill>
                          <w14:schemeClr w14:val="tx1"/>
                        </w14:solidFill>
                      </w14:textFill>
                    </w:rPr>
                  </w:pPr>
                </w:p>
              </w:tc>
              <w:tc>
                <w:tcPr>
                  <w:tcW w:w="2088" w:type="dxa"/>
                  <w:vMerge w:val="continue"/>
                  <w:vAlign w:val="center"/>
                </w:tcPr>
                <w:p w14:paraId="78DD3C02">
                  <w:pPr>
                    <w:jc w:val="center"/>
                    <w:rPr>
                      <w:rFonts w:ascii="Times New Roman" w:hAnsi="Times New Roman"/>
                      <w:color w:val="000000" w:themeColor="text1"/>
                      <w:szCs w:val="21"/>
                      <w14:textFill>
                        <w14:solidFill>
                          <w14:schemeClr w14:val="tx1"/>
                        </w14:solidFill>
                      </w14:textFill>
                    </w:rPr>
                  </w:pPr>
                </w:p>
              </w:tc>
              <w:tc>
                <w:tcPr>
                  <w:tcW w:w="678" w:type="dxa"/>
                  <w:vAlign w:val="center"/>
                </w:tcPr>
                <w:p w14:paraId="09D91284">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84" w:type="dxa"/>
                  <w:vAlign w:val="center"/>
                </w:tcPr>
                <w:p w14:paraId="1FA89FFB">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4E8215B1">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1.02E-02</w:t>
                  </w:r>
                </w:p>
              </w:tc>
              <w:tc>
                <w:tcPr>
                  <w:tcW w:w="1326" w:type="dxa"/>
                  <w:vAlign w:val="center"/>
                </w:tcPr>
                <w:p w14:paraId="2CFAEE51">
                  <w:pPr>
                    <w:pStyle w:val="52"/>
                    <w:rPr>
                      <w:rFonts w:ascii="Times New Roman" w:hAnsi="Times New Roman"/>
                      <w:color w:val="000000" w:themeColor="text1"/>
                      <w:szCs w:val="21"/>
                      <w14:textFill>
                        <w14:solidFill>
                          <w14:schemeClr w14:val="tx1"/>
                        </w14:solidFill>
                      </w14:textFill>
                    </w:rPr>
                  </w:pPr>
                  <w:r>
                    <w:rPr>
                      <w:rFonts w:hint="default"/>
                      <w:lang w:val="en-US" w:eastAsia="zh-CN"/>
                    </w:rPr>
                    <w:t>1.18E-04</w:t>
                  </w:r>
                </w:p>
              </w:tc>
              <w:tc>
                <w:tcPr>
                  <w:tcW w:w="1327" w:type="dxa"/>
                  <w:vAlign w:val="center"/>
                </w:tcPr>
                <w:p w14:paraId="100AD848">
                  <w:pPr>
                    <w:pStyle w:val="52"/>
                  </w:pPr>
                  <w:r>
                    <w:rPr>
                      <w:rFonts w:hint="default"/>
                      <w:lang w:val="en-US" w:eastAsia="zh-CN"/>
                    </w:rPr>
                    <w:t>1.03E-02</w:t>
                  </w:r>
                </w:p>
              </w:tc>
            </w:tr>
            <w:tr w14:paraId="0A6B16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372594CB">
                  <w:pPr>
                    <w:jc w:val="center"/>
                    <w:rPr>
                      <w:rFonts w:ascii="Times New Roman" w:hAnsi="Times New Roman"/>
                      <w:color w:val="000000" w:themeColor="text1"/>
                      <w:szCs w:val="21"/>
                      <w14:textFill>
                        <w14:solidFill>
                          <w14:schemeClr w14:val="tx1"/>
                        </w14:solidFill>
                      </w14:textFill>
                    </w:rPr>
                  </w:pPr>
                </w:p>
              </w:tc>
              <w:tc>
                <w:tcPr>
                  <w:tcW w:w="2088" w:type="dxa"/>
                  <w:vMerge w:val="restart"/>
                  <w:vAlign w:val="center"/>
                </w:tcPr>
                <w:p w14:paraId="1DCB9792">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lang w:val="en-US" w:eastAsia="zh-CN"/>
                    </w:rPr>
                    <w:t>南</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窗</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控制室</w:t>
                  </w:r>
                  <w:r>
                    <w:rPr>
                      <w:rFonts w:hint="default" w:ascii="Times New Roman" w:hAnsi="Times New Roman" w:eastAsia="宋体" w:cs="Times New Roman"/>
                      <w:szCs w:val="21"/>
                    </w:rPr>
                    <w:t>）</w:t>
                  </w:r>
                </w:p>
              </w:tc>
              <w:tc>
                <w:tcPr>
                  <w:tcW w:w="678" w:type="dxa"/>
                  <w:vAlign w:val="center"/>
                </w:tcPr>
                <w:p w14:paraId="082F0D27">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vAlign w:val="center"/>
                </w:tcPr>
                <w:p w14:paraId="4D82A641">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0793B19F">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5.75E-04</w:t>
                  </w:r>
                </w:p>
              </w:tc>
              <w:tc>
                <w:tcPr>
                  <w:tcW w:w="1326" w:type="dxa"/>
                  <w:vAlign w:val="center"/>
                </w:tcPr>
                <w:p w14:paraId="6A95CDB9">
                  <w:pPr>
                    <w:pStyle w:val="52"/>
                    <w:rPr>
                      <w:rFonts w:ascii="Times New Roman" w:hAnsi="Times New Roman"/>
                      <w:color w:val="000000" w:themeColor="text1"/>
                      <w:szCs w:val="21"/>
                      <w14:textFill>
                        <w14:solidFill>
                          <w14:schemeClr w14:val="tx1"/>
                        </w14:solidFill>
                      </w14:textFill>
                    </w:rPr>
                  </w:pPr>
                  <w:r>
                    <w:rPr>
                      <w:rFonts w:hint="default"/>
                      <w:lang w:val="en-US" w:eastAsia="zh-CN"/>
                    </w:rPr>
                    <w:t>1.82E-04</w:t>
                  </w:r>
                </w:p>
              </w:tc>
              <w:tc>
                <w:tcPr>
                  <w:tcW w:w="1327" w:type="dxa"/>
                  <w:vAlign w:val="center"/>
                </w:tcPr>
                <w:p w14:paraId="5A8E4525">
                  <w:pPr>
                    <w:pStyle w:val="52"/>
                  </w:pPr>
                  <w:r>
                    <w:rPr>
                      <w:rFonts w:hint="default"/>
                      <w:lang w:val="en-US" w:eastAsia="zh-CN"/>
                    </w:rPr>
                    <w:t>7.57E-04</w:t>
                  </w:r>
                </w:p>
              </w:tc>
            </w:tr>
            <w:tr w14:paraId="22A863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55835A3B">
                  <w:pPr>
                    <w:jc w:val="center"/>
                    <w:rPr>
                      <w:rFonts w:ascii="Times New Roman" w:hAnsi="Times New Roman"/>
                      <w:color w:val="000000" w:themeColor="text1"/>
                      <w:szCs w:val="21"/>
                      <w14:textFill>
                        <w14:solidFill>
                          <w14:schemeClr w14:val="tx1"/>
                        </w14:solidFill>
                      </w14:textFill>
                    </w:rPr>
                  </w:pPr>
                </w:p>
              </w:tc>
              <w:tc>
                <w:tcPr>
                  <w:tcW w:w="2088" w:type="dxa"/>
                  <w:vMerge w:val="continue"/>
                  <w:vAlign w:val="center"/>
                </w:tcPr>
                <w:p w14:paraId="64AAF917">
                  <w:pPr>
                    <w:jc w:val="center"/>
                    <w:rPr>
                      <w:rFonts w:ascii="Times New Roman" w:hAnsi="Times New Roman"/>
                      <w:color w:val="000000" w:themeColor="text1"/>
                      <w:szCs w:val="21"/>
                      <w14:textFill>
                        <w14:solidFill>
                          <w14:schemeClr w14:val="tx1"/>
                        </w14:solidFill>
                      </w14:textFill>
                    </w:rPr>
                  </w:pPr>
                </w:p>
              </w:tc>
              <w:tc>
                <w:tcPr>
                  <w:tcW w:w="678" w:type="dxa"/>
                  <w:vAlign w:val="center"/>
                </w:tcPr>
                <w:p w14:paraId="0FBD1DAD">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84" w:type="dxa"/>
                  <w:vAlign w:val="center"/>
                </w:tcPr>
                <w:p w14:paraId="57EA02BA">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0E9E275B">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8.24E-02</w:t>
                  </w:r>
                </w:p>
              </w:tc>
              <w:tc>
                <w:tcPr>
                  <w:tcW w:w="1326" w:type="dxa"/>
                  <w:vAlign w:val="center"/>
                </w:tcPr>
                <w:p w14:paraId="18555F64">
                  <w:pPr>
                    <w:pStyle w:val="52"/>
                    <w:rPr>
                      <w:rFonts w:ascii="Times New Roman" w:hAnsi="Times New Roman"/>
                      <w:color w:val="000000" w:themeColor="text1"/>
                      <w:szCs w:val="21"/>
                      <w14:textFill>
                        <w14:solidFill>
                          <w14:schemeClr w14:val="tx1"/>
                        </w14:solidFill>
                      </w14:textFill>
                    </w:rPr>
                  </w:pPr>
                  <w:r>
                    <w:rPr>
                      <w:rFonts w:hint="default"/>
                      <w:lang w:val="en-US" w:eastAsia="zh-CN"/>
                    </w:rPr>
                    <w:t>9.50E-04</w:t>
                  </w:r>
                </w:p>
              </w:tc>
              <w:tc>
                <w:tcPr>
                  <w:tcW w:w="1327" w:type="dxa"/>
                  <w:vAlign w:val="center"/>
                </w:tcPr>
                <w:p w14:paraId="5A571642">
                  <w:pPr>
                    <w:pStyle w:val="52"/>
                  </w:pPr>
                  <w:r>
                    <w:rPr>
                      <w:rFonts w:hint="default"/>
                      <w:lang w:val="en-US" w:eastAsia="zh-CN"/>
                    </w:rPr>
                    <w:t>8.34E-02</w:t>
                  </w:r>
                </w:p>
              </w:tc>
            </w:tr>
            <w:tr w14:paraId="42DC0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27479B56">
                  <w:pPr>
                    <w:jc w:val="center"/>
                    <w:rPr>
                      <w:rFonts w:ascii="Times New Roman" w:hAnsi="Times New Roman"/>
                      <w:color w:val="000000" w:themeColor="text1"/>
                      <w:szCs w:val="21"/>
                      <w14:textFill>
                        <w14:solidFill>
                          <w14:schemeClr w14:val="tx1"/>
                        </w14:solidFill>
                      </w14:textFill>
                    </w:rPr>
                  </w:pPr>
                </w:p>
              </w:tc>
              <w:tc>
                <w:tcPr>
                  <w:tcW w:w="2088" w:type="dxa"/>
                  <w:vMerge w:val="restart"/>
                  <w:vAlign w:val="center"/>
                </w:tcPr>
                <w:p w14:paraId="6FE2C040">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lang w:val="en-US" w:eastAsia="zh-CN"/>
                    </w:rPr>
                    <w:t>东</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墙体</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室外通道</w:t>
                  </w:r>
                  <w:r>
                    <w:rPr>
                      <w:rFonts w:hint="default" w:ascii="Times New Roman" w:hAnsi="Times New Roman" w:eastAsia="宋体" w:cs="Times New Roman"/>
                      <w:szCs w:val="21"/>
                    </w:rPr>
                    <w:t>）</w:t>
                  </w:r>
                </w:p>
              </w:tc>
              <w:tc>
                <w:tcPr>
                  <w:tcW w:w="678" w:type="dxa"/>
                  <w:vAlign w:val="center"/>
                </w:tcPr>
                <w:p w14:paraId="566DFBD8">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vAlign w:val="center"/>
                </w:tcPr>
                <w:p w14:paraId="779C69AA">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194A5B57">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5.42E-04</w:t>
                  </w:r>
                </w:p>
              </w:tc>
              <w:tc>
                <w:tcPr>
                  <w:tcW w:w="1326" w:type="dxa"/>
                  <w:vAlign w:val="center"/>
                </w:tcPr>
                <w:p w14:paraId="29F4AF7A">
                  <w:pPr>
                    <w:pStyle w:val="52"/>
                    <w:rPr>
                      <w:rFonts w:ascii="Times New Roman" w:hAnsi="Times New Roman"/>
                      <w:color w:val="000000" w:themeColor="text1"/>
                      <w:szCs w:val="21"/>
                      <w14:textFill>
                        <w14:solidFill>
                          <w14:schemeClr w14:val="tx1"/>
                        </w14:solidFill>
                      </w14:textFill>
                    </w:rPr>
                  </w:pPr>
                  <w:r>
                    <w:rPr>
                      <w:rFonts w:hint="default"/>
                      <w:lang w:val="en-US" w:eastAsia="zh-CN"/>
                    </w:rPr>
                    <w:t>1.71E-04</w:t>
                  </w:r>
                </w:p>
              </w:tc>
              <w:tc>
                <w:tcPr>
                  <w:tcW w:w="1327" w:type="dxa"/>
                  <w:vAlign w:val="center"/>
                </w:tcPr>
                <w:p w14:paraId="208FFC5F">
                  <w:pPr>
                    <w:pStyle w:val="52"/>
                  </w:pPr>
                  <w:r>
                    <w:rPr>
                      <w:rFonts w:hint="default"/>
                      <w:lang w:val="en-US" w:eastAsia="zh-CN"/>
                    </w:rPr>
                    <w:t>7.13E-04</w:t>
                  </w:r>
                </w:p>
              </w:tc>
            </w:tr>
            <w:tr w14:paraId="122856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6A7F029D">
                  <w:pPr>
                    <w:jc w:val="center"/>
                    <w:rPr>
                      <w:rFonts w:ascii="Times New Roman" w:hAnsi="Times New Roman"/>
                      <w:color w:val="000000" w:themeColor="text1"/>
                      <w:szCs w:val="21"/>
                      <w14:textFill>
                        <w14:solidFill>
                          <w14:schemeClr w14:val="tx1"/>
                        </w14:solidFill>
                      </w14:textFill>
                    </w:rPr>
                  </w:pPr>
                </w:p>
              </w:tc>
              <w:tc>
                <w:tcPr>
                  <w:tcW w:w="2088" w:type="dxa"/>
                  <w:vMerge w:val="continue"/>
                  <w:vAlign w:val="center"/>
                </w:tcPr>
                <w:p w14:paraId="72B444E7">
                  <w:pPr>
                    <w:jc w:val="center"/>
                    <w:rPr>
                      <w:rFonts w:ascii="Times New Roman" w:hAnsi="Times New Roman"/>
                      <w:color w:val="000000" w:themeColor="text1"/>
                      <w:szCs w:val="21"/>
                      <w14:textFill>
                        <w14:solidFill>
                          <w14:schemeClr w14:val="tx1"/>
                        </w14:solidFill>
                      </w14:textFill>
                    </w:rPr>
                  </w:pPr>
                </w:p>
              </w:tc>
              <w:tc>
                <w:tcPr>
                  <w:tcW w:w="678" w:type="dxa"/>
                  <w:vAlign w:val="center"/>
                </w:tcPr>
                <w:p w14:paraId="70E9C5D9">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84" w:type="dxa"/>
                  <w:vAlign w:val="center"/>
                </w:tcPr>
                <w:p w14:paraId="6E900D60">
                  <w:pPr>
                    <w:widowControl/>
                    <w:jc w:val="center"/>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kern w:val="0"/>
                      <w:szCs w:val="21"/>
                      <w:lang w:bidi="ar"/>
                      <w14:textFill>
                        <w14:solidFill>
                          <w14:schemeClr w14:val="tx1"/>
                        </w14:solidFill>
                      </w14:textFill>
                    </w:rPr>
                    <w:t>/</w:t>
                  </w:r>
                </w:p>
              </w:tc>
              <w:tc>
                <w:tcPr>
                  <w:tcW w:w="1225" w:type="dxa"/>
                  <w:vAlign w:val="center"/>
                </w:tcPr>
                <w:p w14:paraId="5603F1C3">
                  <w:pPr>
                    <w:pStyle w:val="52"/>
                    <w:bidi w:val="0"/>
                    <w:rPr>
                      <w:rFonts w:ascii="Times New Roman" w:hAnsi="Times New Roman"/>
                      <w:color w:val="000000" w:themeColor="text1"/>
                      <w:szCs w:val="21"/>
                      <w14:textFill>
                        <w14:solidFill>
                          <w14:schemeClr w14:val="tx1"/>
                        </w14:solidFill>
                      </w14:textFill>
                    </w:rPr>
                  </w:pPr>
                  <w:r>
                    <w:rPr>
                      <w:rFonts w:hint="default"/>
                      <w:lang w:val="en-US" w:eastAsia="zh-CN"/>
                    </w:rPr>
                    <w:t>7.76E-02</w:t>
                  </w:r>
                </w:p>
              </w:tc>
              <w:tc>
                <w:tcPr>
                  <w:tcW w:w="1326" w:type="dxa"/>
                  <w:vAlign w:val="center"/>
                </w:tcPr>
                <w:p w14:paraId="7CC86442">
                  <w:pPr>
                    <w:pStyle w:val="52"/>
                    <w:rPr>
                      <w:rFonts w:ascii="Times New Roman" w:hAnsi="Times New Roman"/>
                      <w:color w:val="000000" w:themeColor="text1"/>
                      <w:szCs w:val="21"/>
                      <w14:textFill>
                        <w14:solidFill>
                          <w14:schemeClr w14:val="tx1"/>
                        </w14:solidFill>
                      </w14:textFill>
                    </w:rPr>
                  </w:pPr>
                  <w:r>
                    <w:rPr>
                      <w:rFonts w:hint="default"/>
                      <w:lang w:val="en-US" w:eastAsia="zh-CN"/>
                    </w:rPr>
                    <w:t>8.95E-04</w:t>
                  </w:r>
                </w:p>
              </w:tc>
              <w:tc>
                <w:tcPr>
                  <w:tcW w:w="1327" w:type="dxa"/>
                  <w:vAlign w:val="center"/>
                </w:tcPr>
                <w:p w14:paraId="6334690C">
                  <w:pPr>
                    <w:pStyle w:val="52"/>
                  </w:pPr>
                  <w:r>
                    <w:rPr>
                      <w:rFonts w:hint="default"/>
                      <w:lang w:val="en-US" w:eastAsia="zh-CN"/>
                    </w:rPr>
                    <w:t>7.85E-02</w:t>
                  </w:r>
                </w:p>
              </w:tc>
            </w:tr>
            <w:tr w14:paraId="486124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restart"/>
                  <w:vAlign w:val="center"/>
                </w:tcPr>
                <w:p w14:paraId="74D92E2F">
                  <w:pPr>
                    <w:jc w:val="center"/>
                    <w:rPr>
                      <w:rFonts w:hint="eastAsia" w:ascii="Times New Roman" w:hAnsi="Times New Roman" w:eastAsia="宋体"/>
                      <w:color w:val="000000" w:themeColor="text1"/>
                      <w:szCs w:val="21"/>
                      <w:lang w:val="en-US"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正上方</w:t>
                  </w:r>
                </w:p>
              </w:tc>
              <w:tc>
                <w:tcPr>
                  <w:tcW w:w="2088" w:type="dxa"/>
                  <w:vMerge w:val="restart"/>
                  <w:vAlign w:val="center"/>
                </w:tcPr>
                <w:p w14:paraId="166929D9">
                  <w:pPr>
                    <w:jc w:val="center"/>
                    <w:rPr>
                      <w:rFonts w:hint="default" w:ascii="Times New Roman" w:hAnsi="Times New Roman" w:eastAsia="宋体"/>
                      <w:color w:val="000000" w:themeColor="text1"/>
                      <w:szCs w:val="21"/>
                      <w:lang w:val="en-US"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发血窗口</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公众</w:t>
                  </w:r>
                  <w:r>
                    <w:rPr>
                      <w:rFonts w:hint="eastAsia" w:ascii="Times New Roman" w:hAnsi="Times New Roman" w:cs="Times New Roman"/>
                      <w:szCs w:val="21"/>
                      <w:lang w:eastAsia="zh-CN"/>
                    </w:rPr>
                    <w:t>）</w:t>
                  </w:r>
                </w:p>
              </w:tc>
              <w:tc>
                <w:tcPr>
                  <w:tcW w:w="678" w:type="dxa"/>
                  <w:vAlign w:val="center"/>
                </w:tcPr>
                <w:p w14:paraId="3D64A7F6">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84" w:type="dxa"/>
                  <w:vAlign w:val="center"/>
                </w:tcPr>
                <w:p w14:paraId="3814D887">
                  <w:pPr>
                    <w:pStyle w:val="52"/>
                    <w:keepNext w:val="0"/>
                    <w:keepLines w:val="0"/>
                    <w:widowControl/>
                    <w:suppressLineNumbers w:val="0"/>
                    <w:jc w:val="left"/>
                    <w:textAlignment w:val="auto"/>
                  </w:pPr>
                  <w:r>
                    <w:rPr>
                      <w:rFonts w:hint="eastAsia"/>
                      <w:lang w:val="en-US" w:eastAsia="zh-CN"/>
                    </w:rPr>
                    <w:t>6.91E-06</w:t>
                  </w:r>
                </w:p>
              </w:tc>
              <w:tc>
                <w:tcPr>
                  <w:tcW w:w="1225" w:type="dxa"/>
                  <w:vAlign w:val="center"/>
                </w:tcPr>
                <w:p w14:paraId="09E3F9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ascii="Times New Roman" w:hAnsi="Times New Roman"/>
                      <w:color w:val="000000" w:themeColor="text1"/>
                      <w:kern w:val="0"/>
                      <w:szCs w:val="21"/>
                      <w:lang w:bidi="ar"/>
                      <w14:textFill>
                        <w14:solidFill>
                          <w14:schemeClr w14:val="tx1"/>
                        </w14:solidFill>
                      </w14:textFill>
                    </w:rPr>
                    <w:t>/</w:t>
                  </w:r>
                </w:p>
              </w:tc>
              <w:tc>
                <w:tcPr>
                  <w:tcW w:w="1326" w:type="dxa"/>
                  <w:vAlign w:val="center"/>
                </w:tcPr>
                <w:p w14:paraId="763364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ascii="Times New Roman" w:hAnsi="Times New Roman"/>
                      <w:color w:val="000000" w:themeColor="text1"/>
                      <w:kern w:val="0"/>
                      <w:szCs w:val="21"/>
                      <w:lang w:bidi="ar"/>
                      <w14:textFill>
                        <w14:solidFill>
                          <w14:schemeClr w14:val="tx1"/>
                        </w14:solidFill>
                      </w14:textFill>
                    </w:rPr>
                    <w:t>/</w:t>
                  </w:r>
                </w:p>
              </w:tc>
              <w:tc>
                <w:tcPr>
                  <w:tcW w:w="1327" w:type="dxa"/>
                  <w:vAlign w:val="center"/>
                </w:tcPr>
                <w:p w14:paraId="14FA9CE2">
                  <w:pPr>
                    <w:pStyle w:val="52"/>
                    <w:keepNext w:val="0"/>
                    <w:keepLines w:val="0"/>
                    <w:widowControl/>
                    <w:suppressLineNumbers w:val="0"/>
                    <w:jc w:val="center"/>
                    <w:textAlignment w:val="auto"/>
                    <w:rPr>
                      <w:rFonts w:hint="default"/>
                      <w:lang w:val="en-US" w:eastAsia="zh-CN"/>
                    </w:rPr>
                  </w:pPr>
                  <w:r>
                    <w:rPr>
                      <w:rFonts w:hint="eastAsia"/>
                      <w:lang w:val="en-US" w:eastAsia="zh-CN"/>
                    </w:rPr>
                    <w:t>6.91E-06</w:t>
                  </w:r>
                </w:p>
              </w:tc>
            </w:tr>
            <w:tr w14:paraId="58F7C6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5" w:type="dxa"/>
                  <w:vMerge w:val="continue"/>
                  <w:vAlign w:val="center"/>
                </w:tcPr>
                <w:p w14:paraId="0CA993DE">
                  <w:pPr>
                    <w:jc w:val="center"/>
                    <w:rPr>
                      <w:rFonts w:ascii="Times New Roman" w:hAnsi="Times New Roman"/>
                      <w:color w:val="000000" w:themeColor="text1"/>
                      <w:szCs w:val="21"/>
                      <w14:textFill>
                        <w14:solidFill>
                          <w14:schemeClr w14:val="tx1"/>
                        </w14:solidFill>
                      </w14:textFill>
                    </w:rPr>
                  </w:pPr>
                </w:p>
              </w:tc>
              <w:tc>
                <w:tcPr>
                  <w:tcW w:w="2088" w:type="dxa"/>
                  <w:vMerge w:val="continue"/>
                  <w:vAlign w:val="center"/>
                </w:tcPr>
                <w:p w14:paraId="72D4FF26">
                  <w:pPr>
                    <w:jc w:val="center"/>
                    <w:rPr>
                      <w:rFonts w:ascii="Times New Roman" w:hAnsi="Times New Roman"/>
                      <w:color w:val="000000" w:themeColor="text1"/>
                      <w:szCs w:val="21"/>
                      <w14:textFill>
                        <w14:solidFill>
                          <w14:schemeClr w14:val="tx1"/>
                        </w14:solidFill>
                      </w14:textFill>
                    </w:rPr>
                  </w:pPr>
                </w:p>
              </w:tc>
              <w:tc>
                <w:tcPr>
                  <w:tcW w:w="678" w:type="dxa"/>
                  <w:vAlign w:val="center"/>
                </w:tcPr>
                <w:p w14:paraId="74CE2469">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84" w:type="dxa"/>
                  <w:vAlign w:val="center"/>
                </w:tcPr>
                <w:p w14:paraId="6579FC65">
                  <w:pPr>
                    <w:pStyle w:val="52"/>
                    <w:keepNext w:val="0"/>
                    <w:keepLines w:val="0"/>
                    <w:widowControl/>
                    <w:suppressLineNumbers w:val="0"/>
                    <w:jc w:val="left"/>
                    <w:textAlignment w:val="auto"/>
                  </w:pPr>
                  <w:r>
                    <w:rPr>
                      <w:rFonts w:hint="eastAsia"/>
                      <w:lang w:val="en-US" w:eastAsia="zh-CN"/>
                    </w:rPr>
                    <w:t>4.86E-03</w:t>
                  </w:r>
                </w:p>
              </w:tc>
              <w:tc>
                <w:tcPr>
                  <w:tcW w:w="1225" w:type="dxa"/>
                  <w:vAlign w:val="center"/>
                </w:tcPr>
                <w:p w14:paraId="1B55FB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ascii="Times New Roman" w:hAnsi="Times New Roman"/>
                      <w:color w:val="000000" w:themeColor="text1"/>
                      <w:kern w:val="0"/>
                      <w:szCs w:val="21"/>
                      <w:lang w:bidi="ar"/>
                      <w14:textFill>
                        <w14:solidFill>
                          <w14:schemeClr w14:val="tx1"/>
                        </w14:solidFill>
                      </w14:textFill>
                    </w:rPr>
                    <w:t>/</w:t>
                  </w:r>
                </w:p>
              </w:tc>
              <w:tc>
                <w:tcPr>
                  <w:tcW w:w="1326" w:type="dxa"/>
                  <w:vAlign w:val="center"/>
                </w:tcPr>
                <w:p w14:paraId="1514FB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ascii="Times New Roman" w:hAnsi="Times New Roman"/>
                      <w:color w:val="000000" w:themeColor="text1"/>
                      <w:kern w:val="0"/>
                      <w:szCs w:val="21"/>
                      <w:lang w:bidi="ar"/>
                      <w14:textFill>
                        <w14:solidFill>
                          <w14:schemeClr w14:val="tx1"/>
                        </w14:solidFill>
                      </w14:textFill>
                    </w:rPr>
                    <w:t>/</w:t>
                  </w:r>
                </w:p>
              </w:tc>
              <w:tc>
                <w:tcPr>
                  <w:tcW w:w="1327" w:type="dxa"/>
                  <w:vAlign w:val="center"/>
                </w:tcPr>
                <w:p w14:paraId="36AEDD18">
                  <w:pPr>
                    <w:pStyle w:val="52"/>
                    <w:keepNext w:val="0"/>
                    <w:keepLines w:val="0"/>
                    <w:widowControl/>
                    <w:suppressLineNumbers w:val="0"/>
                    <w:jc w:val="center"/>
                    <w:textAlignment w:val="auto"/>
                    <w:rPr>
                      <w:rFonts w:hint="default"/>
                      <w:lang w:val="en-US" w:eastAsia="zh-CN"/>
                    </w:rPr>
                  </w:pPr>
                  <w:r>
                    <w:rPr>
                      <w:rFonts w:hint="eastAsia"/>
                      <w:lang w:val="en-US" w:eastAsia="zh-CN"/>
                    </w:rPr>
                    <w:t>4.86E-03</w:t>
                  </w:r>
                </w:p>
              </w:tc>
            </w:tr>
            <w:bookmarkEnd w:id="31"/>
          </w:tbl>
          <w:p w14:paraId="21A293CA">
            <w:pPr>
              <w:widowControl/>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由表11-</w:t>
            </w:r>
            <w:r>
              <w:rPr>
                <w:rFonts w:hint="eastAsia" w:ascii="Times New Roman" w:hAnsi="Times New Roman"/>
                <w:color w:val="000000" w:themeColor="text1"/>
                <w:sz w:val="24"/>
                <w:lang w:val="en-US" w:eastAsia="zh-CN"/>
                <w14:textFill>
                  <w14:solidFill>
                    <w14:schemeClr w14:val="tx1"/>
                  </w14:solidFill>
                </w14:textFill>
              </w:rPr>
              <w:t>7</w:t>
            </w:r>
            <w:r>
              <w:rPr>
                <w:rFonts w:ascii="Times New Roman" w:hAnsi="Times New Roman"/>
                <w:color w:val="000000" w:themeColor="text1"/>
                <w:sz w:val="24"/>
                <w14:textFill>
                  <w14:solidFill>
                    <w14:schemeClr w14:val="tx1"/>
                  </w14:solidFill>
                </w14:textFill>
              </w:rPr>
              <w:t>可知，本项目DSA机房周围最大辐射剂量率为</w:t>
            </w:r>
            <w:r>
              <w:rPr>
                <w:rFonts w:hint="default" w:ascii="Times New Roman" w:hAnsi="Times New Roman"/>
                <w:color w:val="000000" w:themeColor="text1"/>
                <w:sz w:val="24"/>
                <w:lang w:val="en-US" w:eastAsia="zh-CN"/>
                <w14:textFill>
                  <w14:solidFill>
                    <w14:schemeClr w14:val="tx1"/>
                  </w14:solidFill>
                </w14:textFill>
              </w:rPr>
              <w:t>1.</w:t>
            </w:r>
            <w:r>
              <w:rPr>
                <w:rFonts w:hint="eastAsia" w:ascii="Times New Roman" w:hAnsi="Times New Roman"/>
                <w:color w:val="000000" w:themeColor="text1"/>
                <w:sz w:val="24"/>
                <w:lang w:val="en-US" w:eastAsia="zh-CN"/>
                <w14:textFill>
                  <w14:solidFill>
                    <w14:schemeClr w14:val="tx1"/>
                  </w14:solidFill>
                </w14:textFill>
              </w:rPr>
              <w:t>15</w:t>
            </w:r>
            <w:r>
              <w:rPr>
                <w:rFonts w:hint="default" w:ascii="Times New Roman" w:hAnsi="Times New Roman"/>
                <w:color w:val="000000" w:themeColor="text1"/>
                <w:sz w:val="24"/>
                <w:lang w:val="en-US" w:eastAsia="zh-CN"/>
                <w14:textFill>
                  <w14:solidFill>
                    <w14:schemeClr w14:val="tx1"/>
                  </w14:solidFill>
                </w14:textFill>
              </w:rPr>
              <w:t>E-0</w:t>
            </w:r>
            <w:r>
              <w:rPr>
                <w:rFonts w:hint="eastAsia" w:ascii="Times New Roman" w:hAnsi="Times New Roman"/>
                <w:color w:val="000000" w:themeColor="text1"/>
                <w:sz w:val="24"/>
                <w:lang w:val="en-US" w:eastAsia="zh-CN"/>
                <w14:textFill>
                  <w14:solidFill>
                    <w14:schemeClr w14:val="tx1"/>
                  </w14:solidFill>
                </w14:textFill>
              </w:rPr>
              <w:t>1</w:t>
            </w:r>
            <w:r>
              <w:rPr>
                <w:rFonts w:ascii="Times New Roman" w:hAnsi="Times New Roman"/>
                <w:color w:val="000000" w:themeColor="text1"/>
                <w:sz w:val="24"/>
                <w14:textFill>
                  <w14:solidFill>
                    <w14:schemeClr w14:val="tx1"/>
                  </w14:solidFill>
                </w14:textFill>
              </w:rPr>
              <w:t>μSv/h，低于《放射诊断放射防护要求》（GBZ130-2020）中规定的屏蔽体外30cm处辐射剂量率不大于2.5μSv/h的规定。</w:t>
            </w:r>
          </w:p>
          <w:p w14:paraId="0BADE5DF">
            <w:pPr>
              <w:widowControl/>
              <w:spacing w:line="360" w:lineRule="auto"/>
              <w:jc w:val="left"/>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（5）</w:t>
            </w:r>
            <w:r>
              <w:rPr>
                <w:rFonts w:ascii="Times New Roman" w:hAnsi="Times New Roman"/>
                <w:b/>
                <w:bCs/>
                <w:color w:val="000000" w:themeColor="text1"/>
                <w:kern w:val="0"/>
                <w:sz w:val="24"/>
                <w:lang w:bidi="ar"/>
                <w14:textFill>
                  <w14:solidFill>
                    <w14:schemeClr w14:val="tx1"/>
                  </w14:solidFill>
                </w14:textFill>
              </w:rPr>
              <w:t>关注点年辐射剂量综合分析</w:t>
            </w:r>
          </w:p>
          <w:p w14:paraId="2CCD5820">
            <w:pPr>
              <w:pStyle w:val="46"/>
              <w:spacing w:before="161" w:line="360" w:lineRule="auto"/>
              <w:ind w:left="108" w:right="91" w:firstLine="480"/>
              <w:rPr>
                <w:rFonts w:ascii="Times New Roman" w:hAnsi="Times New Roman"/>
                <w:color w:val="000000" w:themeColor="text1"/>
                <w:kern w:val="0"/>
                <w:sz w:val="24"/>
                <w:lang w:bidi="ar"/>
                <w14:textFill>
                  <w14:solidFill>
                    <w14:schemeClr w14:val="tx1"/>
                  </w14:solidFill>
                </w14:textFill>
              </w:rPr>
            </w:pPr>
            <w:r>
              <w:rPr>
                <w:rFonts w:ascii="Times New Roman" w:hAnsi="Times New Roman"/>
                <w:color w:val="000000" w:themeColor="text1"/>
                <w:sz w:val="24"/>
                <w14:textFill>
                  <w14:solidFill>
                    <w14:schemeClr w14:val="tx1"/>
                  </w14:solidFill>
                </w14:textFill>
              </w:rPr>
              <w:t>根据医院提供资料，</w:t>
            </w:r>
            <w:r>
              <w:rPr>
                <w:rFonts w:hint="eastAsia" w:ascii="Times New Roman" w:hAnsi="Times New Roman"/>
                <w:color w:val="000000" w:themeColor="text1"/>
                <w:sz w:val="24"/>
                <w:lang w:eastAsia="zh-CN"/>
                <w14:textFill>
                  <w14:solidFill>
                    <w14:schemeClr w14:val="tx1"/>
                  </w14:solidFill>
                </w14:textFill>
              </w:rPr>
              <w:t>DSA机房</w:t>
            </w:r>
            <w:r>
              <w:rPr>
                <w:rFonts w:ascii="Times New Roman" w:hAnsi="Times New Roman"/>
                <w:color w:val="000000" w:themeColor="text1"/>
                <w:sz w:val="24"/>
                <w14:textFill>
                  <w14:solidFill>
                    <w14:schemeClr w14:val="tx1"/>
                  </w14:solidFill>
                </w14:textFill>
              </w:rPr>
              <w:t>DSA年</w:t>
            </w:r>
            <w:r>
              <w:rPr>
                <w:rFonts w:hint="eastAsia" w:ascii="Times New Roman" w:hAnsi="Times New Roman"/>
                <w:color w:val="000000" w:themeColor="text1"/>
                <w:sz w:val="24"/>
                <w:lang w:val="en-US" w:eastAsia="zh-CN"/>
                <w14:textFill>
                  <w14:solidFill>
                    <w14:schemeClr w14:val="tx1"/>
                  </w14:solidFill>
                </w14:textFill>
              </w:rPr>
              <w:t>检查</w:t>
            </w:r>
            <w:r>
              <w:rPr>
                <w:rFonts w:ascii="Times New Roman" w:hAnsi="Times New Roman"/>
                <w:color w:val="000000" w:themeColor="text1"/>
                <w:sz w:val="24"/>
                <w14:textFill>
                  <w14:solidFill>
                    <w14:schemeClr w14:val="tx1"/>
                  </w14:solidFill>
                </w14:textFill>
              </w:rPr>
              <w:t>治疗病人</w:t>
            </w:r>
            <w:r>
              <w:rPr>
                <w:rFonts w:ascii="Times New Roman" w:hAnsi="Times New Roman"/>
                <w:sz w:val="24"/>
              </w:rPr>
              <w:t>最多约</w:t>
            </w:r>
            <w:r>
              <w:rPr>
                <w:rFonts w:hint="eastAsia" w:ascii="Times New Roman" w:hAnsi="Times New Roman"/>
                <w:sz w:val="24"/>
                <w:lang w:val="en-US" w:eastAsia="zh-CN"/>
              </w:rPr>
              <w:t>5</w:t>
            </w:r>
            <w:r>
              <w:rPr>
                <w:rFonts w:hint="eastAsia" w:ascii="Times New Roman" w:hAnsi="Times New Roman"/>
                <w:sz w:val="24"/>
              </w:rPr>
              <w:t>00</w:t>
            </w:r>
            <w:r>
              <w:rPr>
                <w:rFonts w:ascii="Times New Roman" w:hAnsi="Times New Roman"/>
                <w:sz w:val="24"/>
              </w:rPr>
              <w:t>人，</w:t>
            </w:r>
            <w:r>
              <w:rPr>
                <w:rFonts w:ascii="Times New Roman" w:hAnsi="Times New Roman"/>
                <w:bCs/>
                <w:sz w:val="24"/>
              </w:rPr>
              <w:t>年最</w:t>
            </w:r>
            <w:r>
              <w:rPr>
                <w:rFonts w:ascii="Times New Roman" w:hAnsi="Times New Roman"/>
                <w:bCs/>
                <w:color w:val="000000" w:themeColor="text1"/>
                <w:sz w:val="24"/>
                <w14:textFill>
                  <w14:solidFill>
                    <w14:schemeClr w14:val="tx1"/>
                  </w14:solidFill>
                </w14:textFill>
              </w:rPr>
              <w:t>大曝光时间为</w:t>
            </w:r>
            <w:r>
              <w:rPr>
                <w:rFonts w:hint="eastAsia" w:ascii="Times New Roman" w:hAnsi="Times New Roman"/>
                <w:bCs/>
                <w:color w:val="000000" w:themeColor="text1"/>
                <w:sz w:val="24"/>
                <w:lang w:val="en-US" w:eastAsia="zh-CN"/>
                <w14:textFill>
                  <w14:solidFill>
                    <w14:schemeClr w14:val="tx1"/>
                  </w14:solidFill>
                </w14:textFill>
              </w:rPr>
              <w:t>107.36</w:t>
            </w:r>
            <w:r>
              <w:rPr>
                <w:rFonts w:ascii="Times New Roman" w:hAnsi="Times New Roman"/>
                <w:bCs/>
                <w:color w:val="000000" w:themeColor="text1"/>
                <w:sz w:val="24"/>
                <w14:textFill>
                  <w14:solidFill>
                    <w14:schemeClr w14:val="tx1"/>
                  </w14:solidFill>
                </w14:textFill>
              </w:rPr>
              <w:t>h</w:t>
            </w:r>
            <w:r>
              <w:rPr>
                <w:rFonts w:ascii="Times New Roman" w:hAnsi="Times New Roman"/>
                <w:bCs/>
                <w:sz w:val="24"/>
              </w:rPr>
              <w:t>（</w:t>
            </w:r>
            <w:r>
              <w:rPr>
                <w:rFonts w:hint="eastAsia" w:ascii="Times New Roman" w:hAnsi="Times New Roman"/>
                <w:bCs/>
                <w:sz w:val="24"/>
              </w:rPr>
              <w:t>透视</w:t>
            </w:r>
            <w:r>
              <w:rPr>
                <w:rFonts w:hint="eastAsia" w:ascii="Times New Roman" w:hAnsi="Times New Roman"/>
                <w:bCs/>
                <w:sz w:val="24"/>
                <w:lang w:val="en-US" w:eastAsia="zh-CN"/>
              </w:rPr>
              <w:t>105</w:t>
            </w:r>
            <w:r>
              <w:rPr>
                <w:rFonts w:hint="eastAsia" w:ascii="Times New Roman" w:hAnsi="Times New Roman"/>
                <w:bCs/>
                <w:sz w:val="24"/>
              </w:rPr>
              <w:t>.00h，拍片</w:t>
            </w:r>
            <w:r>
              <w:rPr>
                <w:rFonts w:hint="eastAsia" w:ascii="Times New Roman" w:hAnsi="Times New Roman"/>
                <w:bCs/>
                <w:sz w:val="24"/>
                <w:lang w:val="en-US" w:eastAsia="zh-CN"/>
              </w:rPr>
              <w:t>2.36</w:t>
            </w:r>
            <w:r>
              <w:rPr>
                <w:rFonts w:hint="eastAsia" w:ascii="Times New Roman" w:hAnsi="Times New Roman"/>
                <w:bCs/>
                <w:sz w:val="24"/>
              </w:rPr>
              <w:t>h</w:t>
            </w:r>
            <w:r>
              <w:rPr>
                <w:rFonts w:ascii="Times New Roman" w:hAnsi="Times New Roman"/>
                <w:bCs/>
                <w:sz w:val="24"/>
              </w:rPr>
              <w:t>）</w:t>
            </w:r>
            <w:r>
              <w:rPr>
                <w:rFonts w:ascii="Times New Roman" w:hAnsi="Times New Roman"/>
                <w:color w:val="000000" w:themeColor="text1"/>
                <w:sz w:val="24"/>
                <w14:textFill>
                  <w14:solidFill>
                    <w14:schemeClr w14:val="tx1"/>
                  </w14:solidFill>
                </w14:textFill>
              </w:rPr>
              <w:t>。每台手术配1名主刀医生、1名助手医生、1名护士和1个技师，</w:t>
            </w:r>
            <w:r>
              <w:rPr>
                <w:rFonts w:hint="eastAsia" w:ascii="Times New Roman" w:hAnsi="Times New Roman"/>
                <w:color w:val="000000" w:themeColor="text1"/>
                <w:sz w:val="24"/>
                <w14:textFill>
                  <w14:solidFill>
                    <w14:schemeClr w14:val="tx1"/>
                  </w14:solidFill>
                </w14:textFill>
              </w:rPr>
              <w:t>本项目配</w:t>
            </w:r>
            <w:r>
              <w:rPr>
                <w:rFonts w:hint="eastAsia" w:ascii="Times New Roman" w:hAnsi="Times New Roman"/>
                <w:color w:val="000000" w:themeColor="text1"/>
                <w:sz w:val="24"/>
                <w:lang w:val="en-US" w:eastAsia="zh-CN"/>
                <w14:textFill>
                  <w14:solidFill>
                    <w14:schemeClr w14:val="tx1"/>
                  </w14:solidFill>
                </w14:textFill>
              </w:rPr>
              <w:t>1</w:t>
            </w:r>
            <w:r>
              <w:rPr>
                <w:rFonts w:hint="eastAsia" w:ascii="Times New Roman" w:hAnsi="Times New Roman"/>
                <w:color w:val="000000" w:themeColor="text1"/>
                <w:sz w:val="24"/>
                <w14:textFill>
                  <w14:solidFill>
                    <w14:schemeClr w14:val="tx1"/>
                  </w14:solidFill>
                </w14:textFill>
              </w:rPr>
              <w:t>名</w:t>
            </w:r>
            <w:r>
              <w:rPr>
                <w:rFonts w:ascii="Times New Roman" w:hAnsi="Times New Roman"/>
                <w:color w:val="000000" w:themeColor="text1"/>
                <w:sz w:val="24"/>
                <w14:textFill>
                  <w14:solidFill>
                    <w14:schemeClr w14:val="tx1"/>
                  </w14:solidFill>
                </w14:textFill>
              </w:rPr>
              <w:t>技师操作受照时间为</w:t>
            </w:r>
            <w:r>
              <w:rPr>
                <w:rFonts w:ascii="Times New Roman" w:hAnsi="Times New Roman"/>
                <w:bCs/>
                <w:color w:val="000000" w:themeColor="text1"/>
                <w:sz w:val="24"/>
                <w14:textFill>
                  <w14:solidFill>
                    <w14:schemeClr w14:val="tx1"/>
                  </w14:solidFill>
                </w14:textFill>
              </w:rPr>
              <w:t>年最大曝光时间为</w:t>
            </w:r>
            <w:r>
              <w:rPr>
                <w:rFonts w:hint="eastAsia" w:ascii="Times New Roman" w:hAnsi="Times New Roman"/>
                <w:bCs/>
                <w:color w:val="000000" w:themeColor="text1"/>
                <w:sz w:val="24"/>
                <w:lang w:val="en-US" w:eastAsia="zh-CN"/>
                <w14:textFill>
                  <w14:solidFill>
                    <w14:schemeClr w14:val="tx1"/>
                  </w14:solidFill>
                </w14:textFill>
              </w:rPr>
              <w:t>107.36</w:t>
            </w:r>
            <w:r>
              <w:rPr>
                <w:rFonts w:ascii="Times New Roman" w:hAnsi="Times New Roman"/>
                <w:bCs/>
                <w:color w:val="000000" w:themeColor="text1"/>
                <w:sz w:val="24"/>
                <w14:textFill>
                  <w14:solidFill>
                    <w14:schemeClr w14:val="tx1"/>
                  </w14:solidFill>
                </w14:textFill>
              </w:rPr>
              <w:t>h</w:t>
            </w:r>
            <w:r>
              <w:rPr>
                <w:rFonts w:ascii="Times New Roman" w:hAnsi="Times New Roman"/>
                <w:bCs/>
                <w:sz w:val="24"/>
              </w:rPr>
              <w:t>（</w:t>
            </w:r>
            <w:r>
              <w:rPr>
                <w:rFonts w:hint="eastAsia" w:ascii="Times New Roman" w:hAnsi="Times New Roman"/>
                <w:bCs/>
                <w:sz w:val="24"/>
              </w:rPr>
              <w:t>透视</w:t>
            </w:r>
            <w:r>
              <w:rPr>
                <w:rFonts w:hint="eastAsia" w:ascii="Times New Roman" w:hAnsi="Times New Roman"/>
                <w:bCs/>
                <w:sz w:val="24"/>
                <w:lang w:val="en-US" w:eastAsia="zh-CN"/>
              </w:rPr>
              <w:t>105</w:t>
            </w:r>
            <w:r>
              <w:rPr>
                <w:rFonts w:hint="eastAsia" w:ascii="Times New Roman" w:hAnsi="Times New Roman"/>
                <w:bCs/>
                <w:sz w:val="24"/>
              </w:rPr>
              <w:t>.00h，拍片</w:t>
            </w:r>
            <w:r>
              <w:rPr>
                <w:rFonts w:hint="eastAsia" w:ascii="Times New Roman" w:hAnsi="Times New Roman"/>
                <w:bCs/>
                <w:sz w:val="24"/>
                <w:lang w:val="en-US" w:eastAsia="zh-CN"/>
              </w:rPr>
              <w:t>2.36</w:t>
            </w:r>
            <w:r>
              <w:rPr>
                <w:rFonts w:hint="eastAsia" w:ascii="Times New Roman" w:hAnsi="Times New Roman"/>
                <w:bCs/>
                <w:sz w:val="24"/>
              </w:rPr>
              <w:t>h</w:t>
            </w:r>
            <w:r>
              <w:rPr>
                <w:rFonts w:ascii="Times New Roman" w:hAnsi="Times New Roman"/>
                <w:bCs/>
                <w:sz w:val="24"/>
              </w:rPr>
              <w:t>）</w:t>
            </w:r>
            <w:r>
              <w:rPr>
                <w:rFonts w:ascii="Times New Roman" w:hAnsi="Times New Roman"/>
                <w:color w:val="000000" w:themeColor="text1"/>
                <w:sz w:val="24"/>
                <w14:textFill>
                  <w14:solidFill>
                    <w14:schemeClr w14:val="tx1"/>
                  </w14:solidFill>
                </w14:textFill>
              </w:rPr>
              <w:t>，</w:t>
            </w:r>
            <w:r>
              <w:rPr>
                <w:rFonts w:ascii="Times New Roman" w:hAnsi="Times New Roman"/>
                <w:color w:val="000000" w:themeColor="text1"/>
                <w:kern w:val="0"/>
                <w:sz w:val="24"/>
                <w:lang w:bidi="ar"/>
                <w14:textFill>
                  <w14:solidFill>
                    <w14:schemeClr w14:val="tx1"/>
                  </w14:solidFill>
                </w14:textFill>
              </w:rPr>
              <w:t>本项目共配置</w:t>
            </w:r>
            <w:r>
              <w:rPr>
                <w:rFonts w:hint="eastAsia" w:ascii="Times New Roman" w:hAnsi="Times New Roman"/>
                <w:color w:val="000000" w:themeColor="text1"/>
                <w:kern w:val="0"/>
                <w:sz w:val="24"/>
                <w:lang w:val="en-US" w:eastAsia="zh-CN" w:bidi="ar"/>
                <w14:textFill>
                  <w14:solidFill>
                    <w14:schemeClr w14:val="tx1"/>
                  </w14:solidFill>
                </w14:textFill>
              </w:rPr>
              <w:t>6</w:t>
            </w:r>
            <w:r>
              <w:rPr>
                <w:rFonts w:ascii="Times New Roman" w:hAnsi="Times New Roman"/>
                <w:color w:val="000000" w:themeColor="text1"/>
                <w:kern w:val="0"/>
                <w:sz w:val="24"/>
                <w:lang w:bidi="ar"/>
                <w14:textFill>
                  <w14:solidFill>
                    <w14:schemeClr w14:val="tx1"/>
                  </w14:solidFill>
                </w14:textFill>
              </w:rPr>
              <w:t>名医生（</w:t>
            </w:r>
            <w:bookmarkStart w:id="32" w:name="OLE_LINK4"/>
            <w:r>
              <w:rPr>
                <w:rFonts w:ascii="Times New Roman" w:hAnsi="Times New Roman"/>
                <w:color w:val="000000" w:themeColor="text1"/>
                <w:kern w:val="0"/>
                <w:sz w:val="24"/>
                <w:lang w:bidi="ar"/>
                <w14:textFill>
                  <w14:solidFill>
                    <w14:schemeClr w14:val="tx1"/>
                  </w14:solidFill>
                </w14:textFill>
              </w:rPr>
              <w:t>分为</w:t>
            </w:r>
            <w:r>
              <w:rPr>
                <w:rFonts w:hint="eastAsia" w:ascii="Times New Roman" w:hAnsi="Times New Roman"/>
                <w:color w:val="000000" w:themeColor="text1"/>
                <w:kern w:val="0"/>
                <w:sz w:val="24"/>
                <w:lang w:bidi="ar"/>
                <w14:textFill>
                  <w14:solidFill>
                    <w14:schemeClr w14:val="tx1"/>
                  </w14:solidFill>
                </w14:textFill>
              </w:rPr>
              <w:t>心血管内科2组，神经科2组，外周科2组，合计</w:t>
            </w:r>
            <w:r>
              <w:rPr>
                <w:rFonts w:hint="eastAsia" w:ascii="Times New Roman" w:hAnsi="Times New Roman"/>
                <w:color w:val="000000" w:themeColor="text1"/>
                <w:kern w:val="0"/>
                <w:sz w:val="24"/>
                <w:lang w:val="en-US" w:eastAsia="zh-CN" w:bidi="ar"/>
                <w14:textFill>
                  <w14:solidFill>
                    <w14:schemeClr w14:val="tx1"/>
                  </w14:solidFill>
                </w14:textFill>
              </w:rPr>
              <w:t>6</w:t>
            </w:r>
            <w:r>
              <w:rPr>
                <w:rFonts w:ascii="Times New Roman" w:hAnsi="Times New Roman"/>
                <w:color w:val="000000" w:themeColor="text1"/>
                <w:kern w:val="0"/>
                <w:sz w:val="24"/>
                <w:lang w:bidi="ar"/>
                <w14:textFill>
                  <w14:solidFill>
                    <w14:schemeClr w14:val="tx1"/>
                  </w14:solidFill>
                </w14:textFill>
              </w:rPr>
              <w:t>组</w:t>
            </w:r>
            <w:bookmarkEnd w:id="32"/>
            <w:r>
              <w:rPr>
                <w:rFonts w:ascii="Times New Roman" w:hAnsi="Times New Roman"/>
                <w:color w:val="000000" w:themeColor="text1"/>
                <w:kern w:val="0"/>
                <w:sz w:val="24"/>
                <w:lang w:bidi="ar"/>
                <w14:textFill>
                  <w14:solidFill>
                    <w14:schemeClr w14:val="tx1"/>
                  </w14:solidFill>
                </w14:textFill>
              </w:rPr>
              <w:t>）、</w:t>
            </w:r>
            <w:r>
              <w:rPr>
                <w:rFonts w:hint="eastAsia" w:ascii="Times New Roman" w:hAnsi="Times New Roman"/>
                <w:color w:val="000000" w:themeColor="text1"/>
                <w:kern w:val="0"/>
                <w:sz w:val="24"/>
                <w:lang w:val="en-US" w:eastAsia="zh-CN" w:bidi="ar"/>
                <w14:textFill>
                  <w14:solidFill>
                    <w14:schemeClr w14:val="tx1"/>
                  </w14:solidFill>
                </w14:textFill>
              </w:rPr>
              <w:t>2</w:t>
            </w:r>
            <w:r>
              <w:rPr>
                <w:rFonts w:ascii="Times New Roman" w:hAnsi="Times New Roman"/>
                <w:color w:val="000000" w:themeColor="text1"/>
                <w:kern w:val="0"/>
                <w:sz w:val="24"/>
                <w:lang w:bidi="ar"/>
                <w14:textFill>
                  <w14:solidFill>
                    <w14:schemeClr w14:val="tx1"/>
                  </w14:solidFill>
                </w14:textFill>
              </w:rPr>
              <w:t>名护士（分为</w:t>
            </w:r>
            <w:r>
              <w:rPr>
                <w:rFonts w:hint="eastAsia" w:ascii="Times New Roman" w:hAnsi="Times New Roman"/>
                <w:color w:val="000000" w:themeColor="text1"/>
                <w:kern w:val="0"/>
                <w:sz w:val="24"/>
                <w:lang w:val="en-US" w:eastAsia="zh-CN" w:bidi="ar"/>
                <w14:textFill>
                  <w14:solidFill>
                    <w14:schemeClr w14:val="tx1"/>
                  </w14:solidFill>
                </w14:textFill>
              </w:rPr>
              <w:t>2</w:t>
            </w:r>
            <w:r>
              <w:rPr>
                <w:rFonts w:ascii="Times New Roman" w:hAnsi="Times New Roman"/>
                <w:color w:val="000000" w:themeColor="text1"/>
                <w:kern w:val="0"/>
                <w:sz w:val="24"/>
                <w:lang w:bidi="ar"/>
                <w14:textFill>
                  <w14:solidFill>
                    <w14:schemeClr w14:val="tx1"/>
                  </w14:solidFill>
                </w14:textFill>
              </w:rPr>
              <w:t>组）和</w:t>
            </w:r>
            <w:r>
              <w:rPr>
                <w:rFonts w:hint="eastAsia" w:ascii="Times New Roman" w:hAnsi="Times New Roman"/>
                <w:color w:val="000000" w:themeColor="text1"/>
                <w:kern w:val="0"/>
                <w:sz w:val="24"/>
                <w:lang w:val="en-US" w:eastAsia="zh-CN" w:bidi="ar"/>
                <w14:textFill>
                  <w14:solidFill>
                    <w14:schemeClr w14:val="tx1"/>
                  </w14:solidFill>
                </w14:textFill>
              </w:rPr>
              <w:t>5</w:t>
            </w:r>
            <w:r>
              <w:rPr>
                <w:rFonts w:ascii="Times New Roman" w:hAnsi="Times New Roman"/>
                <w:color w:val="000000" w:themeColor="text1"/>
                <w:kern w:val="0"/>
                <w:sz w:val="24"/>
                <w:lang w:bidi="ar"/>
                <w14:textFill>
                  <w14:solidFill>
                    <w14:schemeClr w14:val="tx1"/>
                  </w14:solidFill>
                </w14:textFill>
              </w:rPr>
              <w:t>名助手医生（分为</w:t>
            </w:r>
            <w:r>
              <w:rPr>
                <w:rFonts w:hint="eastAsia" w:ascii="Times New Roman" w:hAnsi="Times New Roman"/>
                <w:color w:val="000000" w:themeColor="text1"/>
                <w:kern w:val="0"/>
                <w:sz w:val="24"/>
                <w:lang w:bidi="ar"/>
                <w14:textFill>
                  <w14:solidFill>
                    <w14:schemeClr w14:val="tx1"/>
                  </w14:solidFill>
                </w14:textFill>
              </w:rPr>
              <w:t>心血管内科</w:t>
            </w:r>
            <w:r>
              <w:rPr>
                <w:rFonts w:hint="eastAsia" w:ascii="Times New Roman" w:hAnsi="Times New Roman"/>
                <w:color w:val="000000" w:themeColor="text1"/>
                <w:kern w:val="0"/>
                <w:sz w:val="24"/>
                <w:lang w:val="en-US" w:eastAsia="zh-CN" w:bidi="ar"/>
                <w14:textFill>
                  <w14:solidFill>
                    <w14:schemeClr w14:val="tx1"/>
                  </w14:solidFill>
                </w14:textFill>
              </w:rPr>
              <w:t>2</w:t>
            </w:r>
            <w:r>
              <w:rPr>
                <w:rFonts w:hint="eastAsia" w:ascii="Times New Roman" w:hAnsi="Times New Roman"/>
                <w:color w:val="000000" w:themeColor="text1"/>
                <w:kern w:val="0"/>
                <w:sz w:val="24"/>
                <w:lang w:bidi="ar"/>
                <w14:textFill>
                  <w14:solidFill>
                    <w14:schemeClr w14:val="tx1"/>
                  </w14:solidFill>
                </w14:textFill>
              </w:rPr>
              <w:t>组，神经科</w:t>
            </w:r>
            <w:r>
              <w:rPr>
                <w:rFonts w:hint="eastAsia" w:ascii="Times New Roman" w:hAnsi="Times New Roman"/>
                <w:color w:val="000000" w:themeColor="text1"/>
                <w:kern w:val="0"/>
                <w:sz w:val="24"/>
                <w:lang w:val="en-US" w:eastAsia="zh-CN" w:bidi="ar"/>
                <w14:textFill>
                  <w14:solidFill>
                    <w14:schemeClr w14:val="tx1"/>
                  </w14:solidFill>
                </w14:textFill>
              </w:rPr>
              <w:t>2</w:t>
            </w:r>
            <w:r>
              <w:rPr>
                <w:rFonts w:hint="eastAsia" w:ascii="Times New Roman" w:hAnsi="Times New Roman"/>
                <w:color w:val="000000" w:themeColor="text1"/>
                <w:kern w:val="0"/>
                <w:sz w:val="24"/>
                <w:lang w:bidi="ar"/>
                <w14:textFill>
                  <w14:solidFill>
                    <w14:schemeClr w14:val="tx1"/>
                  </w14:solidFill>
                </w14:textFill>
              </w:rPr>
              <w:t>组，外周科</w:t>
            </w:r>
            <w:r>
              <w:rPr>
                <w:rFonts w:hint="eastAsia" w:ascii="Times New Roman" w:hAnsi="Times New Roman"/>
                <w:color w:val="000000" w:themeColor="text1"/>
                <w:kern w:val="0"/>
                <w:sz w:val="24"/>
                <w:lang w:val="en-US" w:eastAsia="zh-CN" w:bidi="ar"/>
                <w14:textFill>
                  <w14:solidFill>
                    <w14:schemeClr w14:val="tx1"/>
                  </w14:solidFill>
                </w14:textFill>
              </w:rPr>
              <w:t>1</w:t>
            </w:r>
            <w:r>
              <w:rPr>
                <w:rFonts w:hint="eastAsia" w:ascii="Times New Roman" w:hAnsi="Times New Roman"/>
                <w:color w:val="000000" w:themeColor="text1"/>
                <w:kern w:val="0"/>
                <w:sz w:val="24"/>
                <w:lang w:bidi="ar"/>
                <w14:textFill>
                  <w14:solidFill>
                    <w14:schemeClr w14:val="tx1"/>
                  </w14:solidFill>
                </w14:textFill>
              </w:rPr>
              <w:t>组</w:t>
            </w:r>
            <w:r>
              <w:rPr>
                <w:rFonts w:hint="eastAsia" w:ascii="Times New Roman" w:hAnsi="Times New Roman"/>
                <w:color w:val="000000" w:themeColor="text1"/>
                <w:kern w:val="0"/>
                <w:sz w:val="24"/>
                <w:lang w:eastAsia="zh-CN" w:bidi="ar"/>
                <w14:textFill>
                  <w14:solidFill>
                    <w14:schemeClr w14:val="tx1"/>
                  </w14:solidFill>
                </w14:textFill>
              </w:rPr>
              <w:t>，</w:t>
            </w:r>
            <w:r>
              <w:rPr>
                <w:rFonts w:hint="eastAsia" w:ascii="Times New Roman" w:hAnsi="Times New Roman"/>
                <w:color w:val="000000" w:themeColor="text1"/>
                <w:kern w:val="0"/>
                <w:sz w:val="24"/>
                <w:lang w:bidi="ar"/>
                <w14:textFill>
                  <w14:solidFill>
                    <w14:schemeClr w14:val="tx1"/>
                  </w14:solidFill>
                </w14:textFill>
              </w:rPr>
              <w:t>合计</w:t>
            </w:r>
            <w:r>
              <w:rPr>
                <w:rFonts w:hint="eastAsia" w:ascii="Times New Roman" w:hAnsi="Times New Roman"/>
                <w:color w:val="000000" w:themeColor="text1"/>
                <w:kern w:val="0"/>
                <w:sz w:val="24"/>
                <w:lang w:val="en-US" w:eastAsia="zh-CN" w:bidi="ar"/>
                <w14:textFill>
                  <w14:solidFill>
                    <w14:schemeClr w14:val="tx1"/>
                  </w14:solidFill>
                </w14:textFill>
              </w:rPr>
              <w:t>5</w:t>
            </w:r>
            <w:r>
              <w:rPr>
                <w:rFonts w:ascii="Times New Roman" w:hAnsi="Times New Roman"/>
                <w:color w:val="000000" w:themeColor="text1"/>
                <w:kern w:val="0"/>
                <w:sz w:val="24"/>
                <w:lang w:bidi="ar"/>
                <w14:textFill>
                  <w14:solidFill>
                    <w14:schemeClr w14:val="tx1"/>
                  </w14:solidFill>
                </w14:textFill>
              </w:rPr>
              <w:t>组）。本项目投运后医院可根据开展项目的实际情况适当调整辐射工作人员配置。</w:t>
            </w:r>
            <w:r>
              <w:rPr>
                <w:rFonts w:ascii="Times New Roman" w:hAnsi="Times New Roman"/>
                <w:color w:val="000000" w:themeColor="text1"/>
                <w:sz w:val="24"/>
                <w14:textFill>
                  <w14:solidFill>
                    <w14:schemeClr w14:val="tx1"/>
                  </w14:solidFill>
                </w14:textFill>
              </w:rPr>
              <w:t>医生、护士受照时间见表11-</w:t>
            </w:r>
            <w:r>
              <w:rPr>
                <w:rFonts w:hint="eastAsia" w:ascii="Times New Roman" w:hAnsi="Times New Roman"/>
                <w:color w:val="000000" w:themeColor="text1"/>
                <w:sz w:val="24"/>
                <w:lang w:val="en-US" w:eastAsia="zh-CN"/>
                <w14:textFill>
                  <w14:solidFill>
                    <w14:schemeClr w14:val="tx1"/>
                  </w14:solidFill>
                </w14:textFill>
              </w:rPr>
              <w:t>8</w:t>
            </w:r>
            <w:r>
              <w:rPr>
                <w:rFonts w:ascii="Times New Roman" w:hAnsi="Times New Roman"/>
                <w:color w:val="000000" w:themeColor="text1"/>
                <w:kern w:val="0"/>
                <w:sz w:val="24"/>
                <w:lang w:bidi="ar"/>
                <w14:textFill>
                  <w14:solidFill>
                    <w14:schemeClr w14:val="tx1"/>
                  </w14:solidFill>
                </w14:textFill>
              </w:rPr>
              <w:t>。</w:t>
            </w:r>
          </w:p>
          <w:p w14:paraId="6F6C56A0">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bCs/>
                <w:sz w:val="24"/>
              </w:rPr>
              <w:t>医生、护士、技师手术操作透视受照时间</w:t>
            </w:r>
          </w:p>
          <w:tbl>
            <w:tblPr>
              <w:tblStyle w:val="23"/>
              <w:tblW w:w="86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58"/>
              <w:gridCol w:w="825"/>
              <w:gridCol w:w="1095"/>
              <w:gridCol w:w="945"/>
              <w:gridCol w:w="960"/>
              <w:gridCol w:w="801"/>
              <w:gridCol w:w="936"/>
              <w:gridCol w:w="858"/>
              <w:gridCol w:w="720"/>
              <w:gridCol w:w="739"/>
            </w:tblGrid>
            <w:tr w14:paraId="7BE16D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58" w:type="dxa"/>
                  <w:vMerge w:val="restart"/>
                  <w:tcBorders>
                    <w:tl2br w:val="nil"/>
                    <w:tr2bl w:val="nil"/>
                  </w:tcBorders>
                  <w:vAlign w:val="center"/>
                </w:tcPr>
                <w:p w14:paraId="505DEDDC">
                  <w:pPr>
                    <w:pStyle w:val="46"/>
                    <w:autoSpaceDE w:val="0"/>
                    <w:autoSpaceDN w:val="0"/>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使用科室</w:t>
                  </w:r>
                </w:p>
              </w:tc>
              <w:tc>
                <w:tcPr>
                  <w:tcW w:w="825" w:type="dxa"/>
                  <w:vMerge w:val="restart"/>
                  <w:tcBorders>
                    <w:tl2br w:val="nil"/>
                    <w:tr2bl w:val="nil"/>
                  </w:tcBorders>
                  <w:vAlign w:val="center"/>
                </w:tcPr>
                <w:p w14:paraId="3C0FD0EF">
                  <w:pPr>
                    <w:pStyle w:val="46"/>
                    <w:autoSpaceDE w:val="0"/>
                    <w:autoSpaceDN w:val="0"/>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年接诊病人</w:t>
                  </w:r>
                </w:p>
              </w:tc>
              <w:tc>
                <w:tcPr>
                  <w:tcW w:w="1095" w:type="dxa"/>
                  <w:vMerge w:val="restart"/>
                  <w:tcBorders>
                    <w:tl2br w:val="nil"/>
                    <w:tr2bl w:val="nil"/>
                  </w:tcBorders>
                  <w:vAlign w:val="center"/>
                </w:tcPr>
                <w:p w14:paraId="1641E3F9">
                  <w:pPr>
                    <w:pStyle w:val="46"/>
                    <w:autoSpaceDE w:val="0"/>
                    <w:autoSpaceDN w:val="0"/>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单台手术最长透视曝光时间（min）</w:t>
                  </w:r>
                </w:p>
              </w:tc>
              <w:tc>
                <w:tcPr>
                  <w:tcW w:w="2706" w:type="dxa"/>
                  <w:gridSpan w:val="3"/>
                  <w:tcBorders>
                    <w:right w:val="single" w:color="auto" w:sz="4" w:space="0"/>
                    <w:tl2br w:val="nil"/>
                    <w:tr2bl w:val="nil"/>
                  </w:tcBorders>
                  <w:vAlign w:val="center"/>
                </w:tcPr>
                <w:p w14:paraId="5D1A515F">
                  <w:pPr>
                    <w:pStyle w:val="46"/>
                    <w:autoSpaceDE w:val="0"/>
                    <w:autoSpaceDN w:val="0"/>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人数（名）</w:t>
                  </w:r>
                </w:p>
              </w:tc>
              <w:tc>
                <w:tcPr>
                  <w:tcW w:w="2514" w:type="dxa"/>
                  <w:gridSpan w:val="3"/>
                  <w:tcBorders>
                    <w:bottom w:val="single" w:color="auto" w:sz="4" w:space="0"/>
                    <w:tl2br w:val="nil"/>
                    <w:tr2bl w:val="nil"/>
                  </w:tcBorders>
                  <w:vAlign w:val="center"/>
                </w:tcPr>
                <w:p w14:paraId="38883D9E">
                  <w:pPr>
                    <w:pStyle w:val="46"/>
                    <w:tabs>
                      <w:tab w:val="left" w:pos="396"/>
                    </w:tabs>
                    <w:autoSpaceDE w:val="0"/>
                    <w:autoSpaceDN w:val="0"/>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单组透视受照时间（h）</w:t>
                  </w:r>
                </w:p>
              </w:tc>
              <w:tc>
                <w:tcPr>
                  <w:tcW w:w="739" w:type="dxa"/>
                  <w:vMerge w:val="restart"/>
                  <w:tcBorders>
                    <w:tl2br w:val="nil"/>
                    <w:tr2bl w:val="nil"/>
                  </w:tcBorders>
                  <w:vAlign w:val="center"/>
                </w:tcPr>
                <w:p w14:paraId="524DE5A8">
                  <w:pPr>
                    <w:pStyle w:val="46"/>
                    <w:autoSpaceDE w:val="0"/>
                    <w:autoSpaceDN w:val="0"/>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技师</w:t>
                  </w:r>
                </w:p>
              </w:tc>
            </w:tr>
            <w:tr w14:paraId="22D0D5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58" w:type="dxa"/>
                  <w:vMerge w:val="continue"/>
                  <w:tcBorders>
                    <w:tl2br w:val="nil"/>
                    <w:tr2bl w:val="nil"/>
                  </w:tcBorders>
                  <w:vAlign w:val="center"/>
                </w:tcPr>
                <w:p w14:paraId="7D40F9BF">
                  <w:pPr>
                    <w:autoSpaceDE w:val="0"/>
                    <w:autoSpaceDN w:val="0"/>
                    <w:jc w:val="center"/>
                    <w:rPr>
                      <w:rFonts w:ascii="Times New Roman" w:hAnsi="Times New Roman"/>
                      <w:color w:val="000000" w:themeColor="text1"/>
                      <w:szCs w:val="21"/>
                      <w14:textFill>
                        <w14:solidFill>
                          <w14:schemeClr w14:val="tx1"/>
                        </w14:solidFill>
                      </w14:textFill>
                    </w:rPr>
                  </w:pPr>
                </w:p>
              </w:tc>
              <w:tc>
                <w:tcPr>
                  <w:tcW w:w="825" w:type="dxa"/>
                  <w:vMerge w:val="continue"/>
                  <w:tcBorders>
                    <w:tl2br w:val="nil"/>
                    <w:tr2bl w:val="nil"/>
                  </w:tcBorders>
                  <w:vAlign w:val="center"/>
                </w:tcPr>
                <w:p w14:paraId="085BA93B">
                  <w:pPr>
                    <w:autoSpaceDE w:val="0"/>
                    <w:autoSpaceDN w:val="0"/>
                    <w:jc w:val="center"/>
                    <w:rPr>
                      <w:rFonts w:ascii="Times New Roman" w:hAnsi="Times New Roman"/>
                      <w:color w:val="000000" w:themeColor="text1"/>
                      <w:szCs w:val="21"/>
                      <w14:textFill>
                        <w14:solidFill>
                          <w14:schemeClr w14:val="tx1"/>
                        </w14:solidFill>
                      </w14:textFill>
                    </w:rPr>
                  </w:pPr>
                </w:p>
              </w:tc>
              <w:tc>
                <w:tcPr>
                  <w:tcW w:w="1095" w:type="dxa"/>
                  <w:vMerge w:val="continue"/>
                  <w:tcBorders>
                    <w:tl2br w:val="nil"/>
                    <w:tr2bl w:val="nil"/>
                  </w:tcBorders>
                  <w:vAlign w:val="center"/>
                </w:tcPr>
                <w:p w14:paraId="78107D41">
                  <w:pPr>
                    <w:autoSpaceDE w:val="0"/>
                    <w:autoSpaceDN w:val="0"/>
                    <w:jc w:val="center"/>
                    <w:rPr>
                      <w:rFonts w:ascii="Times New Roman" w:hAnsi="Times New Roman"/>
                      <w:color w:val="000000" w:themeColor="text1"/>
                      <w:szCs w:val="21"/>
                      <w14:textFill>
                        <w14:solidFill>
                          <w14:schemeClr w14:val="tx1"/>
                        </w14:solidFill>
                      </w14:textFill>
                    </w:rPr>
                  </w:pPr>
                </w:p>
              </w:tc>
              <w:tc>
                <w:tcPr>
                  <w:tcW w:w="945" w:type="dxa"/>
                  <w:tcBorders>
                    <w:right w:val="single" w:color="auto" w:sz="4" w:space="0"/>
                    <w:tl2br w:val="nil"/>
                    <w:tr2bl w:val="nil"/>
                  </w:tcBorders>
                  <w:vAlign w:val="center"/>
                </w:tcPr>
                <w:p w14:paraId="5779E3E6">
                  <w:pPr>
                    <w:pStyle w:val="46"/>
                    <w:autoSpaceDE w:val="0"/>
                    <w:autoSpaceDN w:val="0"/>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主刀医生</w:t>
                  </w:r>
                </w:p>
              </w:tc>
              <w:tc>
                <w:tcPr>
                  <w:tcW w:w="960" w:type="dxa"/>
                  <w:tcBorders>
                    <w:left w:val="single" w:color="auto" w:sz="4" w:space="0"/>
                    <w:right w:val="single" w:color="auto" w:sz="4" w:space="0"/>
                    <w:tl2br w:val="nil"/>
                    <w:tr2bl w:val="nil"/>
                  </w:tcBorders>
                  <w:vAlign w:val="center"/>
                </w:tcPr>
                <w:p w14:paraId="3CF3E736">
                  <w:pPr>
                    <w:pStyle w:val="46"/>
                    <w:autoSpaceDE w:val="0"/>
                    <w:autoSpaceDN w:val="0"/>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助手医生</w:t>
                  </w:r>
                </w:p>
              </w:tc>
              <w:tc>
                <w:tcPr>
                  <w:tcW w:w="801" w:type="dxa"/>
                  <w:tcBorders>
                    <w:left w:val="single" w:color="auto" w:sz="4" w:space="0"/>
                    <w:right w:val="single" w:color="auto" w:sz="4" w:space="0"/>
                    <w:tl2br w:val="nil"/>
                    <w:tr2bl w:val="nil"/>
                  </w:tcBorders>
                  <w:vAlign w:val="center"/>
                </w:tcPr>
                <w:p w14:paraId="2BE9061C">
                  <w:pPr>
                    <w:pStyle w:val="46"/>
                    <w:autoSpaceDE w:val="0"/>
                    <w:autoSpaceDN w:val="0"/>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护士</w:t>
                  </w:r>
                </w:p>
              </w:tc>
              <w:tc>
                <w:tcPr>
                  <w:tcW w:w="936" w:type="dxa"/>
                  <w:tcBorders>
                    <w:right w:val="single" w:color="auto" w:sz="4" w:space="0"/>
                    <w:tl2br w:val="nil"/>
                    <w:tr2bl w:val="nil"/>
                  </w:tcBorders>
                  <w:vAlign w:val="center"/>
                </w:tcPr>
                <w:p w14:paraId="7975678F">
                  <w:pPr>
                    <w:pStyle w:val="46"/>
                    <w:autoSpaceDE w:val="0"/>
                    <w:autoSpaceDN w:val="0"/>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主刀医生</w:t>
                  </w:r>
                </w:p>
              </w:tc>
              <w:tc>
                <w:tcPr>
                  <w:tcW w:w="858" w:type="dxa"/>
                  <w:tcBorders>
                    <w:top w:val="single" w:color="auto" w:sz="4" w:space="0"/>
                    <w:left w:val="single" w:color="auto" w:sz="4" w:space="0"/>
                    <w:right w:val="single" w:color="auto" w:sz="4" w:space="0"/>
                    <w:tl2br w:val="nil"/>
                    <w:tr2bl w:val="nil"/>
                  </w:tcBorders>
                  <w:vAlign w:val="center"/>
                </w:tcPr>
                <w:p w14:paraId="05CC102D">
                  <w:pPr>
                    <w:pStyle w:val="46"/>
                    <w:autoSpaceDE w:val="0"/>
                    <w:autoSpaceDN w:val="0"/>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助手医生</w:t>
                  </w:r>
                </w:p>
              </w:tc>
              <w:tc>
                <w:tcPr>
                  <w:tcW w:w="720" w:type="dxa"/>
                  <w:tcBorders>
                    <w:top w:val="single" w:color="auto" w:sz="4" w:space="0"/>
                    <w:left w:val="single" w:color="auto" w:sz="4" w:space="0"/>
                    <w:right w:val="single" w:color="auto" w:sz="4" w:space="0"/>
                    <w:tl2br w:val="nil"/>
                    <w:tr2bl w:val="nil"/>
                  </w:tcBorders>
                  <w:vAlign w:val="center"/>
                </w:tcPr>
                <w:p w14:paraId="508557A1">
                  <w:pPr>
                    <w:pStyle w:val="46"/>
                    <w:autoSpaceDE w:val="0"/>
                    <w:autoSpaceDN w:val="0"/>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护士</w:t>
                  </w:r>
                </w:p>
              </w:tc>
              <w:tc>
                <w:tcPr>
                  <w:tcW w:w="739" w:type="dxa"/>
                  <w:vMerge w:val="continue"/>
                  <w:tcBorders>
                    <w:tl2br w:val="nil"/>
                    <w:tr2bl w:val="nil"/>
                  </w:tcBorders>
                  <w:vAlign w:val="center"/>
                </w:tcPr>
                <w:p w14:paraId="0C884E84">
                  <w:pPr>
                    <w:pStyle w:val="46"/>
                    <w:autoSpaceDE w:val="0"/>
                    <w:autoSpaceDN w:val="0"/>
                    <w:jc w:val="center"/>
                    <w:rPr>
                      <w:rFonts w:ascii="Times New Roman" w:hAnsi="Times New Roman"/>
                      <w:b/>
                      <w:bCs/>
                      <w:color w:val="000000" w:themeColor="text1"/>
                      <w:szCs w:val="21"/>
                      <w14:textFill>
                        <w14:solidFill>
                          <w14:schemeClr w14:val="tx1"/>
                        </w14:solidFill>
                      </w14:textFill>
                    </w:rPr>
                  </w:pPr>
                </w:p>
              </w:tc>
            </w:tr>
            <w:tr w14:paraId="245E8E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58" w:type="dxa"/>
                  <w:tcBorders>
                    <w:tl2br w:val="nil"/>
                    <w:tr2bl w:val="nil"/>
                  </w:tcBorders>
                  <w:vAlign w:val="center"/>
                </w:tcPr>
                <w:p w14:paraId="05D9DBBD">
                  <w:pPr>
                    <w:jc w:val="center"/>
                    <w:rPr>
                      <w:rFonts w:ascii="Times New Roman" w:hAnsi="Times New Roman"/>
                    </w:rPr>
                  </w:pPr>
                  <w:r>
                    <w:rPr>
                      <w:rFonts w:ascii="Times New Roman" w:hAnsi="Times New Roman"/>
                    </w:rPr>
                    <w:t>心血管内科</w:t>
                  </w:r>
                </w:p>
              </w:tc>
              <w:tc>
                <w:tcPr>
                  <w:tcW w:w="825" w:type="dxa"/>
                  <w:tcBorders>
                    <w:tl2br w:val="nil"/>
                    <w:tr2bl w:val="nil"/>
                  </w:tcBorders>
                  <w:vAlign w:val="center"/>
                </w:tcPr>
                <w:p w14:paraId="3C707ADC">
                  <w:pPr>
                    <w:widowControl/>
                    <w:jc w:val="center"/>
                    <w:rPr>
                      <w:rFonts w:ascii="Times New Roman" w:hAnsi="Times New Roman"/>
                    </w:rPr>
                  </w:pPr>
                  <w:r>
                    <w:rPr>
                      <w:rFonts w:hint="eastAsia" w:ascii="Times New Roman" w:hAnsi="Times New Roman"/>
                      <w:lang w:val="en-US" w:eastAsia="zh-CN"/>
                    </w:rPr>
                    <w:t>2</w:t>
                  </w:r>
                  <w:r>
                    <w:rPr>
                      <w:rFonts w:hint="eastAsia" w:ascii="Times New Roman" w:hAnsi="Times New Roman"/>
                    </w:rPr>
                    <w:t>00</w:t>
                  </w:r>
                </w:p>
              </w:tc>
              <w:tc>
                <w:tcPr>
                  <w:tcW w:w="1095" w:type="dxa"/>
                  <w:tcBorders>
                    <w:tl2br w:val="nil"/>
                    <w:tr2bl w:val="nil"/>
                  </w:tcBorders>
                  <w:vAlign w:val="center"/>
                </w:tcPr>
                <w:p w14:paraId="3633DF90">
                  <w:pPr>
                    <w:widowControl/>
                    <w:jc w:val="center"/>
                    <w:rPr>
                      <w:rFonts w:ascii="Times New Roman" w:hAnsi="Times New Roman"/>
                      <w:color w:val="FF0000"/>
                    </w:rPr>
                  </w:pPr>
                  <w:r>
                    <w:rPr>
                      <w:rFonts w:hint="eastAsia" w:ascii="Times New Roman" w:hAnsi="Times New Roman"/>
                    </w:rPr>
                    <w:t>12</w:t>
                  </w:r>
                </w:p>
              </w:tc>
              <w:tc>
                <w:tcPr>
                  <w:tcW w:w="945" w:type="dxa"/>
                  <w:tcBorders>
                    <w:bottom w:val="single" w:color="auto" w:sz="4" w:space="0"/>
                    <w:right w:val="single" w:color="auto" w:sz="4" w:space="0"/>
                    <w:tl2br w:val="nil"/>
                    <w:tr2bl w:val="nil"/>
                  </w:tcBorders>
                  <w:vAlign w:val="center"/>
                </w:tcPr>
                <w:p w14:paraId="65C26FD6">
                  <w:pPr>
                    <w:jc w:val="center"/>
                    <w:rPr>
                      <w:rFonts w:ascii="Times New Roman" w:hAnsi="Times New Roman"/>
                    </w:rPr>
                  </w:pPr>
                  <w:r>
                    <w:rPr>
                      <w:rFonts w:hint="eastAsia" w:ascii="Times New Roman" w:hAnsi="Times New Roman"/>
                    </w:rPr>
                    <w:t>2</w:t>
                  </w:r>
                </w:p>
              </w:tc>
              <w:tc>
                <w:tcPr>
                  <w:tcW w:w="960" w:type="dxa"/>
                  <w:tcBorders>
                    <w:left w:val="single" w:color="auto" w:sz="4" w:space="0"/>
                    <w:bottom w:val="single" w:color="auto" w:sz="4" w:space="0"/>
                    <w:right w:val="single" w:color="auto" w:sz="4" w:space="0"/>
                    <w:tl2br w:val="nil"/>
                    <w:tr2bl w:val="nil"/>
                  </w:tcBorders>
                  <w:vAlign w:val="center"/>
                </w:tcPr>
                <w:p w14:paraId="4CC934E7">
                  <w:pPr>
                    <w:jc w:val="center"/>
                    <w:rPr>
                      <w:rFonts w:hint="eastAsia" w:ascii="Times New Roman" w:hAnsi="Times New Roman" w:eastAsia="宋体"/>
                      <w:lang w:eastAsia="zh-CN"/>
                    </w:rPr>
                  </w:pPr>
                  <w:r>
                    <w:rPr>
                      <w:rFonts w:hint="eastAsia" w:ascii="Times New Roman" w:hAnsi="Times New Roman"/>
                      <w:lang w:val="en-US" w:eastAsia="zh-CN"/>
                    </w:rPr>
                    <w:t>2</w:t>
                  </w:r>
                </w:p>
              </w:tc>
              <w:tc>
                <w:tcPr>
                  <w:tcW w:w="801" w:type="dxa"/>
                  <w:vMerge w:val="restart"/>
                  <w:tcBorders>
                    <w:left w:val="single" w:color="auto" w:sz="4" w:space="0"/>
                    <w:right w:val="single" w:color="auto" w:sz="4" w:space="0"/>
                    <w:tl2br w:val="nil"/>
                    <w:tr2bl w:val="nil"/>
                  </w:tcBorders>
                  <w:vAlign w:val="center"/>
                </w:tcPr>
                <w:p w14:paraId="737FD2CD">
                  <w:pPr>
                    <w:jc w:val="center"/>
                    <w:rPr>
                      <w:rFonts w:hint="eastAsia" w:ascii="Times New Roman" w:hAnsi="Times New Roman" w:eastAsia="宋体"/>
                      <w:lang w:eastAsia="zh-CN"/>
                    </w:rPr>
                  </w:pPr>
                  <w:r>
                    <w:rPr>
                      <w:rFonts w:hint="eastAsia" w:ascii="Times New Roman" w:hAnsi="Times New Roman"/>
                      <w:lang w:val="en-US" w:eastAsia="zh-CN"/>
                    </w:rPr>
                    <w:t>2</w:t>
                  </w:r>
                </w:p>
              </w:tc>
              <w:tc>
                <w:tcPr>
                  <w:tcW w:w="936" w:type="dxa"/>
                  <w:tcBorders>
                    <w:bottom w:val="single" w:color="auto" w:sz="4" w:space="0"/>
                    <w:right w:val="single" w:color="auto" w:sz="4" w:space="0"/>
                    <w:tl2br w:val="nil"/>
                    <w:tr2bl w:val="nil"/>
                  </w:tcBorders>
                  <w:vAlign w:val="center"/>
                </w:tcPr>
                <w:p w14:paraId="11C66666">
                  <w:pPr>
                    <w:widowControl/>
                    <w:jc w:val="center"/>
                    <w:rPr>
                      <w:rFonts w:hint="default" w:ascii="Times New Roman" w:hAnsi="Times New Roman" w:eastAsia="宋体"/>
                      <w:lang w:val="en-US" w:eastAsia="zh-CN"/>
                    </w:rPr>
                  </w:pPr>
                  <w:r>
                    <w:rPr>
                      <w:rFonts w:hint="eastAsia" w:ascii="Times New Roman" w:hAnsi="Times New Roman"/>
                      <w:lang w:val="en-US" w:eastAsia="zh-CN"/>
                    </w:rPr>
                    <w:t>22.00</w:t>
                  </w:r>
                </w:p>
              </w:tc>
              <w:tc>
                <w:tcPr>
                  <w:tcW w:w="858" w:type="dxa"/>
                  <w:tcBorders>
                    <w:top w:val="single" w:color="auto" w:sz="4" w:space="0"/>
                    <w:left w:val="single" w:color="auto" w:sz="4" w:space="0"/>
                    <w:bottom w:val="single" w:color="auto" w:sz="4" w:space="0"/>
                    <w:right w:val="single" w:color="auto" w:sz="4" w:space="0"/>
                    <w:tl2br w:val="nil"/>
                    <w:tr2bl w:val="nil"/>
                  </w:tcBorders>
                  <w:vAlign w:val="center"/>
                </w:tcPr>
                <w:p w14:paraId="1B6BCBF2">
                  <w:pPr>
                    <w:widowControl/>
                    <w:jc w:val="center"/>
                    <w:rPr>
                      <w:rFonts w:hint="default" w:ascii="Times New Roman" w:hAnsi="Times New Roman" w:eastAsia="宋体"/>
                      <w:lang w:val="en-US" w:eastAsia="zh-CN"/>
                    </w:rPr>
                  </w:pPr>
                  <w:r>
                    <w:rPr>
                      <w:rFonts w:hint="eastAsia" w:ascii="Times New Roman" w:hAnsi="Times New Roman"/>
                      <w:lang w:val="en-US" w:eastAsia="zh-CN"/>
                    </w:rPr>
                    <w:t>22.00</w:t>
                  </w:r>
                </w:p>
              </w:tc>
              <w:tc>
                <w:tcPr>
                  <w:tcW w:w="720" w:type="dxa"/>
                  <w:vMerge w:val="restart"/>
                  <w:tcBorders>
                    <w:top w:val="single" w:color="auto" w:sz="4" w:space="0"/>
                    <w:left w:val="single" w:color="auto" w:sz="4" w:space="0"/>
                    <w:right w:val="single" w:color="auto" w:sz="4" w:space="0"/>
                    <w:tl2br w:val="nil"/>
                    <w:tr2bl w:val="nil"/>
                  </w:tcBorders>
                  <w:vAlign w:val="center"/>
                </w:tcPr>
                <w:p w14:paraId="28B1A7CD">
                  <w:pPr>
                    <w:widowControl/>
                    <w:jc w:val="center"/>
                    <w:rPr>
                      <w:rFonts w:hint="default" w:ascii="Times New Roman" w:hAnsi="Times New Roman" w:eastAsia="宋体"/>
                      <w:lang w:val="en-US" w:eastAsia="zh-CN"/>
                    </w:rPr>
                  </w:pPr>
                  <w:r>
                    <w:rPr>
                      <w:rFonts w:ascii="Times New Roman" w:hAnsi="Times New Roman"/>
                    </w:rPr>
                    <w:t>单名护士受照时间</w:t>
                  </w:r>
                  <w:r>
                    <w:rPr>
                      <w:rFonts w:hint="eastAsia" w:ascii="Times New Roman" w:hAnsi="Times New Roman"/>
                      <w:lang w:val="en-US" w:eastAsia="zh-CN"/>
                    </w:rPr>
                    <w:t>57.75</w:t>
                  </w:r>
                </w:p>
              </w:tc>
              <w:tc>
                <w:tcPr>
                  <w:tcW w:w="739" w:type="dxa"/>
                  <w:vMerge w:val="restart"/>
                  <w:tcBorders>
                    <w:top w:val="single" w:color="auto" w:sz="4" w:space="0"/>
                    <w:left w:val="single" w:color="auto" w:sz="4" w:space="0"/>
                    <w:tl2br w:val="nil"/>
                    <w:tr2bl w:val="nil"/>
                  </w:tcBorders>
                  <w:vAlign w:val="center"/>
                </w:tcPr>
                <w:p w14:paraId="6EAC6B46">
                  <w:pPr>
                    <w:widowControl/>
                    <w:jc w:val="center"/>
                    <w:rPr>
                      <w:rFonts w:hint="default" w:ascii="Times New Roman" w:hAnsi="Times New Roman" w:eastAsia="宋体"/>
                      <w:lang w:val="en-US" w:eastAsia="zh-CN"/>
                    </w:rPr>
                  </w:pPr>
                  <w:r>
                    <w:rPr>
                      <w:rFonts w:ascii="Times New Roman" w:hAnsi="Times New Roman"/>
                    </w:rPr>
                    <w:t>单名技师受照时间</w:t>
                  </w:r>
                  <w:r>
                    <w:rPr>
                      <w:rFonts w:hint="eastAsia" w:ascii="Times New Roman" w:hAnsi="Times New Roman"/>
                      <w:lang w:val="en-US" w:eastAsia="zh-CN"/>
                    </w:rPr>
                    <w:t>107.36</w:t>
                  </w:r>
                </w:p>
              </w:tc>
            </w:tr>
            <w:tr w14:paraId="28EFC6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758" w:type="dxa"/>
                  <w:tcBorders>
                    <w:tl2br w:val="nil"/>
                    <w:tr2bl w:val="nil"/>
                  </w:tcBorders>
                  <w:vAlign w:val="center"/>
                </w:tcPr>
                <w:p w14:paraId="5618E086">
                  <w:pPr>
                    <w:jc w:val="center"/>
                    <w:rPr>
                      <w:rFonts w:ascii="Times New Roman" w:hAnsi="Times New Roman"/>
                    </w:rPr>
                  </w:pPr>
                  <w:r>
                    <w:rPr>
                      <w:rFonts w:ascii="Times New Roman" w:hAnsi="Times New Roman"/>
                    </w:rPr>
                    <w:t>神经科</w:t>
                  </w:r>
                </w:p>
              </w:tc>
              <w:tc>
                <w:tcPr>
                  <w:tcW w:w="825" w:type="dxa"/>
                  <w:tcBorders>
                    <w:tl2br w:val="nil"/>
                    <w:tr2bl w:val="nil"/>
                  </w:tcBorders>
                  <w:vAlign w:val="center"/>
                </w:tcPr>
                <w:p w14:paraId="14152AA0">
                  <w:pPr>
                    <w:widowControl/>
                    <w:jc w:val="center"/>
                    <w:rPr>
                      <w:rFonts w:ascii="Times New Roman" w:hAnsi="Times New Roman"/>
                    </w:rPr>
                  </w:pPr>
                  <w:r>
                    <w:rPr>
                      <w:rFonts w:hint="eastAsia" w:ascii="Times New Roman" w:hAnsi="Times New Roman"/>
                      <w:lang w:val="en-US" w:eastAsia="zh-CN"/>
                    </w:rPr>
                    <w:t>2</w:t>
                  </w:r>
                  <w:r>
                    <w:rPr>
                      <w:rFonts w:hint="eastAsia" w:ascii="Times New Roman" w:hAnsi="Times New Roman"/>
                    </w:rPr>
                    <w:t>00</w:t>
                  </w:r>
                </w:p>
              </w:tc>
              <w:tc>
                <w:tcPr>
                  <w:tcW w:w="1095" w:type="dxa"/>
                  <w:tcBorders>
                    <w:tl2br w:val="nil"/>
                    <w:tr2bl w:val="nil"/>
                  </w:tcBorders>
                  <w:vAlign w:val="center"/>
                </w:tcPr>
                <w:p w14:paraId="08FE1B7D">
                  <w:pPr>
                    <w:widowControl/>
                    <w:jc w:val="center"/>
                    <w:rPr>
                      <w:rFonts w:ascii="Times New Roman" w:hAnsi="Times New Roman"/>
                    </w:rPr>
                  </w:pPr>
                  <w:r>
                    <w:rPr>
                      <w:rFonts w:hint="eastAsia" w:ascii="Times New Roman" w:hAnsi="Times New Roman"/>
                    </w:rPr>
                    <w:t>12</w:t>
                  </w:r>
                </w:p>
              </w:tc>
              <w:tc>
                <w:tcPr>
                  <w:tcW w:w="945" w:type="dxa"/>
                  <w:tcBorders>
                    <w:top w:val="single" w:color="auto" w:sz="4" w:space="0"/>
                    <w:bottom w:val="single" w:color="auto" w:sz="4" w:space="0"/>
                    <w:right w:val="single" w:color="auto" w:sz="4" w:space="0"/>
                    <w:tl2br w:val="nil"/>
                    <w:tr2bl w:val="nil"/>
                  </w:tcBorders>
                  <w:vAlign w:val="center"/>
                </w:tcPr>
                <w:p w14:paraId="285E0085">
                  <w:pPr>
                    <w:jc w:val="center"/>
                    <w:rPr>
                      <w:rFonts w:ascii="Times New Roman" w:hAnsi="Times New Roman"/>
                    </w:rPr>
                  </w:pPr>
                  <w:r>
                    <w:rPr>
                      <w:rFonts w:hint="eastAsia" w:ascii="Times New Roman" w:hAnsi="Times New Roman"/>
                    </w:rPr>
                    <w:t>2</w:t>
                  </w:r>
                </w:p>
              </w:tc>
              <w:tc>
                <w:tcPr>
                  <w:tcW w:w="960" w:type="dxa"/>
                  <w:tcBorders>
                    <w:top w:val="single" w:color="auto" w:sz="4" w:space="0"/>
                    <w:left w:val="single" w:color="auto" w:sz="4" w:space="0"/>
                    <w:bottom w:val="single" w:color="auto" w:sz="4" w:space="0"/>
                    <w:right w:val="single" w:color="auto" w:sz="4" w:space="0"/>
                    <w:tl2br w:val="nil"/>
                    <w:tr2bl w:val="nil"/>
                  </w:tcBorders>
                  <w:vAlign w:val="center"/>
                </w:tcPr>
                <w:p w14:paraId="5A253773">
                  <w:pPr>
                    <w:jc w:val="center"/>
                    <w:rPr>
                      <w:rFonts w:hint="eastAsia" w:ascii="Times New Roman" w:hAnsi="Times New Roman" w:eastAsia="宋体"/>
                      <w:lang w:eastAsia="zh-CN"/>
                    </w:rPr>
                  </w:pPr>
                  <w:r>
                    <w:rPr>
                      <w:rFonts w:hint="eastAsia" w:ascii="Times New Roman" w:hAnsi="Times New Roman"/>
                      <w:lang w:val="en-US" w:eastAsia="zh-CN"/>
                    </w:rPr>
                    <w:t>2</w:t>
                  </w:r>
                </w:p>
              </w:tc>
              <w:tc>
                <w:tcPr>
                  <w:tcW w:w="801" w:type="dxa"/>
                  <w:vMerge w:val="continue"/>
                  <w:tcBorders>
                    <w:left w:val="single" w:color="auto" w:sz="4" w:space="0"/>
                    <w:right w:val="single" w:color="auto" w:sz="4" w:space="0"/>
                    <w:tl2br w:val="nil"/>
                    <w:tr2bl w:val="nil"/>
                  </w:tcBorders>
                  <w:vAlign w:val="center"/>
                </w:tcPr>
                <w:p w14:paraId="130232F7">
                  <w:pPr>
                    <w:jc w:val="center"/>
                    <w:rPr>
                      <w:rFonts w:ascii="Times New Roman" w:hAnsi="Times New Roman"/>
                    </w:rPr>
                  </w:pPr>
                </w:p>
              </w:tc>
              <w:tc>
                <w:tcPr>
                  <w:tcW w:w="936" w:type="dxa"/>
                  <w:tcBorders>
                    <w:top w:val="single" w:color="auto" w:sz="4" w:space="0"/>
                    <w:bottom w:val="single" w:color="auto" w:sz="4" w:space="0"/>
                    <w:right w:val="single" w:color="auto" w:sz="4" w:space="0"/>
                    <w:tl2br w:val="nil"/>
                    <w:tr2bl w:val="nil"/>
                  </w:tcBorders>
                  <w:vAlign w:val="center"/>
                </w:tcPr>
                <w:p w14:paraId="715ED567">
                  <w:pPr>
                    <w:widowControl/>
                    <w:jc w:val="center"/>
                    <w:rPr>
                      <w:rFonts w:ascii="Times New Roman" w:hAnsi="Times New Roman"/>
                    </w:rPr>
                  </w:pPr>
                  <w:r>
                    <w:rPr>
                      <w:rFonts w:hint="eastAsia" w:ascii="Times New Roman" w:hAnsi="Times New Roman"/>
                      <w:lang w:val="en-US" w:eastAsia="zh-CN"/>
                    </w:rPr>
                    <w:t>22.00</w:t>
                  </w:r>
                </w:p>
              </w:tc>
              <w:tc>
                <w:tcPr>
                  <w:tcW w:w="858" w:type="dxa"/>
                  <w:tcBorders>
                    <w:top w:val="single" w:color="auto" w:sz="4" w:space="0"/>
                    <w:left w:val="single" w:color="auto" w:sz="4" w:space="0"/>
                    <w:bottom w:val="single" w:color="auto" w:sz="4" w:space="0"/>
                    <w:right w:val="single" w:color="auto" w:sz="4" w:space="0"/>
                    <w:tl2br w:val="nil"/>
                    <w:tr2bl w:val="nil"/>
                  </w:tcBorders>
                  <w:vAlign w:val="center"/>
                </w:tcPr>
                <w:p w14:paraId="5FC84931">
                  <w:pPr>
                    <w:widowControl/>
                    <w:jc w:val="center"/>
                    <w:rPr>
                      <w:rFonts w:ascii="Times New Roman" w:hAnsi="Times New Roman"/>
                    </w:rPr>
                  </w:pPr>
                  <w:r>
                    <w:rPr>
                      <w:rFonts w:hint="eastAsia" w:ascii="Times New Roman" w:hAnsi="Times New Roman"/>
                      <w:lang w:val="en-US" w:eastAsia="zh-CN"/>
                    </w:rPr>
                    <w:t>22.00</w:t>
                  </w:r>
                </w:p>
              </w:tc>
              <w:tc>
                <w:tcPr>
                  <w:tcW w:w="720" w:type="dxa"/>
                  <w:vMerge w:val="continue"/>
                  <w:tcBorders>
                    <w:left w:val="single" w:color="auto" w:sz="4" w:space="0"/>
                    <w:right w:val="single" w:color="auto" w:sz="4" w:space="0"/>
                    <w:tl2br w:val="nil"/>
                    <w:tr2bl w:val="nil"/>
                  </w:tcBorders>
                  <w:vAlign w:val="center"/>
                </w:tcPr>
                <w:p w14:paraId="77C8246C">
                  <w:pPr>
                    <w:autoSpaceDE w:val="0"/>
                    <w:autoSpaceDN w:val="0"/>
                    <w:jc w:val="center"/>
                    <w:rPr>
                      <w:rFonts w:ascii="Times New Roman" w:hAnsi="Times New Roman"/>
                    </w:rPr>
                  </w:pPr>
                </w:p>
              </w:tc>
              <w:tc>
                <w:tcPr>
                  <w:tcW w:w="739" w:type="dxa"/>
                  <w:vMerge w:val="continue"/>
                  <w:tcBorders>
                    <w:left w:val="single" w:color="auto" w:sz="4" w:space="0"/>
                    <w:tl2br w:val="nil"/>
                    <w:tr2bl w:val="nil"/>
                  </w:tcBorders>
                  <w:vAlign w:val="center"/>
                </w:tcPr>
                <w:p w14:paraId="701371A5">
                  <w:pPr>
                    <w:autoSpaceDE w:val="0"/>
                    <w:autoSpaceDN w:val="0"/>
                    <w:jc w:val="center"/>
                    <w:rPr>
                      <w:rFonts w:ascii="Times New Roman" w:hAnsi="Times New Roman"/>
                    </w:rPr>
                  </w:pPr>
                </w:p>
              </w:tc>
            </w:tr>
            <w:tr w14:paraId="13129C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23" w:hRule="atLeast"/>
                <w:jc w:val="center"/>
              </w:trPr>
              <w:tc>
                <w:tcPr>
                  <w:tcW w:w="758" w:type="dxa"/>
                  <w:tcBorders>
                    <w:tl2br w:val="nil"/>
                    <w:tr2bl w:val="nil"/>
                  </w:tcBorders>
                  <w:vAlign w:val="center"/>
                </w:tcPr>
                <w:p w14:paraId="3FF7BF1F">
                  <w:pPr>
                    <w:jc w:val="center"/>
                    <w:rPr>
                      <w:rFonts w:ascii="Times New Roman" w:hAnsi="Times New Roman"/>
                    </w:rPr>
                  </w:pPr>
                  <w:r>
                    <w:rPr>
                      <w:rFonts w:ascii="Times New Roman" w:hAnsi="Times New Roman"/>
                    </w:rPr>
                    <w:t>外周</w:t>
                  </w:r>
                </w:p>
              </w:tc>
              <w:tc>
                <w:tcPr>
                  <w:tcW w:w="825" w:type="dxa"/>
                  <w:tcBorders>
                    <w:tl2br w:val="nil"/>
                    <w:tr2bl w:val="nil"/>
                  </w:tcBorders>
                  <w:vAlign w:val="center"/>
                </w:tcPr>
                <w:p w14:paraId="0A59EE05">
                  <w:pPr>
                    <w:widowControl/>
                    <w:jc w:val="center"/>
                    <w:rPr>
                      <w:rFonts w:ascii="Times New Roman" w:hAnsi="Times New Roman"/>
                    </w:rPr>
                  </w:pPr>
                  <w:r>
                    <w:rPr>
                      <w:rFonts w:hint="eastAsia" w:ascii="Times New Roman" w:hAnsi="Times New Roman"/>
                      <w:lang w:val="en-US" w:eastAsia="zh-CN"/>
                    </w:rPr>
                    <w:t>1</w:t>
                  </w:r>
                  <w:r>
                    <w:rPr>
                      <w:rFonts w:hint="eastAsia" w:ascii="Times New Roman" w:hAnsi="Times New Roman"/>
                    </w:rPr>
                    <w:t>00</w:t>
                  </w:r>
                </w:p>
              </w:tc>
              <w:tc>
                <w:tcPr>
                  <w:tcW w:w="1095" w:type="dxa"/>
                  <w:tcBorders>
                    <w:tl2br w:val="nil"/>
                    <w:tr2bl w:val="nil"/>
                  </w:tcBorders>
                  <w:vAlign w:val="center"/>
                </w:tcPr>
                <w:p w14:paraId="365FDD9A">
                  <w:pPr>
                    <w:widowControl/>
                    <w:jc w:val="center"/>
                    <w:rPr>
                      <w:rFonts w:ascii="Times New Roman" w:hAnsi="Times New Roman"/>
                    </w:rPr>
                  </w:pPr>
                  <w:r>
                    <w:rPr>
                      <w:rFonts w:hint="eastAsia" w:ascii="Times New Roman" w:hAnsi="Times New Roman"/>
                    </w:rPr>
                    <w:t>15</w:t>
                  </w:r>
                </w:p>
              </w:tc>
              <w:tc>
                <w:tcPr>
                  <w:tcW w:w="945" w:type="dxa"/>
                  <w:tcBorders>
                    <w:top w:val="single" w:color="auto" w:sz="4" w:space="0"/>
                    <w:right w:val="single" w:color="auto" w:sz="4" w:space="0"/>
                    <w:tl2br w:val="nil"/>
                    <w:tr2bl w:val="nil"/>
                  </w:tcBorders>
                  <w:vAlign w:val="center"/>
                </w:tcPr>
                <w:p w14:paraId="0EB2A3B3">
                  <w:pPr>
                    <w:jc w:val="center"/>
                    <w:rPr>
                      <w:rFonts w:ascii="Times New Roman" w:hAnsi="Times New Roman"/>
                    </w:rPr>
                  </w:pPr>
                  <w:r>
                    <w:rPr>
                      <w:rFonts w:hint="eastAsia" w:ascii="Times New Roman" w:hAnsi="Times New Roman"/>
                    </w:rPr>
                    <w:t>2</w:t>
                  </w:r>
                </w:p>
              </w:tc>
              <w:tc>
                <w:tcPr>
                  <w:tcW w:w="960" w:type="dxa"/>
                  <w:tcBorders>
                    <w:top w:val="single" w:color="auto" w:sz="4" w:space="0"/>
                    <w:left w:val="single" w:color="auto" w:sz="4" w:space="0"/>
                    <w:right w:val="single" w:color="auto" w:sz="4" w:space="0"/>
                    <w:tl2br w:val="nil"/>
                    <w:tr2bl w:val="nil"/>
                  </w:tcBorders>
                  <w:vAlign w:val="center"/>
                </w:tcPr>
                <w:p w14:paraId="6CEF491F">
                  <w:pPr>
                    <w:jc w:val="center"/>
                    <w:rPr>
                      <w:rFonts w:hint="eastAsia" w:ascii="Times New Roman" w:hAnsi="Times New Roman" w:eastAsia="宋体"/>
                      <w:lang w:eastAsia="zh-CN"/>
                    </w:rPr>
                  </w:pPr>
                  <w:r>
                    <w:rPr>
                      <w:rFonts w:hint="eastAsia" w:ascii="Times New Roman" w:hAnsi="Times New Roman"/>
                      <w:lang w:val="en-US" w:eastAsia="zh-CN"/>
                    </w:rPr>
                    <w:t>1</w:t>
                  </w:r>
                </w:p>
              </w:tc>
              <w:tc>
                <w:tcPr>
                  <w:tcW w:w="801" w:type="dxa"/>
                  <w:vMerge w:val="continue"/>
                  <w:tcBorders>
                    <w:left w:val="single" w:color="auto" w:sz="4" w:space="0"/>
                    <w:right w:val="single" w:color="auto" w:sz="4" w:space="0"/>
                    <w:tl2br w:val="nil"/>
                    <w:tr2bl w:val="nil"/>
                  </w:tcBorders>
                  <w:vAlign w:val="center"/>
                </w:tcPr>
                <w:p w14:paraId="1D65D87A">
                  <w:pPr>
                    <w:jc w:val="center"/>
                    <w:rPr>
                      <w:rFonts w:ascii="Times New Roman" w:hAnsi="Times New Roman"/>
                    </w:rPr>
                  </w:pPr>
                </w:p>
              </w:tc>
              <w:tc>
                <w:tcPr>
                  <w:tcW w:w="936" w:type="dxa"/>
                  <w:tcBorders>
                    <w:top w:val="single" w:color="auto" w:sz="4" w:space="0"/>
                    <w:right w:val="single" w:color="auto" w:sz="4" w:space="0"/>
                    <w:tl2br w:val="nil"/>
                    <w:tr2bl w:val="nil"/>
                  </w:tcBorders>
                  <w:vAlign w:val="center"/>
                </w:tcPr>
                <w:p w14:paraId="344264FC">
                  <w:pPr>
                    <w:widowControl/>
                    <w:jc w:val="center"/>
                    <w:rPr>
                      <w:rFonts w:hint="default" w:ascii="Times New Roman" w:hAnsi="Times New Roman" w:eastAsia="宋体"/>
                      <w:lang w:val="en-US" w:eastAsia="zh-CN"/>
                    </w:rPr>
                  </w:pPr>
                  <w:r>
                    <w:rPr>
                      <w:rFonts w:hint="eastAsia" w:ascii="Times New Roman" w:hAnsi="Times New Roman"/>
                      <w:lang w:val="en-US" w:eastAsia="zh-CN"/>
                    </w:rPr>
                    <w:t>13.75</w:t>
                  </w:r>
                </w:p>
              </w:tc>
              <w:tc>
                <w:tcPr>
                  <w:tcW w:w="858" w:type="dxa"/>
                  <w:tcBorders>
                    <w:top w:val="single" w:color="auto" w:sz="4" w:space="0"/>
                    <w:left w:val="single" w:color="auto" w:sz="4" w:space="0"/>
                    <w:right w:val="single" w:color="auto" w:sz="4" w:space="0"/>
                    <w:tl2br w:val="nil"/>
                    <w:tr2bl w:val="nil"/>
                  </w:tcBorders>
                  <w:vAlign w:val="center"/>
                </w:tcPr>
                <w:p w14:paraId="2470E9C0">
                  <w:pPr>
                    <w:widowControl/>
                    <w:jc w:val="center"/>
                    <w:rPr>
                      <w:rFonts w:hint="default" w:ascii="Times New Roman" w:hAnsi="Times New Roman" w:eastAsia="宋体"/>
                      <w:lang w:val="en-US" w:eastAsia="zh-CN"/>
                    </w:rPr>
                  </w:pPr>
                  <w:r>
                    <w:rPr>
                      <w:rFonts w:hint="eastAsia" w:ascii="Times New Roman" w:hAnsi="Times New Roman"/>
                      <w:lang w:val="en-US" w:eastAsia="zh-CN"/>
                    </w:rPr>
                    <w:t>25</w:t>
                  </w:r>
                </w:p>
              </w:tc>
              <w:tc>
                <w:tcPr>
                  <w:tcW w:w="720" w:type="dxa"/>
                  <w:vMerge w:val="continue"/>
                  <w:tcBorders>
                    <w:left w:val="single" w:color="auto" w:sz="4" w:space="0"/>
                    <w:right w:val="single" w:color="auto" w:sz="4" w:space="0"/>
                    <w:tl2br w:val="nil"/>
                    <w:tr2bl w:val="nil"/>
                  </w:tcBorders>
                  <w:vAlign w:val="center"/>
                </w:tcPr>
                <w:p w14:paraId="62A64014">
                  <w:pPr>
                    <w:autoSpaceDE w:val="0"/>
                    <w:autoSpaceDN w:val="0"/>
                    <w:jc w:val="center"/>
                    <w:rPr>
                      <w:rFonts w:ascii="Times New Roman" w:hAnsi="Times New Roman"/>
                    </w:rPr>
                  </w:pPr>
                </w:p>
              </w:tc>
              <w:tc>
                <w:tcPr>
                  <w:tcW w:w="739" w:type="dxa"/>
                  <w:vMerge w:val="continue"/>
                  <w:tcBorders>
                    <w:left w:val="single" w:color="auto" w:sz="4" w:space="0"/>
                    <w:tl2br w:val="nil"/>
                    <w:tr2bl w:val="nil"/>
                  </w:tcBorders>
                  <w:vAlign w:val="center"/>
                </w:tcPr>
                <w:p w14:paraId="307D7611">
                  <w:pPr>
                    <w:autoSpaceDE w:val="0"/>
                    <w:autoSpaceDN w:val="0"/>
                    <w:jc w:val="center"/>
                    <w:rPr>
                      <w:rFonts w:ascii="Times New Roman" w:hAnsi="Times New Roman"/>
                    </w:rPr>
                  </w:pPr>
                </w:p>
              </w:tc>
            </w:tr>
            <w:tr w14:paraId="79776A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58" w:type="dxa"/>
                  <w:tcBorders>
                    <w:right w:val="single" w:color="auto" w:sz="4" w:space="0"/>
                    <w:tl2br w:val="nil"/>
                    <w:tr2bl w:val="nil"/>
                  </w:tcBorders>
                  <w:vAlign w:val="center"/>
                </w:tcPr>
                <w:p w14:paraId="266205C7">
                  <w:pPr>
                    <w:jc w:val="center"/>
                    <w:rPr>
                      <w:rFonts w:ascii="Times New Roman" w:hAnsi="Times New Roman"/>
                    </w:rPr>
                  </w:pPr>
                  <w:r>
                    <w:rPr>
                      <w:rFonts w:ascii="Times New Roman" w:hAnsi="Times New Roman"/>
                    </w:rPr>
                    <w:t>合计</w:t>
                  </w:r>
                </w:p>
              </w:tc>
              <w:tc>
                <w:tcPr>
                  <w:tcW w:w="825" w:type="dxa"/>
                  <w:tcBorders>
                    <w:left w:val="single" w:color="auto" w:sz="4" w:space="0"/>
                    <w:right w:val="single" w:color="auto" w:sz="4" w:space="0"/>
                    <w:tl2br w:val="nil"/>
                    <w:tr2bl w:val="nil"/>
                  </w:tcBorders>
                  <w:vAlign w:val="center"/>
                </w:tcPr>
                <w:p w14:paraId="050A5FE9">
                  <w:pPr>
                    <w:jc w:val="center"/>
                    <w:rPr>
                      <w:rFonts w:ascii="Times New Roman" w:hAnsi="Times New Roman"/>
                    </w:rPr>
                  </w:pPr>
                  <w:r>
                    <w:rPr>
                      <w:rFonts w:hint="eastAsia" w:ascii="Times New Roman" w:hAnsi="Times New Roman"/>
                      <w:lang w:val="en-US" w:eastAsia="zh-CN"/>
                    </w:rPr>
                    <w:t>5</w:t>
                  </w:r>
                  <w:r>
                    <w:rPr>
                      <w:rFonts w:hint="eastAsia" w:ascii="Times New Roman" w:hAnsi="Times New Roman"/>
                    </w:rPr>
                    <w:t>00</w:t>
                  </w:r>
                </w:p>
              </w:tc>
              <w:tc>
                <w:tcPr>
                  <w:tcW w:w="1095" w:type="dxa"/>
                  <w:tcBorders>
                    <w:left w:val="single" w:color="auto" w:sz="4" w:space="0"/>
                    <w:right w:val="single" w:color="auto" w:sz="4" w:space="0"/>
                    <w:tl2br w:val="nil"/>
                    <w:tr2bl w:val="nil"/>
                  </w:tcBorders>
                  <w:vAlign w:val="center"/>
                </w:tcPr>
                <w:p w14:paraId="4EFC08E0">
                  <w:pPr>
                    <w:jc w:val="center"/>
                    <w:rPr>
                      <w:rFonts w:ascii="Times New Roman" w:hAnsi="Times New Roman"/>
                    </w:rPr>
                  </w:pPr>
                  <w:r>
                    <w:rPr>
                      <w:rFonts w:ascii="Times New Roman" w:hAnsi="Times New Roman"/>
                    </w:rPr>
                    <w:t>/</w:t>
                  </w:r>
                </w:p>
              </w:tc>
              <w:tc>
                <w:tcPr>
                  <w:tcW w:w="945" w:type="dxa"/>
                  <w:tcBorders>
                    <w:left w:val="single" w:color="auto" w:sz="4" w:space="0"/>
                    <w:right w:val="single" w:color="auto" w:sz="4" w:space="0"/>
                    <w:tl2br w:val="nil"/>
                    <w:tr2bl w:val="nil"/>
                  </w:tcBorders>
                  <w:vAlign w:val="center"/>
                </w:tcPr>
                <w:p w14:paraId="360525FA">
                  <w:pPr>
                    <w:jc w:val="center"/>
                    <w:rPr>
                      <w:rFonts w:hint="eastAsia" w:ascii="Times New Roman" w:hAnsi="Times New Roman" w:eastAsia="宋体"/>
                      <w:lang w:eastAsia="zh-CN"/>
                    </w:rPr>
                  </w:pPr>
                  <w:r>
                    <w:rPr>
                      <w:rFonts w:hint="eastAsia" w:ascii="Times New Roman" w:hAnsi="Times New Roman"/>
                      <w:lang w:val="en-US" w:eastAsia="zh-CN"/>
                    </w:rPr>
                    <w:t>6</w:t>
                  </w:r>
                </w:p>
              </w:tc>
              <w:tc>
                <w:tcPr>
                  <w:tcW w:w="960" w:type="dxa"/>
                  <w:tcBorders>
                    <w:left w:val="single" w:color="auto" w:sz="4" w:space="0"/>
                    <w:right w:val="single" w:color="auto" w:sz="4" w:space="0"/>
                    <w:tl2br w:val="nil"/>
                    <w:tr2bl w:val="nil"/>
                  </w:tcBorders>
                  <w:vAlign w:val="center"/>
                </w:tcPr>
                <w:p w14:paraId="124CC188">
                  <w:pPr>
                    <w:jc w:val="center"/>
                    <w:rPr>
                      <w:rFonts w:hint="eastAsia" w:ascii="Times New Roman" w:hAnsi="Times New Roman" w:eastAsia="宋体"/>
                      <w:lang w:eastAsia="zh-CN"/>
                    </w:rPr>
                  </w:pPr>
                  <w:r>
                    <w:rPr>
                      <w:rFonts w:hint="eastAsia" w:ascii="Times New Roman" w:hAnsi="Times New Roman"/>
                      <w:lang w:val="en-US" w:eastAsia="zh-CN"/>
                    </w:rPr>
                    <w:t>5</w:t>
                  </w:r>
                </w:p>
              </w:tc>
              <w:tc>
                <w:tcPr>
                  <w:tcW w:w="801" w:type="dxa"/>
                  <w:tcBorders>
                    <w:left w:val="single" w:color="auto" w:sz="4" w:space="0"/>
                    <w:tl2br w:val="nil"/>
                    <w:tr2bl w:val="nil"/>
                  </w:tcBorders>
                  <w:vAlign w:val="center"/>
                </w:tcPr>
                <w:p w14:paraId="62369AF8">
                  <w:pPr>
                    <w:jc w:val="center"/>
                    <w:rPr>
                      <w:rFonts w:hint="eastAsia" w:ascii="Times New Roman" w:hAnsi="Times New Roman" w:eastAsia="宋体"/>
                      <w:lang w:eastAsia="zh-CN"/>
                    </w:rPr>
                  </w:pPr>
                  <w:r>
                    <w:rPr>
                      <w:rFonts w:hint="eastAsia" w:ascii="Times New Roman" w:hAnsi="Times New Roman"/>
                      <w:lang w:val="en-US" w:eastAsia="zh-CN"/>
                    </w:rPr>
                    <w:t>2</w:t>
                  </w:r>
                </w:p>
              </w:tc>
              <w:tc>
                <w:tcPr>
                  <w:tcW w:w="3253" w:type="dxa"/>
                  <w:gridSpan w:val="4"/>
                  <w:tcBorders>
                    <w:tl2br w:val="nil"/>
                    <w:tr2bl w:val="nil"/>
                  </w:tcBorders>
                  <w:vAlign w:val="center"/>
                </w:tcPr>
                <w:p w14:paraId="1C81DFF6">
                  <w:pPr>
                    <w:widowControl/>
                    <w:jc w:val="center"/>
                    <w:rPr>
                      <w:rFonts w:hint="default" w:ascii="Times New Roman" w:hAnsi="Times New Roman" w:eastAsia="宋体"/>
                      <w:lang w:val="en-US" w:eastAsia="zh-CN"/>
                    </w:rPr>
                  </w:pPr>
                  <w:r>
                    <w:rPr>
                      <w:rFonts w:hint="eastAsia" w:ascii="Times New Roman" w:hAnsi="Times New Roman"/>
                      <w:lang w:val="en-US" w:eastAsia="zh-CN"/>
                    </w:rPr>
                    <w:t>/</w:t>
                  </w:r>
                </w:p>
              </w:tc>
            </w:tr>
            <w:tr w14:paraId="4C2F7D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37" w:type="dxa"/>
                  <w:gridSpan w:val="10"/>
                  <w:tcBorders>
                    <w:tl2br w:val="nil"/>
                    <w:tr2bl w:val="nil"/>
                  </w:tcBorders>
                  <w:vAlign w:val="center"/>
                </w:tcPr>
                <w:p w14:paraId="655B073C">
                  <w:pPr>
                    <w:widowControl/>
                    <w:ind w:firstLine="420" w:firstLineChars="200"/>
                    <w:jc w:val="left"/>
                    <w:textAlignment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kern w:val="0"/>
                      <w:szCs w:val="21"/>
                      <w:lang w:bidi="ar"/>
                    </w:rPr>
                    <w:t>注：</w:t>
                  </w:r>
                  <w:r>
                    <w:rPr>
                      <w:rFonts w:hint="eastAsia" w:ascii="Times New Roman" w:hAnsi="Times New Roman"/>
                      <w:kern w:val="0"/>
                      <w:szCs w:val="21"/>
                      <w:lang w:val="en-US" w:eastAsia="zh-CN" w:bidi="ar"/>
                    </w:rPr>
                    <w:t>多组医护人员受照时间受现场排班影响可能不均匀，故按照单组平均受照时间的1.1倍计算</w:t>
                  </w:r>
                  <w:r>
                    <w:rPr>
                      <w:rFonts w:hint="eastAsia" w:ascii="Times New Roman" w:hAnsi="Times New Roman"/>
                      <w:szCs w:val="21"/>
                      <w:lang w:eastAsia="zh-CN"/>
                    </w:rPr>
                    <w:t>；</w:t>
                  </w:r>
                  <w:r>
                    <w:rPr>
                      <w:rFonts w:hint="eastAsia" w:ascii="Times New Roman" w:hAnsi="Times New Roman"/>
                      <w:szCs w:val="21"/>
                      <w:lang w:val="en-US" w:eastAsia="zh-CN"/>
                    </w:rPr>
                    <w:t>外周助手医生为一人，不进行1.1倍计算。</w:t>
                  </w:r>
                </w:p>
              </w:tc>
            </w:tr>
          </w:tbl>
          <w:p w14:paraId="32F87AC5">
            <w:pPr>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本项目所致保护目标最大年有效剂量理论预测结果见表11-</w:t>
            </w:r>
            <w:r>
              <w:rPr>
                <w:rFonts w:hint="eastAsia" w:ascii="Times New Roman" w:hAnsi="Times New Roman"/>
                <w:color w:val="000000" w:themeColor="text1"/>
                <w:sz w:val="24"/>
                <w:lang w:val="en-US" w:eastAsia="zh-CN"/>
                <w14:textFill>
                  <w14:solidFill>
                    <w14:schemeClr w14:val="tx1"/>
                  </w14:solidFill>
                </w14:textFill>
              </w:rPr>
              <w:t>9</w:t>
            </w:r>
            <w:r>
              <w:rPr>
                <w:rFonts w:ascii="Times New Roman" w:hAnsi="Times New Roman"/>
                <w:color w:val="000000" w:themeColor="text1"/>
                <w:sz w:val="24"/>
                <w14:textFill>
                  <w14:solidFill>
                    <w14:schemeClr w14:val="tx1"/>
                  </w14:solidFill>
                </w14:textFill>
              </w:rPr>
              <w:t>。</w:t>
            </w:r>
          </w:p>
          <w:p w14:paraId="6D97628E">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本项目各预测关注点理论预测最大受照剂量统计表</w:t>
            </w:r>
          </w:p>
          <w:tbl>
            <w:tblPr>
              <w:tblStyle w:val="23"/>
              <w:tblW w:w="867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963"/>
              <w:gridCol w:w="720"/>
              <w:gridCol w:w="1050"/>
              <w:gridCol w:w="945"/>
              <w:gridCol w:w="645"/>
              <w:gridCol w:w="1142"/>
              <w:gridCol w:w="1140"/>
              <w:gridCol w:w="402"/>
            </w:tblGrid>
            <w:tr w14:paraId="23D849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tcBorders>
                    <w:tl2br w:val="nil"/>
                    <w:tr2bl w:val="nil"/>
                  </w:tcBorders>
                  <w:vAlign w:val="center"/>
                </w:tcPr>
                <w:p w14:paraId="491325F0">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保护目标相对位置</w:t>
                  </w:r>
                </w:p>
              </w:tc>
              <w:tc>
                <w:tcPr>
                  <w:tcW w:w="1963" w:type="dxa"/>
                  <w:tcBorders>
                    <w:tl2br w:val="nil"/>
                    <w:tr2bl w:val="nil"/>
                  </w:tcBorders>
                  <w:vAlign w:val="center"/>
                </w:tcPr>
                <w:p w14:paraId="35C5D259">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关注点位描述</w:t>
                  </w:r>
                </w:p>
              </w:tc>
              <w:tc>
                <w:tcPr>
                  <w:tcW w:w="720" w:type="dxa"/>
                  <w:tcBorders>
                    <w:tl2br w:val="nil"/>
                    <w:tr2bl w:val="nil"/>
                  </w:tcBorders>
                  <w:vAlign w:val="center"/>
                </w:tcPr>
                <w:p w14:paraId="6929005B">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照射类型</w:t>
                  </w:r>
                </w:p>
              </w:tc>
              <w:tc>
                <w:tcPr>
                  <w:tcW w:w="1050" w:type="dxa"/>
                  <w:tcBorders>
                    <w:tl2br w:val="nil"/>
                    <w:tr2bl w:val="nil"/>
                  </w:tcBorders>
                  <w:vAlign w:val="center"/>
                </w:tcPr>
                <w:p w14:paraId="2A2FD76A">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综合剂量率（</w:t>
                  </w:r>
                  <w:r>
                    <w:rPr>
                      <w:rFonts w:ascii="Times New Roman" w:hAnsi="Times New Roman"/>
                      <w:bCs/>
                      <w:color w:val="000000" w:themeColor="text1"/>
                      <w:szCs w:val="21"/>
                      <w14:textFill>
                        <w14:solidFill>
                          <w14:schemeClr w14:val="tx1"/>
                        </w14:solidFill>
                      </w14:textFill>
                    </w:rPr>
                    <w:t>μ</w:t>
                  </w:r>
                  <w:r>
                    <w:rPr>
                      <w:rFonts w:ascii="Times New Roman" w:hAnsi="Times New Roman"/>
                      <w:b/>
                      <w:bCs/>
                      <w:color w:val="000000" w:themeColor="text1"/>
                      <w:szCs w:val="21"/>
                      <w14:textFill>
                        <w14:solidFill>
                          <w14:schemeClr w14:val="tx1"/>
                        </w14:solidFill>
                      </w14:textFill>
                    </w:rPr>
                    <w:t>Sv/h）</w:t>
                  </w:r>
                </w:p>
              </w:tc>
              <w:tc>
                <w:tcPr>
                  <w:tcW w:w="945" w:type="dxa"/>
                  <w:tcBorders>
                    <w:tl2br w:val="nil"/>
                    <w:tr2bl w:val="nil"/>
                  </w:tcBorders>
                  <w:vAlign w:val="center"/>
                </w:tcPr>
                <w:p w14:paraId="0243D4CD">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年最大受照时间（h）</w:t>
                  </w:r>
                </w:p>
              </w:tc>
              <w:tc>
                <w:tcPr>
                  <w:tcW w:w="645" w:type="dxa"/>
                  <w:tcBorders>
                    <w:tl2br w:val="nil"/>
                    <w:tr2bl w:val="nil"/>
                  </w:tcBorders>
                  <w:vAlign w:val="center"/>
                </w:tcPr>
                <w:p w14:paraId="57B5E0D5">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居留因子</w:t>
                  </w:r>
                </w:p>
              </w:tc>
              <w:tc>
                <w:tcPr>
                  <w:tcW w:w="1142" w:type="dxa"/>
                  <w:tcBorders>
                    <w:tl2br w:val="nil"/>
                    <w:tr2bl w:val="nil"/>
                  </w:tcBorders>
                  <w:vAlign w:val="center"/>
                </w:tcPr>
                <w:p w14:paraId="33F0B6F1">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辐射剂量（mSv/a）</w:t>
                  </w:r>
                </w:p>
              </w:tc>
              <w:tc>
                <w:tcPr>
                  <w:tcW w:w="1140" w:type="dxa"/>
                  <w:tcBorders>
                    <w:tl2br w:val="nil"/>
                    <w:tr2bl w:val="nil"/>
                  </w:tcBorders>
                  <w:vAlign w:val="center"/>
                </w:tcPr>
                <w:p w14:paraId="5633BE7F">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年总辐射剂量（mSv/a）</w:t>
                  </w:r>
                </w:p>
              </w:tc>
              <w:tc>
                <w:tcPr>
                  <w:tcW w:w="402" w:type="dxa"/>
                  <w:tcBorders>
                    <w:tl2br w:val="nil"/>
                    <w:tr2bl w:val="nil"/>
                  </w:tcBorders>
                  <w:vAlign w:val="center"/>
                </w:tcPr>
                <w:p w14:paraId="393D7D54">
                  <w:pPr>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备注</w:t>
                  </w:r>
                </w:p>
              </w:tc>
            </w:tr>
            <w:tr w14:paraId="0AFF14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restart"/>
                  <w:tcBorders>
                    <w:tl2br w:val="nil"/>
                    <w:tr2bl w:val="nil"/>
                  </w:tcBorders>
                  <w:vAlign w:val="center"/>
                </w:tcPr>
                <w:p w14:paraId="14288041">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DSA机房内</w:t>
                  </w:r>
                </w:p>
              </w:tc>
              <w:tc>
                <w:tcPr>
                  <w:tcW w:w="1963" w:type="dxa"/>
                  <w:tcBorders>
                    <w:tl2br w:val="nil"/>
                    <w:tr2bl w:val="nil"/>
                  </w:tcBorders>
                  <w:vAlign w:val="center"/>
                </w:tcPr>
                <w:p w14:paraId="5EEF0551">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rPr>
                    <w:t>DSA机房内主刀医生</w:t>
                  </w:r>
                </w:p>
              </w:tc>
              <w:tc>
                <w:tcPr>
                  <w:tcW w:w="720" w:type="dxa"/>
                  <w:tcBorders>
                    <w:tl2br w:val="nil"/>
                    <w:tr2bl w:val="nil"/>
                  </w:tcBorders>
                  <w:vAlign w:val="center"/>
                </w:tcPr>
                <w:p w14:paraId="04EBEB62">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41D30ED2">
                  <w:pPr>
                    <w:pStyle w:val="52"/>
                  </w:pPr>
                  <w:r>
                    <w:rPr>
                      <w:rFonts w:hint="default"/>
                      <w:lang w:val="en-US" w:eastAsia="zh-CN"/>
                    </w:rPr>
                    <w:t xml:space="preserve">67.88 </w:t>
                  </w:r>
                </w:p>
              </w:tc>
              <w:tc>
                <w:tcPr>
                  <w:tcW w:w="945" w:type="dxa"/>
                  <w:tcBorders>
                    <w:tl2br w:val="nil"/>
                    <w:tr2bl w:val="nil"/>
                  </w:tcBorders>
                  <w:vAlign w:val="center"/>
                </w:tcPr>
                <w:p w14:paraId="6A9DF150">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sz w:val="21"/>
                      <w:szCs w:val="21"/>
                      <w:lang w:val="en-US" w:eastAsia="zh-CN"/>
                    </w:rPr>
                    <w:t>22</w:t>
                  </w:r>
                  <w:r>
                    <w:rPr>
                      <w:rFonts w:hint="eastAsia" w:ascii="Times New Roman" w:hAnsi="Times New Roman"/>
                      <w:sz w:val="21"/>
                      <w:szCs w:val="21"/>
                    </w:rPr>
                    <w:t>.00</w:t>
                  </w:r>
                </w:p>
              </w:tc>
              <w:tc>
                <w:tcPr>
                  <w:tcW w:w="645" w:type="dxa"/>
                  <w:tcBorders>
                    <w:tl2br w:val="nil"/>
                    <w:tr2bl w:val="nil"/>
                  </w:tcBorders>
                  <w:vAlign w:val="center"/>
                </w:tcPr>
                <w:p w14:paraId="43DE03F7">
                  <w:pPr>
                    <w:autoSpaceDE w:val="0"/>
                    <w:autoSpaceDN w:val="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p>
              </w:tc>
              <w:tc>
                <w:tcPr>
                  <w:tcW w:w="1142" w:type="dxa"/>
                  <w:tcBorders>
                    <w:tl2br w:val="nil"/>
                    <w:tr2bl w:val="nil"/>
                  </w:tcBorders>
                  <w:vAlign w:val="center"/>
                </w:tcPr>
                <w:p w14:paraId="5EF9D25A">
                  <w:pPr>
                    <w:pStyle w:val="52"/>
                  </w:pPr>
                  <w:r>
                    <w:rPr>
                      <w:rFonts w:hint="default"/>
                      <w:lang w:val="en-US" w:eastAsia="zh-CN"/>
                    </w:rPr>
                    <w:t xml:space="preserve">1.49 </w:t>
                  </w:r>
                </w:p>
              </w:tc>
              <w:tc>
                <w:tcPr>
                  <w:tcW w:w="1140" w:type="dxa"/>
                  <w:tcBorders>
                    <w:tl2br w:val="nil"/>
                    <w:tr2bl w:val="nil"/>
                  </w:tcBorders>
                  <w:vAlign w:val="center"/>
                </w:tcPr>
                <w:p w14:paraId="2B38A037">
                  <w:pPr>
                    <w:pStyle w:val="52"/>
                  </w:pPr>
                  <w:r>
                    <w:rPr>
                      <w:rFonts w:hint="default"/>
                      <w:lang w:val="en-US" w:eastAsia="zh-CN"/>
                    </w:rPr>
                    <w:t xml:space="preserve">1.49 </w:t>
                  </w:r>
                </w:p>
              </w:tc>
              <w:tc>
                <w:tcPr>
                  <w:tcW w:w="402" w:type="dxa"/>
                  <w:tcBorders>
                    <w:tl2br w:val="nil"/>
                    <w:tr2bl w:val="nil"/>
                  </w:tcBorders>
                  <w:vAlign w:val="center"/>
                </w:tcPr>
                <w:p w14:paraId="78FB3730">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职业</w:t>
                  </w:r>
                </w:p>
              </w:tc>
            </w:tr>
            <w:tr w14:paraId="14848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2B86F920">
                  <w:pPr>
                    <w:jc w:val="center"/>
                    <w:rPr>
                      <w:rFonts w:ascii="Times New Roman" w:hAnsi="Times New Roman"/>
                      <w:color w:val="000000" w:themeColor="text1"/>
                      <w:szCs w:val="21"/>
                      <w14:textFill>
                        <w14:solidFill>
                          <w14:schemeClr w14:val="tx1"/>
                        </w14:solidFill>
                      </w14:textFill>
                    </w:rPr>
                  </w:pPr>
                </w:p>
              </w:tc>
              <w:tc>
                <w:tcPr>
                  <w:tcW w:w="1963" w:type="dxa"/>
                  <w:tcBorders>
                    <w:tl2br w:val="nil"/>
                    <w:tr2bl w:val="nil"/>
                  </w:tcBorders>
                  <w:vAlign w:val="center"/>
                </w:tcPr>
                <w:p w14:paraId="43ED9B4D">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rPr>
                    <w:t>DSA机房内助手医生</w:t>
                  </w:r>
                </w:p>
              </w:tc>
              <w:tc>
                <w:tcPr>
                  <w:tcW w:w="720" w:type="dxa"/>
                  <w:tcBorders>
                    <w:tl2br w:val="nil"/>
                    <w:tr2bl w:val="nil"/>
                  </w:tcBorders>
                  <w:vAlign w:val="center"/>
                </w:tcPr>
                <w:p w14:paraId="34EC289F">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6CEE7729">
                  <w:pPr>
                    <w:pStyle w:val="52"/>
                    <w:rPr>
                      <w:rFonts w:hint="default"/>
                      <w:lang w:val="en-US" w:eastAsia="zh-CN"/>
                    </w:rPr>
                  </w:pPr>
                  <w:r>
                    <w:rPr>
                      <w:rFonts w:hint="default"/>
                      <w:lang w:val="en-US" w:eastAsia="zh-CN"/>
                    </w:rPr>
                    <w:t xml:space="preserve">129.39 </w:t>
                  </w:r>
                </w:p>
              </w:tc>
              <w:tc>
                <w:tcPr>
                  <w:tcW w:w="945" w:type="dxa"/>
                  <w:tcBorders>
                    <w:tl2br w:val="nil"/>
                    <w:tr2bl w:val="nil"/>
                  </w:tcBorders>
                  <w:vAlign w:val="center"/>
                </w:tcPr>
                <w:p w14:paraId="525DA4C2">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sz w:val="21"/>
                      <w:szCs w:val="21"/>
                      <w:lang w:val="en-US" w:eastAsia="zh-CN"/>
                    </w:rPr>
                    <w:t>25</w:t>
                  </w:r>
                  <w:r>
                    <w:rPr>
                      <w:rFonts w:hint="eastAsia" w:ascii="Times New Roman" w:hAnsi="Times New Roman"/>
                      <w:sz w:val="21"/>
                      <w:szCs w:val="21"/>
                    </w:rPr>
                    <w:t>.00</w:t>
                  </w:r>
                </w:p>
              </w:tc>
              <w:tc>
                <w:tcPr>
                  <w:tcW w:w="645" w:type="dxa"/>
                  <w:tcBorders>
                    <w:tl2br w:val="nil"/>
                    <w:tr2bl w:val="nil"/>
                  </w:tcBorders>
                  <w:vAlign w:val="center"/>
                </w:tcPr>
                <w:p w14:paraId="2B150635">
                  <w:pPr>
                    <w:autoSpaceDE w:val="0"/>
                    <w:autoSpaceDN w:val="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p>
              </w:tc>
              <w:tc>
                <w:tcPr>
                  <w:tcW w:w="1142" w:type="dxa"/>
                  <w:tcBorders>
                    <w:tl2br w:val="nil"/>
                    <w:tr2bl w:val="nil"/>
                  </w:tcBorders>
                  <w:vAlign w:val="center"/>
                </w:tcPr>
                <w:p w14:paraId="77446717">
                  <w:pPr>
                    <w:pStyle w:val="52"/>
                  </w:pPr>
                  <w:r>
                    <w:rPr>
                      <w:rFonts w:hint="default"/>
                      <w:lang w:val="en-US" w:eastAsia="zh-CN"/>
                    </w:rPr>
                    <w:t xml:space="preserve">3.23 </w:t>
                  </w:r>
                </w:p>
              </w:tc>
              <w:tc>
                <w:tcPr>
                  <w:tcW w:w="1140" w:type="dxa"/>
                  <w:tcBorders>
                    <w:tl2br w:val="nil"/>
                    <w:tr2bl w:val="nil"/>
                  </w:tcBorders>
                  <w:vAlign w:val="center"/>
                </w:tcPr>
                <w:p w14:paraId="73354C1F">
                  <w:pPr>
                    <w:pStyle w:val="52"/>
                  </w:pPr>
                  <w:r>
                    <w:rPr>
                      <w:rFonts w:hint="default"/>
                      <w:lang w:val="en-US" w:eastAsia="zh-CN"/>
                    </w:rPr>
                    <w:t xml:space="preserve">3.23 </w:t>
                  </w:r>
                </w:p>
              </w:tc>
              <w:tc>
                <w:tcPr>
                  <w:tcW w:w="402" w:type="dxa"/>
                  <w:tcBorders>
                    <w:tl2br w:val="nil"/>
                    <w:tr2bl w:val="nil"/>
                  </w:tcBorders>
                  <w:vAlign w:val="center"/>
                </w:tcPr>
                <w:p w14:paraId="3CFC7A58">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职业</w:t>
                  </w:r>
                </w:p>
              </w:tc>
            </w:tr>
            <w:tr w14:paraId="0705C1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5FA87380">
                  <w:pPr>
                    <w:jc w:val="center"/>
                    <w:rPr>
                      <w:rFonts w:ascii="Times New Roman" w:hAnsi="Times New Roman"/>
                      <w:color w:val="000000" w:themeColor="text1"/>
                      <w:szCs w:val="21"/>
                      <w14:textFill>
                        <w14:solidFill>
                          <w14:schemeClr w14:val="tx1"/>
                        </w14:solidFill>
                      </w14:textFill>
                    </w:rPr>
                  </w:pPr>
                </w:p>
              </w:tc>
              <w:tc>
                <w:tcPr>
                  <w:tcW w:w="1963" w:type="dxa"/>
                  <w:tcBorders>
                    <w:tl2br w:val="nil"/>
                    <w:tr2bl w:val="nil"/>
                  </w:tcBorders>
                  <w:vAlign w:val="center"/>
                </w:tcPr>
                <w:p w14:paraId="334EB04E">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rPr>
                    <w:t>DSA机房内护士</w:t>
                  </w:r>
                </w:p>
              </w:tc>
              <w:tc>
                <w:tcPr>
                  <w:tcW w:w="720" w:type="dxa"/>
                  <w:tcBorders>
                    <w:tl2br w:val="nil"/>
                    <w:tr2bl w:val="nil"/>
                  </w:tcBorders>
                  <w:vAlign w:val="center"/>
                </w:tcPr>
                <w:p w14:paraId="106A2BFC">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07665A3A">
                  <w:pPr>
                    <w:pStyle w:val="52"/>
                  </w:pPr>
                  <w:r>
                    <w:rPr>
                      <w:rFonts w:hint="default"/>
                      <w:lang w:val="en-US" w:eastAsia="zh-CN"/>
                    </w:rPr>
                    <w:t xml:space="preserve">62.02 </w:t>
                  </w:r>
                </w:p>
              </w:tc>
              <w:tc>
                <w:tcPr>
                  <w:tcW w:w="945" w:type="dxa"/>
                  <w:tcBorders>
                    <w:tl2br w:val="nil"/>
                    <w:tr2bl w:val="nil"/>
                  </w:tcBorders>
                  <w:vAlign w:val="center"/>
                </w:tcPr>
                <w:p w14:paraId="7DE8CDDE">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sz w:val="21"/>
                      <w:szCs w:val="21"/>
                      <w:lang w:val="en-US" w:eastAsia="zh-CN"/>
                    </w:rPr>
                    <w:t>57.75</w:t>
                  </w:r>
                </w:p>
              </w:tc>
              <w:tc>
                <w:tcPr>
                  <w:tcW w:w="645" w:type="dxa"/>
                  <w:tcBorders>
                    <w:tl2br w:val="nil"/>
                    <w:tr2bl w:val="nil"/>
                  </w:tcBorders>
                  <w:vAlign w:val="center"/>
                </w:tcPr>
                <w:p w14:paraId="651F752D">
                  <w:pPr>
                    <w:autoSpaceDE w:val="0"/>
                    <w:autoSpaceDN w:val="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p>
              </w:tc>
              <w:tc>
                <w:tcPr>
                  <w:tcW w:w="1142" w:type="dxa"/>
                  <w:tcBorders>
                    <w:tl2br w:val="nil"/>
                    <w:tr2bl w:val="nil"/>
                  </w:tcBorders>
                  <w:vAlign w:val="center"/>
                </w:tcPr>
                <w:p w14:paraId="7556D249">
                  <w:pPr>
                    <w:pStyle w:val="52"/>
                  </w:pPr>
                  <w:r>
                    <w:rPr>
                      <w:rFonts w:hint="default"/>
                      <w:lang w:val="en-US" w:eastAsia="zh-CN"/>
                    </w:rPr>
                    <w:t xml:space="preserve">3.58 </w:t>
                  </w:r>
                </w:p>
              </w:tc>
              <w:tc>
                <w:tcPr>
                  <w:tcW w:w="1140" w:type="dxa"/>
                  <w:tcBorders>
                    <w:tl2br w:val="nil"/>
                    <w:tr2bl w:val="nil"/>
                  </w:tcBorders>
                  <w:vAlign w:val="center"/>
                </w:tcPr>
                <w:p w14:paraId="7E474726">
                  <w:pPr>
                    <w:pStyle w:val="52"/>
                  </w:pPr>
                  <w:r>
                    <w:rPr>
                      <w:rFonts w:hint="default"/>
                      <w:lang w:val="en-US" w:eastAsia="zh-CN"/>
                    </w:rPr>
                    <w:t xml:space="preserve">3.58 </w:t>
                  </w:r>
                </w:p>
              </w:tc>
              <w:tc>
                <w:tcPr>
                  <w:tcW w:w="402" w:type="dxa"/>
                  <w:tcBorders>
                    <w:tl2br w:val="nil"/>
                    <w:tr2bl w:val="nil"/>
                  </w:tcBorders>
                  <w:vAlign w:val="center"/>
                </w:tcPr>
                <w:p w14:paraId="00224F38">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职业</w:t>
                  </w:r>
                </w:p>
              </w:tc>
            </w:tr>
            <w:tr w14:paraId="473BAD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restart"/>
                  <w:tcBorders>
                    <w:tl2br w:val="nil"/>
                    <w:tr2bl w:val="nil"/>
                  </w:tcBorders>
                  <w:vAlign w:val="center"/>
                </w:tcPr>
                <w:p w14:paraId="1B646397">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DSA机房周围</w:t>
                  </w:r>
                </w:p>
              </w:tc>
              <w:tc>
                <w:tcPr>
                  <w:tcW w:w="1963" w:type="dxa"/>
                  <w:vMerge w:val="restart"/>
                  <w:tcBorders>
                    <w:tl2br w:val="nil"/>
                    <w:tr2bl w:val="nil"/>
                  </w:tcBorders>
                  <w:vAlign w:val="center"/>
                </w:tcPr>
                <w:p w14:paraId="6199E133">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rPr>
                    <w:t>北侧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污物暂存</w:t>
                  </w:r>
                  <w:r>
                    <w:rPr>
                      <w:rFonts w:hint="default" w:ascii="Times New Roman" w:hAnsi="Times New Roman" w:eastAsia="宋体" w:cs="Times New Roman"/>
                      <w:szCs w:val="21"/>
                    </w:rPr>
                    <w:t>）</w:t>
                  </w:r>
                </w:p>
              </w:tc>
              <w:tc>
                <w:tcPr>
                  <w:tcW w:w="720" w:type="dxa"/>
                  <w:tcBorders>
                    <w:tl2br w:val="nil"/>
                    <w:tr2bl w:val="nil"/>
                  </w:tcBorders>
                  <w:vAlign w:val="center"/>
                </w:tcPr>
                <w:p w14:paraId="4D8D55CF">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51AE77F6">
                  <w:pPr>
                    <w:pStyle w:val="52"/>
                  </w:pPr>
                  <w:r>
                    <w:rPr>
                      <w:rFonts w:hint="default"/>
                      <w:lang w:val="en-US" w:eastAsia="zh-CN"/>
                    </w:rPr>
                    <w:t>9.81E-04</w:t>
                  </w:r>
                </w:p>
              </w:tc>
              <w:tc>
                <w:tcPr>
                  <w:tcW w:w="945" w:type="dxa"/>
                  <w:tcBorders>
                    <w:tl2br w:val="nil"/>
                    <w:tr2bl w:val="nil"/>
                  </w:tcBorders>
                  <w:vAlign w:val="center"/>
                </w:tcPr>
                <w:p w14:paraId="4153B671">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105.00</w:t>
                  </w:r>
                </w:p>
              </w:tc>
              <w:tc>
                <w:tcPr>
                  <w:tcW w:w="645" w:type="dxa"/>
                  <w:tcBorders>
                    <w:tl2br w:val="nil"/>
                    <w:tr2bl w:val="nil"/>
                  </w:tcBorders>
                  <w:vAlign w:val="center"/>
                </w:tcPr>
                <w:p w14:paraId="3303C55E">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r>
                    <w:rPr>
                      <w:rFonts w:hint="eastAsia" w:ascii="Times New Roman" w:hAnsi="Times New Roman"/>
                      <w:color w:val="000000" w:themeColor="text1"/>
                      <w:sz w:val="21"/>
                      <w:szCs w:val="21"/>
                      <w:lang w:val="en-US" w:eastAsia="zh-CN"/>
                      <w14:textFill>
                        <w14:solidFill>
                          <w14:schemeClr w14:val="tx1"/>
                        </w14:solidFill>
                      </w14:textFill>
                    </w:rPr>
                    <w:t>16</w:t>
                  </w:r>
                </w:p>
              </w:tc>
              <w:tc>
                <w:tcPr>
                  <w:tcW w:w="1142" w:type="dxa"/>
                  <w:tcBorders>
                    <w:tl2br w:val="nil"/>
                    <w:tr2bl w:val="nil"/>
                  </w:tcBorders>
                  <w:vAlign w:val="center"/>
                </w:tcPr>
                <w:p w14:paraId="0D4FEFD5">
                  <w:pPr>
                    <w:pStyle w:val="52"/>
                  </w:pPr>
                  <w:r>
                    <w:rPr>
                      <w:rFonts w:hint="default"/>
                      <w:lang w:val="en-US" w:eastAsia="zh-CN"/>
                    </w:rPr>
                    <w:t>6.44E-06</w:t>
                  </w:r>
                </w:p>
              </w:tc>
              <w:tc>
                <w:tcPr>
                  <w:tcW w:w="1140" w:type="dxa"/>
                  <w:vMerge w:val="restart"/>
                  <w:tcBorders>
                    <w:tl2br w:val="nil"/>
                    <w:tr2bl w:val="nil"/>
                  </w:tcBorders>
                  <w:vAlign w:val="center"/>
                </w:tcPr>
                <w:p w14:paraId="72779A19">
                  <w:pPr>
                    <w:pStyle w:val="52"/>
                  </w:pPr>
                  <w:r>
                    <w:rPr>
                      <w:rFonts w:hint="default"/>
                      <w:lang w:val="en-US" w:eastAsia="zh-CN"/>
                    </w:rPr>
                    <w:t>2.24E-05</w:t>
                  </w:r>
                </w:p>
              </w:tc>
              <w:tc>
                <w:tcPr>
                  <w:tcW w:w="402" w:type="dxa"/>
                  <w:vMerge w:val="restart"/>
                  <w:tcBorders>
                    <w:tl2br w:val="nil"/>
                    <w:tr2bl w:val="nil"/>
                  </w:tcBorders>
                  <w:vAlign w:val="center"/>
                </w:tcPr>
                <w:p w14:paraId="0E476A7C">
                  <w:pPr>
                    <w:jc w:val="center"/>
                    <w:rPr>
                      <w:rFonts w:hint="eastAsia"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公众</w:t>
                  </w:r>
                </w:p>
              </w:tc>
            </w:tr>
            <w:tr w14:paraId="7ECD42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11A3EAD7">
                  <w:pPr>
                    <w:jc w:val="center"/>
                    <w:rPr>
                      <w:rFonts w:ascii="Times New Roman" w:hAnsi="Times New Roman"/>
                      <w:color w:val="000000" w:themeColor="text1"/>
                      <w:szCs w:val="21"/>
                      <w14:textFill>
                        <w14:solidFill>
                          <w14:schemeClr w14:val="tx1"/>
                        </w14:solidFill>
                      </w14:textFill>
                    </w:rPr>
                  </w:pPr>
                </w:p>
              </w:tc>
              <w:tc>
                <w:tcPr>
                  <w:tcW w:w="1963" w:type="dxa"/>
                  <w:vMerge w:val="continue"/>
                  <w:tcBorders>
                    <w:tl2br w:val="nil"/>
                    <w:tr2bl w:val="nil"/>
                  </w:tcBorders>
                  <w:vAlign w:val="center"/>
                </w:tcPr>
                <w:p w14:paraId="722710D4">
                  <w:pPr>
                    <w:jc w:val="center"/>
                    <w:rPr>
                      <w:rFonts w:ascii="Times New Roman" w:hAnsi="Times New Roman"/>
                      <w:color w:val="000000" w:themeColor="text1"/>
                      <w:szCs w:val="21"/>
                      <w14:textFill>
                        <w14:solidFill>
                          <w14:schemeClr w14:val="tx1"/>
                        </w14:solidFill>
                      </w14:textFill>
                    </w:rPr>
                  </w:pPr>
                </w:p>
              </w:tc>
              <w:tc>
                <w:tcPr>
                  <w:tcW w:w="720" w:type="dxa"/>
                  <w:tcBorders>
                    <w:tl2br w:val="nil"/>
                    <w:tr2bl w:val="nil"/>
                  </w:tcBorders>
                  <w:vAlign w:val="center"/>
                </w:tcPr>
                <w:p w14:paraId="2943DD2F">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50" w:type="dxa"/>
                  <w:tcBorders>
                    <w:tl2br w:val="nil"/>
                    <w:tr2bl w:val="nil"/>
                  </w:tcBorders>
                  <w:vAlign w:val="center"/>
                </w:tcPr>
                <w:p w14:paraId="6906561F">
                  <w:pPr>
                    <w:pStyle w:val="52"/>
                  </w:pPr>
                  <w:r>
                    <w:rPr>
                      <w:rFonts w:hint="default"/>
                      <w:lang w:val="en-US" w:eastAsia="zh-CN"/>
                    </w:rPr>
                    <w:t>1.08E-01</w:t>
                  </w:r>
                </w:p>
              </w:tc>
              <w:tc>
                <w:tcPr>
                  <w:tcW w:w="945" w:type="dxa"/>
                  <w:tcBorders>
                    <w:tl2br w:val="nil"/>
                    <w:tr2bl w:val="nil"/>
                  </w:tcBorders>
                  <w:vAlign w:val="center"/>
                </w:tcPr>
                <w:p w14:paraId="7FCBDC8A">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2.36</w:t>
                  </w:r>
                </w:p>
              </w:tc>
              <w:tc>
                <w:tcPr>
                  <w:tcW w:w="645" w:type="dxa"/>
                  <w:tcBorders>
                    <w:tl2br w:val="nil"/>
                    <w:tr2bl w:val="nil"/>
                  </w:tcBorders>
                  <w:vAlign w:val="center"/>
                </w:tcPr>
                <w:p w14:paraId="7467CC5F">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r>
                    <w:rPr>
                      <w:rFonts w:hint="eastAsia" w:ascii="Times New Roman" w:hAnsi="Times New Roman"/>
                      <w:color w:val="000000" w:themeColor="text1"/>
                      <w:sz w:val="21"/>
                      <w:szCs w:val="21"/>
                      <w:lang w:val="en-US" w:eastAsia="zh-CN"/>
                      <w14:textFill>
                        <w14:solidFill>
                          <w14:schemeClr w14:val="tx1"/>
                        </w14:solidFill>
                      </w14:textFill>
                    </w:rPr>
                    <w:t>16</w:t>
                  </w:r>
                </w:p>
              </w:tc>
              <w:tc>
                <w:tcPr>
                  <w:tcW w:w="1142" w:type="dxa"/>
                  <w:tcBorders>
                    <w:tl2br w:val="nil"/>
                    <w:tr2bl w:val="nil"/>
                  </w:tcBorders>
                  <w:vAlign w:val="center"/>
                </w:tcPr>
                <w:p w14:paraId="04D2353A">
                  <w:pPr>
                    <w:pStyle w:val="52"/>
                  </w:pPr>
                  <w:r>
                    <w:rPr>
                      <w:rFonts w:hint="default"/>
                      <w:lang w:val="en-US" w:eastAsia="zh-CN"/>
                    </w:rPr>
                    <w:t>1.59E-05</w:t>
                  </w:r>
                </w:p>
              </w:tc>
              <w:tc>
                <w:tcPr>
                  <w:tcW w:w="1140" w:type="dxa"/>
                  <w:vMerge w:val="continue"/>
                  <w:tcBorders>
                    <w:tl2br w:val="nil"/>
                    <w:tr2bl w:val="nil"/>
                  </w:tcBorders>
                  <w:vAlign w:val="center"/>
                </w:tcPr>
                <w:p w14:paraId="30801ACB">
                  <w:pPr>
                    <w:pStyle w:val="52"/>
                    <w:bidi w:val="0"/>
                  </w:pPr>
                </w:p>
              </w:tc>
              <w:tc>
                <w:tcPr>
                  <w:tcW w:w="402" w:type="dxa"/>
                  <w:vMerge w:val="continue"/>
                  <w:tcBorders>
                    <w:tl2br w:val="nil"/>
                    <w:tr2bl w:val="nil"/>
                  </w:tcBorders>
                  <w:vAlign w:val="center"/>
                </w:tcPr>
                <w:p w14:paraId="351E66F5">
                  <w:pPr>
                    <w:jc w:val="center"/>
                    <w:rPr>
                      <w:rFonts w:ascii="Times New Roman" w:hAnsi="Times New Roman"/>
                      <w:color w:val="000000" w:themeColor="text1"/>
                      <w:szCs w:val="21"/>
                      <w14:textFill>
                        <w14:solidFill>
                          <w14:schemeClr w14:val="tx1"/>
                        </w14:solidFill>
                      </w14:textFill>
                    </w:rPr>
                  </w:pPr>
                </w:p>
              </w:tc>
            </w:tr>
            <w:tr w14:paraId="41FAC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14A86141">
                  <w:pPr>
                    <w:jc w:val="center"/>
                    <w:rPr>
                      <w:rFonts w:ascii="Times New Roman" w:hAnsi="Times New Roman"/>
                      <w:color w:val="000000" w:themeColor="text1"/>
                      <w:szCs w:val="21"/>
                      <w14:textFill>
                        <w14:solidFill>
                          <w14:schemeClr w14:val="tx1"/>
                        </w14:solidFill>
                      </w14:textFill>
                    </w:rPr>
                  </w:pPr>
                </w:p>
              </w:tc>
              <w:tc>
                <w:tcPr>
                  <w:tcW w:w="1963" w:type="dxa"/>
                  <w:vMerge w:val="restart"/>
                  <w:tcBorders>
                    <w:tl2br w:val="nil"/>
                    <w:tr2bl w:val="nil"/>
                  </w:tcBorders>
                  <w:vAlign w:val="center"/>
                </w:tcPr>
                <w:p w14:paraId="4F12A887">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s="Times New Roman"/>
                      <w:szCs w:val="21"/>
                      <w:lang w:val="en-US" w:eastAsia="zh-CN"/>
                    </w:rPr>
                    <w:t>北侧墙体</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设备间</w:t>
                  </w:r>
                  <w:r>
                    <w:rPr>
                      <w:rFonts w:hint="default" w:ascii="Times New Roman" w:hAnsi="Times New Roman" w:eastAsia="宋体" w:cs="Times New Roman"/>
                      <w:szCs w:val="21"/>
                    </w:rPr>
                    <w:t>）</w:t>
                  </w:r>
                </w:p>
              </w:tc>
              <w:tc>
                <w:tcPr>
                  <w:tcW w:w="720" w:type="dxa"/>
                  <w:tcBorders>
                    <w:tl2br w:val="nil"/>
                    <w:tr2bl w:val="nil"/>
                  </w:tcBorders>
                  <w:vAlign w:val="center"/>
                </w:tcPr>
                <w:p w14:paraId="4D9F1BC8">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50284DA0">
                  <w:pPr>
                    <w:pStyle w:val="52"/>
                  </w:pPr>
                  <w:r>
                    <w:rPr>
                      <w:rFonts w:hint="default"/>
                      <w:lang w:val="en-US" w:eastAsia="zh-CN"/>
                    </w:rPr>
                    <w:t>3.42E-05</w:t>
                  </w:r>
                </w:p>
              </w:tc>
              <w:tc>
                <w:tcPr>
                  <w:tcW w:w="945" w:type="dxa"/>
                  <w:tcBorders>
                    <w:tl2br w:val="nil"/>
                    <w:tr2bl w:val="nil"/>
                  </w:tcBorders>
                  <w:vAlign w:val="center"/>
                </w:tcPr>
                <w:p w14:paraId="74852F21">
                  <w:pPr>
                    <w:autoSpaceDE w:val="0"/>
                    <w:autoSpaceDN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105.00</w:t>
                  </w:r>
                </w:p>
              </w:tc>
              <w:tc>
                <w:tcPr>
                  <w:tcW w:w="645" w:type="dxa"/>
                  <w:tcBorders>
                    <w:tl2br w:val="nil"/>
                    <w:tr2bl w:val="nil"/>
                  </w:tcBorders>
                  <w:vAlign w:val="center"/>
                </w:tcPr>
                <w:p w14:paraId="4DE554D3">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r>
                    <w:rPr>
                      <w:rFonts w:hint="eastAsia" w:ascii="Times New Roman" w:hAnsi="Times New Roman"/>
                      <w:color w:val="000000" w:themeColor="text1"/>
                      <w:sz w:val="21"/>
                      <w:szCs w:val="21"/>
                      <w:lang w:val="en-US" w:eastAsia="zh-CN"/>
                      <w14:textFill>
                        <w14:solidFill>
                          <w14:schemeClr w14:val="tx1"/>
                        </w14:solidFill>
                      </w14:textFill>
                    </w:rPr>
                    <w:t>16</w:t>
                  </w:r>
                </w:p>
              </w:tc>
              <w:tc>
                <w:tcPr>
                  <w:tcW w:w="1142" w:type="dxa"/>
                  <w:tcBorders>
                    <w:tl2br w:val="nil"/>
                    <w:tr2bl w:val="nil"/>
                  </w:tcBorders>
                  <w:vAlign w:val="center"/>
                </w:tcPr>
                <w:p w14:paraId="442DB4CB">
                  <w:pPr>
                    <w:pStyle w:val="52"/>
                  </w:pPr>
                  <w:r>
                    <w:rPr>
                      <w:rFonts w:hint="default"/>
                      <w:lang w:val="en-US" w:eastAsia="zh-CN"/>
                    </w:rPr>
                    <w:t>2.24E-07</w:t>
                  </w:r>
                </w:p>
              </w:tc>
              <w:tc>
                <w:tcPr>
                  <w:tcW w:w="1140" w:type="dxa"/>
                  <w:vMerge w:val="restart"/>
                  <w:tcBorders>
                    <w:tl2br w:val="nil"/>
                    <w:tr2bl w:val="nil"/>
                  </w:tcBorders>
                  <w:vAlign w:val="center"/>
                </w:tcPr>
                <w:p w14:paraId="40E84FCB">
                  <w:pPr>
                    <w:pStyle w:val="52"/>
                  </w:pPr>
                  <w:r>
                    <w:rPr>
                      <w:rFonts w:hint="default"/>
                      <w:lang w:val="en-US" w:eastAsia="zh-CN"/>
                    </w:rPr>
                    <w:t>1.28E-06</w:t>
                  </w:r>
                </w:p>
              </w:tc>
              <w:tc>
                <w:tcPr>
                  <w:tcW w:w="402" w:type="dxa"/>
                  <w:vMerge w:val="restart"/>
                  <w:tcBorders>
                    <w:tl2br w:val="nil"/>
                    <w:tr2bl w:val="nil"/>
                  </w:tcBorders>
                  <w:vAlign w:val="center"/>
                </w:tcPr>
                <w:p w14:paraId="007CEA5F">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公众</w:t>
                  </w:r>
                </w:p>
              </w:tc>
            </w:tr>
            <w:tr w14:paraId="01F82C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221C478B">
                  <w:pPr>
                    <w:jc w:val="center"/>
                    <w:rPr>
                      <w:rFonts w:ascii="Times New Roman" w:hAnsi="Times New Roman"/>
                      <w:color w:val="000000" w:themeColor="text1"/>
                      <w:szCs w:val="21"/>
                      <w14:textFill>
                        <w14:solidFill>
                          <w14:schemeClr w14:val="tx1"/>
                        </w14:solidFill>
                      </w14:textFill>
                    </w:rPr>
                  </w:pPr>
                </w:p>
              </w:tc>
              <w:tc>
                <w:tcPr>
                  <w:tcW w:w="1963" w:type="dxa"/>
                  <w:vMerge w:val="continue"/>
                  <w:tcBorders>
                    <w:tl2br w:val="nil"/>
                    <w:tr2bl w:val="nil"/>
                  </w:tcBorders>
                  <w:vAlign w:val="center"/>
                </w:tcPr>
                <w:p w14:paraId="21828BC7">
                  <w:pPr>
                    <w:jc w:val="center"/>
                    <w:rPr>
                      <w:rFonts w:ascii="Times New Roman" w:hAnsi="Times New Roman"/>
                      <w:color w:val="000000" w:themeColor="text1"/>
                      <w:szCs w:val="21"/>
                      <w14:textFill>
                        <w14:solidFill>
                          <w14:schemeClr w14:val="tx1"/>
                        </w14:solidFill>
                      </w14:textFill>
                    </w:rPr>
                  </w:pPr>
                </w:p>
              </w:tc>
              <w:tc>
                <w:tcPr>
                  <w:tcW w:w="720" w:type="dxa"/>
                  <w:tcBorders>
                    <w:tl2br w:val="nil"/>
                    <w:tr2bl w:val="nil"/>
                  </w:tcBorders>
                  <w:vAlign w:val="center"/>
                </w:tcPr>
                <w:p w14:paraId="4B1A7D81">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50" w:type="dxa"/>
                  <w:tcBorders>
                    <w:tl2br w:val="nil"/>
                    <w:tr2bl w:val="nil"/>
                  </w:tcBorders>
                  <w:vAlign w:val="center"/>
                </w:tcPr>
                <w:p w14:paraId="16DCAFC9">
                  <w:pPr>
                    <w:pStyle w:val="52"/>
                  </w:pPr>
                  <w:r>
                    <w:rPr>
                      <w:rFonts w:hint="default"/>
                      <w:lang w:val="en-US" w:eastAsia="zh-CN"/>
                    </w:rPr>
                    <w:t>7.14E-03</w:t>
                  </w:r>
                </w:p>
              </w:tc>
              <w:tc>
                <w:tcPr>
                  <w:tcW w:w="945" w:type="dxa"/>
                  <w:tcBorders>
                    <w:tl2br w:val="nil"/>
                    <w:tr2bl w:val="nil"/>
                  </w:tcBorders>
                  <w:vAlign w:val="center"/>
                </w:tcPr>
                <w:p w14:paraId="05800237">
                  <w:pPr>
                    <w:autoSpaceDE w:val="0"/>
                    <w:autoSpaceDN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2.36</w:t>
                  </w:r>
                </w:p>
              </w:tc>
              <w:tc>
                <w:tcPr>
                  <w:tcW w:w="645" w:type="dxa"/>
                  <w:tcBorders>
                    <w:tl2br w:val="nil"/>
                    <w:tr2bl w:val="nil"/>
                  </w:tcBorders>
                  <w:vAlign w:val="center"/>
                </w:tcPr>
                <w:p w14:paraId="214748AD">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r>
                    <w:rPr>
                      <w:rFonts w:hint="eastAsia" w:ascii="Times New Roman" w:hAnsi="Times New Roman"/>
                      <w:color w:val="000000" w:themeColor="text1"/>
                      <w:sz w:val="21"/>
                      <w:szCs w:val="21"/>
                      <w:lang w:val="en-US" w:eastAsia="zh-CN"/>
                      <w14:textFill>
                        <w14:solidFill>
                          <w14:schemeClr w14:val="tx1"/>
                        </w14:solidFill>
                      </w14:textFill>
                    </w:rPr>
                    <w:t>16</w:t>
                  </w:r>
                </w:p>
              </w:tc>
              <w:tc>
                <w:tcPr>
                  <w:tcW w:w="1142" w:type="dxa"/>
                  <w:tcBorders>
                    <w:tl2br w:val="nil"/>
                    <w:tr2bl w:val="nil"/>
                  </w:tcBorders>
                  <w:vAlign w:val="center"/>
                </w:tcPr>
                <w:p w14:paraId="588CA0E5">
                  <w:pPr>
                    <w:pStyle w:val="52"/>
                  </w:pPr>
                  <w:r>
                    <w:rPr>
                      <w:rFonts w:hint="default"/>
                      <w:lang w:val="en-US" w:eastAsia="zh-CN"/>
                    </w:rPr>
                    <w:t>1.05E-06</w:t>
                  </w:r>
                </w:p>
              </w:tc>
              <w:tc>
                <w:tcPr>
                  <w:tcW w:w="1140" w:type="dxa"/>
                  <w:vMerge w:val="continue"/>
                  <w:tcBorders>
                    <w:tl2br w:val="nil"/>
                    <w:tr2bl w:val="nil"/>
                  </w:tcBorders>
                  <w:vAlign w:val="center"/>
                </w:tcPr>
                <w:p w14:paraId="44E05AEF">
                  <w:pPr>
                    <w:pStyle w:val="52"/>
                    <w:bidi w:val="0"/>
                  </w:pPr>
                </w:p>
              </w:tc>
              <w:tc>
                <w:tcPr>
                  <w:tcW w:w="402" w:type="dxa"/>
                  <w:vMerge w:val="continue"/>
                  <w:tcBorders>
                    <w:tl2br w:val="nil"/>
                    <w:tr2bl w:val="nil"/>
                  </w:tcBorders>
                  <w:vAlign w:val="center"/>
                </w:tcPr>
                <w:p w14:paraId="214511FE">
                  <w:pPr>
                    <w:jc w:val="center"/>
                    <w:rPr>
                      <w:rFonts w:ascii="Times New Roman" w:hAnsi="Times New Roman"/>
                      <w:color w:val="000000" w:themeColor="text1"/>
                      <w:szCs w:val="21"/>
                      <w14:textFill>
                        <w14:solidFill>
                          <w14:schemeClr w14:val="tx1"/>
                        </w14:solidFill>
                      </w14:textFill>
                    </w:rPr>
                  </w:pPr>
                </w:p>
              </w:tc>
            </w:tr>
            <w:tr w14:paraId="532B83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28AE1CA9">
                  <w:pPr>
                    <w:jc w:val="center"/>
                    <w:rPr>
                      <w:rFonts w:ascii="Times New Roman" w:hAnsi="Times New Roman"/>
                      <w:color w:val="000000" w:themeColor="text1"/>
                      <w:szCs w:val="21"/>
                      <w14:textFill>
                        <w14:solidFill>
                          <w14:schemeClr w14:val="tx1"/>
                        </w14:solidFill>
                      </w14:textFill>
                    </w:rPr>
                  </w:pPr>
                </w:p>
              </w:tc>
              <w:tc>
                <w:tcPr>
                  <w:tcW w:w="1963" w:type="dxa"/>
                  <w:vMerge w:val="restart"/>
                  <w:tcBorders>
                    <w:tl2br w:val="nil"/>
                    <w:tr2bl w:val="nil"/>
                  </w:tcBorders>
                  <w:vAlign w:val="center"/>
                </w:tcPr>
                <w:p w14:paraId="39BE5DCE">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s="Times New Roman"/>
                      <w:szCs w:val="21"/>
                      <w:lang w:val="en-US" w:eastAsia="zh-CN"/>
                    </w:rPr>
                    <w:t>西</w:t>
                  </w:r>
                  <w:r>
                    <w:rPr>
                      <w:rFonts w:hint="default" w:ascii="Times New Roman" w:hAnsi="Times New Roman" w:eastAsia="宋体" w:cs="Times New Roman"/>
                      <w:szCs w:val="21"/>
                    </w:rPr>
                    <w:t>北侧</w:t>
                  </w:r>
                  <w:r>
                    <w:rPr>
                      <w:rFonts w:hint="eastAsia" w:ascii="Times New Roman" w:hAnsi="Times New Roman" w:cs="Times New Roman"/>
                      <w:szCs w:val="21"/>
                      <w:lang w:val="en-US" w:eastAsia="zh-CN"/>
                    </w:rPr>
                    <w:t>门</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病人准备</w:t>
                  </w:r>
                  <w:r>
                    <w:rPr>
                      <w:rFonts w:hint="default" w:ascii="Times New Roman" w:hAnsi="Times New Roman" w:eastAsia="宋体" w:cs="Times New Roman"/>
                      <w:szCs w:val="21"/>
                    </w:rPr>
                    <w:t>）</w:t>
                  </w:r>
                </w:p>
              </w:tc>
              <w:tc>
                <w:tcPr>
                  <w:tcW w:w="720" w:type="dxa"/>
                  <w:tcBorders>
                    <w:tl2br w:val="nil"/>
                    <w:tr2bl w:val="nil"/>
                  </w:tcBorders>
                  <w:vAlign w:val="center"/>
                </w:tcPr>
                <w:p w14:paraId="7F6BE9E2">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5C52CB39">
                  <w:pPr>
                    <w:pStyle w:val="52"/>
                  </w:pPr>
                  <w:r>
                    <w:rPr>
                      <w:rFonts w:hint="default"/>
                      <w:lang w:val="en-US" w:eastAsia="zh-CN"/>
                    </w:rPr>
                    <w:t>1.05E-03</w:t>
                  </w:r>
                </w:p>
              </w:tc>
              <w:tc>
                <w:tcPr>
                  <w:tcW w:w="945" w:type="dxa"/>
                  <w:tcBorders>
                    <w:tl2br w:val="nil"/>
                    <w:tr2bl w:val="nil"/>
                  </w:tcBorders>
                  <w:vAlign w:val="center"/>
                </w:tcPr>
                <w:p w14:paraId="33DA797D">
                  <w:pPr>
                    <w:autoSpaceDE w:val="0"/>
                    <w:autoSpaceDN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105.00</w:t>
                  </w:r>
                </w:p>
              </w:tc>
              <w:tc>
                <w:tcPr>
                  <w:tcW w:w="645" w:type="dxa"/>
                  <w:tcBorders>
                    <w:tl2br w:val="nil"/>
                    <w:tr2bl w:val="nil"/>
                  </w:tcBorders>
                  <w:vAlign w:val="center"/>
                </w:tcPr>
                <w:p w14:paraId="67AF2029">
                  <w:pPr>
                    <w:autoSpaceDE w:val="0"/>
                    <w:autoSpaceDN w:val="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r>
                    <w:rPr>
                      <w:rFonts w:hint="eastAsia" w:ascii="Times New Roman" w:hAnsi="Times New Roman"/>
                      <w:color w:val="000000" w:themeColor="text1"/>
                      <w:sz w:val="21"/>
                      <w:szCs w:val="21"/>
                      <w:lang w:val="en-US" w:eastAsia="zh-CN"/>
                      <w14:textFill>
                        <w14:solidFill>
                          <w14:schemeClr w14:val="tx1"/>
                        </w14:solidFill>
                      </w14:textFill>
                    </w:rPr>
                    <w:t>4</w:t>
                  </w:r>
                </w:p>
              </w:tc>
              <w:tc>
                <w:tcPr>
                  <w:tcW w:w="1142" w:type="dxa"/>
                  <w:tcBorders>
                    <w:tl2br w:val="nil"/>
                    <w:tr2bl w:val="nil"/>
                  </w:tcBorders>
                  <w:vAlign w:val="center"/>
                </w:tcPr>
                <w:p w14:paraId="5F7B18B7">
                  <w:pPr>
                    <w:pStyle w:val="52"/>
                  </w:pPr>
                  <w:r>
                    <w:rPr>
                      <w:rFonts w:hint="default"/>
                      <w:lang w:val="en-US" w:eastAsia="zh-CN"/>
                    </w:rPr>
                    <w:t>2.76E-05</w:t>
                  </w:r>
                </w:p>
              </w:tc>
              <w:tc>
                <w:tcPr>
                  <w:tcW w:w="1140" w:type="dxa"/>
                  <w:vMerge w:val="restart"/>
                  <w:tcBorders>
                    <w:tl2br w:val="nil"/>
                    <w:tr2bl w:val="nil"/>
                  </w:tcBorders>
                  <w:vAlign w:val="center"/>
                </w:tcPr>
                <w:p w14:paraId="0E196C89">
                  <w:pPr>
                    <w:pStyle w:val="52"/>
                  </w:pPr>
                  <w:r>
                    <w:rPr>
                      <w:rFonts w:hint="default"/>
                      <w:lang w:val="en-US" w:eastAsia="zh-CN"/>
                    </w:rPr>
                    <w:t>9.54E-05</w:t>
                  </w:r>
                </w:p>
              </w:tc>
              <w:tc>
                <w:tcPr>
                  <w:tcW w:w="402" w:type="dxa"/>
                  <w:vMerge w:val="restart"/>
                  <w:tcBorders>
                    <w:tl2br w:val="nil"/>
                    <w:tr2bl w:val="nil"/>
                  </w:tcBorders>
                  <w:vAlign w:val="center"/>
                </w:tcPr>
                <w:p w14:paraId="4CF8CB76">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公众</w:t>
                  </w:r>
                </w:p>
              </w:tc>
            </w:tr>
            <w:tr w14:paraId="263400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32E90A49">
                  <w:pPr>
                    <w:jc w:val="center"/>
                    <w:rPr>
                      <w:rFonts w:ascii="Times New Roman" w:hAnsi="Times New Roman"/>
                      <w:color w:val="000000" w:themeColor="text1"/>
                      <w:szCs w:val="21"/>
                      <w14:textFill>
                        <w14:solidFill>
                          <w14:schemeClr w14:val="tx1"/>
                        </w14:solidFill>
                      </w14:textFill>
                    </w:rPr>
                  </w:pPr>
                </w:p>
              </w:tc>
              <w:tc>
                <w:tcPr>
                  <w:tcW w:w="1963" w:type="dxa"/>
                  <w:vMerge w:val="continue"/>
                  <w:tcBorders>
                    <w:tl2br w:val="nil"/>
                    <w:tr2bl w:val="nil"/>
                  </w:tcBorders>
                  <w:vAlign w:val="center"/>
                </w:tcPr>
                <w:p w14:paraId="1E6F34FC">
                  <w:pPr>
                    <w:jc w:val="center"/>
                    <w:rPr>
                      <w:rFonts w:ascii="Times New Roman" w:hAnsi="Times New Roman"/>
                      <w:color w:val="000000" w:themeColor="text1"/>
                      <w:szCs w:val="21"/>
                      <w14:textFill>
                        <w14:solidFill>
                          <w14:schemeClr w14:val="tx1"/>
                        </w14:solidFill>
                      </w14:textFill>
                    </w:rPr>
                  </w:pPr>
                </w:p>
              </w:tc>
              <w:tc>
                <w:tcPr>
                  <w:tcW w:w="720" w:type="dxa"/>
                  <w:tcBorders>
                    <w:tl2br w:val="nil"/>
                    <w:tr2bl w:val="nil"/>
                  </w:tcBorders>
                  <w:vAlign w:val="center"/>
                </w:tcPr>
                <w:p w14:paraId="1466A9F9">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50" w:type="dxa"/>
                  <w:tcBorders>
                    <w:tl2br w:val="nil"/>
                    <w:tr2bl w:val="nil"/>
                  </w:tcBorders>
                  <w:vAlign w:val="center"/>
                </w:tcPr>
                <w:p w14:paraId="6D163D7B">
                  <w:pPr>
                    <w:pStyle w:val="52"/>
                  </w:pPr>
                  <w:r>
                    <w:rPr>
                      <w:rFonts w:hint="default"/>
                      <w:lang w:val="en-US" w:eastAsia="zh-CN"/>
                    </w:rPr>
                    <w:t>1.15E-01</w:t>
                  </w:r>
                </w:p>
              </w:tc>
              <w:tc>
                <w:tcPr>
                  <w:tcW w:w="945" w:type="dxa"/>
                  <w:tcBorders>
                    <w:tl2br w:val="nil"/>
                    <w:tr2bl w:val="nil"/>
                  </w:tcBorders>
                  <w:vAlign w:val="center"/>
                </w:tcPr>
                <w:p w14:paraId="6F70111B">
                  <w:pPr>
                    <w:autoSpaceDE w:val="0"/>
                    <w:autoSpaceDN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2.36</w:t>
                  </w:r>
                </w:p>
              </w:tc>
              <w:tc>
                <w:tcPr>
                  <w:tcW w:w="645" w:type="dxa"/>
                  <w:tcBorders>
                    <w:tl2br w:val="nil"/>
                    <w:tr2bl w:val="nil"/>
                  </w:tcBorders>
                  <w:vAlign w:val="center"/>
                </w:tcPr>
                <w:p w14:paraId="014BB326">
                  <w:pPr>
                    <w:autoSpaceDE w:val="0"/>
                    <w:autoSpaceDN w:val="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r>
                    <w:rPr>
                      <w:rFonts w:hint="eastAsia" w:ascii="Times New Roman" w:hAnsi="Times New Roman"/>
                      <w:color w:val="000000" w:themeColor="text1"/>
                      <w:sz w:val="21"/>
                      <w:szCs w:val="21"/>
                      <w:lang w:val="en-US" w:eastAsia="zh-CN"/>
                      <w14:textFill>
                        <w14:solidFill>
                          <w14:schemeClr w14:val="tx1"/>
                        </w14:solidFill>
                      </w14:textFill>
                    </w:rPr>
                    <w:t>4</w:t>
                  </w:r>
                </w:p>
              </w:tc>
              <w:tc>
                <w:tcPr>
                  <w:tcW w:w="1142" w:type="dxa"/>
                  <w:tcBorders>
                    <w:tl2br w:val="nil"/>
                    <w:tr2bl w:val="nil"/>
                  </w:tcBorders>
                  <w:vAlign w:val="center"/>
                </w:tcPr>
                <w:p w14:paraId="5C675305">
                  <w:pPr>
                    <w:pStyle w:val="52"/>
                  </w:pPr>
                  <w:r>
                    <w:rPr>
                      <w:rFonts w:hint="default"/>
                      <w:lang w:val="en-US" w:eastAsia="zh-CN"/>
                    </w:rPr>
                    <w:t>6.79E-05</w:t>
                  </w:r>
                </w:p>
              </w:tc>
              <w:tc>
                <w:tcPr>
                  <w:tcW w:w="1140" w:type="dxa"/>
                  <w:vMerge w:val="continue"/>
                  <w:tcBorders>
                    <w:tl2br w:val="nil"/>
                    <w:tr2bl w:val="nil"/>
                  </w:tcBorders>
                  <w:vAlign w:val="center"/>
                </w:tcPr>
                <w:p w14:paraId="1BA95194">
                  <w:pPr>
                    <w:pStyle w:val="52"/>
                    <w:bidi w:val="0"/>
                  </w:pPr>
                </w:p>
              </w:tc>
              <w:tc>
                <w:tcPr>
                  <w:tcW w:w="402" w:type="dxa"/>
                  <w:vMerge w:val="continue"/>
                  <w:tcBorders>
                    <w:tl2br w:val="nil"/>
                    <w:tr2bl w:val="nil"/>
                  </w:tcBorders>
                  <w:vAlign w:val="center"/>
                </w:tcPr>
                <w:p w14:paraId="2E61C901">
                  <w:pPr>
                    <w:jc w:val="center"/>
                    <w:rPr>
                      <w:rFonts w:ascii="Times New Roman" w:hAnsi="Times New Roman"/>
                      <w:color w:val="000000" w:themeColor="text1"/>
                      <w:szCs w:val="21"/>
                      <w14:textFill>
                        <w14:solidFill>
                          <w14:schemeClr w14:val="tx1"/>
                        </w14:solidFill>
                      </w14:textFill>
                    </w:rPr>
                  </w:pPr>
                </w:p>
              </w:tc>
            </w:tr>
            <w:tr w14:paraId="0B737D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669" w:type="dxa"/>
                  <w:vMerge w:val="continue"/>
                  <w:tcBorders>
                    <w:tl2br w:val="nil"/>
                    <w:tr2bl w:val="nil"/>
                  </w:tcBorders>
                  <w:vAlign w:val="center"/>
                </w:tcPr>
                <w:p w14:paraId="0195D466">
                  <w:pPr>
                    <w:jc w:val="center"/>
                    <w:rPr>
                      <w:rFonts w:ascii="Times New Roman" w:hAnsi="Times New Roman"/>
                      <w:color w:val="000000" w:themeColor="text1"/>
                      <w:szCs w:val="21"/>
                      <w14:textFill>
                        <w14:solidFill>
                          <w14:schemeClr w14:val="tx1"/>
                        </w14:solidFill>
                      </w14:textFill>
                    </w:rPr>
                  </w:pPr>
                </w:p>
              </w:tc>
              <w:tc>
                <w:tcPr>
                  <w:tcW w:w="1963" w:type="dxa"/>
                  <w:vMerge w:val="restart"/>
                  <w:tcBorders>
                    <w:tl2br w:val="nil"/>
                    <w:tr2bl w:val="nil"/>
                  </w:tcBorders>
                  <w:vAlign w:val="center"/>
                </w:tcPr>
                <w:p w14:paraId="0CEC2A22">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s="Times New Roman"/>
                      <w:szCs w:val="21"/>
                      <w:lang w:val="en-US" w:eastAsia="zh-CN"/>
                    </w:rPr>
                    <w:t>西</w:t>
                  </w:r>
                  <w:r>
                    <w:rPr>
                      <w:rFonts w:hint="default" w:ascii="Times New Roman" w:hAnsi="Times New Roman" w:eastAsia="宋体" w:cs="Times New Roman"/>
                      <w:szCs w:val="21"/>
                    </w:rPr>
                    <w:t>侧墙体外30cm处30cm处（</w:t>
                  </w:r>
                  <w:r>
                    <w:rPr>
                      <w:rFonts w:hint="eastAsia" w:ascii="Times New Roman" w:hAnsi="Times New Roman" w:cs="Times New Roman"/>
                      <w:szCs w:val="21"/>
                      <w:lang w:val="en-US" w:eastAsia="zh-CN"/>
                    </w:rPr>
                    <w:t>通道</w:t>
                  </w:r>
                  <w:r>
                    <w:rPr>
                      <w:rFonts w:hint="default" w:ascii="Times New Roman" w:hAnsi="Times New Roman" w:eastAsia="宋体" w:cs="Times New Roman"/>
                      <w:szCs w:val="21"/>
                    </w:rPr>
                    <w:t>）</w:t>
                  </w:r>
                </w:p>
              </w:tc>
              <w:tc>
                <w:tcPr>
                  <w:tcW w:w="720" w:type="dxa"/>
                  <w:tcBorders>
                    <w:tl2br w:val="nil"/>
                    <w:tr2bl w:val="nil"/>
                  </w:tcBorders>
                  <w:vAlign w:val="center"/>
                </w:tcPr>
                <w:p w14:paraId="4610C224">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2FCA39C5">
                  <w:pPr>
                    <w:pStyle w:val="52"/>
                  </w:pPr>
                  <w:r>
                    <w:rPr>
                      <w:rFonts w:hint="default"/>
                      <w:lang w:val="en-US" w:eastAsia="zh-CN"/>
                    </w:rPr>
                    <w:t>4.93E-05</w:t>
                  </w:r>
                </w:p>
              </w:tc>
              <w:tc>
                <w:tcPr>
                  <w:tcW w:w="945" w:type="dxa"/>
                  <w:tcBorders>
                    <w:tl2br w:val="nil"/>
                    <w:tr2bl w:val="nil"/>
                  </w:tcBorders>
                  <w:vAlign w:val="center"/>
                </w:tcPr>
                <w:p w14:paraId="62F1188C">
                  <w:pPr>
                    <w:autoSpaceDE w:val="0"/>
                    <w:autoSpaceDN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105.00</w:t>
                  </w:r>
                </w:p>
              </w:tc>
              <w:tc>
                <w:tcPr>
                  <w:tcW w:w="645" w:type="dxa"/>
                  <w:tcBorders>
                    <w:tl2br w:val="nil"/>
                    <w:tr2bl w:val="nil"/>
                  </w:tcBorders>
                  <w:vAlign w:val="center"/>
                </w:tcPr>
                <w:p w14:paraId="70B5338C">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r>
                    <w:rPr>
                      <w:rFonts w:hint="eastAsia" w:ascii="Times New Roman" w:hAnsi="Times New Roman"/>
                      <w:color w:val="000000" w:themeColor="text1"/>
                      <w:sz w:val="21"/>
                      <w:szCs w:val="21"/>
                      <w:lang w:val="en-US" w:eastAsia="zh-CN"/>
                      <w14:textFill>
                        <w14:solidFill>
                          <w14:schemeClr w14:val="tx1"/>
                        </w14:solidFill>
                      </w14:textFill>
                    </w:rPr>
                    <w:t>4</w:t>
                  </w:r>
                </w:p>
              </w:tc>
              <w:tc>
                <w:tcPr>
                  <w:tcW w:w="1142" w:type="dxa"/>
                  <w:tcBorders>
                    <w:tl2br w:val="nil"/>
                    <w:tr2bl w:val="nil"/>
                  </w:tcBorders>
                  <w:vAlign w:val="center"/>
                </w:tcPr>
                <w:p w14:paraId="79B3DFD0">
                  <w:pPr>
                    <w:pStyle w:val="52"/>
                  </w:pPr>
                  <w:r>
                    <w:rPr>
                      <w:rFonts w:hint="default"/>
                      <w:lang w:val="en-US" w:eastAsia="zh-CN"/>
                    </w:rPr>
                    <w:t>1.29E-06</w:t>
                  </w:r>
                </w:p>
              </w:tc>
              <w:tc>
                <w:tcPr>
                  <w:tcW w:w="1140" w:type="dxa"/>
                  <w:vMerge w:val="restart"/>
                  <w:tcBorders>
                    <w:tl2br w:val="nil"/>
                    <w:tr2bl w:val="nil"/>
                  </w:tcBorders>
                  <w:vAlign w:val="center"/>
                </w:tcPr>
                <w:p w14:paraId="517DA622">
                  <w:pPr>
                    <w:pStyle w:val="52"/>
                  </w:pPr>
                  <w:r>
                    <w:rPr>
                      <w:rFonts w:hint="default"/>
                      <w:lang w:val="en-US" w:eastAsia="zh-CN"/>
                    </w:rPr>
                    <w:t>7.37E-06</w:t>
                  </w:r>
                </w:p>
              </w:tc>
              <w:tc>
                <w:tcPr>
                  <w:tcW w:w="402" w:type="dxa"/>
                  <w:vMerge w:val="restart"/>
                  <w:tcBorders>
                    <w:tl2br w:val="nil"/>
                    <w:tr2bl w:val="nil"/>
                  </w:tcBorders>
                  <w:vAlign w:val="center"/>
                </w:tcPr>
                <w:p w14:paraId="57A16BF8">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公众</w:t>
                  </w:r>
                </w:p>
              </w:tc>
            </w:tr>
            <w:tr w14:paraId="080EB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3B8DA88B">
                  <w:pPr>
                    <w:jc w:val="center"/>
                    <w:rPr>
                      <w:rFonts w:ascii="Times New Roman" w:hAnsi="Times New Roman"/>
                      <w:color w:val="000000" w:themeColor="text1"/>
                      <w:szCs w:val="21"/>
                      <w14:textFill>
                        <w14:solidFill>
                          <w14:schemeClr w14:val="tx1"/>
                        </w14:solidFill>
                      </w14:textFill>
                    </w:rPr>
                  </w:pPr>
                </w:p>
              </w:tc>
              <w:tc>
                <w:tcPr>
                  <w:tcW w:w="1963" w:type="dxa"/>
                  <w:vMerge w:val="continue"/>
                  <w:tcBorders>
                    <w:tl2br w:val="nil"/>
                    <w:tr2bl w:val="nil"/>
                  </w:tcBorders>
                  <w:vAlign w:val="center"/>
                </w:tcPr>
                <w:p w14:paraId="026F8757">
                  <w:pPr>
                    <w:jc w:val="center"/>
                    <w:rPr>
                      <w:rFonts w:ascii="Times New Roman" w:hAnsi="Times New Roman"/>
                      <w:color w:val="000000" w:themeColor="text1"/>
                      <w:szCs w:val="21"/>
                      <w14:textFill>
                        <w14:solidFill>
                          <w14:schemeClr w14:val="tx1"/>
                        </w14:solidFill>
                      </w14:textFill>
                    </w:rPr>
                  </w:pPr>
                </w:p>
              </w:tc>
              <w:tc>
                <w:tcPr>
                  <w:tcW w:w="720" w:type="dxa"/>
                  <w:tcBorders>
                    <w:tl2br w:val="nil"/>
                    <w:tr2bl w:val="nil"/>
                  </w:tcBorders>
                  <w:vAlign w:val="center"/>
                </w:tcPr>
                <w:p w14:paraId="1BDF5ECF">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50" w:type="dxa"/>
                  <w:tcBorders>
                    <w:tl2br w:val="nil"/>
                    <w:tr2bl w:val="nil"/>
                  </w:tcBorders>
                  <w:vAlign w:val="center"/>
                </w:tcPr>
                <w:p w14:paraId="19F72E2A">
                  <w:pPr>
                    <w:pStyle w:val="52"/>
                  </w:pPr>
                  <w:r>
                    <w:rPr>
                      <w:rFonts w:hint="default"/>
                      <w:lang w:val="en-US" w:eastAsia="zh-CN"/>
                    </w:rPr>
                    <w:t>1.03E-02</w:t>
                  </w:r>
                </w:p>
              </w:tc>
              <w:tc>
                <w:tcPr>
                  <w:tcW w:w="945" w:type="dxa"/>
                  <w:tcBorders>
                    <w:tl2br w:val="nil"/>
                    <w:tr2bl w:val="nil"/>
                  </w:tcBorders>
                  <w:vAlign w:val="center"/>
                </w:tcPr>
                <w:p w14:paraId="292DCFAD">
                  <w:pPr>
                    <w:autoSpaceDE w:val="0"/>
                    <w:autoSpaceDN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2.36</w:t>
                  </w:r>
                </w:p>
              </w:tc>
              <w:tc>
                <w:tcPr>
                  <w:tcW w:w="645" w:type="dxa"/>
                  <w:tcBorders>
                    <w:tl2br w:val="nil"/>
                    <w:tr2bl w:val="nil"/>
                  </w:tcBorders>
                  <w:vAlign w:val="center"/>
                </w:tcPr>
                <w:p w14:paraId="49B21F6A">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r>
                    <w:rPr>
                      <w:rFonts w:hint="eastAsia" w:ascii="Times New Roman" w:hAnsi="Times New Roman"/>
                      <w:color w:val="000000" w:themeColor="text1"/>
                      <w:sz w:val="21"/>
                      <w:szCs w:val="21"/>
                      <w:lang w:val="en-US" w:eastAsia="zh-CN"/>
                      <w14:textFill>
                        <w14:solidFill>
                          <w14:schemeClr w14:val="tx1"/>
                        </w14:solidFill>
                      </w14:textFill>
                    </w:rPr>
                    <w:t>4</w:t>
                  </w:r>
                </w:p>
              </w:tc>
              <w:tc>
                <w:tcPr>
                  <w:tcW w:w="1142" w:type="dxa"/>
                  <w:tcBorders>
                    <w:tl2br w:val="nil"/>
                    <w:tr2bl w:val="nil"/>
                  </w:tcBorders>
                  <w:vAlign w:val="center"/>
                </w:tcPr>
                <w:p w14:paraId="4BD36668">
                  <w:pPr>
                    <w:pStyle w:val="52"/>
                  </w:pPr>
                  <w:r>
                    <w:rPr>
                      <w:rFonts w:hint="default"/>
                      <w:lang w:val="en-US" w:eastAsia="zh-CN"/>
                    </w:rPr>
                    <w:t>6.08E-06</w:t>
                  </w:r>
                </w:p>
              </w:tc>
              <w:tc>
                <w:tcPr>
                  <w:tcW w:w="1140" w:type="dxa"/>
                  <w:vMerge w:val="continue"/>
                  <w:tcBorders>
                    <w:tl2br w:val="nil"/>
                    <w:tr2bl w:val="nil"/>
                  </w:tcBorders>
                  <w:vAlign w:val="center"/>
                </w:tcPr>
                <w:p w14:paraId="7A89C675">
                  <w:pPr>
                    <w:pStyle w:val="52"/>
                    <w:bidi w:val="0"/>
                  </w:pPr>
                </w:p>
              </w:tc>
              <w:tc>
                <w:tcPr>
                  <w:tcW w:w="402" w:type="dxa"/>
                  <w:vMerge w:val="continue"/>
                  <w:tcBorders>
                    <w:tl2br w:val="nil"/>
                    <w:tr2bl w:val="nil"/>
                  </w:tcBorders>
                  <w:vAlign w:val="center"/>
                </w:tcPr>
                <w:p w14:paraId="1673352D">
                  <w:pPr>
                    <w:jc w:val="center"/>
                    <w:rPr>
                      <w:rFonts w:ascii="Times New Roman" w:hAnsi="Times New Roman"/>
                      <w:color w:val="000000" w:themeColor="text1"/>
                      <w:szCs w:val="21"/>
                      <w14:textFill>
                        <w14:solidFill>
                          <w14:schemeClr w14:val="tx1"/>
                        </w14:solidFill>
                      </w14:textFill>
                    </w:rPr>
                  </w:pPr>
                </w:p>
              </w:tc>
            </w:tr>
            <w:tr w14:paraId="2BABA5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61092753">
                  <w:pPr>
                    <w:jc w:val="center"/>
                    <w:rPr>
                      <w:rFonts w:ascii="Times New Roman" w:hAnsi="Times New Roman"/>
                      <w:color w:val="000000" w:themeColor="text1"/>
                      <w:szCs w:val="21"/>
                      <w14:textFill>
                        <w14:solidFill>
                          <w14:schemeClr w14:val="tx1"/>
                        </w14:solidFill>
                      </w14:textFill>
                    </w:rPr>
                  </w:pPr>
                </w:p>
              </w:tc>
              <w:tc>
                <w:tcPr>
                  <w:tcW w:w="1963" w:type="dxa"/>
                  <w:vMerge w:val="restart"/>
                  <w:tcBorders>
                    <w:tl2br w:val="nil"/>
                    <w:tr2bl w:val="nil"/>
                  </w:tcBorders>
                  <w:vAlign w:val="center"/>
                </w:tcPr>
                <w:p w14:paraId="2A099A9B">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lang w:val="en-US" w:eastAsia="zh-CN"/>
                    </w:rPr>
                    <w:t>南</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窗</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控制室</w:t>
                  </w:r>
                  <w:r>
                    <w:rPr>
                      <w:rFonts w:hint="default" w:ascii="Times New Roman" w:hAnsi="Times New Roman" w:eastAsia="宋体" w:cs="Times New Roman"/>
                      <w:szCs w:val="21"/>
                    </w:rPr>
                    <w:t>）</w:t>
                  </w:r>
                </w:p>
              </w:tc>
              <w:tc>
                <w:tcPr>
                  <w:tcW w:w="720" w:type="dxa"/>
                  <w:tcBorders>
                    <w:tl2br w:val="nil"/>
                    <w:tr2bl w:val="nil"/>
                  </w:tcBorders>
                  <w:vAlign w:val="center"/>
                </w:tcPr>
                <w:p w14:paraId="09B2804E">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5B12F7F4">
                  <w:pPr>
                    <w:pStyle w:val="52"/>
                  </w:pPr>
                  <w:r>
                    <w:rPr>
                      <w:rFonts w:hint="default"/>
                      <w:lang w:val="en-US" w:eastAsia="zh-CN"/>
                    </w:rPr>
                    <w:t>7.57E-04</w:t>
                  </w:r>
                </w:p>
              </w:tc>
              <w:tc>
                <w:tcPr>
                  <w:tcW w:w="945" w:type="dxa"/>
                  <w:tcBorders>
                    <w:tl2br w:val="nil"/>
                    <w:tr2bl w:val="nil"/>
                  </w:tcBorders>
                  <w:vAlign w:val="center"/>
                </w:tcPr>
                <w:p w14:paraId="00210434">
                  <w:pPr>
                    <w:autoSpaceDE w:val="0"/>
                    <w:autoSpaceDN w:val="0"/>
                    <w:jc w:val="center"/>
                    <w:rPr>
                      <w:rFonts w:hint="default" w:ascii="Times New Roman" w:hAnsi="Times New Roman"/>
                      <w:color w:val="000000" w:themeColor="text1"/>
                      <w:sz w:val="21"/>
                      <w:szCs w:val="21"/>
                      <w:lang w:val="en-US"/>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105.00</w:t>
                  </w:r>
                </w:p>
              </w:tc>
              <w:tc>
                <w:tcPr>
                  <w:tcW w:w="645" w:type="dxa"/>
                  <w:tcBorders>
                    <w:tl2br w:val="nil"/>
                    <w:tr2bl w:val="nil"/>
                  </w:tcBorders>
                  <w:vAlign w:val="center"/>
                </w:tcPr>
                <w:p w14:paraId="53191D23">
                  <w:pPr>
                    <w:autoSpaceDE w:val="0"/>
                    <w:autoSpaceDN w:val="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w:t>
                  </w:r>
                </w:p>
              </w:tc>
              <w:tc>
                <w:tcPr>
                  <w:tcW w:w="1142" w:type="dxa"/>
                  <w:tcBorders>
                    <w:tl2br w:val="nil"/>
                    <w:tr2bl w:val="nil"/>
                  </w:tcBorders>
                  <w:vAlign w:val="center"/>
                </w:tcPr>
                <w:p w14:paraId="5706B244">
                  <w:pPr>
                    <w:pStyle w:val="52"/>
                  </w:pPr>
                  <w:r>
                    <w:rPr>
                      <w:rFonts w:hint="default"/>
                      <w:lang w:val="en-US" w:eastAsia="zh-CN"/>
                    </w:rPr>
                    <w:t>7.95E-05</w:t>
                  </w:r>
                </w:p>
              </w:tc>
              <w:tc>
                <w:tcPr>
                  <w:tcW w:w="1140" w:type="dxa"/>
                  <w:vMerge w:val="restart"/>
                  <w:tcBorders>
                    <w:tl2br w:val="nil"/>
                    <w:tr2bl w:val="nil"/>
                  </w:tcBorders>
                  <w:shd w:val="clear" w:color="auto" w:fill="auto"/>
                  <w:vAlign w:val="center"/>
                </w:tcPr>
                <w:p w14:paraId="38AFECC6">
                  <w:pPr>
                    <w:pStyle w:val="52"/>
                  </w:pPr>
                  <w:r>
                    <w:rPr>
                      <w:rFonts w:hint="default"/>
                      <w:lang w:val="en-US" w:eastAsia="zh-CN"/>
                    </w:rPr>
                    <w:t>2.76E-04</w:t>
                  </w:r>
                </w:p>
              </w:tc>
              <w:tc>
                <w:tcPr>
                  <w:tcW w:w="402" w:type="dxa"/>
                  <w:vMerge w:val="restart"/>
                  <w:tcBorders>
                    <w:tl2br w:val="nil"/>
                    <w:tr2bl w:val="nil"/>
                  </w:tcBorders>
                  <w:vAlign w:val="center"/>
                </w:tcPr>
                <w:p w14:paraId="5926DEA7">
                  <w:pPr>
                    <w:jc w:val="center"/>
                    <w:rPr>
                      <w:rFonts w:hint="default" w:ascii="Times New Roman" w:hAnsi="Times New Roman" w:eastAsia="宋体"/>
                      <w:color w:val="000000" w:themeColor="text1"/>
                      <w:szCs w:val="21"/>
                      <w:lang w:val="en-US"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职业</w:t>
                  </w:r>
                </w:p>
              </w:tc>
            </w:tr>
            <w:tr w14:paraId="106FBC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39DF36CF">
                  <w:pPr>
                    <w:jc w:val="center"/>
                    <w:rPr>
                      <w:rFonts w:ascii="Times New Roman" w:hAnsi="Times New Roman"/>
                      <w:color w:val="000000" w:themeColor="text1"/>
                      <w:szCs w:val="21"/>
                      <w14:textFill>
                        <w14:solidFill>
                          <w14:schemeClr w14:val="tx1"/>
                        </w14:solidFill>
                      </w14:textFill>
                    </w:rPr>
                  </w:pPr>
                </w:p>
              </w:tc>
              <w:tc>
                <w:tcPr>
                  <w:tcW w:w="1963" w:type="dxa"/>
                  <w:vMerge w:val="continue"/>
                  <w:tcBorders>
                    <w:tl2br w:val="nil"/>
                    <w:tr2bl w:val="nil"/>
                  </w:tcBorders>
                  <w:vAlign w:val="center"/>
                </w:tcPr>
                <w:p w14:paraId="7A996CA9">
                  <w:pPr>
                    <w:jc w:val="center"/>
                    <w:rPr>
                      <w:rFonts w:ascii="Times New Roman" w:hAnsi="Times New Roman"/>
                      <w:color w:val="000000" w:themeColor="text1"/>
                      <w:szCs w:val="21"/>
                      <w14:textFill>
                        <w14:solidFill>
                          <w14:schemeClr w14:val="tx1"/>
                        </w14:solidFill>
                      </w14:textFill>
                    </w:rPr>
                  </w:pPr>
                </w:p>
              </w:tc>
              <w:tc>
                <w:tcPr>
                  <w:tcW w:w="720" w:type="dxa"/>
                  <w:tcBorders>
                    <w:tl2br w:val="nil"/>
                    <w:tr2bl w:val="nil"/>
                  </w:tcBorders>
                  <w:vAlign w:val="center"/>
                </w:tcPr>
                <w:p w14:paraId="59A0E81B">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50" w:type="dxa"/>
                  <w:tcBorders>
                    <w:tl2br w:val="nil"/>
                    <w:tr2bl w:val="nil"/>
                  </w:tcBorders>
                  <w:vAlign w:val="center"/>
                </w:tcPr>
                <w:p w14:paraId="77645B3B">
                  <w:pPr>
                    <w:pStyle w:val="52"/>
                  </w:pPr>
                  <w:r>
                    <w:rPr>
                      <w:rFonts w:hint="default"/>
                      <w:lang w:val="en-US" w:eastAsia="zh-CN"/>
                    </w:rPr>
                    <w:t>8.34E-02</w:t>
                  </w:r>
                </w:p>
              </w:tc>
              <w:tc>
                <w:tcPr>
                  <w:tcW w:w="945" w:type="dxa"/>
                  <w:tcBorders>
                    <w:tl2br w:val="nil"/>
                    <w:tr2bl w:val="nil"/>
                  </w:tcBorders>
                  <w:vAlign w:val="center"/>
                </w:tcPr>
                <w:p w14:paraId="43171148">
                  <w:pPr>
                    <w:autoSpaceDE w:val="0"/>
                    <w:autoSpaceDN w:val="0"/>
                    <w:jc w:val="center"/>
                    <w:rPr>
                      <w:rFonts w:hint="default" w:ascii="Times New Roman" w:hAnsi="Times New Roman"/>
                      <w:color w:val="000000" w:themeColor="text1"/>
                      <w:sz w:val="21"/>
                      <w:szCs w:val="21"/>
                      <w:lang w:val="en-US"/>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2.36</w:t>
                  </w:r>
                </w:p>
              </w:tc>
              <w:tc>
                <w:tcPr>
                  <w:tcW w:w="645" w:type="dxa"/>
                  <w:tcBorders>
                    <w:tl2br w:val="nil"/>
                    <w:tr2bl w:val="nil"/>
                  </w:tcBorders>
                  <w:vAlign w:val="center"/>
                </w:tcPr>
                <w:p w14:paraId="493B5C05">
                  <w:pPr>
                    <w:autoSpaceDE w:val="0"/>
                    <w:autoSpaceDN w:val="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w:t>
                  </w:r>
                </w:p>
              </w:tc>
              <w:tc>
                <w:tcPr>
                  <w:tcW w:w="1142" w:type="dxa"/>
                  <w:tcBorders>
                    <w:tl2br w:val="nil"/>
                    <w:tr2bl w:val="nil"/>
                  </w:tcBorders>
                  <w:vAlign w:val="center"/>
                </w:tcPr>
                <w:p w14:paraId="310C17F3">
                  <w:pPr>
                    <w:pStyle w:val="52"/>
                  </w:pPr>
                  <w:r>
                    <w:rPr>
                      <w:rFonts w:hint="default"/>
                      <w:lang w:val="en-US" w:eastAsia="zh-CN"/>
                    </w:rPr>
                    <w:t>1.97E-04</w:t>
                  </w:r>
                </w:p>
              </w:tc>
              <w:tc>
                <w:tcPr>
                  <w:tcW w:w="1140" w:type="dxa"/>
                  <w:vMerge w:val="continue"/>
                  <w:tcBorders>
                    <w:tl2br w:val="nil"/>
                    <w:tr2bl w:val="nil"/>
                  </w:tcBorders>
                  <w:vAlign w:val="center"/>
                </w:tcPr>
                <w:p w14:paraId="30207B4A">
                  <w:pPr>
                    <w:pStyle w:val="52"/>
                    <w:bidi w:val="0"/>
                  </w:pPr>
                </w:p>
              </w:tc>
              <w:tc>
                <w:tcPr>
                  <w:tcW w:w="402" w:type="dxa"/>
                  <w:vMerge w:val="continue"/>
                  <w:tcBorders>
                    <w:tl2br w:val="nil"/>
                    <w:tr2bl w:val="nil"/>
                  </w:tcBorders>
                  <w:vAlign w:val="center"/>
                </w:tcPr>
                <w:p w14:paraId="611C1ACB">
                  <w:pPr>
                    <w:jc w:val="center"/>
                    <w:rPr>
                      <w:rFonts w:ascii="Times New Roman" w:hAnsi="Times New Roman"/>
                      <w:color w:val="000000" w:themeColor="text1"/>
                      <w:szCs w:val="21"/>
                      <w14:textFill>
                        <w14:solidFill>
                          <w14:schemeClr w14:val="tx1"/>
                        </w14:solidFill>
                      </w14:textFill>
                    </w:rPr>
                  </w:pPr>
                </w:p>
              </w:tc>
            </w:tr>
            <w:tr w14:paraId="728B20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6F5468A4">
                  <w:pPr>
                    <w:jc w:val="center"/>
                    <w:rPr>
                      <w:rFonts w:ascii="Times New Roman" w:hAnsi="Times New Roman"/>
                      <w:color w:val="000000" w:themeColor="text1"/>
                      <w:szCs w:val="21"/>
                      <w14:textFill>
                        <w14:solidFill>
                          <w14:schemeClr w14:val="tx1"/>
                        </w14:solidFill>
                      </w14:textFill>
                    </w:rPr>
                  </w:pPr>
                </w:p>
              </w:tc>
              <w:tc>
                <w:tcPr>
                  <w:tcW w:w="1963" w:type="dxa"/>
                  <w:vMerge w:val="restart"/>
                  <w:tcBorders>
                    <w:tl2br w:val="nil"/>
                    <w:tr2bl w:val="nil"/>
                  </w:tcBorders>
                  <w:vAlign w:val="center"/>
                </w:tcPr>
                <w:p w14:paraId="3003EC3C">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eastAsia="宋体" w:cs="Times New Roman"/>
                      <w:szCs w:val="21"/>
                      <w:lang w:val="en-US" w:eastAsia="zh-CN"/>
                    </w:rPr>
                    <w:t>东</w:t>
                  </w:r>
                  <w:r>
                    <w:rPr>
                      <w:rFonts w:hint="default" w:ascii="Times New Roman" w:hAnsi="Times New Roman" w:eastAsia="宋体" w:cs="Times New Roman"/>
                      <w:szCs w:val="21"/>
                    </w:rPr>
                    <w:t>侧</w:t>
                  </w:r>
                  <w:r>
                    <w:rPr>
                      <w:rFonts w:hint="eastAsia" w:ascii="Times New Roman" w:hAnsi="Times New Roman" w:cs="Times New Roman"/>
                      <w:szCs w:val="21"/>
                      <w:lang w:val="en-US" w:eastAsia="zh-CN"/>
                    </w:rPr>
                    <w:t>墙体</w:t>
                  </w:r>
                  <w:r>
                    <w:rPr>
                      <w:rFonts w:hint="default" w:ascii="Times New Roman" w:hAnsi="Times New Roman" w:eastAsia="宋体" w:cs="Times New Roman"/>
                      <w:szCs w:val="21"/>
                    </w:rPr>
                    <w:t>外30cm处（</w:t>
                  </w:r>
                  <w:r>
                    <w:rPr>
                      <w:rFonts w:hint="eastAsia" w:ascii="Times New Roman" w:hAnsi="Times New Roman" w:cs="Times New Roman"/>
                      <w:szCs w:val="21"/>
                      <w:lang w:val="en-US" w:eastAsia="zh-CN"/>
                    </w:rPr>
                    <w:t>室外通道</w:t>
                  </w:r>
                  <w:r>
                    <w:rPr>
                      <w:rFonts w:hint="default" w:ascii="Times New Roman" w:hAnsi="Times New Roman" w:eastAsia="宋体" w:cs="Times New Roman"/>
                      <w:szCs w:val="21"/>
                    </w:rPr>
                    <w:t>）</w:t>
                  </w:r>
                </w:p>
              </w:tc>
              <w:tc>
                <w:tcPr>
                  <w:tcW w:w="720" w:type="dxa"/>
                  <w:tcBorders>
                    <w:tl2br w:val="nil"/>
                    <w:tr2bl w:val="nil"/>
                  </w:tcBorders>
                  <w:vAlign w:val="center"/>
                </w:tcPr>
                <w:p w14:paraId="67D8A1C0">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2F15C1EB">
                  <w:pPr>
                    <w:pStyle w:val="52"/>
                  </w:pPr>
                  <w:r>
                    <w:rPr>
                      <w:rFonts w:hint="default"/>
                      <w:lang w:val="en-US" w:eastAsia="zh-CN"/>
                    </w:rPr>
                    <w:t>7.13E-04</w:t>
                  </w:r>
                </w:p>
              </w:tc>
              <w:tc>
                <w:tcPr>
                  <w:tcW w:w="945" w:type="dxa"/>
                  <w:tcBorders>
                    <w:tl2br w:val="nil"/>
                    <w:tr2bl w:val="nil"/>
                  </w:tcBorders>
                  <w:vAlign w:val="center"/>
                </w:tcPr>
                <w:p w14:paraId="6B12AFD7">
                  <w:pPr>
                    <w:autoSpaceDE w:val="0"/>
                    <w:autoSpaceDN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105.00</w:t>
                  </w:r>
                </w:p>
              </w:tc>
              <w:tc>
                <w:tcPr>
                  <w:tcW w:w="645" w:type="dxa"/>
                  <w:tcBorders>
                    <w:tl2br w:val="nil"/>
                    <w:tr2bl w:val="nil"/>
                  </w:tcBorders>
                  <w:vAlign w:val="center"/>
                </w:tcPr>
                <w:p w14:paraId="754D4F77">
                  <w:pPr>
                    <w:autoSpaceDE w:val="0"/>
                    <w:autoSpaceDN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1/4</w:t>
                  </w:r>
                </w:p>
              </w:tc>
              <w:tc>
                <w:tcPr>
                  <w:tcW w:w="1142" w:type="dxa"/>
                  <w:tcBorders>
                    <w:tl2br w:val="nil"/>
                    <w:tr2bl w:val="nil"/>
                  </w:tcBorders>
                  <w:vAlign w:val="center"/>
                </w:tcPr>
                <w:p w14:paraId="194AC425">
                  <w:pPr>
                    <w:pStyle w:val="52"/>
                  </w:pPr>
                  <w:r>
                    <w:rPr>
                      <w:rFonts w:hint="default"/>
                      <w:lang w:val="en-US" w:eastAsia="zh-CN"/>
                    </w:rPr>
                    <w:t>1.87E-05</w:t>
                  </w:r>
                </w:p>
              </w:tc>
              <w:tc>
                <w:tcPr>
                  <w:tcW w:w="1140" w:type="dxa"/>
                  <w:vMerge w:val="restart"/>
                  <w:tcBorders>
                    <w:tl2br w:val="nil"/>
                    <w:tr2bl w:val="nil"/>
                  </w:tcBorders>
                  <w:shd w:val="clear" w:color="auto" w:fill="auto"/>
                  <w:vAlign w:val="center"/>
                </w:tcPr>
                <w:p w14:paraId="5DE02755">
                  <w:pPr>
                    <w:pStyle w:val="52"/>
                  </w:pPr>
                  <w:r>
                    <w:rPr>
                      <w:rFonts w:hint="default"/>
                      <w:lang w:val="en-US" w:eastAsia="zh-CN"/>
                    </w:rPr>
                    <w:t>6.50E-05</w:t>
                  </w:r>
                </w:p>
              </w:tc>
              <w:tc>
                <w:tcPr>
                  <w:tcW w:w="402" w:type="dxa"/>
                  <w:vMerge w:val="restart"/>
                  <w:tcBorders>
                    <w:tl2br w:val="nil"/>
                    <w:tr2bl w:val="nil"/>
                  </w:tcBorders>
                  <w:vAlign w:val="center"/>
                </w:tcPr>
                <w:p w14:paraId="4E6E6315">
                  <w:pPr>
                    <w:jc w:val="center"/>
                    <w:rPr>
                      <w:rFonts w:hint="eastAsia"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公众</w:t>
                  </w:r>
                </w:p>
              </w:tc>
            </w:tr>
            <w:tr w14:paraId="230BE4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660D5C17">
                  <w:pPr>
                    <w:jc w:val="center"/>
                    <w:rPr>
                      <w:rFonts w:ascii="Times New Roman" w:hAnsi="Times New Roman"/>
                      <w:color w:val="000000" w:themeColor="text1"/>
                      <w:szCs w:val="21"/>
                      <w14:textFill>
                        <w14:solidFill>
                          <w14:schemeClr w14:val="tx1"/>
                        </w14:solidFill>
                      </w14:textFill>
                    </w:rPr>
                  </w:pPr>
                </w:p>
              </w:tc>
              <w:tc>
                <w:tcPr>
                  <w:tcW w:w="1963" w:type="dxa"/>
                  <w:vMerge w:val="continue"/>
                  <w:tcBorders>
                    <w:tl2br w:val="nil"/>
                    <w:tr2bl w:val="nil"/>
                  </w:tcBorders>
                  <w:vAlign w:val="center"/>
                </w:tcPr>
                <w:p w14:paraId="54D6AF89">
                  <w:pPr>
                    <w:jc w:val="center"/>
                    <w:rPr>
                      <w:rFonts w:ascii="Times New Roman" w:hAnsi="Times New Roman"/>
                      <w:color w:val="000000" w:themeColor="text1"/>
                      <w:szCs w:val="21"/>
                      <w14:textFill>
                        <w14:solidFill>
                          <w14:schemeClr w14:val="tx1"/>
                        </w14:solidFill>
                      </w14:textFill>
                    </w:rPr>
                  </w:pPr>
                </w:p>
              </w:tc>
              <w:tc>
                <w:tcPr>
                  <w:tcW w:w="720" w:type="dxa"/>
                  <w:tcBorders>
                    <w:tl2br w:val="nil"/>
                    <w:tr2bl w:val="nil"/>
                  </w:tcBorders>
                  <w:vAlign w:val="center"/>
                </w:tcPr>
                <w:p w14:paraId="04E0B545">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50" w:type="dxa"/>
                  <w:tcBorders>
                    <w:tl2br w:val="nil"/>
                    <w:tr2bl w:val="nil"/>
                  </w:tcBorders>
                  <w:vAlign w:val="center"/>
                </w:tcPr>
                <w:p w14:paraId="7A29EA4A">
                  <w:pPr>
                    <w:pStyle w:val="52"/>
                  </w:pPr>
                  <w:r>
                    <w:rPr>
                      <w:rFonts w:hint="default"/>
                      <w:lang w:val="en-US" w:eastAsia="zh-CN"/>
                    </w:rPr>
                    <w:t>7.85E-02</w:t>
                  </w:r>
                </w:p>
              </w:tc>
              <w:tc>
                <w:tcPr>
                  <w:tcW w:w="945" w:type="dxa"/>
                  <w:tcBorders>
                    <w:tl2br w:val="nil"/>
                    <w:tr2bl w:val="nil"/>
                  </w:tcBorders>
                  <w:vAlign w:val="center"/>
                </w:tcPr>
                <w:p w14:paraId="292A1D5D">
                  <w:pPr>
                    <w:autoSpaceDE w:val="0"/>
                    <w:autoSpaceDN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2.36</w:t>
                  </w:r>
                </w:p>
              </w:tc>
              <w:tc>
                <w:tcPr>
                  <w:tcW w:w="645" w:type="dxa"/>
                  <w:tcBorders>
                    <w:tl2br w:val="nil"/>
                    <w:tr2bl w:val="nil"/>
                  </w:tcBorders>
                  <w:vAlign w:val="center"/>
                </w:tcPr>
                <w:p w14:paraId="6D37588E">
                  <w:pPr>
                    <w:autoSpaceDE w:val="0"/>
                    <w:autoSpaceDN w:val="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1/4</w:t>
                  </w:r>
                </w:p>
              </w:tc>
              <w:tc>
                <w:tcPr>
                  <w:tcW w:w="1142" w:type="dxa"/>
                  <w:tcBorders>
                    <w:tl2br w:val="nil"/>
                    <w:tr2bl w:val="nil"/>
                  </w:tcBorders>
                  <w:vAlign w:val="center"/>
                </w:tcPr>
                <w:p w14:paraId="4547744F">
                  <w:pPr>
                    <w:pStyle w:val="52"/>
                  </w:pPr>
                  <w:r>
                    <w:rPr>
                      <w:rFonts w:hint="default"/>
                      <w:lang w:val="en-US" w:eastAsia="zh-CN"/>
                    </w:rPr>
                    <w:t>4.63E-05</w:t>
                  </w:r>
                </w:p>
              </w:tc>
              <w:tc>
                <w:tcPr>
                  <w:tcW w:w="1140" w:type="dxa"/>
                  <w:vMerge w:val="continue"/>
                  <w:tcBorders>
                    <w:tl2br w:val="nil"/>
                    <w:tr2bl w:val="nil"/>
                  </w:tcBorders>
                  <w:vAlign w:val="center"/>
                </w:tcPr>
                <w:p w14:paraId="12CD3BE9">
                  <w:pPr>
                    <w:autoSpaceDE w:val="0"/>
                    <w:autoSpaceDN w:val="0"/>
                    <w:jc w:val="center"/>
                    <w:rPr>
                      <w:rFonts w:ascii="Times New Roman" w:hAnsi="Times New Roman"/>
                      <w:color w:val="000000" w:themeColor="text1"/>
                      <w:sz w:val="21"/>
                      <w:szCs w:val="21"/>
                      <w14:textFill>
                        <w14:solidFill>
                          <w14:schemeClr w14:val="tx1"/>
                        </w14:solidFill>
                      </w14:textFill>
                    </w:rPr>
                  </w:pPr>
                </w:p>
              </w:tc>
              <w:tc>
                <w:tcPr>
                  <w:tcW w:w="402" w:type="dxa"/>
                  <w:vMerge w:val="continue"/>
                  <w:tcBorders>
                    <w:tl2br w:val="nil"/>
                    <w:tr2bl w:val="nil"/>
                  </w:tcBorders>
                  <w:vAlign w:val="center"/>
                </w:tcPr>
                <w:p w14:paraId="37A73847">
                  <w:pPr>
                    <w:jc w:val="center"/>
                    <w:rPr>
                      <w:rFonts w:ascii="Times New Roman" w:hAnsi="Times New Roman"/>
                      <w:color w:val="000000" w:themeColor="text1"/>
                      <w:szCs w:val="21"/>
                      <w14:textFill>
                        <w14:solidFill>
                          <w14:schemeClr w14:val="tx1"/>
                        </w14:solidFill>
                      </w14:textFill>
                    </w:rPr>
                  </w:pPr>
                </w:p>
              </w:tc>
            </w:tr>
            <w:tr w14:paraId="41E132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restart"/>
                  <w:tcBorders>
                    <w:tl2br w:val="nil"/>
                    <w:tr2bl w:val="nil"/>
                  </w:tcBorders>
                  <w:vAlign w:val="center"/>
                </w:tcPr>
                <w:p w14:paraId="54094CE9">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正上方</w:t>
                  </w:r>
                </w:p>
              </w:tc>
              <w:tc>
                <w:tcPr>
                  <w:tcW w:w="1963" w:type="dxa"/>
                  <w:vMerge w:val="restart"/>
                  <w:tcBorders>
                    <w:tl2br w:val="nil"/>
                    <w:tr2bl w:val="nil"/>
                  </w:tcBorders>
                  <w:vAlign w:val="center"/>
                </w:tcPr>
                <w:p w14:paraId="4D061640">
                  <w:pPr>
                    <w:jc w:val="center"/>
                    <w:rPr>
                      <w:rFonts w:hint="eastAsia"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发血窗口</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公众</w:t>
                  </w:r>
                  <w:r>
                    <w:rPr>
                      <w:rFonts w:hint="eastAsia" w:ascii="Times New Roman" w:hAnsi="Times New Roman" w:cs="Times New Roman"/>
                      <w:szCs w:val="21"/>
                      <w:lang w:eastAsia="zh-CN"/>
                    </w:rPr>
                    <w:t>）</w:t>
                  </w:r>
                </w:p>
              </w:tc>
              <w:tc>
                <w:tcPr>
                  <w:tcW w:w="720" w:type="dxa"/>
                  <w:tcBorders>
                    <w:tl2br w:val="nil"/>
                    <w:tr2bl w:val="nil"/>
                  </w:tcBorders>
                  <w:vAlign w:val="center"/>
                </w:tcPr>
                <w:p w14:paraId="0CD3BBF3">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透视</w:t>
                  </w:r>
                </w:p>
              </w:tc>
              <w:tc>
                <w:tcPr>
                  <w:tcW w:w="1050" w:type="dxa"/>
                  <w:tcBorders>
                    <w:tl2br w:val="nil"/>
                    <w:tr2bl w:val="nil"/>
                  </w:tcBorders>
                  <w:vAlign w:val="center"/>
                </w:tcPr>
                <w:p w14:paraId="41AA7926">
                  <w:pPr>
                    <w:widowControl/>
                    <w:jc w:val="center"/>
                    <w:textAlignment w:val="center"/>
                    <w:rPr>
                      <w:rFonts w:ascii="Times New Roman" w:hAnsi="Times New Roman"/>
                      <w:color w:val="000000" w:themeColor="text1"/>
                      <w:kern w:val="0"/>
                      <w:sz w:val="21"/>
                      <w:szCs w:val="21"/>
                      <w:lang w:bidi="ar"/>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w:t>
                  </w:r>
                </w:p>
              </w:tc>
              <w:tc>
                <w:tcPr>
                  <w:tcW w:w="945" w:type="dxa"/>
                  <w:tcBorders>
                    <w:tl2br w:val="nil"/>
                    <w:tr2bl w:val="nil"/>
                  </w:tcBorders>
                  <w:vAlign w:val="center"/>
                </w:tcPr>
                <w:p w14:paraId="5611EE88">
                  <w:pPr>
                    <w:autoSpaceDE w:val="0"/>
                    <w:autoSpaceDN w:val="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w:t>
                  </w:r>
                </w:p>
              </w:tc>
              <w:tc>
                <w:tcPr>
                  <w:tcW w:w="645" w:type="dxa"/>
                  <w:tcBorders>
                    <w:tl2br w:val="nil"/>
                    <w:tr2bl w:val="nil"/>
                  </w:tcBorders>
                  <w:vAlign w:val="center"/>
                </w:tcPr>
                <w:p w14:paraId="344813BC">
                  <w:pPr>
                    <w:autoSpaceDE w:val="0"/>
                    <w:autoSpaceDN w:val="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w:t>
                  </w:r>
                </w:p>
              </w:tc>
              <w:tc>
                <w:tcPr>
                  <w:tcW w:w="1142" w:type="dxa"/>
                  <w:tcBorders>
                    <w:tl2br w:val="nil"/>
                    <w:tr2bl w:val="nil"/>
                  </w:tcBorders>
                  <w:shd w:val="clear" w:color="auto" w:fill="auto"/>
                  <w:vAlign w:val="center"/>
                </w:tcPr>
                <w:p w14:paraId="38BFE594">
                  <w:pPr>
                    <w:pStyle w:val="52"/>
                    <w:keepNext w:val="0"/>
                    <w:keepLines w:val="0"/>
                    <w:widowControl/>
                    <w:suppressLineNumbers w:val="0"/>
                    <w:jc w:val="center"/>
                    <w:textAlignment w:val="center"/>
                  </w:pPr>
                  <w:r>
                    <w:rPr>
                      <w:rFonts w:hint="default"/>
                      <w:lang w:val="en-US" w:eastAsia="zh-CN"/>
                    </w:rPr>
                    <w:t>7.26E-07</w:t>
                  </w:r>
                </w:p>
              </w:tc>
              <w:tc>
                <w:tcPr>
                  <w:tcW w:w="1140" w:type="dxa"/>
                  <w:vMerge w:val="restart"/>
                  <w:tcBorders>
                    <w:tl2br w:val="nil"/>
                    <w:tr2bl w:val="nil"/>
                  </w:tcBorders>
                  <w:vAlign w:val="center"/>
                </w:tcPr>
                <w:p w14:paraId="4360DCA0">
                  <w:pPr>
                    <w:pStyle w:val="52"/>
                    <w:bidi w:val="0"/>
                    <w:rPr>
                      <w:rFonts w:hint="default"/>
                      <w:lang w:val="en-US"/>
                    </w:rPr>
                  </w:pPr>
                  <w:r>
                    <w:rPr>
                      <w:rFonts w:hint="eastAsia"/>
                      <w:lang w:val="en-US" w:eastAsia="zh-CN"/>
                    </w:rPr>
                    <w:t>1.22</w:t>
                  </w:r>
                  <w:r>
                    <w:rPr>
                      <w:rFonts w:hint="default"/>
                      <w:lang w:val="en-US" w:eastAsia="zh-CN"/>
                    </w:rPr>
                    <w:t>E-0</w:t>
                  </w:r>
                  <w:r>
                    <w:rPr>
                      <w:rFonts w:hint="eastAsia"/>
                      <w:lang w:val="en-US" w:eastAsia="zh-CN"/>
                    </w:rPr>
                    <w:t>5</w:t>
                  </w:r>
                </w:p>
              </w:tc>
              <w:tc>
                <w:tcPr>
                  <w:tcW w:w="402" w:type="dxa"/>
                  <w:vMerge w:val="restart"/>
                  <w:tcBorders>
                    <w:tl2br w:val="nil"/>
                    <w:tr2bl w:val="nil"/>
                  </w:tcBorders>
                  <w:vAlign w:val="center"/>
                </w:tcPr>
                <w:p w14:paraId="3DEF70A7">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公众</w:t>
                  </w:r>
                </w:p>
              </w:tc>
            </w:tr>
            <w:tr w14:paraId="5BF6F7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tcBorders>
                    <w:tl2br w:val="nil"/>
                    <w:tr2bl w:val="nil"/>
                  </w:tcBorders>
                  <w:vAlign w:val="center"/>
                </w:tcPr>
                <w:p w14:paraId="6772C37D">
                  <w:pPr>
                    <w:widowControl/>
                    <w:jc w:val="center"/>
                    <w:textAlignment w:val="center"/>
                    <w:rPr>
                      <w:rFonts w:ascii="Times New Roman" w:hAnsi="Times New Roman"/>
                      <w:color w:val="000000" w:themeColor="text1"/>
                      <w:szCs w:val="21"/>
                      <w14:textFill>
                        <w14:solidFill>
                          <w14:schemeClr w14:val="tx1"/>
                        </w14:solidFill>
                      </w14:textFill>
                    </w:rPr>
                  </w:pPr>
                </w:p>
              </w:tc>
              <w:tc>
                <w:tcPr>
                  <w:tcW w:w="1963" w:type="dxa"/>
                  <w:vMerge w:val="continue"/>
                  <w:tcBorders>
                    <w:tl2br w:val="nil"/>
                    <w:tr2bl w:val="nil"/>
                  </w:tcBorders>
                  <w:vAlign w:val="center"/>
                </w:tcPr>
                <w:p w14:paraId="0E08E0FB">
                  <w:pPr>
                    <w:jc w:val="center"/>
                    <w:rPr>
                      <w:rFonts w:ascii="Times New Roman" w:hAnsi="Times New Roman"/>
                      <w:color w:val="000000" w:themeColor="text1"/>
                      <w:szCs w:val="21"/>
                      <w14:textFill>
                        <w14:solidFill>
                          <w14:schemeClr w14:val="tx1"/>
                        </w14:solidFill>
                      </w14:textFill>
                    </w:rPr>
                  </w:pPr>
                </w:p>
              </w:tc>
              <w:tc>
                <w:tcPr>
                  <w:tcW w:w="720" w:type="dxa"/>
                  <w:tcBorders>
                    <w:tl2br w:val="nil"/>
                    <w:tr2bl w:val="nil"/>
                  </w:tcBorders>
                  <w:vAlign w:val="center"/>
                </w:tcPr>
                <w:p w14:paraId="7DFC79A8">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拍片</w:t>
                  </w:r>
                </w:p>
              </w:tc>
              <w:tc>
                <w:tcPr>
                  <w:tcW w:w="1050" w:type="dxa"/>
                  <w:tcBorders>
                    <w:tl2br w:val="nil"/>
                    <w:tr2bl w:val="nil"/>
                  </w:tcBorders>
                  <w:vAlign w:val="center"/>
                </w:tcPr>
                <w:p w14:paraId="08C26FB9">
                  <w:pPr>
                    <w:widowControl/>
                    <w:jc w:val="center"/>
                    <w:rPr>
                      <w:rFonts w:ascii="Times New Roman" w:hAnsi="Times New Roman"/>
                      <w:color w:val="000000" w:themeColor="text1"/>
                      <w:kern w:val="0"/>
                      <w:szCs w:val="21"/>
                      <w:lang w:bidi="ar"/>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c>
                <w:tcPr>
                  <w:tcW w:w="945" w:type="dxa"/>
                  <w:tcBorders>
                    <w:tl2br w:val="nil"/>
                    <w:tr2bl w:val="nil"/>
                  </w:tcBorders>
                  <w:vAlign w:val="center"/>
                </w:tcPr>
                <w:p w14:paraId="7B192687">
                  <w:pPr>
                    <w:autoSpaceDE w:val="0"/>
                    <w:autoSpaceDN w:val="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c>
                <w:tcPr>
                  <w:tcW w:w="645" w:type="dxa"/>
                  <w:tcBorders>
                    <w:tl2br w:val="nil"/>
                    <w:tr2bl w:val="nil"/>
                  </w:tcBorders>
                  <w:vAlign w:val="center"/>
                </w:tcPr>
                <w:p w14:paraId="798BA792">
                  <w:pPr>
                    <w:autoSpaceDE w:val="0"/>
                    <w:autoSpaceDN w:val="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w:t>
                  </w:r>
                </w:p>
              </w:tc>
              <w:tc>
                <w:tcPr>
                  <w:tcW w:w="1142" w:type="dxa"/>
                  <w:tcBorders>
                    <w:tl2br w:val="nil"/>
                    <w:tr2bl w:val="nil"/>
                  </w:tcBorders>
                  <w:shd w:val="clear" w:color="auto" w:fill="auto"/>
                  <w:vAlign w:val="center"/>
                </w:tcPr>
                <w:p w14:paraId="170D83DE">
                  <w:pPr>
                    <w:pStyle w:val="52"/>
                    <w:keepNext w:val="0"/>
                    <w:keepLines w:val="0"/>
                    <w:widowControl/>
                    <w:suppressLineNumbers w:val="0"/>
                    <w:jc w:val="center"/>
                    <w:textAlignment w:val="center"/>
                    <w:rPr>
                      <w:rFonts w:ascii="Times New Roman" w:hAnsi="Times New Roman"/>
                    </w:rPr>
                  </w:pPr>
                  <w:r>
                    <w:rPr>
                      <w:rFonts w:hint="default"/>
                      <w:lang w:val="en-US" w:eastAsia="zh-CN"/>
                    </w:rPr>
                    <w:t>1.15E-05</w:t>
                  </w:r>
                </w:p>
              </w:tc>
              <w:tc>
                <w:tcPr>
                  <w:tcW w:w="1140" w:type="dxa"/>
                  <w:vMerge w:val="continue"/>
                  <w:tcBorders>
                    <w:tl2br w:val="nil"/>
                    <w:tr2bl w:val="nil"/>
                  </w:tcBorders>
                  <w:vAlign w:val="center"/>
                </w:tcPr>
                <w:p w14:paraId="458BE214">
                  <w:pPr>
                    <w:widowControl/>
                    <w:jc w:val="center"/>
                    <w:textAlignment w:val="center"/>
                    <w:rPr>
                      <w:rFonts w:ascii="Times New Roman" w:hAnsi="Times New Roman"/>
                      <w:color w:val="000000" w:themeColor="text1"/>
                      <w:kern w:val="0"/>
                      <w:szCs w:val="21"/>
                      <w:lang w:bidi="ar"/>
                      <w14:textFill>
                        <w14:solidFill>
                          <w14:schemeClr w14:val="tx1"/>
                        </w14:solidFill>
                      </w14:textFill>
                    </w:rPr>
                  </w:pPr>
                </w:p>
              </w:tc>
              <w:tc>
                <w:tcPr>
                  <w:tcW w:w="402" w:type="dxa"/>
                  <w:vMerge w:val="continue"/>
                  <w:tcBorders>
                    <w:tl2br w:val="nil"/>
                    <w:tr2bl w:val="nil"/>
                  </w:tcBorders>
                  <w:vAlign w:val="center"/>
                </w:tcPr>
                <w:p w14:paraId="33E291F2">
                  <w:pPr>
                    <w:jc w:val="center"/>
                    <w:rPr>
                      <w:rFonts w:ascii="Times New Roman" w:hAnsi="Times New Roman"/>
                      <w:color w:val="000000" w:themeColor="text1"/>
                      <w:szCs w:val="21"/>
                      <w14:textFill>
                        <w14:solidFill>
                          <w14:schemeClr w14:val="tx1"/>
                        </w14:solidFill>
                      </w14:textFill>
                    </w:rPr>
                  </w:pPr>
                </w:p>
              </w:tc>
            </w:tr>
          </w:tbl>
          <w:p w14:paraId="07EE525A">
            <w:pPr>
              <w:keepNext/>
              <w:spacing w:line="360" w:lineRule="auto"/>
              <w:ind w:firstLine="480" w:firstLineChars="200"/>
              <w:rPr>
                <w:rFonts w:ascii="Times New Roman" w:hAnsi="Times New Roman"/>
                <w:b/>
                <w:bCs/>
                <w:color w:val="0000FF"/>
                <w:sz w:val="24"/>
              </w:rPr>
            </w:pPr>
            <w:r>
              <w:rPr>
                <w:rFonts w:ascii="Times New Roman" w:hAnsi="Times New Roman"/>
                <w:color w:val="auto"/>
                <w:sz w:val="24"/>
              </w:rPr>
              <w:t>由上表</w:t>
            </w:r>
            <w:r>
              <w:rPr>
                <w:rFonts w:hint="eastAsia" w:ascii="Times New Roman" w:hAnsi="Times New Roman"/>
                <w:color w:val="auto"/>
                <w:sz w:val="24"/>
              </w:rPr>
              <w:t>11-</w:t>
            </w:r>
            <w:r>
              <w:rPr>
                <w:rFonts w:hint="eastAsia" w:ascii="Times New Roman" w:hAnsi="Times New Roman"/>
                <w:color w:val="auto"/>
                <w:sz w:val="24"/>
                <w:lang w:val="en-US" w:eastAsia="zh-CN"/>
              </w:rPr>
              <w:t>9</w:t>
            </w:r>
            <w:r>
              <w:rPr>
                <w:rFonts w:ascii="Times New Roman" w:hAnsi="Times New Roman"/>
                <w:color w:val="auto"/>
                <w:sz w:val="24"/>
              </w:rPr>
              <w:t>可知，本项目DSA机房周围公众所受年剂量最高为</w:t>
            </w:r>
            <w:r>
              <w:rPr>
                <w:rFonts w:hint="eastAsia" w:ascii="Times New Roman" w:hAnsi="Times New Roman"/>
                <w:color w:val="auto"/>
                <w:sz w:val="24"/>
                <w:lang w:val="en-US" w:eastAsia="zh-CN"/>
              </w:rPr>
              <w:t>9.54</w:t>
            </w:r>
            <w:r>
              <w:rPr>
                <w:rFonts w:hint="default" w:ascii="Times New Roman" w:hAnsi="Times New Roman"/>
                <w:color w:val="auto"/>
                <w:sz w:val="24"/>
                <w:lang w:val="en-US" w:eastAsia="zh-CN"/>
              </w:rPr>
              <w:t>E-0</w:t>
            </w:r>
            <w:r>
              <w:rPr>
                <w:rFonts w:hint="eastAsia" w:ascii="Times New Roman" w:hAnsi="Times New Roman"/>
                <w:color w:val="auto"/>
                <w:sz w:val="24"/>
                <w:lang w:val="en-US" w:eastAsia="zh-CN"/>
              </w:rPr>
              <w:t>5</w:t>
            </w:r>
            <w:r>
              <w:rPr>
                <w:rFonts w:ascii="Times New Roman" w:hAnsi="Times New Roman"/>
                <w:color w:val="auto"/>
                <w:sz w:val="24"/>
              </w:rPr>
              <w:t>mSv/a，小于本次评价确定的公众0.1mSv/a的剂量约束值要求；根据手术医生的配置情况，单名护士所受年剂量最大为</w:t>
            </w:r>
            <w:r>
              <w:rPr>
                <w:rFonts w:hint="eastAsia" w:ascii="Times New Roman" w:hAnsi="Times New Roman"/>
                <w:color w:val="auto"/>
                <w:kern w:val="0"/>
                <w:sz w:val="24"/>
                <w:lang w:val="en-US" w:eastAsia="zh-CN" w:bidi="ar"/>
              </w:rPr>
              <w:t>3.58</w:t>
            </w:r>
            <w:r>
              <w:rPr>
                <w:rFonts w:ascii="Times New Roman" w:hAnsi="Times New Roman"/>
                <w:color w:val="auto"/>
                <w:sz w:val="24"/>
              </w:rPr>
              <w:t>mSv/a；单名助手医生所受年剂量最大为</w:t>
            </w:r>
            <w:r>
              <w:rPr>
                <w:rFonts w:hint="eastAsia" w:ascii="Times New Roman" w:hAnsi="Times New Roman"/>
                <w:color w:val="auto"/>
                <w:kern w:val="0"/>
                <w:sz w:val="24"/>
                <w:lang w:val="en-US" w:eastAsia="zh-CN" w:bidi="ar"/>
              </w:rPr>
              <w:t>3.23</w:t>
            </w:r>
            <w:r>
              <w:rPr>
                <w:rFonts w:ascii="Times New Roman" w:hAnsi="Times New Roman"/>
                <w:color w:val="auto"/>
                <w:sz w:val="24"/>
              </w:rPr>
              <w:t>mSv/a；单名主刀医生所受年剂量最大为</w:t>
            </w:r>
            <w:r>
              <w:rPr>
                <w:rFonts w:hint="eastAsia" w:ascii="Times New Roman" w:hAnsi="Times New Roman"/>
                <w:color w:val="auto"/>
                <w:sz w:val="24"/>
                <w:lang w:val="en-US" w:eastAsia="zh-CN"/>
              </w:rPr>
              <w:t>1.49</w:t>
            </w:r>
            <w:r>
              <w:rPr>
                <w:rFonts w:ascii="Times New Roman" w:hAnsi="Times New Roman"/>
                <w:color w:val="auto"/>
                <w:sz w:val="24"/>
              </w:rPr>
              <w:t>mSv/a；技师所受年剂量最大为</w:t>
            </w:r>
            <w:r>
              <w:rPr>
                <w:rFonts w:hint="eastAsia" w:ascii="Times New Roman" w:hAnsi="Times New Roman"/>
                <w:color w:val="auto"/>
                <w:sz w:val="24"/>
                <w:lang w:val="en-US" w:eastAsia="zh-CN"/>
              </w:rPr>
              <w:t>2.76</w:t>
            </w:r>
            <w:r>
              <w:rPr>
                <w:rFonts w:hint="default" w:ascii="Times New Roman" w:hAnsi="Times New Roman"/>
                <w:color w:val="auto"/>
                <w:sz w:val="24"/>
                <w:lang w:val="en-US" w:eastAsia="zh-CN"/>
              </w:rPr>
              <w:t>E-0</w:t>
            </w:r>
            <w:r>
              <w:rPr>
                <w:rFonts w:hint="eastAsia" w:ascii="Times New Roman" w:hAnsi="Times New Roman"/>
                <w:color w:val="auto"/>
                <w:sz w:val="24"/>
                <w:lang w:val="en-US" w:eastAsia="zh-CN"/>
              </w:rPr>
              <w:t>4</w:t>
            </w:r>
            <w:r>
              <w:rPr>
                <w:rFonts w:ascii="Times New Roman" w:hAnsi="Times New Roman"/>
                <w:color w:val="auto"/>
                <w:sz w:val="24"/>
              </w:rPr>
              <w:t>mSv/a，满足本次评价确定的职业人员5mSv/a的剂量约束值要求。</w:t>
            </w:r>
          </w:p>
          <w:p w14:paraId="0CAC4934">
            <w:pPr>
              <w:spacing w:line="360" w:lineRule="auto"/>
              <w:ind w:firstLine="482" w:firstLineChars="200"/>
              <w:rPr>
                <w:rFonts w:ascii="Times New Roman" w:hAnsi="Times New Roman"/>
                <w:sz w:val="24"/>
              </w:rPr>
            </w:pPr>
            <w:r>
              <w:rPr>
                <w:rFonts w:ascii="Times New Roman" w:hAnsi="Times New Roman"/>
                <w:b/>
                <w:bCs/>
                <w:sz w:val="24"/>
              </w:rPr>
              <w:t>医院应合理安排手术医生的手术量，每个季度对</w:t>
            </w:r>
            <w:r>
              <w:rPr>
                <w:rFonts w:hint="eastAsia" w:ascii="Times New Roman" w:hAnsi="Times New Roman"/>
                <w:b/>
                <w:bCs/>
                <w:sz w:val="24"/>
                <w:lang w:eastAsia="zh-CN"/>
              </w:rPr>
              <w:t>DSA机房</w:t>
            </w:r>
            <w:r>
              <w:rPr>
                <w:rFonts w:ascii="Times New Roman" w:hAnsi="Times New Roman"/>
                <w:b/>
                <w:bCs/>
                <w:sz w:val="24"/>
              </w:rPr>
              <w:t>辐射工作人员剂量进行严格监督，杜绝出现辐射工作人员个人剂量单季度超过1.25mSv、年超过5mSv事件的发生，若发现单季度超过1.25mSv的情况，医院应立即采取有效的管控措施。</w:t>
            </w:r>
          </w:p>
          <w:p w14:paraId="48AD2ADD">
            <w:pPr>
              <w:spacing w:line="360" w:lineRule="auto"/>
              <w:ind w:firstLine="480" w:firstLineChars="200"/>
              <w:rPr>
                <w:rFonts w:ascii="Times New Roman" w:hAnsi="Times New Roman"/>
                <w:color w:val="000000" w:themeColor="text1"/>
                <w14:textFill>
                  <w14:solidFill>
                    <w14:schemeClr w14:val="tx1"/>
                  </w14:solidFill>
                </w14:textFill>
              </w:rPr>
            </w:pPr>
            <w:r>
              <w:rPr>
                <w:rFonts w:ascii="Times New Roman" w:hAnsi="Times New Roman"/>
                <w:sz w:val="24"/>
              </w:rPr>
              <w:t>根据电离辐射水平随着距离的增加而衰减的规律，距离DSA机房最近的关注点可以代表最大可能辐射有效剂量。在DSA运行后，项目运行产生的X射线经墙体、门窗屏蔽、距离衰减后，DSA检查时周围环境保护目标受照剂量低于预测剂量，对造影室周围公众影响更小。</w:t>
            </w:r>
          </w:p>
          <w:p w14:paraId="07363BC5">
            <w:pPr>
              <w:keepNext/>
              <w:spacing w:line="360" w:lineRule="auto"/>
              <w:ind w:firstLine="482"/>
              <w:rPr>
                <w:rFonts w:ascii="Times New Roman" w:hAnsi="Times New Roman"/>
                <w:b/>
                <w:bCs/>
                <w:sz w:val="24"/>
              </w:rPr>
            </w:pPr>
            <w:r>
              <w:rPr>
                <w:rFonts w:ascii="Times New Roman" w:hAnsi="Times New Roman"/>
                <w:b/>
                <w:bCs/>
                <w:sz w:val="24"/>
              </w:rPr>
              <w:t>2、医生腕部皮肤受照剂量</w:t>
            </w:r>
          </w:p>
          <w:p w14:paraId="08AABE62">
            <w:pPr>
              <w:pStyle w:val="11"/>
              <w:bidi w:val="0"/>
              <w:rPr>
                <w:rFonts w:ascii="Times New Roman" w:hAnsi="Times New Roman"/>
                <w:color w:val="000000" w:themeColor="text1"/>
                <w14:textFill>
                  <w14:solidFill>
                    <w14:schemeClr w14:val="tx1"/>
                  </w14:solidFill>
                </w14:textFill>
              </w:rPr>
            </w:pPr>
            <w:r>
              <w:t>手术医生和护士在手术室内进行介入手术时，会穿铅防护衣、戴介入防护手套、铅防护眼镜、铅橡胶颈套等防护用品，但是仍有部分皮肤暴露在射线下受到照射，在过程手术中，手术医生腕部距离射线照射方向最近，因X射线随着距离的增加呈现衰减趋势，故以手术医生腕部剂量估算结果进行核算医护人员皮肤照射年剂量，根据《电离辐射所致皮肤计量估算方法》（GBZ/T244-2017）中的公式估算手术室或介入室人员年皮肤吸收剂量：</w:t>
            </w:r>
          </w:p>
          <w:p w14:paraId="4153D697">
            <w:pPr>
              <w:keepNext/>
              <w:spacing w:line="360" w:lineRule="auto"/>
              <w:ind w:firstLine="2520" w:firstLineChars="1200"/>
              <w:rPr>
                <w:rFonts w:ascii="Times New Roman" w:hAnsi="Times New Roman"/>
                <w:color w:val="000000" w:themeColor="text1"/>
                <w:position w:val="-28"/>
                <w14:textFill>
                  <w14:solidFill>
                    <w14:schemeClr w14:val="tx1"/>
                  </w14:solidFill>
                </w14:textFill>
              </w:rPr>
            </w:pPr>
            <w:r>
              <w:rPr>
                <w:rFonts w:ascii="Times New Roman" w:hAnsi="Times New Roman"/>
                <w:color w:val="000000" w:themeColor="text1"/>
                <w:position w:val="-28"/>
                <w14:textFill>
                  <w14:solidFill>
                    <w14:schemeClr w14:val="tx1"/>
                  </w14:solidFill>
                </w14:textFill>
              </w:rPr>
              <w:object>
                <v:shape id="_x0000_i1031" o:spt="75" type="#_x0000_t75" style="height:33.8pt;width:93.9pt;" o:ole="t" filled="f" o:preferrelative="t" stroked="f" coordsize="21600,21600">
                  <v:path/>
                  <v:fill on="f" focussize="0,0"/>
                  <v:stroke on="f" joinstyle="miter"/>
                  <v:imagedata r:id="rId35" o:title=""/>
                  <o:lock v:ext="edit" aspectratio="t"/>
                  <w10:wrap type="none"/>
                  <w10:anchorlock/>
                </v:shape>
                <o:OLEObject Type="Embed" ProgID="Equation.3" ShapeID="_x0000_i1031" DrawAspect="Content" ObjectID="_1468075731" r:id="rId34">
                  <o:LockedField>false</o:LockedField>
                </o:OLEObject>
              </w:object>
            </w:r>
            <w:r>
              <w:rPr>
                <w:rFonts w:ascii="Times New Roman" w:hAnsi="Times New Roman"/>
                <w:color w:val="000000" w:themeColor="text1"/>
                <w:position w:val="-28"/>
                <w14:textFill>
                  <w14:solidFill>
                    <w14:schemeClr w14:val="tx1"/>
                  </w14:solidFill>
                </w14:textFill>
              </w:rPr>
              <w:t xml:space="preserve">     </w:t>
            </w:r>
            <w:r>
              <w:rPr>
                <w:rFonts w:ascii="Times New Roman" w:hAnsi="Times New Roman"/>
                <w:color w:val="000000" w:themeColor="text1"/>
                <w:position w:val="-28"/>
                <w:sz w:val="24"/>
                <w14:textFill>
                  <w14:solidFill>
                    <w14:schemeClr w14:val="tx1"/>
                  </w14:solidFill>
                </w14:textFill>
              </w:rPr>
              <w:t xml:space="preserve"> （式6）</w:t>
            </w:r>
          </w:p>
          <w:p w14:paraId="2E74B31C">
            <w:pPr>
              <w:keepNext/>
              <w:spacing w:line="360" w:lineRule="auto"/>
              <w:ind w:firstLine="2520" w:firstLineChars="1200"/>
              <w:rPr>
                <w:rFonts w:ascii="Times New Roman" w:hAnsi="Times New Roman"/>
                <w:color w:val="000000" w:themeColor="text1"/>
                <w:position w:val="-32"/>
                <w:sz w:val="24"/>
                <w14:textFill>
                  <w14:solidFill>
                    <w14:schemeClr w14:val="tx1"/>
                  </w14:solidFill>
                </w14:textFill>
              </w:rPr>
            </w:pPr>
            <w:r>
              <w:rPr>
                <w:rFonts w:ascii="Times New Roman" w:hAnsi="Times New Roman"/>
                <w:color w:val="000000" w:themeColor="text1"/>
                <w:position w:val="-32"/>
                <w14:textFill>
                  <w14:solidFill>
                    <w14:schemeClr w14:val="tx1"/>
                  </w14:solidFill>
                </w14:textFill>
              </w:rPr>
              <w:object>
                <v:shape id="_x0000_i1032" o:spt="75" type="#_x0000_t75" style="height:40.7pt;width:55.7pt;" o:ole="t" filled="f" o:preferrelative="t" stroked="f" coordsize="21600,21600">
                  <v:path/>
                  <v:fill on="f" focussize="0,0"/>
                  <v:stroke on="f" joinstyle="miter"/>
                  <v:imagedata r:id="rId37" o:title=""/>
                  <o:lock v:ext="edit" aspectratio="t"/>
                  <w10:wrap type="none"/>
                  <w10:anchorlock/>
                </v:shape>
                <o:OLEObject Type="Embed" ProgID="Equation.3" ShapeID="_x0000_i1032" DrawAspect="Content" ObjectID="_1468075732" r:id="rId36">
                  <o:LockedField>false</o:LockedField>
                </o:OLEObject>
              </w:object>
            </w:r>
            <w:r>
              <w:rPr>
                <w:rFonts w:ascii="Times New Roman" w:hAnsi="Times New Roman"/>
                <w:color w:val="000000" w:themeColor="text1"/>
                <w:position w:val="-32"/>
                <w14:textFill>
                  <w14:solidFill>
                    <w14:schemeClr w14:val="tx1"/>
                  </w14:solidFill>
                </w14:textFill>
              </w:rPr>
              <w:t xml:space="preserve">            </w:t>
            </w:r>
            <w:r>
              <w:rPr>
                <w:rFonts w:ascii="Times New Roman" w:hAnsi="Times New Roman"/>
                <w:color w:val="000000" w:themeColor="text1"/>
                <w:position w:val="-32"/>
                <w:sz w:val="24"/>
                <w14:textFill>
                  <w14:solidFill>
                    <w14:schemeClr w14:val="tx1"/>
                  </w14:solidFill>
                </w14:textFill>
              </w:rPr>
              <w:t xml:space="preserve"> （式7）</w:t>
            </w:r>
          </w:p>
          <w:p w14:paraId="2A90853E">
            <w:pPr>
              <w:pStyle w:val="11"/>
              <w:bidi w:val="0"/>
            </w:pPr>
            <w:r>
              <w:t>式中：</w:t>
            </w:r>
          </w:p>
          <w:p w14:paraId="729388A5">
            <w:pPr>
              <w:pStyle w:val="11"/>
              <w:bidi w:val="0"/>
            </w:pPr>
            <w:r>
              <w:t>Ds—皮肤吸收剂量，mGy/h；</w:t>
            </w:r>
          </w:p>
          <w:p w14:paraId="05D9B175">
            <w:pPr>
              <w:pStyle w:val="11"/>
              <w:bidi w:val="0"/>
            </w:pPr>
            <w:r>
              <w:rPr>
                <w:rFonts w:ascii="Times New Roman" w:hAnsi="Times New Roman"/>
                <w:color w:val="000000" w:themeColor="text1"/>
                <w:position w:val="-6"/>
                <w14:textFill>
                  <w14:solidFill>
                    <w14:schemeClr w14:val="tx1"/>
                  </w14:solidFill>
                </w14:textFill>
              </w:rPr>
              <w:object>
                <v:shape id="_x0000_i1033" o:spt="75" type="#_x0000_t75" style="height:21.9pt;width:10pt;" o:ole="t" filled="f" o:preferrelative="t" stroked="f" coordsize="21600,21600">
                  <v:path/>
                  <v:fill on="f" focussize="0,0"/>
                  <v:stroke on="f" joinstyle="miter"/>
                  <v:imagedata r:id="rId39" o:title=""/>
                  <o:lock v:ext="edit" aspectratio="t"/>
                  <w10:wrap type="none"/>
                  <w10:anchorlock/>
                </v:shape>
                <o:OLEObject Type="Embed" ProgID="Equation.3" ShapeID="_x0000_i1033" DrawAspect="Content" ObjectID="_1468075733" r:id="rId38">
                  <o:LockedField>false</o:LockedField>
                </o:OLEObject>
              </w:object>
            </w:r>
            <w:r>
              <w:t>—X辐射场的空气比释动能率，μGy/h；</w:t>
            </w:r>
          </w:p>
          <w:p w14:paraId="03D3CFB6">
            <w:pPr>
              <w:pStyle w:val="11"/>
              <w:bidi w:val="0"/>
            </w:pPr>
            <w:r>
              <w:t>C</w:t>
            </w:r>
            <w:r>
              <w:rPr>
                <w:vertAlign w:val="subscript"/>
              </w:rPr>
              <w:t>KS</w:t>
            </w:r>
            <w:r>
              <w:t>—空气比释动能到皮肤吸收计量的转化系数（Gy/Gy）；</w:t>
            </w:r>
          </w:p>
          <w:p w14:paraId="4599C0D6">
            <w:pPr>
              <w:pStyle w:val="11"/>
              <w:bidi w:val="0"/>
            </w:pPr>
            <w:r>
              <w:t>t—人员累计受照时间，</w:t>
            </w:r>
            <w:r>
              <w:rPr>
                <w:rFonts w:hint="eastAsia"/>
                <w:lang w:val="en-US" w:eastAsia="zh-CN"/>
              </w:rPr>
              <w:t>25</w:t>
            </w:r>
            <w:r>
              <w:rPr>
                <w:rFonts w:hint="eastAsia"/>
              </w:rPr>
              <w:t>.00</w:t>
            </w:r>
            <w:r>
              <w:t>h；</w:t>
            </w:r>
          </w:p>
          <w:p w14:paraId="583FD8DE">
            <w:pPr>
              <w:pStyle w:val="11"/>
              <w:bidi w:val="0"/>
            </w:pPr>
            <w:r>
              <w:drawing>
                <wp:inline distT="0" distB="0" distL="114300" distR="114300">
                  <wp:extent cx="438150" cy="257175"/>
                  <wp:effectExtent l="0" t="0" r="0" b="7620"/>
                  <wp:docPr id="2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6"/>
                          <pic:cNvPicPr>
                            <a:picLocks noChangeAspect="1"/>
                          </pic:cNvPicPr>
                        </pic:nvPicPr>
                        <pic:blipFill>
                          <a:blip r:embed="rId40"/>
                          <a:stretch>
                            <a:fillRect/>
                          </a:stretch>
                        </pic:blipFill>
                        <pic:spPr>
                          <a:xfrm>
                            <a:off x="0" y="0"/>
                            <a:ext cx="438150" cy="257175"/>
                          </a:xfrm>
                          <a:prstGeom prst="rect">
                            <a:avLst/>
                          </a:prstGeom>
                          <a:noFill/>
                          <a:ln>
                            <a:noFill/>
                          </a:ln>
                        </pic:spPr>
                      </pic:pic>
                    </a:graphicData>
                  </a:graphic>
                </wp:inline>
              </w:drawing>
            </w:r>
            <w:r>
              <w:t>—X辐射场周围剂量当量率，μSv/h；</w:t>
            </w:r>
          </w:p>
          <w:p w14:paraId="197F75EA">
            <w:pPr>
              <w:pStyle w:val="11"/>
              <w:bidi w:val="0"/>
            </w:pPr>
            <w:r>
              <w:t>C</w:t>
            </w:r>
            <w:r>
              <w:rPr>
                <w:vertAlign w:val="subscript"/>
              </w:rPr>
              <w:t>KH</w:t>
            </w:r>
            <w:r>
              <w:t>*—空气比释动能到周围剂量当量的转化系数（Sv/Gy）。</w:t>
            </w:r>
          </w:p>
          <w:p w14:paraId="2A1B14BB">
            <w:pPr>
              <w:pStyle w:val="11"/>
              <w:bidi w:val="0"/>
            </w:pPr>
            <w:r>
              <w:t>按照常用最大电流换算后，距靶1m处的剂量率为</w:t>
            </w:r>
            <w:r>
              <w:rPr>
                <w:rFonts w:hint="eastAsia"/>
                <w:lang w:val="en-US" w:eastAsia="zh-CN"/>
              </w:rPr>
              <w:t>162</w:t>
            </w:r>
            <w:r>
              <w:t>mGy/min，医生操作时腕部距非主射束的距离取0.</w:t>
            </w:r>
            <w:r>
              <w:rPr>
                <w:rFonts w:hint="eastAsia"/>
              </w:rPr>
              <w:t>4</w:t>
            </w:r>
            <w:r>
              <w:t>m，预计在透视时有1/5时间手术医师在受照位置进行插入导管等操作，此时医师腕部受铅防护手套（0.025mmPb）保护；在剩余透视时的4/5时间内手术医师在手术床侧的其他位置，此时腕部未处于受照位置，腕部受到铅防护手套（0.025mmPb）和铅悬挂防护屏（0.5mmPb）的保护。医师腕部受铅防护手套（0.025mmPb）保护时腕部位置处的空气吸收剂量通过计算可得到辐射剂量当量为</w:t>
            </w:r>
            <w:r>
              <w:rPr>
                <w:rFonts w:hint="eastAsia"/>
                <w:lang w:val="en-US" w:eastAsia="zh-CN"/>
              </w:rPr>
              <w:t>13363.17</w:t>
            </w:r>
            <w:r>
              <w:t>μGy/h，腕部受到铅防护手套（0.025mmPb）和铅悬挂防护屏（0.5mmPb）的保护时腕部位置处的空气吸收剂量通过计算可得到辐射剂量当量为</w:t>
            </w:r>
            <w:r>
              <w:rPr>
                <w:rFonts w:hint="eastAsia"/>
                <w:lang w:val="en-US" w:eastAsia="zh-CN"/>
              </w:rPr>
              <w:t>1448.04</w:t>
            </w:r>
            <w:r>
              <w:t>μGy/h。本项目DSA可近似地视为垂直入射，而且是AP入射方式（AP，即垂直于人体长轴/Z轴，从人体正面的入射）。从《电离辐射所致皮肤计量估算方法》（GBZ/T244-2017）表A.9可查得X辐射场空气比释动能到周围剂量当量的转化系数CKH</w:t>
            </w:r>
            <w:r>
              <w:rPr>
                <w:rFonts w:hint="eastAsia"/>
              </w:rPr>
              <w:t>*</w:t>
            </w:r>
            <w:r>
              <w:t>=1.72Sv/Gy，由（公式7）计算出辐射场的空气比释动能率。从表A.4可查出空气比释动能到皮肤吸收剂量的转换系数CKS=1.134mGy/mGy。根据科室介入手术工作量，每名医生累计受照时间最长为</w:t>
            </w:r>
            <w:r>
              <w:rPr>
                <w:rFonts w:hint="eastAsia"/>
                <w:lang w:val="en-US" w:eastAsia="zh-CN"/>
              </w:rPr>
              <w:t>25</w:t>
            </w:r>
            <w:r>
              <w:rPr>
                <w:rFonts w:hint="eastAsia"/>
              </w:rPr>
              <w:t>.00</w:t>
            </w:r>
            <w:r>
              <w:t>h，则核算出手术医生手术位腕部皮肤受照当量剂量为</w:t>
            </w:r>
            <w:r>
              <w:rPr>
                <w:rFonts w:hint="eastAsia"/>
                <w:lang w:val="en-US" w:eastAsia="zh-CN"/>
              </w:rPr>
              <w:t>63.15</w:t>
            </w:r>
            <w:r>
              <w:t>mSv/a，满足《电离辐射防护与辐射源安全基本标准》（GB18871-2002）第4.3.2.1条的规定，对任何工作人员，四肢（手/足）或皮肤的年当量剂量不超过500mSv，也满足本项目对于放射工作人员四肢（手和足）或皮肤当量剂量通常管理限值，即不超过125mSv的要求。</w:t>
            </w:r>
          </w:p>
          <w:p w14:paraId="293597AE">
            <w:pPr>
              <w:spacing w:line="360" w:lineRule="auto"/>
              <w:rPr>
                <w:rFonts w:ascii="Times New Roman" w:hAnsi="Times New Roman"/>
                <w:b/>
                <w:bCs/>
                <w:sz w:val="24"/>
              </w:rPr>
            </w:pPr>
            <w:r>
              <w:rPr>
                <w:rFonts w:ascii="Times New Roman" w:hAnsi="Times New Roman"/>
                <w:b/>
                <w:bCs/>
                <w:sz w:val="24"/>
              </w:rPr>
              <w:t>3、医生眼晶体受照剂量估算</w:t>
            </w:r>
          </w:p>
          <w:p w14:paraId="68D7C410">
            <w:pPr>
              <w:widowControl/>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手术医生和护士在手术室内进行介入手术时，会穿铅防护衣、戴介入防护手套、铅防护眼镜、铅橡胶颈套等防护用品，根据《</w:t>
            </w:r>
            <w:r>
              <w:rPr>
                <w:rFonts w:ascii="Times New Roman" w:hAnsi="Times New Roman"/>
                <w:color w:val="000000" w:themeColor="text1"/>
                <w:kern w:val="0"/>
                <w:sz w:val="24"/>
                <w:lang w:bidi="ar"/>
                <w14:textFill>
                  <w14:solidFill>
                    <w14:schemeClr w14:val="tx1"/>
                  </w14:solidFill>
                </w14:textFill>
              </w:rPr>
              <w:t>电离辐射所致眼晶状体剂量估算方法</w:t>
            </w:r>
            <w:r>
              <w:rPr>
                <w:rFonts w:ascii="Times New Roman" w:hAnsi="Times New Roman"/>
                <w:color w:val="000000" w:themeColor="text1"/>
                <w:sz w:val="24"/>
                <w14:textFill>
                  <w14:solidFill>
                    <w14:schemeClr w14:val="tx1"/>
                  </w14:solidFill>
                </w14:textFill>
              </w:rPr>
              <w:t>》（GBZ/T301-2017）中的公式估算手术室或介入室人员年</w:t>
            </w:r>
            <w:r>
              <w:rPr>
                <w:rFonts w:ascii="Times New Roman" w:hAnsi="Times New Roman"/>
                <w:color w:val="000000" w:themeColor="text1"/>
                <w:kern w:val="0"/>
                <w:sz w:val="24"/>
                <w:lang w:bidi="ar"/>
                <w14:textFill>
                  <w14:solidFill>
                    <w14:schemeClr w14:val="tx1"/>
                  </w14:solidFill>
                </w14:textFill>
              </w:rPr>
              <w:t>眼晶状体</w:t>
            </w:r>
            <w:r>
              <w:rPr>
                <w:rFonts w:ascii="Times New Roman" w:hAnsi="Times New Roman"/>
                <w:color w:val="000000" w:themeColor="text1"/>
                <w:sz w:val="24"/>
                <w14:textFill>
                  <w14:solidFill>
                    <w14:schemeClr w14:val="tx1"/>
                  </w14:solidFill>
                </w14:textFill>
              </w:rPr>
              <w:t>吸收剂量：</w:t>
            </w:r>
          </w:p>
          <w:p w14:paraId="4C612086">
            <w:pPr>
              <w:keepNext/>
              <w:spacing w:line="360" w:lineRule="auto"/>
              <w:ind w:firstLine="2520" w:firstLineChars="1200"/>
              <w:rPr>
                <w:rFonts w:ascii="Times New Roman" w:hAnsi="Times New Roman"/>
                <w:color w:val="000000" w:themeColor="text1"/>
                <w:position w:val="-28"/>
                <w14:textFill>
                  <w14:solidFill>
                    <w14:schemeClr w14:val="tx1"/>
                  </w14:solidFill>
                </w14:textFill>
              </w:rPr>
            </w:pPr>
            <w:r>
              <w:rPr>
                <w:rFonts w:ascii="Times New Roman" w:hAnsi="Times New Roman"/>
                <w:color w:val="000000" w:themeColor="text1"/>
                <w:position w:val="-28"/>
                <w14:textFill>
                  <w14:solidFill>
                    <w14:schemeClr w14:val="tx1"/>
                  </w14:solidFill>
                </w14:textFill>
              </w:rPr>
              <w:object>
                <v:shape id="_x0000_i1034" o:spt="75" type="#_x0000_t75" style="height:33.8pt;width:95.8pt;" o:ole="t" filled="f" o:preferrelative="t" stroked="f" coordsize="21600,21600">
                  <v:path/>
                  <v:fill on="f" focussize="0,0"/>
                  <v:stroke on="f" joinstyle="miter"/>
                  <v:imagedata r:id="rId42" o:title=""/>
                  <o:lock v:ext="edit" aspectratio="t"/>
                  <w10:wrap type="none"/>
                  <w10:anchorlock/>
                </v:shape>
                <o:OLEObject Type="Embed" ProgID="Equation.3" ShapeID="_x0000_i1034" DrawAspect="Content" ObjectID="_1468075734" r:id="rId41">
                  <o:LockedField>false</o:LockedField>
                </o:OLEObject>
              </w:object>
            </w:r>
            <w:r>
              <w:rPr>
                <w:rFonts w:ascii="Times New Roman" w:hAnsi="Times New Roman"/>
                <w:color w:val="000000" w:themeColor="text1"/>
                <w:position w:val="-28"/>
                <w14:textFill>
                  <w14:solidFill>
                    <w14:schemeClr w14:val="tx1"/>
                  </w14:solidFill>
                </w14:textFill>
              </w:rPr>
              <w:t xml:space="preserve">     </w:t>
            </w:r>
            <w:r>
              <w:rPr>
                <w:rFonts w:ascii="Times New Roman" w:hAnsi="Times New Roman"/>
                <w:color w:val="000000" w:themeColor="text1"/>
                <w:position w:val="-28"/>
                <w:sz w:val="24"/>
                <w14:textFill>
                  <w14:solidFill>
                    <w14:schemeClr w14:val="tx1"/>
                  </w14:solidFill>
                </w14:textFill>
              </w:rPr>
              <w:t xml:space="preserve"> （式8）</w:t>
            </w:r>
          </w:p>
          <w:p w14:paraId="024F9EFA">
            <w:pPr>
              <w:keepNext/>
              <w:spacing w:line="360" w:lineRule="auto"/>
              <w:ind w:firstLine="2520" w:firstLineChars="1200"/>
              <w:rPr>
                <w:rFonts w:ascii="Times New Roman" w:hAnsi="Times New Roman"/>
                <w:color w:val="000000" w:themeColor="text1"/>
                <w:position w:val="-32"/>
                <w:sz w:val="24"/>
                <w14:textFill>
                  <w14:solidFill>
                    <w14:schemeClr w14:val="tx1"/>
                  </w14:solidFill>
                </w14:textFill>
              </w:rPr>
            </w:pPr>
            <w:r>
              <w:rPr>
                <w:rFonts w:ascii="Times New Roman" w:hAnsi="Times New Roman"/>
                <w:color w:val="000000" w:themeColor="text1"/>
                <w:position w:val="-32"/>
                <w14:textFill>
                  <w14:solidFill>
                    <w14:schemeClr w14:val="tx1"/>
                  </w14:solidFill>
                </w14:textFill>
              </w:rPr>
              <w:object>
                <v:shape id="_x0000_i1035" o:spt="75" type="#_x0000_t75" style="height:40.7pt;width:55.7pt;" o:ole="t" filled="f" o:preferrelative="t" stroked="f" coordsize="21600,21600">
                  <v:path/>
                  <v:fill on="f" focussize="0,0"/>
                  <v:stroke on="f" joinstyle="miter"/>
                  <v:imagedata r:id="rId37" o:title=""/>
                  <o:lock v:ext="edit" aspectratio="t"/>
                  <w10:wrap type="none"/>
                  <w10:anchorlock/>
                </v:shape>
                <o:OLEObject Type="Embed" ProgID="Equation.3" ShapeID="_x0000_i1035" DrawAspect="Content" ObjectID="_1468075735" r:id="rId43">
                  <o:LockedField>false</o:LockedField>
                </o:OLEObject>
              </w:object>
            </w:r>
            <w:r>
              <w:rPr>
                <w:rFonts w:ascii="Times New Roman" w:hAnsi="Times New Roman"/>
                <w:color w:val="000000" w:themeColor="text1"/>
                <w:position w:val="-32"/>
                <w14:textFill>
                  <w14:solidFill>
                    <w14:schemeClr w14:val="tx1"/>
                  </w14:solidFill>
                </w14:textFill>
              </w:rPr>
              <w:t xml:space="preserve">            </w:t>
            </w:r>
            <w:r>
              <w:rPr>
                <w:rFonts w:ascii="Times New Roman" w:hAnsi="Times New Roman"/>
                <w:color w:val="000000" w:themeColor="text1"/>
                <w:position w:val="-32"/>
                <w:sz w:val="24"/>
                <w14:textFill>
                  <w14:solidFill>
                    <w14:schemeClr w14:val="tx1"/>
                  </w14:solidFill>
                </w14:textFill>
              </w:rPr>
              <w:t xml:space="preserve"> （式9）</w:t>
            </w:r>
          </w:p>
          <w:p w14:paraId="1E7CE26F">
            <w:pPr>
              <w:pStyle w:val="11"/>
              <w:bidi w:val="0"/>
            </w:pPr>
            <w:r>
              <w:t>式中：</w:t>
            </w:r>
          </w:p>
          <w:p w14:paraId="3DAE9B80">
            <w:pPr>
              <w:pStyle w:val="11"/>
              <w:bidi w:val="0"/>
            </w:pPr>
            <w:r>
              <w:t>D</w:t>
            </w:r>
            <w:r>
              <w:rPr>
                <w:vertAlign w:val="subscript"/>
              </w:rPr>
              <w:t>L</w:t>
            </w:r>
            <w:r>
              <w:t>—眼晶体吸收剂量，mGy/h；</w:t>
            </w:r>
          </w:p>
          <w:p w14:paraId="5254316C">
            <w:pPr>
              <w:pStyle w:val="11"/>
              <w:bidi w:val="0"/>
            </w:pPr>
            <w:r>
              <w:t>C</w:t>
            </w:r>
            <w:r>
              <w:rPr>
                <w:vertAlign w:val="subscript"/>
              </w:rPr>
              <w:t>KL</w:t>
            </w:r>
            <w:r>
              <w:t>—空气比释动能到眼晶状体吸收剂量的转换系数（其值参见附录A中表A.4），（Gy/Gy）；</w:t>
            </w:r>
          </w:p>
          <w:p w14:paraId="3FC52086">
            <w:pPr>
              <w:pStyle w:val="11"/>
              <w:bidi w:val="0"/>
            </w:pPr>
            <w:r>
              <w:t>t—人员累计受照时间，</w:t>
            </w:r>
            <w:r>
              <w:rPr>
                <w:rFonts w:hint="eastAsia"/>
                <w:lang w:val="en-US" w:eastAsia="zh-CN"/>
              </w:rPr>
              <w:t>25</w:t>
            </w:r>
            <w:r>
              <w:rPr>
                <w:rFonts w:hint="eastAsia"/>
              </w:rPr>
              <w:t>.00</w:t>
            </w:r>
            <w:r>
              <w:t>h；</w:t>
            </w:r>
          </w:p>
          <w:p w14:paraId="38642BEA">
            <w:pPr>
              <w:pStyle w:val="11"/>
              <w:bidi w:val="0"/>
            </w:pPr>
            <w:r>
              <w:rPr>
                <w:rFonts w:ascii="Times New Roman" w:hAnsi="Times New Roman"/>
                <w:color w:val="000000" w:themeColor="text1"/>
                <w:position w:val="-6"/>
                <w14:textFill>
                  <w14:solidFill>
                    <w14:schemeClr w14:val="tx1"/>
                  </w14:solidFill>
                </w14:textFill>
              </w:rPr>
              <w:object>
                <v:shape id="_x0000_i1036" o:spt="75" type="#_x0000_t75" style="height:21.9pt;width:10pt;" o:ole="t" filled="f" o:preferrelative="t" stroked="f" coordsize="21600,21600">
                  <v:path/>
                  <v:fill on="f" focussize="0,0"/>
                  <v:stroke on="f" joinstyle="miter"/>
                  <v:imagedata r:id="rId39" o:title=""/>
                  <o:lock v:ext="edit" aspectratio="t"/>
                  <w10:wrap type="none"/>
                  <w10:anchorlock/>
                </v:shape>
                <o:OLEObject Type="Embed" ProgID="Equation.3" ShapeID="_x0000_i1036" DrawAspect="Content" ObjectID="_1468075736" r:id="rId44">
                  <o:LockedField>false</o:LockedField>
                </o:OLEObject>
              </w:object>
            </w:r>
            <w:r>
              <w:t>—X辐射场的空气比释动能率，μGy/h；</w:t>
            </w:r>
          </w:p>
          <w:p w14:paraId="65BA5C00">
            <w:pPr>
              <w:pStyle w:val="11"/>
              <w:bidi w:val="0"/>
            </w:pPr>
            <w:r>
              <w:drawing>
                <wp:inline distT="0" distB="0" distL="114300" distR="114300">
                  <wp:extent cx="438150" cy="257175"/>
                  <wp:effectExtent l="0" t="0" r="0" b="7620"/>
                  <wp:docPr id="2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2"/>
                          <pic:cNvPicPr>
                            <a:picLocks noChangeAspect="1"/>
                          </pic:cNvPicPr>
                        </pic:nvPicPr>
                        <pic:blipFill>
                          <a:blip r:embed="rId40"/>
                          <a:stretch>
                            <a:fillRect/>
                          </a:stretch>
                        </pic:blipFill>
                        <pic:spPr>
                          <a:xfrm>
                            <a:off x="0" y="0"/>
                            <a:ext cx="438150" cy="257175"/>
                          </a:xfrm>
                          <a:prstGeom prst="rect">
                            <a:avLst/>
                          </a:prstGeom>
                          <a:noFill/>
                          <a:ln>
                            <a:noFill/>
                          </a:ln>
                        </pic:spPr>
                      </pic:pic>
                    </a:graphicData>
                  </a:graphic>
                </wp:inline>
              </w:drawing>
            </w:r>
            <w:r>
              <w:t>—X辐射场周围剂量当量率，μSv/h；</w:t>
            </w:r>
          </w:p>
          <w:p w14:paraId="1AB6EA6A">
            <w:pPr>
              <w:pStyle w:val="11"/>
              <w:bidi w:val="0"/>
            </w:pPr>
            <w:r>
              <w:t>C</w:t>
            </w:r>
            <w:r>
              <w:rPr>
                <w:vertAlign w:val="subscript"/>
              </w:rPr>
              <w:t>KH</w:t>
            </w:r>
            <w:r>
              <w:t>*—空气比释动能到周围剂量当量的转化系数（Sv/Gy）。</w:t>
            </w:r>
          </w:p>
          <w:p w14:paraId="6DDFB436">
            <w:pPr>
              <w:pStyle w:val="11"/>
              <w:bidi w:val="0"/>
            </w:pPr>
            <w:r>
              <w:t>按照常用最大电流换算后，距靶1m处的剂量率为</w:t>
            </w:r>
            <w:r>
              <w:rPr>
                <w:rFonts w:hint="eastAsia"/>
                <w:lang w:val="en-US" w:eastAsia="zh-CN"/>
              </w:rPr>
              <w:t>162</w:t>
            </w:r>
            <w:r>
              <w:t>mGy/min，医生操作时眼晶状体距非主射束的距离取0.</w:t>
            </w:r>
            <w:r>
              <w:rPr>
                <w:rFonts w:hint="eastAsia"/>
              </w:rPr>
              <w:t>7</w:t>
            </w:r>
            <w:r>
              <w:t>m，且考虑0.5mmPb铅防护眼镜屏蔽防护，手术时眼晶状体位置处的空气吸收剂量通过计算可得到辐射剂量当量为</w:t>
            </w:r>
            <w:r>
              <w:rPr>
                <w:rFonts w:hint="eastAsia"/>
                <w:lang w:val="en-US" w:eastAsia="zh-CN"/>
              </w:rPr>
              <w:t>1162.16</w:t>
            </w:r>
            <w:r>
              <w:t>μGy/h。本项目DSA可近似地视为垂直入射，而且是AP入射方式（AP，即垂直于人体长轴/Z轴，从人体正面的入射）。从《电离辐射所致眼晶状体剂量估算方法》（GBZ/T301-2017）表A.7可查得X辐射场空气比释动能到周围剂量当量的转化系数C</w:t>
            </w:r>
            <w:r>
              <w:rPr>
                <w:vertAlign w:val="subscript"/>
              </w:rPr>
              <w:t>KH</w:t>
            </w:r>
            <w:r>
              <w:t>*=1.72Sv/Gy，由（公式9）计算出辐射场的空气比释动能率为</w:t>
            </w:r>
            <w:r>
              <w:rPr>
                <w:rFonts w:hint="eastAsia"/>
                <w:lang w:val="en-US" w:eastAsia="zh-CN"/>
              </w:rPr>
              <w:t>675.68</w:t>
            </w:r>
            <w:r>
              <w:t>µGy/h。从表A.4可查出空气比释动能到眼晶状体吸收剂量的转换系数C</w:t>
            </w:r>
            <w:r>
              <w:rPr>
                <w:vertAlign w:val="subscript"/>
              </w:rPr>
              <w:t>KL</w:t>
            </w:r>
            <w:r>
              <w:t>=1.55mGy/mGy。根据科室介入手术工作量，每名医生累计受照时间最长为</w:t>
            </w:r>
            <w:r>
              <w:rPr>
                <w:rFonts w:hint="eastAsia"/>
                <w:lang w:val="en-US" w:eastAsia="zh-CN"/>
              </w:rPr>
              <w:t>25</w:t>
            </w:r>
            <w:r>
              <w:rPr>
                <w:rFonts w:hint="eastAsia"/>
              </w:rPr>
              <w:t>.00</w:t>
            </w:r>
            <w:r>
              <w:t>h，则核算出手术医生手眼晶状体受照当量剂量为</w:t>
            </w:r>
            <w:r>
              <w:rPr>
                <w:rFonts w:hint="eastAsia"/>
                <w:lang w:val="en-US" w:eastAsia="zh-CN"/>
              </w:rPr>
              <w:t>26.18</w:t>
            </w:r>
            <w:r>
              <w:t>mSv/a，满足《电离辐射防护与辐射源安全基本标准》（GB18871-2002）第4.3.2.1条的规定，对任何工作人员，眼晶状体的年当量剂量不超过150mSv，也满足本项目对于放射工作人员眼晶状体当量剂量通常管理限值，即不超过37.5mSv的要求。</w:t>
            </w:r>
          </w:p>
          <w:p w14:paraId="4020027A">
            <w:pPr>
              <w:pStyle w:val="11"/>
              <w:bidi w:val="0"/>
            </w:pPr>
            <w:r>
              <w:t>医院应严格落实辐射安全防护的各项规章制度，所有手术过程中造影室内的医护人员均应按辐射工作人员进行管理，手术室医护人员穿戴好防护用品并严格遵守操作规程。对病人病灶进行照射时，应将病人病灶以外部位用铅橡胶布进行遮盖或穿着铅服，以避免病人受到不必要的照射。</w:t>
            </w:r>
          </w:p>
          <w:p w14:paraId="3659F9E3">
            <w:pPr>
              <w:keepNext/>
              <w:spacing w:line="360" w:lineRule="auto"/>
              <w:ind w:firstLine="482"/>
              <w:rPr>
                <w:rFonts w:ascii="Times New Roman" w:hAnsi="Times New Roman"/>
                <w:b/>
                <w:bCs/>
                <w:sz w:val="24"/>
              </w:rPr>
            </w:pPr>
            <w:r>
              <w:rPr>
                <w:rFonts w:ascii="Times New Roman" w:hAnsi="Times New Roman"/>
                <w:b/>
                <w:bCs/>
                <w:sz w:val="24"/>
              </w:rPr>
              <w:t>4、</w:t>
            </w:r>
            <w:r>
              <w:rPr>
                <w:rFonts w:hint="eastAsia" w:ascii="Times New Roman" w:hAnsi="Times New Roman"/>
                <w:b/>
                <w:bCs/>
                <w:sz w:val="24"/>
              </w:rPr>
              <w:t>介入检查</w:t>
            </w:r>
            <w:r>
              <w:rPr>
                <w:rFonts w:ascii="Times New Roman" w:hAnsi="Times New Roman"/>
                <w:b/>
                <w:bCs/>
                <w:sz w:val="24"/>
              </w:rPr>
              <w:t>对医生和患者的辐射防护要求</w:t>
            </w:r>
          </w:p>
          <w:p w14:paraId="668D4A90">
            <w:pPr>
              <w:pStyle w:val="11"/>
              <w:bidi w:val="0"/>
            </w:pPr>
            <w:r>
              <w:rPr>
                <w:rFonts w:hint="eastAsia"/>
              </w:rPr>
              <w:t>介入检查</w:t>
            </w:r>
            <w:r>
              <w:t>是一种解决临床疑难病的新方法，但</w:t>
            </w:r>
            <w:r>
              <w:rPr>
                <w:rFonts w:hint="eastAsia"/>
              </w:rPr>
              <w:t>介入检查</w:t>
            </w:r>
            <w:r>
              <w:t>时X射线曝光量大，曝光时间长，距球管和散射体近，使</w:t>
            </w:r>
            <w:r>
              <w:rPr>
                <w:rFonts w:hint="eastAsia"/>
              </w:rPr>
              <w:t>介入检查</w:t>
            </w:r>
            <w:r>
              <w:t>操作者受到大剂量的X射线照射。为了减少</w:t>
            </w:r>
            <w:r>
              <w:rPr>
                <w:rFonts w:hint="eastAsia"/>
              </w:rPr>
              <w:t>介入检查</w:t>
            </w:r>
            <w:r>
              <w:t>时X射线对操作者和其他人员的影响，本评价提出以下几点要求：</w:t>
            </w:r>
          </w:p>
          <w:p w14:paraId="4AFC0B41">
            <w:pPr>
              <w:pStyle w:val="11"/>
              <w:bidi w:val="0"/>
            </w:pPr>
            <w:r>
              <w:rPr>
                <w:rFonts w:hint="eastAsia"/>
              </w:rPr>
              <w:t>介入检查</w:t>
            </w:r>
            <w:r>
              <w:t>医生自身的辐射防护要求：</w:t>
            </w:r>
            <w:r>
              <w:fldChar w:fldCharType="begin"/>
            </w:r>
            <w:r>
              <w:instrText xml:space="preserve"> = 1 \* GB3 </w:instrText>
            </w:r>
            <w:r>
              <w:fldChar w:fldCharType="separate"/>
            </w:r>
            <w:r>
              <w:t>①</w:t>
            </w:r>
            <w:r>
              <w:fldChar w:fldCharType="end"/>
            </w:r>
            <w:r>
              <w:t>加强教育和培训工作，提高辐射安全文化素养，全面掌握辐射防护法规和技术知识；</w:t>
            </w:r>
            <w:r>
              <w:fldChar w:fldCharType="begin"/>
            </w:r>
            <w:r>
              <w:instrText xml:space="preserve"> = 2 \* GB3 </w:instrText>
            </w:r>
            <w:r>
              <w:fldChar w:fldCharType="separate"/>
            </w:r>
            <w:r>
              <w:t>②</w:t>
            </w:r>
            <w:r>
              <w:fldChar w:fldCharType="end"/>
            </w:r>
            <w:r>
              <w:t>结合诊疗项目实际情况，综合运用时间、距离与屏蔽防护措施；</w:t>
            </w:r>
            <w:r>
              <w:fldChar w:fldCharType="begin"/>
            </w:r>
            <w:r>
              <w:instrText xml:space="preserve"> = 3 \* GB3 </w:instrText>
            </w:r>
            <w:r>
              <w:fldChar w:fldCharType="separate"/>
            </w:r>
            <w:r>
              <w:t>③</w:t>
            </w:r>
            <w:r>
              <w:fldChar w:fldCharType="end"/>
            </w:r>
            <w:r>
              <w:t>在介入手术期间，必须穿戴个人防护用品，并佩戴个人剂量报警仪；</w:t>
            </w:r>
            <w:r>
              <w:fldChar w:fldCharType="begin"/>
            </w:r>
            <w:r>
              <w:instrText xml:space="preserve"> = 4 \* GB3 </w:instrText>
            </w:r>
            <w:r>
              <w:fldChar w:fldCharType="separate"/>
            </w:r>
            <w:r>
              <w:t>④</w:t>
            </w:r>
            <w:r>
              <w:fldChar w:fldCharType="end"/>
            </w:r>
            <w:r>
              <w:t>定期维护DSA系统设备，制定和执行</w:t>
            </w:r>
            <w:r>
              <w:rPr>
                <w:rFonts w:hint="eastAsia"/>
              </w:rPr>
              <w:t>介入检查</w:t>
            </w:r>
            <w:r>
              <w:t>的质量保证计划。</w:t>
            </w:r>
          </w:p>
          <w:p w14:paraId="5B4B5383">
            <w:pPr>
              <w:pStyle w:val="11"/>
              <w:bidi w:val="0"/>
            </w:pPr>
            <w:r>
              <w:t>患者的辐射防护要求：</w:t>
            </w:r>
            <w:r>
              <w:fldChar w:fldCharType="begin"/>
            </w:r>
            <w:r>
              <w:instrText xml:space="preserve"> = 1 \* GB3 </w:instrText>
            </w:r>
            <w:r>
              <w:fldChar w:fldCharType="separate"/>
            </w:r>
            <w:r>
              <w:t>①</w:t>
            </w:r>
            <w:r>
              <w:fldChar w:fldCharType="end"/>
            </w:r>
            <w:r>
              <w:t>严格执行GB18871-2002中规定的介入诊疗指导水平，保证患者的入射体表剂量率不超过100mGy/min；</w:t>
            </w:r>
            <w:r>
              <w:fldChar w:fldCharType="begin"/>
            </w:r>
            <w:r>
              <w:instrText xml:space="preserve"> = 2 \* GB3 </w:instrText>
            </w:r>
            <w:r>
              <w:fldChar w:fldCharType="separate"/>
            </w:r>
            <w:r>
              <w:t>②</w:t>
            </w:r>
            <w:r>
              <w:fldChar w:fldCharType="end"/>
            </w:r>
            <w:r>
              <w:t>选择最优化的检查参数，为保证影像质量可采用高电压、低电流、限制透视检查时间等措施；</w:t>
            </w:r>
            <w:r>
              <w:fldChar w:fldCharType="begin"/>
            </w:r>
            <w:r>
              <w:instrText xml:space="preserve"> = 3 \* GB3 </w:instrText>
            </w:r>
            <w:r>
              <w:fldChar w:fldCharType="separate"/>
            </w:r>
            <w:r>
              <w:t>③</w:t>
            </w:r>
            <w:r>
              <w:fldChar w:fldCharType="end"/>
            </w:r>
            <w:r>
              <w:t>采用剂量控制与分散措施，通过调整扫描架角度，移动扫描床等办法，分散患者的皮肤剂量，避免单一皮肤区域接受全部剂量；</w:t>
            </w:r>
            <w:r>
              <w:fldChar w:fldCharType="begin"/>
            </w:r>
            <w:r>
              <w:instrText xml:space="preserve"> = 4 \* GB3 </w:instrText>
            </w:r>
            <w:r>
              <w:fldChar w:fldCharType="separate"/>
            </w:r>
            <w:r>
              <w:t>④</w:t>
            </w:r>
            <w:r>
              <w:fldChar w:fldCharType="end"/>
            </w:r>
            <w:r>
              <w:rPr>
                <w:rFonts w:hint="eastAsia"/>
                <w:lang w:eastAsia="zh-CN"/>
              </w:rPr>
              <w:t>做好</w:t>
            </w:r>
            <w:r>
              <w:t>患者非照射部位的保护工作。</w:t>
            </w:r>
          </w:p>
          <w:p w14:paraId="27B8EBE5">
            <w:pPr>
              <w:keepNext/>
              <w:spacing w:line="360" w:lineRule="auto"/>
              <w:ind w:firstLine="482"/>
              <w:rPr>
                <w:rFonts w:ascii="Times New Roman" w:hAnsi="Times New Roman"/>
                <w:b/>
                <w:bCs/>
                <w:sz w:val="24"/>
              </w:rPr>
            </w:pPr>
            <w:r>
              <w:rPr>
                <w:rFonts w:ascii="Times New Roman" w:hAnsi="Times New Roman"/>
                <w:b/>
                <w:bCs/>
                <w:sz w:val="24"/>
              </w:rPr>
              <w:t>5、射线装置报废</w:t>
            </w:r>
          </w:p>
          <w:p w14:paraId="6BE414EA">
            <w:pPr>
              <w:pStyle w:val="11"/>
              <w:bidi w:val="0"/>
              <w:rPr>
                <w:rFonts w:ascii="Times New Roman" w:hAnsi="Times New Roman"/>
                <w:color w:val="000000" w:themeColor="text1"/>
                <w14:textFill>
                  <w14:solidFill>
                    <w14:schemeClr w14:val="tx1"/>
                  </w14:solidFill>
                </w14:textFill>
              </w:rPr>
            </w:pPr>
            <w:r>
              <w:t>射线装置在报废前，应采取去功能化的措施（如拆除电源和拆解加高压射线管），确保装置无法再次组装通电使用，并按照国有资产和生态环境保护主管部门的要求，履行相关报废手续。</w:t>
            </w:r>
          </w:p>
          <w:p w14:paraId="17E26EDC">
            <w:pPr>
              <w:spacing w:line="360" w:lineRule="auto"/>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二、大气环境影响分析</w:t>
            </w:r>
          </w:p>
          <w:p w14:paraId="50C6D4DD">
            <w:pPr>
              <w:pStyle w:val="11"/>
              <w:bidi w:val="0"/>
              <w:rPr>
                <w:rFonts w:ascii="Times New Roman" w:hAnsi="Times New Roman"/>
              </w:rPr>
            </w:pPr>
            <w:r>
              <w:t>本项目在运行过程中，主要大气污染因子为DSA机房内空气中氧和氮受X射线电离而产生的臭氧和氮氧化物。本项目</w:t>
            </w:r>
            <w:r>
              <w:rPr>
                <w:rFonts w:hint="eastAsia"/>
                <w:lang w:eastAsia="zh-CN"/>
              </w:rPr>
              <w:t>DSA机房</w:t>
            </w:r>
            <w:r>
              <w:rPr>
                <w:rFonts w:hint="eastAsia"/>
                <w:lang w:val="en-US" w:eastAsia="zh-CN"/>
              </w:rPr>
              <w:t>产生的氮氧化物和臭氧量较少，并且臭氧在空气中易氧化，存在时间短</w:t>
            </w:r>
            <w:r>
              <w:t>。</w:t>
            </w:r>
            <w:r>
              <w:rPr>
                <w:rFonts w:hint="eastAsia"/>
                <w:lang w:val="en-US" w:eastAsia="zh-CN"/>
              </w:rPr>
              <w:t>项目废气由排风管道引至二楼室外排放</w:t>
            </w:r>
            <w:r>
              <w:rPr>
                <w:rFonts w:hint="eastAsia"/>
                <w:lang w:eastAsia="zh-CN"/>
              </w:rPr>
              <w:t>，</w:t>
            </w:r>
            <w:r>
              <w:t>对周围环境影响较小。</w:t>
            </w:r>
          </w:p>
          <w:p w14:paraId="3B4CED9C">
            <w:pPr>
              <w:spacing w:line="360" w:lineRule="auto"/>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三、废水环境影响分析</w:t>
            </w:r>
          </w:p>
          <w:p w14:paraId="138D4727">
            <w:pPr>
              <w:pStyle w:val="11"/>
              <w:bidi w:val="0"/>
            </w:pPr>
            <w:r>
              <w:t>本项目运行后，废水主要为辐射工作人员和患者产生的生活污水。本项目</w:t>
            </w:r>
            <w:r>
              <w:rPr>
                <w:rFonts w:hint="eastAsia"/>
                <w:lang w:eastAsia="zh-CN"/>
              </w:rPr>
              <w:t>DSA机房</w:t>
            </w:r>
            <w:r>
              <w:t>营运期产生的废水主要包括医疗废水和医护人员、病患以及病人家属产生的生活污水。</w:t>
            </w:r>
          </w:p>
          <w:p w14:paraId="7ED7ADED">
            <w:pPr>
              <w:pStyle w:val="11"/>
              <w:bidi w:val="0"/>
              <w:rPr>
                <w:rFonts w:ascii="Times New Roman" w:hAnsi="Times New Roman"/>
              </w:rPr>
            </w:pPr>
            <w:r>
              <w:rPr>
                <w:rFonts w:hint="eastAsia"/>
              </w:rPr>
              <w:t>依托医院</w:t>
            </w:r>
            <w:r>
              <w:rPr>
                <w:rFonts w:hint="eastAsia"/>
                <w:lang w:val="en-US" w:eastAsia="zh-CN"/>
              </w:rPr>
              <w:t>现有地埋式</w:t>
            </w:r>
            <w:r>
              <w:rPr>
                <w:rFonts w:hint="eastAsia"/>
              </w:rPr>
              <w:t>污水处理站</w:t>
            </w:r>
            <w:r>
              <w:rPr>
                <w:rFonts w:hint="eastAsia"/>
                <w:lang w:eastAsia="zh-CN"/>
              </w:rPr>
              <w:t>：</w:t>
            </w:r>
            <w:r>
              <w:rPr>
                <w:rFonts w:hint="eastAsia"/>
              </w:rPr>
              <w:t>采用"调节池+A/O+沉淀+</w:t>
            </w:r>
            <w:r>
              <w:rPr>
                <w:rFonts w:hint="eastAsia"/>
                <w:lang w:eastAsia="zh-CN"/>
              </w:rPr>
              <w:t>次氯酸钠</w:t>
            </w:r>
            <w:r>
              <w:rPr>
                <w:rFonts w:hint="eastAsia"/>
              </w:rPr>
              <w:t>消毒"处理工艺，设计日废水处理能力500m</w:t>
            </w:r>
            <w:r>
              <w:rPr>
                <w:rFonts w:hint="eastAsia"/>
                <w:vertAlign w:val="superscript"/>
              </w:rPr>
              <w:t>3</w:t>
            </w:r>
            <w:r>
              <w:rPr>
                <w:rFonts w:hint="eastAsia"/>
                <w:lang w:val="en-US" w:eastAsia="zh-CN"/>
              </w:rPr>
              <w:t>/d</w:t>
            </w:r>
            <w:r>
              <w:rPr>
                <w:rFonts w:hint="eastAsia"/>
                <w:lang w:eastAsia="zh-CN"/>
              </w:rPr>
              <w:t>，（</w:t>
            </w:r>
            <w:r>
              <w:rPr>
                <w:rFonts w:hint="eastAsia"/>
              </w:rPr>
              <w:t>医院</w:t>
            </w:r>
            <w:r>
              <w:rPr>
                <w:rFonts w:hint="eastAsia"/>
                <w:lang w:val="en-US" w:eastAsia="zh-CN"/>
              </w:rPr>
              <w:t>现有废水</w:t>
            </w:r>
            <w:r>
              <w:rPr>
                <w:rFonts w:hint="eastAsia"/>
              </w:rPr>
              <w:t>量354.3m</w:t>
            </w:r>
            <w:r>
              <w:rPr>
                <w:rFonts w:hint="eastAsia"/>
                <w:vertAlign w:val="superscript"/>
              </w:rPr>
              <w:t>3</w:t>
            </w:r>
            <w:r>
              <w:rPr>
                <w:rFonts w:hint="eastAsia"/>
              </w:rPr>
              <w:t>/d</w:t>
            </w:r>
            <w:r>
              <w:rPr>
                <w:rFonts w:hint="eastAsia"/>
                <w:lang w:eastAsia="zh-CN"/>
              </w:rPr>
              <w:t>）</w:t>
            </w:r>
            <w:r>
              <w:rPr>
                <w:rFonts w:hint="eastAsia"/>
              </w:rPr>
              <w:t>，处理后废水达到</w:t>
            </w:r>
            <w:r>
              <w:rPr>
                <w:rFonts w:hint="eastAsia"/>
                <w:lang w:eastAsia="zh-CN"/>
              </w:rPr>
              <w:t>《</w:t>
            </w:r>
            <w:r>
              <w:rPr>
                <w:rFonts w:hint="eastAsia"/>
              </w:rPr>
              <w:t>医疗机构水污染物排放标准</w:t>
            </w:r>
            <w:r>
              <w:rPr>
                <w:rFonts w:hint="eastAsia"/>
                <w:lang w:eastAsia="zh-CN"/>
              </w:rPr>
              <w:t>》</w:t>
            </w:r>
            <w:r>
              <w:rPr>
                <w:rFonts w:hint="eastAsia"/>
              </w:rPr>
              <w:t>(GB18466-2005)中表2的预处理标准后，经市政污水管网进入平昌县第二污水处理厂进行处理达到</w:t>
            </w:r>
            <w:r>
              <w:rPr>
                <w:rFonts w:hint="eastAsia"/>
                <w:lang w:eastAsia="zh-CN"/>
              </w:rPr>
              <w:t>《</w:t>
            </w:r>
            <w:r>
              <w:rPr>
                <w:rFonts w:hint="eastAsia"/>
              </w:rPr>
              <w:t>城镇污水处理厂污染物排放标准</w:t>
            </w:r>
            <w:r>
              <w:rPr>
                <w:rFonts w:hint="eastAsia"/>
                <w:lang w:eastAsia="zh-CN"/>
              </w:rPr>
              <w:t>》（</w:t>
            </w:r>
            <w:r>
              <w:rPr>
                <w:rFonts w:hint="eastAsia"/>
              </w:rPr>
              <w:t>GB18918-2002</w:t>
            </w:r>
            <w:r>
              <w:rPr>
                <w:rFonts w:hint="eastAsia"/>
                <w:lang w:eastAsia="zh-CN"/>
              </w:rPr>
              <w:t>）</w:t>
            </w:r>
            <w:r>
              <w:rPr>
                <w:rFonts w:hint="eastAsia"/>
              </w:rPr>
              <w:t>中一级A标准后排入巴河。</w:t>
            </w:r>
            <w:r>
              <w:t>不会对周围水环境产生影响。</w:t>
            </w:r>
          </w:p>
          <w:p w14:paraId="1CB043C1">
            <w:pPr>
              <w:spacing w:line="360" w:lineRule="auto"/>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四</w:t>
            </w:r>
            <w:r>
              <w:rPr>
                <w:rFonts w:ascii="Times New Roman" w:hAnsi="Times New Roman"/>
                <w:b/>
                <w:bCs/>
                <w:color w:val="000000" w:themeColor="text1"/>
                <w:sz w:val="28"/>
                <w:szCs w:val="28"/>
                <w14:textFill>
                  <w14:solidFill>
                    <w14:schemeClr w14:val="tx1"/>
                  </w14:solidFill>
                </w14:textFill>
              </w:rPr>
              <w:t>、固体废物影响分析</w:t>
            </w:r>
          </w:p>
          <w:p w14:paraId="632FC877">
            <w:pPr>
              <w:spacing w:line="360" w:lineRule="auto"/>
              <w:ind w:firstLine="454"/>
              <w:rPr>
                <w:rFonts w:ascii="Times New Roman" w:hAnsi="Times New Roman"/>
                <w:sz w:val="24"/>
              </w:rPr>
            </w:pPr>
            <w:r>
              <w:rPr>
                <w:rFonts w:ascii="Times New Roman" w:hAnsi="Times New Roman"/>
                <w:sz w:val="24"/>
              </w:rPr>
              <w:t>本项目</w:t>
            </w:r>
            <w:r>
              <w:rPr>
                <w:rFonts w:hint="eastAsia" w:ascii="Times New Roman" w:hAnsi="Times New Roman"/>
                <w:sz w:val="24"/>
                <w:lang w:eastAsia="zh-CN"/>
              </w:rPr>
              <w:t>DSA机房</w:t>
            </w:r>
            <w:r>
              <w:rPr>
                <w:rFonts w:ascii="Times New Roman" w:hAnsi="Times New Roman"/>
                <w:sz w:val="24"/>
              </w:rPr>
              <w:t>投运后预计将产生有少量废造影剂的输液瓶</w:t>
            </w:r>
            <w:r>
              <w:rPr>
                <w:rFonts w:hint="eastAsia" w:ascii="Times New Roman" w:hAnsi="Times New Roman"/>
                <w:sz w:val="24"/>
                <w:lang w:eastAsia="zh-CN"/>
              </w:rPr>
              <w:t>（</w:t>
            </w:r>
            <w:r>
              <w:rPr>
                <w:rFonts w:hint="eastAsia" w:ascii="Times New Roman" w:hAnsi="Times New Roman"/>
                <w:sz w:val="24"/>
                <w:lang w:val="en-US" w:eastAsia="zh-CN"/>
              </w:rPr>
              <w:t>1</w:t>
            </w:r>
            <w:r>
              <w:rPr>
                <w:rFonts w:ascii="Times New Roman" w:hAnsi="Times New Roman"/>
                <w:sz w:val="24"/>
              </w:rPr>
              <w:t>00kg/a</w:t>
            </w:r>
            <w:r>
              <w:rPr>
                <w:rFonts w:hint="eastAsia" w:ascii="Times New Roman" w:hAnsi="Times New Roman"/>
                <w:sz w:val="24"/>
                <w:lang w:eastAsia="zh-CN"/>
              </w:rPr>
              <w:t>）</w:t>
            </w:r>
            <w:r>
              <w:rPr>
                <w:rFonts w:ascii="Times New Roman" w:hAnsi="Times New Roman"/>
                <w:sz w:val="24"/>
              </w:rPr>
              <w:t>、废药棉</w:t>
            </w:r>
            <w:r>
              <w:rPr>
                <w:rFonts w:hint="eastAsia" w:ascii="Times New Roman" w:hAnsi="Times New Roman"/>
                <w:sz w:val="24"/>
                <w:lang w:eastAsia="zh-CN"/>
              </w:rPr>
              <w:t>（</w:t>
            </w:r>
            <w:r>
              <w:rPr>
                <w:rFonts w:hint="eastAsia" w:ascii="Times New Roman" w:hAnsi="Times New Roman"/>
                <w:sz w:val="24"/>
                <w:lang w:val="en-US" w:eastAsia="zh-CN"/>
              </w:rPr>
              <w:t>8</w:t>
            </w:r>
            <w:r>
              <w:rPr>
                <w:rFonts w:ascii="Times New Roman" w:hAnsi="Times New Roman"/>
                <w:sz w:val="24"/>
              </w:rPr>
              <w:t>0kg/a</w:t>
            </w:r>
            <w:r>
              <w:rPr>
                <w:rFonts w:hint="eastAsia" w:ascii="Times New Roman" w:hAnsi="Times New Roman"/>
                <w:sz w:val="24"/>
                <w:lang w:eastAsia="zh-CN"/>
              </w:rPr>
              <w:t>）</w:t>
            </w:r>
            <w:r>
              <w:rPr>
                <w:rFonts w:ascii="Times New Roman" w:hAnsi="Times New Roman"/>
                <w:sz w:val="24"/>
              </w:rPr>
              <w:t>、废纱布</w:t>
            </w:r>
            <w:r>
              <w:rPr>
                <w:rFonts w:hint="eastAsia" w:ascii="Times New Roman" w:hAnsi="Times New Roman"/>
                <w:sz w:val="24"/>
                <w:lang w:eastAsia="zh-CN"/>
              </w:rPr>
              <w:t>（</w:t>
            </w:r>
            <w:r>
              <w:rPr>
                <w:rFonts w:hint="eastAsia" w:ascii="Times New Roman" w:hAnsi="Times New Roman"/>
                <w:sz w:val="24"/>
                <w:lang w:val="en-US" w:eastAsia="zh-CN"/>
              </w:rPr>
              <w:t>8</w:t>
            </w:r>
            <w:r>
              <w:rPr>
                <w:rFonts w:ascii="Times New Roman" w:hAnsi="Times New Roman"/>
                <w:sz w:val="24"/>
              </w:rPr>
              <w:t>0kg/a</w:t>
            </w:r>
            <w:r>
              <w:rPr>
                <w:rFonts w:hint="eastAsia" w:ascii="Times New Roman" w:hAnsi="Times New Roman"/>
                <w:sz w:val="24"/>
                <w:lang w:eastAsia="zh-CN"/>
              </w:rPr>
              <w:t>）</w:t>
            </w:r>
            <w:r>
              <w:rPr>
                <w:rFonts w:ascii="Times New Roman" w:hAnsi="Times New Roman"/>
                <w:sz w:val="24"/>
              </w:rPr>
              <w:t>、废手套</w:t>
            </w:r>
            <w:r>
              <w:rPr>
                <w:rFonts w:hint="eastAsia" w:ascii="Times New Roman" w:hAnsi="Times New Roman"/>
                <w:sz w:val="24"/>
                <w:lang w:eastAsia="zh-CN"/>
              </w:rPr>
              <w:t>（</w:t>
            </w:r>
            <w:r>
              <w:rPr>
                <w:rFonts w:hint="eastAsia" w:ascii="Times New Roman" w:hAnsi="Times New Roman"/>
                <w:sz w:val="24"/>
                <w:lang w:val="en-US" w:eastAsia="zh-CN"/>
              </w:rPr>
              <w:t>8</w:t>
            </w:r>
            <w:r>
              <w:rPr>
                <w:rFonts w:ascii="Times New Roman" w:hAnsi="Times New Roman"/>
                <w:sz w:val="24"/>
              </w:rPr>
              <w:t>0kg/a</w:t>
            </w:r>
            <w:r>
              <w:rPr>
                <w:rFonts w:hint="eastAsia" w:ascii="Times New Roman" w:hAnsi="Times New Roman"/>
                <w:sz w:val="24"/>
                <w:lang w:eastAsia="zh-CN"/>
              </w:rPr>
              <w:t>）</w:t>
            </w:r>
            <w:r>
              <w:rPr>
                <w:rFonts w:ascii="Times New Roman" w:hAnsi="Times New Roman"/>
                <w:sz w:val="24"/>
              </w:rPr>
              <w:t>等医疗废物</w:t>
            </w:r>
            <w:r>
              <w:rPr>
                <w:rFonts w:hint="eastAsia" w:ascii="Times New Roman" w:hAnsi="Times New Roman"/>
                <w:sz w:val="24"/>
                <w:lang w:eastAsia="zh-CN"/>
              </w:rPr>
              <w:t>（</w:t>
            </w:r>
            <w:r>
              <w:rPr>
                <w:rFonts w:ascii="Times New Roman" w:hAnsi="Times New Roman"/>
                <w:sz w:val="24"/>
              </w:rPr>
              <w:t>共约</w:t>
            </w:r>
            <w:r>
              <w:rPr>
                <w:rFonts w:hint="eastAsia" w:ascii="Times New Roman" w:hAnsi="Times New Roman"/>
                <w:sz w:val="24"/>
                <w:lang w:val="en-US" w:eastAsia="zh-CN"/>
              </w:rPr>
              <w:t>34</w:t>
            </w:r>
            <w:r>
              <w:rPr>
                <w:rFonts w:ascii="Times New Roman" w:hAnsi="Times New Roman"/>
                <w:sz w:val="24"/>
              </w:rPr>
              <w:t>0kg/a</w:t>
            </w:r>
            <w:r>
              <w:rPr>
                <w:rFonts w:hint="eastAsia" w:ascii="Times New Roman" w:hAnsi="Times New Roman"/>
                <w:sz w:val="24"/>
                <w:lang w:eastAsia="zh-CN"/>
              </w:rPr>
              <w:t>）</w:t>
            </w:r>
            <w:r>
              <w:rPr>
                <w:rFonts w:ascii="Times New Roman" w:hAnsi="Times New Roman"/>
                <w:sz w:val="24"/>
              </w:rPr>
              <w:t>。本项目</w:t>
            </w:r>
            <w:r>
              <w:rPr>
                <w:rFonts w:hint="eastAsia" w:ascii="Times New Roman" w:hAnsi="Times New Roman"/>
                <w:sz w:val="24"/>
                <w:lang w:eastAsia="zh-CN"/>
              </w:rPr>
              <w:t>DSA机房</w:t>
            </w:r>
            <w:r>
              <w:rPr>
                <w:rFonts w:ascii="Times New Roman" w:hAnsi="Times New Roman"/>
                <w:sz w:val="24"/>
              </w:rPr>
              <w:t>手术过程中产生的医疗废物采用专门的收集容器集中处理后，专业人员通过</w:t>
            </w:r>
            <w:r>
              <w:rPr>
                <w:rFonts w:hint="eastAsia" w:ascii="Times New Roman" w:hAnsi="Times New Roman"/>
                <w:sz w:val="24"/>
                <w:lang w:val="en-US" w:eastAsia="zh-CN"/>
              </w:rPr>
              <w:t>员工</w:t>
            </w:r>
            <w:r>
              <w:rPr>
                <w:rFonts w:ascii="Times New Roman" w:hAnsi="Times New Roman"/>
                <w:sz w:val="24"/>
              </w:rPr>
              <w:t>通道将医疗废物转运</w:t>
            </w:r>
            <w:r>
              <w:rPr>
                <w:rFonts w:hint="eastAsia" w:ascii="Times New Roman" w:hAnsi="Times New Roman"/>
                <w:sz w:val="24"/>
                <w:lang w:val="en-US" w:eastAsia="zh-CN"/>
              </w:rPr>
              <w:t>到污物暂存间</w:t>
            </w:r>
            <w:r>
              <w:rPr>
                <w:rFonts w:ascii="Times New Roman" w:hAnsi="Times New Roman"/>
                <w:sz w:val="24"/>
              </w:rPr>
              <w:t>，再送至位于院区</w:t>
            </w:r>
            <w:r>
              <w:rPr>
                <w:rFonts w:hint="eastAsia" w:ascii="Times New Roman" w:hAnsi="Times New Roman"/>
                <w:sz w:val="24"/>
                <w:lang w:val="en-US" w:eastAsia="zh-CN"/>
              </w:rPr>
              <w:t>西</w:t>
            </w:r>
            <w:r>
              <w:rPr>
                <w:rFonts w:ascii="Times New Roman" w:hAnsi="Times New Roman"/>
                <w:sz w:val="24"/>
              </w:rPr>
              <w:t>侧的医疗废物暂存间，定期委托有资质单位外运处置。</w:t>
            </w:r>
          </w:p>
          <w:p w14:paraId="4B946DB8">
            <w:pPr>
              <w:spacing w:line="360" w:lineRule="auto"/>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五</w:t>
            </w:r>
            <w:r>
              <w:rPr>
                <w:rFonts w:ascii="Times New Roman" w:hAnsi="Times New Roman"/>
                <w:b/>
                <w:bCs/>
                <w:color w:val="000000" w:themeColor="text1"/>
                <w:sz w:val="28"/>
                <w:szCs w:val="28"/>
                <w14:textFill>
                  <w14:solidFill>
                    <w14:schemeClr w14:val="tx1"/>
                  </w14:solidFill>
                </w14:textFill>
              </w:rPr>
              <w:t>、声环境影响分析</w:t>
            </w:r>
          </w:p>
          <w:p w14:paraId="395892AF">
            <w:pPr>
              <w:pStyle w:val="11"/>
              <w:bidi w:val="0"/>
            </w:pPr>
            <w:r>
              <w:t>本项目产噪设备不多，噪声源主要为设备噪声和就诊人流动噪声，其中设备噪声主要来自风机，噪声</w:t>
            </w:r>
            <w:r>
              <w:rPr>
                <w:rFonts w:hint="eastAsia"/>
                <w:lang w:val="en-US" w:eastAsia="zh-CN"/>
              </w:rPr>
              <w:t>源强低于</w:t>
            </w:r>
            <w:r>
              <w:t>6</w:t>
            </w:r>
            <w:r>
              <w:rPr>
                <w:rFonts w:hint="eastAsia"/>
                <w:lang w:val="en-US" w:eastAsia="zh-CN"/>
              </w:rPr>
              <w:t>5</w:t>
            </w:r>
            <w:r>
              <w:t>dB</w:t>
            </w:r>
            <w:r>
              <w:rPr>
                <w:rFonts w:hint="eastAsia"/>
                <w:lang w:eastAsia="zh-CN"/>
              </w:rPr>
              <w:t>（</w:t>
            </w:r>
            <w:r>
              <w:t>A</w:t>
            </w:r>
            <w:r>
              <w:rPr>
                <w:rFonts w:hint="eastAsia"/>
                <w:lang w:eastAsia="zh-CN"/>
              </w:rPr>
              <w:t>）</w:t>
            </w:r>
            <w:r>
              <w:t>，由于声源位于室内，且建设单位拟在风机排风口安装管式消声器，采用减震基础、安装隔声消声箱等措施，同时通过距离的衰减，噪声影响不大，不会改变区域声环境功能区规划。</w:t>
            </w:r>
          </w:p>
          <w:p w14:paraId="7F1BBE16">
            <w:pPr>
              <w:spacing w:line="360" w:lineRule="auto"/>
              <w:jc w:val="left"/>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六、</w:t>
            </w:r>
            <w:r>
              <w:rPr>
                <w:rFonts w:ascii="Times New Roman" w:hAnsi="Times New Roman"/>
                <w:b/>
                <w:bCs/>
                <w:color w:val="000000" w:themeColor="text1"/>
                <w:sz w:val="28"/>
                <w:szCs w:val="28"/>
                <w14:textFill>
                  <w14:solidFill>
                    <w14:schemeClr w14:val="tx1"/>
                  </w14:solidFill>
                </w14:textFill>
              </w:rPr>
              <w:t>环境影响风险分析</w:t>
            </w:r>
          </w:p>
          <w:p w14:paraId="567EF211">
            <w:pPr>
              <w:spacing w:line="360" w:lineRule="auto"/>
              <w:jc w:val="left"/>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1</w:t>
            </w:r>
            <w:r>
              <w:rPr>
                <w:rFonts w:hint="eastAsia" w:ascii="Times New Roman" w:hAnsi="Times New Roman"/>
                <w:b/>
                <w:bCs/>
                <w:color w:val="000000" w:themeColor="text1"/>
                <w:sz w:val="28"/>
                <w:szCs w:val="28"/>
                <w14:textFill>
                  <w14:solidFill>
                    <w14:schemeClr w14:val="tx1"/>
                  </w14:solidFill>
                </w14:textFill>
              </w:rPr>
              <w:t>、</w:t>
            </w:r>
            <w:r>
              <w:rPr>
                <w:rFonts w:ascii="Times New Roman" w:hAnsi="Times New Roman"/>
                <w:b/>
                <w:bCs/>
                <w:color w:val="000000" w:themeColor="text1"/>
                <w:sz w:val="28"/>
                <w:szCs w:val="28"/>
                <w14:textFill>
                  <w14:solidFill>
                    <w14:schemeClr w14:val="tx1"/>
                  </w14:solidFill>
                </w14:textFill>
              </w:rPr>
              <w:t>环境风险评价的目的</w:t>
            </w:r>
          </w:p>
          <w:p w14:paraId="520733B9">
            <w:pPr>
              <w:pStyle w:val="11"/>
              <w:bidi w:val="0"/>
            </w:pPr>
            <w:r>
              <w:t>环境风险评价的目的是分析和预测建设项目存在的潜在危害和有害因素，以及项目在建设、运营期间可能发生的事故（一般不包括自然灾害与人为破坏），引起有毒、有害（本项目为电离辐射）物质泄漏，所造成的环境影响程度和人身安全损害程度，并提出合理可行的防范、应急与减缓措施，以使项目事故发生率、损失和环境影响达到可以接受的水平。</w:t>
            </w:r>
          </w:p>
          <w:p w14:paraId="793E7F36">
            <w:pPr>
              <w:spacing w:line="360" w:lineRule="auto"/>
              <w:jc w:val="left"/>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2、</w:t>
            </w:r>
            <w:r>
              <w:rPr>
                <w:rFonts w:ascii="Times New Roman" w:hAnsi="Times New Roman"/>
                <w:b/>
                <w:bCs/>
                <w:color w:val="000000" w:themeColor="text1"/>
                <w:sz w:val="28"/>
                <w:szCs w:val="28"/>
                <w14:textFill>
                  <w14:solidFill>
                    <w14:schemeClr w14:val="tx1"/>
                  </w14:solidFill>
                </w14:textFill>
              </w:rPr>
              <w:t>风险识别</w:t>
            </w:r>
          </w:p>
          <w:p w14:paraId="5E4DAF50">
            <w:pPr>
              <w:pStyle w:val="11"/>
              <w:bidi w:val="0"/>
            </w:pPr>
            <w:r>
              <w:rPr>
                <w:rFonts w:hint="eastAsia"/>
              </w:rPr>
              <w:t>根据</w:t>
            </w:r>
            <w:r>
              <w:t>《关于发布《射线装置分类》的公告》</w:t>
            </w:r>
            <w:r>
              <w:rPr>
                <w:rFonts w:hint="eastAsia"/>
                <w:lang w:eastAsia="zh-CN"/>
              </w:rPr>
              <w:t>，</w:t>
            </w:r>
            <w:r>
              <w:t>本项目使用的DSA属于Ⅱ类射线装置，事故时可使受照人员产生较严重的放射损伤。DSA不运行时不可能发生放射性事故，也不存在影响辐射环境质量的事故，只有当机器运行期间才会产生X射线等危害因素，而且最大可能的事故主要有两种：</w:t>
            </w:r>
          </w:p>
          <w:p w14:paraId="68DCA2B2">
            <w:pPr>
              <w:pStyle w:val="11"/>
              <w:bidi w:val="0"/>
            </w:pPr>
            <w:r>
              <w:t>①装置在运行时，介入手术人员在未采取任何防护的情况下位于非主射方向进行介入手术操作；②由于安全联锁系统失效，手术过程中，公众人员误入或滞留在机房内而造成非主射方向的误照射。</w:t>
            </w:r>
          </w:p>
          <w:p w14:paraId="39C3C7C4">
            <w:pPr>
              <w:spacing w:line="360" w:lineRule="auto"/>
              <w:jc w:val="left"/>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3、</w:t>
            </w:r>
            <w:r>
              <w:rPr>
                <w:rFonts w:ascii="Times New Roman" w:hAnsi="Times New Roman"/>
                <w:b/>
                <w:bCs/>
                <w:color w:val="000000" w:themeColor="text1"/>
                <w:sz w:val="28"/>
                <w:szCs w:val="28"/>
                <w14:textFill>
                  <w14:solidFill>
                    <w14:schemeClr w14:val="tx1"/>
                  </w14:solidFill>
                </w14:textFill>
              </w:rPr>
              <w:t>源项分析及事故等级分析</w:t>
            </w:r>
          </w:p>
          <w:p w14:paraId="5ACE8258">
            <w:pPr>
              <w:pStyle w:val="11"/>
              <w:bidi w:val="0"/>
            </w:pPr>
            <w:r>
              <w:t>本项目医用X射线装置主要的环境风险因子为工作时产生的X射线。按照</w:t>
            </w:r>
            <w:bookmarkStart w:id="33" w:name="OLE_LINK10"/>
            <w:r>
              <w:t>国务院449号令</w:t>
            </w:r>
            <w:bookmarkEnd w:id="33"/>
            <w:r>
              <w:t>第四十条关于事故的分级原则现将项目的风险物质、风险因子、潜在危害及可能发生的事故等级列于表11-</w:t>
            </w:r>
            <w:r>
              <w:rPr>
                <w:rFonts w:hint="eastAsia"/>
                <w:lang w:val="en-US" w:eastAsia="zh-CN"/>
              </w:rPr>
              <w:t>10</w:t>
            </w:r>
            <w:r>
              <w:t xml:space="preserve">中。 </w:t>
            </w:r>
          </w:p>
          <w:p w14:paraId="787D5DC5">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项目的环境风险物质、因子、潜在危害及事故等级表</w:t>
            </w:r>
          </w:p>
          <w:tbl>
            <w:tblPr>
              <w:tblStyle w:val="23"/>
              <w:tblW w:w="8497" w:type="dxa"/>
              <w:jc w:val="center"/>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fixed"/>
              <w:tblCellMar>
                <w:top w:w="0" w:type="dxa"/>
                <w:left w:w="0" w:type="dxa"/>
                <w:bottom w:w="0" w:type="dxa"/>
                <w:right w:w="0" w:type="dxa"/>
              </w:tblCellMar>
            </w:tblPr>
            <w:tblGrid>
              <w:gridCol w:w="998"/>
              <w:gridCol w:w="1296"/>
              <w:gridCol w:w="1553"/>
              <w:gridCol w:w="4650"/>
            </w:tblGrid>
            <w:tr w14:paraId="235C52CF">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998" w:type="dxa"/>
                  <w:tcBorders>
                    <w:tl2br w:val="nil"/>
                    <w:tr2bl w:val="nil"/>
                  </w:tcBorders>
                  <w:vAlign w:val="center"/>
                </w:tcPr>
                <w:p w14:paraId="6C469F10">
                  <w:pPr>
                    <w:pStyle w:val="46"/>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项目</w:t>
                  </w:r>
                </w:p>
              </w:tc>
              <w:tc>
                <w:tcPr>
                  <w:tcW w:w="1296" w:type="dxa"/>
                  <w:tcBorders>
                    <w:tl2br w:val="nil"/>
                    <w:tr2bl w:val="nil"/>
                  </w:tcBorders>
                  <w:vAlign w:val="center"/>
                </w:tcPr>
                <w:p w14:paraId="5B6C4813">
                  <w:pPr>
                    <w:pStyle w:val="46"/>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环境风险因子</w:t>
                  </w:r>
                </w:p>
              </w:tc>
              <w:tc>
                <w:tcPr>
                  <w:tcW w:w="1553" w:type="dxa"/>
                  <w:tcBorders>
                    <w:tl2br w:val="nil"/>
                    <w:tr2bl w:val="nil"/>
                  </w:tcBorders>
                  <w:vAlign w:val="center"/>
                </w:tcPr>
                <w:p w14:paraId="424AE22F">
                  <w:pPr>
                    <w:pStyle w:val="46"/>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事故等级</w:t>
                  </w:r>
                </w:p>
              </w:tc>
              <w:tc>
                <w:tcPr>
                  <w:tcW w:w="4650" w:type="dxa"/>
                  <w:tcBorders>
                    <w:tl2br w:val="nil"/>
                    <w:tr2bl w:val="nil"/>
                  </w:tcBorders>
                  <w:vAlign w:val="center"/>
                </w:tcPr>
                <w:p w14:paraId="5D3D47FD">
                  <w:pPr>
                    <w:pStyle w:val="46"/>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潜在危害</w:t>
                  </w:r>
                </w:p>
              </w:tc>
            </w:tr>
            <w:tr w14:paraId="7DC1F72D">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998" w:type="dxa"/>
                  <w:vMerge w:val="restart"/>
                  <w:tcBorders>
                    <w:tl2br w:val="nil"/>
                    <w:tr2bl w:val="nil"/>
                  </w:tcBorders>
                  <w:vAlign w:val="center"/>
                </w:tcPr>
                <w:p w14:paraId="3DE3C241">
                  <w:pPr>
                    <w:pStyle w:val="46"/>
                    <w:jc w:val="center"/>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DSA</w:t>
                  </w:r>
                </w:p>
              </w:tc>
              <w:tc>
                <w:tcPr>
                  <w:tcW w:w="1296" w:type="dxa"/>
                  <w:vMerge w:val="restart"/>
                  <w:tcBorders>
                    <w:tl2br w:val="nil"/>
                    <w:tr2bl w:val="nil"/>
                  </w:tcBorders>
                  <w:vAlign w:val="center"/>
                </w:tcPr>
                <w:p w14:paraId="2F5AF608">
                  <w:pPr>
                    <w:pStyle w:val="46"/>
                    <w:jc w:val="center"/>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X射线</w:t>
                  </w:r>
                </w:p>
              </w:tc>
              <w:tc>
                <w:tcPr>
                  <w:tcW w:w="1553" w:type="dxa"/>
                  <w:tcBorders>
                    <w:tl2br w:val="nil"/>
                    <w:tr2bl w:val="nil"/>
                  </w:tcBorders>
                  <w:vAlign w:val="center"/>
                </w:tcPr>
                <w:p w14:paraId="65883FDD">
                  <w:pPr>
                    <w:pStyle w:val="46"/>
                    <w:jc w:val="cente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特别重大事故</w:t>
                  </w:r>
                </w:p>
              </w:tc>
              <w:tc>
                <w:tcPr>
                  <w:tcW w:w="4650" w:type="dxa"/>
                  <w:tcBorders>
                    <w:tl2br w:val="nil"/>
                    <w:tr2bl w:val="nil"/>
                  </w:tcBorders>
                  <w:vAlign w:val="center"/>
                </w:tcPr>
                <w:p w14:paraId="00D4FEC1">
                  <w:pPr>
                    <w:pStyle w:val="46"/>
                    <w:jc w:val="left"/>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指Ⅰ类、Ⅱ类放射源丢失、被盗、失控造成大范围严重辐射污染后果，或者放射性同位素和射线装置失控导致3人以上（含3人）急性死亡。</w:t>
                  </w:r>
                </w:p>
              </w:tc>
            </w:tr>
            <w:tr w14:paraId="2F877BCE">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998" w:type="dxa"/>
                  <w:vMerge w:val="continue"/>
                  <w:tcBorders>
                    <w:tl2br w:val="nil"/>
                    <w:tr2bl w:val="nil"/>
                  </w:tcBorders>
                  <w:vAlign w:val="center"/>
                </w:tcPr>
                <w:p w14:paraId="3128AE03">
                  <w:pPr>
                    <w:pStyle w:val="46"/>
                    <w:jc w:val="center"/>
                    <w:rPr>
                      <w:rFonts w:ascii="Times New Roman" w:hAnsi="Times New Roman"/>
                      <w:color w:val="000000" w:themeColor="text1"/>
                      <w14:textFill>
                        <w14:solidFill>
                          <w14:schemeClr w14:val="tx1"/>
                        </w14:solidFill>
                      </w14:textFill>
                    </w:rPr>
                  </w:pPr>
                </w:p>
              </w:tc>
              <w:tc>
                <w:tcPr>
                  <w:tcW w:w="1296" w:type="dxa"/>
                  <w:vMerge w:val="continue"/>
                  <w:tcBorders>
                    <w:tl2br w:val="nil"/>
                    <w:tr2bl w:val="nil"/>
                  </w:tcBorders>
                  <w:vAlign w:val="center"/>
                </w:tcPr>
                <w:p w14:paraId="34AB1DEA">
                  <w:pPr>
                    <w:pStyle w:val="46"/>
                    <w:jc w:val="center"/>
                    <w:rPr>
                      <w:rFonts w:ascii="Times New Roman" w:hAnsi="Times New Roman"/>
                      <w:color w:val="000000" w:themeColor="text1"/>
                      <w14:textFill>
                        <w14:solidFill>
                          <w14:schemeClr w14:val="tx1"/>
                        </w14:solidFill>
                      </w14:textFill>
                    </w:rPr>
                  </w:pPr>
                </w:p>
              </w:tc>
              <w:tc>
                <w:tcPr>
                  <w:tcW w:w="1553" w:type="dxa"/>
                  <w:tcBorders>
                    <w:tl2br w:val="nil"/>
                    <w:tr2bl w:val="nil"/>
                  </w:tcBorders>
                  <w:vAlign w:val="center"/>
                </w:tcPr>
                <w:p w14:paraId="2DC92B1E">
                  <w:pPr>
                    <w:pStyle w:val="46"/>
                    <w:jc w:val="center"/>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重大辐射事故</w:t>
                  </w:r>
                </w:p>
              </w:tc>
              <w:tc>
                <w:tcPr>
                  <w:tcW w:w="4650" w:type="dxa"/>
                  <w:tcBorders>
                    <w:tl2br w:val="nil"/>
                    <w:tr2bl w:val="nil"/>
                  </w:tcBorders>
                  <w:vAlign w:val="center"/>
                </w:tcPr>
                <w:p w14:paraId="430FD47B">
                  <w:pPr>
                    <w:pStyle w:val="46"/>
                    <w:jc w:val="left"/>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指Ⅰ类、Ⅱ类放射源丢失、被盗、失控，或者放射性同位素和射线装置失控导致2人以下（含2人）急性死亡或者10人以上（含10人）急性重度放射病、局部器官残疾。</w:t>
                  </w:r>
                </w:p>
              </w:tc>
            </w:tr>
            <w:tr w14:paraId="70F36923">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998" w:type="dxa"/>
                  <w:vMerge w:val="continue"/>
                  <w:tcBorders>
                    <w:tl2br w:val="nil"/>
                    <w:tr2bl w:val="nil"/>
                  </w:tcBorders>
                  <w:vAlign w:val="center"/>
                </w:tcPr>
                <w:p w14:paraId="4E6A6424">
                  <w:pPr>
                    <w:pStyle w:val="46"/>
                    <w:jc w:val="center"/>
                    <w:rPr>
                      <w:rFonts w:ascii="Times New Roman" w:hAnsi="Times New Roman"/>
                      <w:color w:val="000000" w:themeColor="text1"/>
                      <w14:textFill>
                        <w14:solidFill>
                          <w14:schemeClr w14:val="tx1"/>
                        </w14:solidFill>
                      </w14:textFill>
                    </w:rPr>
                  </w:pPr>
                </w:p>
              </w:tc>
              <w:tc>
                <w:tcPr>
                  <w:tcW w:w="1296" w:type="dxa"/>
                  <w:vMerge w:val="continue"/>
                  <w:tcBorders>
                    <w:tl2br w:val="nil"/>
                    <w:tr2bl w:val="nil"/>
                  </w:tcBorders>
                  <w:vAlign w:val="center"/>
                </w:tcPr>
                <w:p w14:paraId="10C04DBA">
                  <w:pPr>
                    <w:pStyle w:val="46"/>
                    <w:jc w:val="center"/>
                    <w:rPr>
                      <w:rFonts w:ascii="Times New Roman" w:hAnsi="Times New Roman"/>
                      <w:color w:val="000000" w:themeColor="text1"/>
                      <w14:textFill>
                        <w14:solidFill>
                          <w14:schemeClr w14:val="tx1"/>
                        </w14:solidFill>
                      </w14:textFill>
                    </w:rPr>
                  </w:pPr>
                </w:p>
              </w:tc>
              <w:tc>
                <w:tcPr>
                  <w:tcW w:w="1553" w:type="dxa"/>
                  <w:tcBorders>
                    <w:tl2br w:val="nil"/>
                    <w:tr2bl w:val="nil"/>
                  </w:tcBorders>
                  <w:vAlign w:val="center"/>
                </w:tcPr>
                <w:p w14:paraId="6E5F8BD0">
                  <w:pPr>
                    <w:pStyle w:val="46"/>
                    <w:jc w:val="center"/>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较大辐射事故</w:t>
                  </w:r>
                </w:p>
              </w:tc>
              <w:tc>
                <w:tcPr>
                  <w:tcW w:w="4650" w:type="dxa"/>
                  <w:tcBorders>
                    <w:tl2br w:val="nil"/>
                    <w:tr2bl w:val="nil"/>
                  </w:tcBorders>
                  <w:vAlign w:val="center"/>
                </w:tcPr>
                <w:p w14:paraId="49E731AB">
                  <w:pPr>
                    <w:pStyle w:val="46"/>
                    <w:jc w:val="left"/>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指Ⅲ类放射源丢失、被盗、失控，或者放射性同位素和射线装置失控导致9人以下（含9人）急性重度放射病、局部器官残疾。</w:t>
                  </w:r>
                </w:p>
              </w:tc>
            </w:tr>
            <w:tr w14:paraId="6E072F26">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998" w:type="dxa"/>
                  <w:vMerge w:val="continue"/>
                  <w:tcBorders>
                    <w:tl2br w:val="nil"/>
                    <w:tr2bl w:val="nil"/>
                  </w:tcBorders>
                  <w:vAlign w:val="center"/>
                </w:tcPr>
                <w:p w14:paraId="2BB05762">
                  <w:pPr>
                    <w:pStyle w:val="46"/>
                    <w:jc w:val="center"/>
                    <w:rPr>
                      <w:rFonts w:ascii="Times New Roman" w:hAnsi="Times New Roman"/>
                      <w:color w:val="000000" w:themeColor="text1"/>
                      <w14:textFill>
                        <w14:solidFill>
                          <w14:schemeClr w14:val="tx1"/>
                        </w14:solidFill>
                      </w14:textFill>
                    </w:rPr>
                  </w:pPr>
                </w:p>
              </w:tc>
              <w:tc>
                <w:tcPr>
                  <w:tcW w:w="1296" w:type="dxa"/>
                  <w:vMerge w:val="continue"/>
                  <w:tcBorders>
                    <w:tl2br w:val="nil"/>
                    <w:tr2bl w:val="nil"/>
                  </w:tcBorders>
                  <w:vAlign w:val="center"/>
                </w:tcPr>
                <w:p w14:paraId="2D9F2476">
                  <w:pPr>
                    <w:pStyle w:val="46"/>
                    <w:jc w:val="center"/>
                    <w:rPr>
                      <w:rFonts w:ascii="Times New Roman" w:hAnsi="Times New Roman"/>
                      <w:color w:val="000000" w:themeColor="text1"/>
                      <w14:textFill>
                        <w14:solidFill>
                          <w14:schemeClr w14:val="tx1"/>
                        </w14:solidFill>
                      </w14:textFill>
                    </w:rPr>
                  </w:pPr>
                </w:p>
              </w:tc>
              <w:tc>
                <w:tcPr>
                  <w:tcW w:w="1553" w:type="dxa"/>
                  <w:tcBorders>
                    <w:tl2br w:val="nil"/>
                    <w:tr2bl w:val="nil"/>
                  </w:tcBorders>
                  <w:vAlign w:val="center"/>
                </w:tcPr>
                <w:p w14:paraId="3D7EA0DA">
                  <w:pPr>
                    <w:pStyle w:val="46"/>
                    <w:jc w:val="center"/>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一般辐射事故</w:t>
                  </w:r>
                </w:p>
              </w:tc>
              <w:tc>
                <w:tcPr>
                  <w:tcW w:w="4650" w:type="dxa"/>
                  <w:tcBorders>
                    <w:tl2br w:val="nil"/>
                    <w:tr2bl w:val="nil"/>
                  </w:tcBorders>
                  <w:vAlign w:val="center"/>
                </w:tcPr>
                <w:p w14:paraId="46AF476D">
                  <w:pPr>
                    <w:pStyle w:val="46"/>
                    <w:jc w:val="left"/>
                    <w:rPr>
                      <w:rFonts w:ascii="Times New Roman" w:hAnsi="Times New Roman"/>
                      <w:bCs/>
                      <w:color w:val="000000" w:themeColor="text1"/>
                      <w:szCs w:val="21"/>
                      <w14:textFill>
                        <w14:solidFill>
                          <w14:schemeClr w14:val="tx1"/>
                        </w14:solidFill>
                      </w14:textFill>
                    </w:rPr>
                  </w:pPr>
                  <w:r>
                    <w:rPr>
                      <w:rFonts w:ascii="Times New Roman" w:hAnsi="Times New Roman"/>
                      <w:bCs/>
                      <w:color w:val="000000" w:themeColor="text1"/>
                      <w:szCs w:val="21"/>
                      <w14:textFill>
                        <w14:solidFill>
                          <w14:schemeClr w14:val="tx1"/>
                        </w14:solidFill>
                      </w14:textFill>
                    </w:rPr>
                    <w:t>指Ⅳ类、Ⅴ类放射源丢失、被盗、失控，或者放射性同位素和射线装置失控导致人员受到超过年剂量限值的照射。</w:t>
                  </w:r>
                </w:p>
              </w:tc>
            </w:tr>
          </w:tbl>
          <w:p w14:paraId="1EF79519">
            <w:pPr>
              <w:pStyle w:val="11"/>
              <w:bidi w:val="0"/>
            </w:pPr>
            <w:r>
              <w:t>根据的《职业性外照射急性放射病诊断》</w:t>
            </w:r>
            <w:r>
              <w:rPr>
                <w:rFonts w:hint="eastAsia"/>
                <w:lang w:eastAsia="zh-CN"/>
              </w:rPr>
              <w:t>（</w:t>
            </w:r>
            <w:r>
              <w:t>GBZ104-2017</w:t>
            </w:r>
            <w:r>
              <w:rPr>
                <w:rFonts w:hint="eastAsia"/>
                <w:lang w:eastAsia="zh-CN"/>
              </w:rPr>
              <w:t>）</w:t>
            </w:r>
            <w:r>
              <w:t>，急性放射病发生参考剂量见表（表11-1</w:t>
            </w:r>
            <w:r>
              <w:rPr>
                <w:rFonts w:hint="eastAsia"/>
                <w:lang w:val="en-US" w:eastAsia="zh-CN"/>
              </w:rPr>
              <w:t>1</w:t>
            </w:r>
            <w:r>
              <w:t>）：</w:t>
            </w:r>
          </w:p>
          <w:p w14:paraId="263EC0F3">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急性放射病的发生率、死亡率与辐射剂量的关系</w:t>
            </w:r>
          </w:p>
          <w:tbl>
            <w:tblPr>
              <w:tblStyle w:val="58"/>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963"/>
              <w:gridCol w:w="675"/>
              <w:gridCol w:w="5565"/>
              <w:gridCol w:w="1450"/>
            </w:tblGrid>
            <w:tr w14:paraId="1E2DD8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556" w:type="pct"/>
                  <w:tcBorders>
                    <w:tl2br w:val="nil"/>
                    <w:tr2bl w:val="nil"/>
                  </w:tcBorders>
                  <w:vAlign w:val="center"/>
                </w:tcPr>
                <w:p w14:paraId="4EBFB7A8">
                  <w:pPr>
                    <w:jc w:val="center"/>
                    <w:rPr>
                      <w:rFonts w:ascii="Times New Roman" w:hAnsi="Times New Roman"/>
                      <w:b/>
                      <w:bCs/>
                      <w:szCs w:val="21"/>
                    </w:rPr>
                  </w:pPr>
                  <w:r>
                    <w:rPr>
                      <w:rFonts w:ascii="Times New Roman" w:hAnsi="Times New Roman"/>
                      <w:b/>
                      <w:bCs/>
                      <w:szCs w:val="21"/>
                    </w:rPr>
                    <w:t>急性放射病</w:t>
                  </w:r>
                </w:p>
              </w:tc>
              <w:tc>
                <w:tcPr>
                  <w:tcW w:w="390" w:type="pct"/>
                  <w:tcBorders>
                    <w:tl2br w:val="nil"/>
                    <w:tr2bl w:val="nil"/>
                  </w:tcBorders>
                  <w:vAlign w:val="center"/>
                </w:tcPr>
                <w:p w14:paraId="27C839DE">
                  <w:pPr>
                    <w:jc w:val="center"/>
                    <w:rPr>
                      <w:rFonts w:ascii="Times New Roman" w:hAnsi="Times New Roman"/>
                      <w:b/>
                      <w:bCs/>
                      <w:szCs w:val="21"/>
                    </w:rPr>
                  </w:pPr>
                  <w:r>
                    <w:rPr>
                      <w:rFonts w:ascii="Times New Roman" w:hAnsi="Times New Roman"/>
                      <w:b/>
                      <w:bCs/>
                      <w:szCs w:val="21"/>
                    </w:rPr>
                    <w:t>分度</w:t>
                  </w:r>
                </w:p>
              </w:tc>
              <w:tc>
                <w:tcPr>
                  <w:tcW w:w="3215" w:type="pct"/>
                  <w:tcBorders>
                    <w:tl2br w:val="nil"/>
                    <w:tr2bl w:val="nil"/>
                  </w:tcBorders>
                  <w:vAlign w:val="center"/>
                </w:tcPr>
                <w:p w14:paraId="41425C73">
                  <w:pPr>
                    <w:jc w:val="center"/>
                    <w:rPr>
                      <w:rFonts w:ascii="Times New Roman" w:hAnsi="Times New Roman"/>
                      <w:b/>
                      <w:bCs/>
                      <w:szCs w:val="21"/>
                    </w:rPr>
                  </w:pPr>
                  <w:r>
                    <w:rPr>
                      <w:rFonts w:hint="eastAsia" w:ascii="Times New Roman" w:hAnsi="Times New Roman"/>
                      <w:b/>
                      <w:bCs/>
                      <w:szCs w:val="21"/>
                    </w:rPr>
                    <w:t>初期临床反应</w:t>
                  </w:r>
                </w:p>
              </w:tc>
              <w:tc>
                <w:tcPr>
                  <w:tcW w:w="837" w:type="pct"/>
                  <w:tcBorders>
                    <w:tl2br w:val="nil"/>
                    <w:tr2bl w:val="nil"/>
                  </w:tcBorders>
                  <w:vAlign w:val="center"/>
                </w:tcPr>
                <w:p w14:paraId="6FD65E27">
                  <w:pPr>
                    <w:jc w:val="center"/>
                    <w:rPr>
                      <w:rFonts w:ascii="Times New Roman" w:hAnsi="Times New Roman"/>
                      <w:b/>
                      <w:bCs/>
                      <w:szCs w:val="21"/>
                    </w:rPr>
                  </w:pPr>
                  <w:r>
                    <w:rPr>
                      <w:rFonts w:ascii="Times New Roman" w:hAnsi="Times New Roman"/>
                      <w:b/>
                      <w:bCs/>
                      <w:szCs w:val="21"/>
                    </w:rPr>
                    <w:t>受照剂量范围参考值</w:t>
                  </w:r>
                </w:p>
              </w:tc>
            </w:tr>
            <w:tr w14:paraId="083E3E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556" w:type="pct"/>
                  <w:vMerge w:val="restart"/>
                  <w:tcBorders>
                    <w:tl2br w:val="nil"/>
                    <w:tr2bl w:val="nil"/>
                  </w:tcBorders>
                  <w:vAlign w:val="center"/>
                </w:tcPr>
                <w:p w14:paraId="2219B385">
                  <w:pPr>
                    <w:jc w:val="center"/>
                    <w:rPr>
                      <w:rFonts w:ascii="Times New Roman" w:hAnsi="Times New Roman"/>
                      <w:szCs w:val="21"/>
                    </w:rPr>
                  </w:pPr>
                  <w:r>
                    <w:rPr>
                      <w:rFonts w:ascii="Times New Roman" w:hAnsi="Times New Roman"/>
                      <w:szCs w:val="21"/>
                    </w:rPr>
                    <w:t>骨髓型急性放射病</w:t>
                  </w:r>
                </w:p>
              </w:tc>
              <w:tc>
                <w:tcPr>
                  <w:tcW w:w="390" w:type="pct"/>
                  <w:tcBorders>
                    <w:tl2br w:val="nil"/>
                    <w:tr2bl w:val="nil"/>
                  </w:tcBorders>
                  <w:vAlign w:val="center"/>
                </w:tcPr>
                <w:p w14:paraId="62C74A8C">
                  <w:pPr>
                    <w:jc w:val="center"/>
                    <w:rPr>
                      <w:rFonts w:hint="eastAsia" w:ascii="Times New Roman" w:hAnsi="Times New Roman" w:eastAsia="宋体"/>
                      <w:szCs w:val="21"/>
                      <w:lang w:eastAsia="zh-CN"/>
                    </w:rPr>
                  </w:pPr>
                  <w:r>
                    <w:rPr>
                      <w:rFonts w:hint="eastAsia" w:ascii="Times New Roman" w:hAnsi="Times New Roman"/>
                      <w:szCs w:val="21"/>
                      <w:lang w:val="en-US" w:eastAsia="zh-CN"/>
                    </w:rPr>
                    <w:t>轻度</w:t>
                  </w:r>
                </w:p>
              </w:tc>
              <w:tc>
                <w:tcPr>
                  <w:tcW w:w="3215" w:type="pct"/>
                  <w:tcBorders>
                    <w:tl2br w:val="nil"/>
                    <w:tr2bl w:val="nil"/>
                  </w:tcBorders>
                  <w:vAlign w:val="center"/>
                </w:tcPr>
                <w:p w14:paraId="24FAEF76">
                  <w:pPr>
                    <w:jc w:val="center"/>
                    <w:rPr>
                      <w:rFonts w:hint="default" w:ascii="Times New Roman" w:hAnsi="Times New Roman"/>
                      <w:szCs w:val="21"/>
                      <w:lang w:val="en-US"/>
                    </w:rPr>
                  </w:pPr>
                  <w:r>
                    <w:rPr>
                      <w:rFonts w:hint="default" w:ascii="Times New Roman" w:hAnsi="Times New Roman"/>
                      <w:szCs w:val="21"/>
                      <w:lang w:val="en-US"/>
                    </w:rPr>
                    <w:t>乏力、不适、食欲减退</w:t>
                  </w:r>
                </w:p>
              </w:tc>
              <w:tc>
                <w:tcPr>
                  <w:tcW w:w="837" w:type="pct"/>
                  <w:tcBorders>
                    <w:tl2br w:val="nil"/>
                    <w:tr2bl w:val="nil"/>
                  </w:tcBorders>
                  <w:vAlign w:val="center"/>
                </w:tcPr>
                <w:p w14:paraId="05496390">
                  <w:pPr>
                    <w:jc w:val="center"/>
                    <w:rPr>
                      <w:rFonts w:ascii="Times New Roman" w:hAnsi="Times New Roman"/>
                      <w:szCs w:val="21"/>
                    </w:rPr>
                  </w:pPr>
                  <w:r>
                    <w:rPr>
                      <w:rFonts w:ascii="Times New Roman" w:hAnsi="Times New Roman"/>
                      <w:szCs w:val="21"/>
                    </w:rPr>
                    <w:t>1.0Gy~2.0Gy</w:t>
                  </w:r>
                </w:p>
              </w:tc>
            </w:tr>
            <w:tr w14:paraId="4BCA11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556" w:type="pct"/>
                  <w:vMerge w:val="continue"/>
                  <w:tcBorders>
                    <w:tl2br w:val="nil"/>
                    <w:tr2bl w:val="nil"/>
                  </w:tcBorders>
                  <w:vAlign w:val="center"/>
                </w:tcPr>
                <w:p w14:paraId="19A9751D">
                  <w:pPr>
                    <w:jc w:val="center"/>
                    <w:rPr>
                      <w:rFonts w:ascii="Times New Roman" w:hAnsi="Times New Roman"/>
                      <w:szCs w:val="21"/>
                    </w:rPr>
                  </w:pPr>
                </w:p>
              </w:tc>
              <w:tc>
                <w:tcPr>
                  <w:tcW w:w="390" w:type="pct"/>
                  <w:tcBorders>
                    <w:tl2br w:val="nil"/>
                    <w:tr2bl w:val="nil"/>
                  </w:tcBorders>
                  <w:vAlign w:val="center"/>
                </w:tcPr>
                <w:p w14:paraId="311CBAF3">
                  <w:pPr>
                    <w:jc w:val="center"/>
                    <w:rPr>
                      <w:rFonts w:ascii="Times New Roman" w:hAnsi="Times New Roman"/>
                      <w:szCs w:val="21"/>
                    </w:rPr>
                  </w:pPr>
                  <w:r>
                    <w:rPr>
                      <w:rFonts w:ascii="Times New Roman" w:hAnsi="Times New Roman"/>
                      <w:szCs w:val="21"/>
                    </w:rPr>
                    <w:t>中度</w:t>
                  </w:r>
                </w:p>
              </w:tc>
              <w:tc>
                <w:tcPr>
                  <w:tcW w:w="3215" w:type="pct"/>
                  <w:tcBorders>
                    <w:tl2br w:val="nil"/>
                    <w:tr2bl w:val="nil"/>
                  </w:tcBorders>
                  <w:vAlign w:val="center"/>
                </w:tcPr>
                <w:p w14:paraId="1004162A">
                  <w:pPr>
                    <w:jc w:val="center"/>
                    <w:rPr>
                      <w:rFonts w:ascii="Times New Roman" w:hAnsi="Times New Roman"/>
                      <w:szCs w:val="21"/>
                    </w:rPr>
                  </w:pPr>
                  <w:r>
                    <w:rPr>
                      <w:rFonts w:hint="eastAsia" w:ascii="Times New Roman" w:hAnsi="Times New Roman"/>
                      <w:szCs w:val="21"/>
                    </w:rPr>
                    <w:t>头昏、乏力、食欲减退、恶心，1h~2h后呕吐、白细胞数短暂上升后下降</w:t>
                  </w:r>
                </w:p>
              </w:tc>
              <w:tc>
                <w:tcPr>
                  <w:tcW w:w="837" w:type="pct"/>
                  <w:tcBorders>
                    <w:tl2br w:val="nil"/>
                    <w:tr2bl w:val="nil"/>
                  </w:tcBorders>
                  <w:vAlign w:val="center"/>
                </w:tcPr>
                <w:p w14:paraId="7D103F53">
                  <w:pPr>
                    <w:jc w:val="center"/>
                    <w:rPr>
                      <w:rFonts w:ascii="Times New Roman" w:hAnsi="Times New Roman"/>
                      <w:szCs w:val="21"/>
                    </w:rPr>
                  </w:pPr>
                  <w:r>
                    <w:rPr>
                      <w:rFonts w:ascii="Times New Roman" w:hAnsi="Times New Roman"/>
                      <w:szCs w:val="21"/>
                    </w:rPr>
                    <w:t>2.0Gy~4.0Gy</w:t>
                  </w:r>
                </w:p>
              </w:tc>
            </w:tr>
            <w:tr w14:paraId="7A3BBB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556" w:type="pct"/>
                  <w:vMerge w:val="continue"/>
                  <w:tcBorders>
                    <w:tl2br w:val="nil"/>
                    <w:tr2bl w:val="nil"/>
                  </w:tcBorders>
                  <w:vAlign w:val="center"/>
                </w:tcPr>
                <w:p w14:paraId="42FE7492">
                  <w:pPr>
                    <w:jc w:val="center"/>
                    <w:rPr>
                      <w:rFonts w:ascii="Times New Roman" w:hAnsi="Times New Roman"/>
                      <w:szCs w:val="21"/>
                    </w:rPr>
                  </w:pPr>
                </w:p>
              </w:tc>
              <w:tc>
                <w:tcPr>
                  <w:tcW w:w="390" w:type="pct"/>
                  <w:tcBorders>
                    <w:tl2br w:val="nil"/>
                    <w:tr2bl w:val="nil"/>
                  </w:tcBorders>
                  <w:vAlign w:val="center"/>
                </w:tcPr>
                <w:p w14:paraId="5FEC2D23">
                  <w:pPr>
                    <w:jc w:val="center"/>
                    <w:rPr>
                      <w:rFonts w:ascii="Times New Roman" w:hAnsi="Times New Roman"/>
                      <w:szCs w:val="21"/>
                    </w:rPr>
                  </w:pPr>
                  <w:r>
                    <w:rPr>
                      <w:rFonts w:ascii="Times New Roman" w:hAnsi="Times New Roman"/>
                      <w:szCs w:val="21"/>
                    </w:rPr>
                    <w:t>重度</w:t>
                  </w:r>
                </w:p>
              </w:tc>
              <w:tc>
                <w:tcPr>
                  <w:tcW w:w="3215" w:type="pct"/>
                  <w:tcBorders>
                    <w:tl2br w:val="nil"/>
                    <w:tr2bl w:val="nil"/>
                  </w:tcBorders>
                  <w:vAlign w:val="center"/>
                </w:tcPr>
                <w:p w14:paraId="2489CB77">
                  <w:pPr>
                    <w:jc w:val="center"/>
                    <w:rPr>
                      <w:rFonts w:ascii="Times New Roman" w:hAnsi="Times New Roman"/>
                      <w:szCs w:val="21"/>
                    </w:rPr>
                  </w:pPr>
                  <w:r>
                    <w:rPr>
                      <w:rFonts w:hint="eastAsia" w:ascii="Times New Roman" w:hAnsi="Times New Roman"/>
                      <w:szCs w:val="21"/>
                    </w:rPr>
                    <w:t>1h后多次呕吐，可有腹泻，腮腺肿大，白细胞数明显下降</w:t>
                  </w:r>
                </w:p>
              </w:tc>
              <w:tc>
                <w:tcPr>
                  <w:tcW w:w="837" w:type="pct"/>
                  <w:tcBorders>
                    <w:tl2br w:val="nil"/>
                    <w:tr2bl w:val="nil"/>
                  </w:tcBorders>
                  <w:vAlign w:val="center"/>
                </w:tcPr>
                <w:p w14:paraId="6945B3F2">
                  <w:pPr>
                    <w:jc w:val="center"/>
                    <w:rPr>
                      <w:rFonts w:ascii="Times New Roman" w:hAnsi="Times New Roman"/>
                      <w:szCs w:val="21"/>
                    </w:rPr>
                  </w:pPr>
                  <w:r>
                    <w:rPr>
                      <w:rFonts w:ascii="Times New Roman" w:hAnsi="Times New Roman"/>
                      <w:szCs w:val="21"/>
                    </w:rPr>
                    <w:t>4.0Gy~6.0Gy</w:t>
                  </w:r>
                </w:p>
              </w:tc>
            </w:tr>
            <w:tr w14:paraId="14B54C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556" w:type="pct"/>
                  <w:vMerge w:val="continue"/>
                  <w:tcBorders>
                    <w:tl2br w:val="nil"/>
                    <w:tr2bl w:val="nil"/>
                  </w:tcBorders>
                  <w:vAlign w:val="center"/>
                </w:tcPr>
                <w:p w14:paraId="6B8DF1D6">
                  <w:pPr>
                    <w:jc w:val="center"/>
                    <w:rPr>
                      <w:rFonts w:ascii="Times New Roman" w:hAnsi="Times New Roman"/>
                      <w:szCs w:val="21"/>
                    </w:rPr>
                  </w:pPr>
                </w:p>
              </w:tc>
              <w:tc>
                <w:tcPr>
                  <w:tcW w:w="390" w:type="pct"/>
                  <w:tcBorders>
                    <w:tl2br w:val="nil"/>
                    <w:tr2bl w:val="nil"/>
                  </w:tcBorders>
                  <w:vAlign w:val="center"/>
                </w:tcPr>
                <w:p w14:paraId="0A0FACEB">
                  <w:pPr>
                    <w:jc w:val="center"/>
                    <w:rPr>
                      <w:rFonts w:ascii="Times New Roman" w:hAnsi="Times New Roman"/>
                      <w:szCs w:val="21"/>
                    </w:rPr>
                  </w:pPr>
                  <w:r>
                    <w:rPr>
                      <w:rFonts w:ascii="Times New Roman" w:hAnsi="Times New Roman"/>
                      <w:szCs w:val="21"/>
                    </w:rPr>
                    <w:t>极重度</w:t>
                  </w:r>
                </w:p>
              </w:tc>
              <w:tc>
                <w:tcPr>
                  <w:tcW w:w="3215" w:type="pct"/>
                  <w:tcBorders>
                    <w:tl2br w:val="nil"/>
                    <w:tr2bl w:val="nil"/>
                  </w:tcBorders>
                  <w:vAlign w:val="center"/>
                </w:tcPr>
                <w:p w14:paraId="74A4E222">
                  <w:pPr>
                    <w:jc w:val="center"/>
                    <w:rPr>
                      <w:rFonts w:ascii="Times New Roman" w:hAnsi="Times New Roman"/>
                      <w:szCs w:val="21"/>
                    </w:rPr>
                  </w:pPr>
                  <w:r>
                    <w:rPr>
                      <w:rFonts w:hint="eastAsia" w:ascii="Times New Roman" w:hAnsi="Times New Roman"/>
                      <w:szCs w:val="21"/>
                    </w:rPr>
                    <w:t>1h内多次呕吐和腹泻、休克、腮腺肿大，白细胞数急剧下降</w:t>
                  </w:r>
                </w:p>
              </w:tc>
              <w:tc>
                <w:tcPr>
                  <w:tcW w:w="837" w:type="pct"/>
                  <w:tcBorders>
                    <w:tl2br w:val="nil"/>
                    <w:tr2bl w:val="nil"/>
                  </w:tcBorders>
                  <w:vAlign w:val="center"/>
                </w:tcPr>
                <w:p w14:paraId="2BB64A13">
                  <w:pPr>
                    <w:jc w:val="center"/>
                    <w:rPr>
                      <w:rFonts w:ascii="Times New Roman" w:hAnsi="Times New Roman"/>
                      <w:szCs w:val="21"/>
                    </w:rPr>
                  </w:pPr>
                  <w:r>
                    <w:rPr>
                      <w:rFonts w:ascii="Times New Roman" w:hAnsi="Times New Roman"/>
                      <w:szCs w:val="21"/>
                    </w:rPr>
                    <w:t>6.0Gy~10.0Gy</w:t>
                  </w:r>
                </w:p>
              </w:tc>
            </w:tr>
            <w:tr w14:paraId="7E8F78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556" w:type="pct"/>
                  <w:vMerge w:val="restart"/>
                  <w:tcBorders>
                    <w:tl2br w:val="nil"/>
                    <w:tr2bl w:val="nil"/>
                  </w:tcBorders>
                  <w:vAlign w:val="center"/>
                </w:tcPr>
                <w:p w14:paraId="0160FF8A">
                  <w:pPr>
                    <w:jc w:val="center"/>
                    <w:rPr>
                      <w:rFonts w:ascii="Times New Roman" w:hAnsi="Times New Roman"/>
                      <w:szCs w:val="21"/>
                    </w:rPr>
                  </w:pPr>
                  <w:r>
                    <w:rPr>
                      <w:rFonts w:ascii="Times New Roman" w:hAnsi="Times New Roman"/>
                      <w:szCs w:val="21"/>
                    </w:rPr>
                    <w:t>肠型急性放射病</w:t>
                  </w:r>
                </w:p>
              </w:tc>
              <w:tc>
                <w:tcPr>
                  <w:tcW w:w="390" w:type="pct"/>
                  <w:tcBorders>
                    <w:tl2br w:val="nil"/>
                    <w:tr2bl w:val="nil"/>
                  </w:tcBorders>
                  <w:vAlign w:val="center"/>
                </w:tcPr>
                <w:p w14:paraId="29A5F0B0">
                  <w:pPr>
                    <w:jc w:val="center"/>
                    <w:rPr>
                      <w:rFonts w:ascii="Times New Roman" w:hAnsi="Times New Roman"/>
                      <w:szCs w:val="21"/>
                    </w:rPr>
                  </w:pPr>
                  <w:r>
                    <w:rPr>
                      <w:rFonts w:ascii="Times New Roman" w:hAnsi="Times New Roman"/>
                      <w:szCs w:val="21"/>
                    </w:rPr>
                    <w:t>轻度</w:t>
                  </w:r>
                </w:p>
              </w:tc>
              <w:tc>
                <w:tcPr>
                  <w:tcW w:w="3215" w:type="pct"/>
                  <w:tcBorders>
                    <w:tl2br w:val="nil"/>
                    <w:tr2bl w:val="nil"/>
                  </w:tcBorders>
                  <w:vAlign w:val="center"/>
                </w:tcPr>
                <w:p w14:paraId="451EFF3F">
                  <w:pPr>
                    <w:jc w:val="center"/>
                    <w:rPr>
                      <w:rFonts w:ascii="Times New Roman" w:hAnsi="Times New Roman"/>
                      <w:szCs w:val="21"/>
                    </w:rPr>
                  </w:pPr>
                  <w:r>
                    <w:rPr>
                      <w:rFonts w:hint="eastAsia" w:ascii="Times New Roman" w:hAnsi="Times New Roman"/>
                      <w:szCs w:val="21"/>
                    </w:rPr>
                    <w:t>受照射后1h内出现严重恶心、呕吐</w:t>
                  </w:r>
                  <w:r>
                    <w:rPr>
                      <w:rFonts w:hint="eastAsia" w:ascii="Times New Roman" w:hAnsi="Times New Roman"/>
                      <w:szCs w:val="21"/>
                      <w:lang w:eastAsia="zh-CN"/>
                    </w:rPr>
                    <w:t>；</w:t>
                  </w:r>
                  <w:r>
                    <w:rPr>
                      <w:rFonts w:hint="eastAsia" w:ascii="Times New Roman" w:hAnsi="Times New Roman"/>
                      <w:szCs w:val="21"/>
                    </w:rPr>
                    <w:t>1d~3d内出现腹泻稀便、血水便</w:t>
                  </w:r>
                  <w:r>
                    <w:rPr>
                      <w:rFonts w:hint="eastAsia" w:ascii="Times New Roman" w:hAnsi="Times New Roman"/>
                      <w:szCs w:val="21"/>
                      <w:lang w:eastAsia="zh-CN"/>
                    </w:rPr>
                    <w:t>；</w:t>
                  </w:r>
                  <w:r>
                    <w:rPr>
                      <w:rFonts w:hint="eastAsia" w:ascii="Times New Roman" w:hAnsi="Times New Roman"/>
                      <w:szCs w:val="21"/>
                    </w:rPr>
                    <w:t>经3d~6d，假煎期后上述症状加重为极期开始，可伴有水样便或血水便，发热。</w:t>
                  </w:r>
                </w:p>
              </w:tc>
              <w:tc>
                <w:tcPr>
                  <w:tcW w:w="837" w:type="pct"/>
                  <w:tcBorders>
                    <w:tl2br w:val="nil"/>
                    <w:tr2bl w:val="nil"/>
                  </w:tcBorders>
                  <w:vAlign w:val="center"/>
                </w:tcPr>
                <w:p w14:paraId="44B3ABE6">
                  <w:pPr>
                    <w:jc w:val="center"/>
                    <w:rPr>
                      <w:rFonts w:ascii="Times New Roman" w:hAnsi="Times New Roman"/>
                      <w:szCs w:val="21"/>
                    </w:rPr>
                  </w:pPr>
                  <w:r>
                    <w:rPr>
                      <w:rFonts w:ascii="Times New Roman" w:hAnsi="Times New Roman"/>
                      <w:szCs w:val="21"/>
                    </w:rPr>
                    <w:t>10.0Gy~20.0Gy</w:t>
                  </w:r>
                </w:p>
              </w:tc>
            </w:tr>
            <w:tr w14:paraId="48296F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556" w:type="pct"/>
                  <w:vMerge w:val="continue"/>
                  <w:tcBorders>
                    <w:tl2br w:val="nil"/>
                    <w:tr2bl w:val="nil"/>
                  </w:tcBorders>
                  <w:vAlign w:val="center"/>
                </w:tcPr>
                <w:p w14:paraId="3106E7B4">
                  <w:pPr>
                    <w:jc w:val="center"/>
                    <w:rPr>
                      <w:rFonts w:ascii="Times New Roman" w:hAnsi="Times New Roman"/>
                      <w:szCs w:val="21"/>
                    </w:rPr>
                  </w:pPr>
                </w:p>
              </w:tc>
              <w:tc>
                <w:tcPr>
                  <w:tcW w:w="390" w:type="pct"/>
                  <w:tcBorders>
                    <w:tl2br w:val="nil"/>
                    <w:tr2bl w:val="nil"/>
                  </w:tcBorders>
                  <w:vAlign w:val="center"/>
                </w:tcPr>
                <w:p w14:paraId="519ACFC1">
                  <w:pPr>
                    <w:jc w:val="center"/>
                    <w:rPr>
                      <w:rFonts w:ascii="Times New Roman" w:hAnsi="Times New Roman"/>
                      <w:szCs w:val="21"/>
                    </w:rPr>
                  </w:pPr>
                  <w:r>
                    <w:rPr>
                      <w:rFonts w:ascii="Times New Roman" w:hAnsi="Times New Roman"/>
                      <w:szCs w:val="21"/>
                    </w:rPr>
                    <w:t>重度</w:t>
                  </w:r>
                </w:p>
              </w:tc>
              <w:tc>
                <w:tcPr>
                  <w:tcW w:w="3215" w:type="pct"/>
                  <w:tcBorders>
                    <w:tl2br w:val="nil"/>
                    <w:tr2bl w:val="nil"/>
                  </w:tcBorders>
                  <w:vAlign w:val="center"/>
                </w:tcPr>
                <w:p w14:paraId="6474745E">
                  <w:pPr>
                    <w:jc w:val="center"/>
                    <w:rPr>
                      <w:rFonts w:ascii="Times New Roman" w:hAnsi="Times New Roman"/>
                      <w:szCs w:val="21"/>
                    </w:rPr>
                  </w:pPr>
                  <w:r>
                    <w:rPr>
                      <w:rFonts w:hint="eastAsia" w:ascii="Times New Roman" w:hAnsi="Times New Roman"/>
                      <w:szCs w:val="21"/>
                    </w:rPr>
                    <w:t>受照射后1d内出现频繁呕吐，难以忍受的腹痛，严重血水便脱水，全身衰竭，低体温。继之剧烈呕吐胆汁样或咖啡样物，严重者于第二周在血水便或便中混有脱落的肠黏膜组织，大便失禁，高热。</w:t>
                  </w:r>
                </w:p>
              </w:tc>
              <w:tc>
                <w:tcPr>
                  <w:tcW w:w="837" w:type="pct"/>
                  <w:tcBorders>
                    <w:tl2br w:val="nil"/>
                    <w:tr2bl w:val="nil"/>
                  </w:tcBorders>
                  <w:vAlign w:val="center"/>
                </w:tcPr>
                <w:p w14:paraId="1C0583B1">
                  <w:pPr>
                    <w:jc w:val="center"/>
                    <w:rPr>
                      <w:rFonts w:ascii="Times New Roman" w:hAnsi="Times New Roman"/>
                      <w:szCs w:val="21"/>
                    </w:rPr>
                  </w:pPr>
                  <w:r>
                    <w:rPr>
                      <w:rFonts w:ascii="Times New Roman" w:hAnsi="Times New Roman"/>
                      <w:szCs w:val="21"/>
                    </w:rPr>
                    <w:t>20.0Gy~50.0Gy</w:t>
                  </w:r>
                </w:p>
              </w:tc>
            </w:tr>
            <w:tr w14:paraId="0AAA81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916" w:hRule="atLeast"/>
                <w:jc w:val="center"/>
              </w:trPr>
              <w:tc>
                <w:tcPr>
                  <w:tcW w:w="556" w:type="pct"/>
                  <w:vMerge w:val="restart"/>
                  <w:tcBorders>
                    <w:tl2br w:val="nil"/>
                    <w:tr2bl w:val="nil"/>
                  </w:tcBorders>
                  <w:vAlign w:val="center"/>
                </w:tcPr>
                <w:p w14:paraId="53AFE126">
                  <w:pPr>
                    <w:jc w:val="center"/>
                    <w:rPr>
                      <w:rFonts w:ascii="Times New Roman" w:hAnsi="Times New Roman"/>
                      <w:szCs w:val="21"/>
                    </w:rPr>
                  </w:pPr>
                  <w:r>
                    <w:rPr>
                      <w:rFonts w:ascii="Times New Roman" w:hAnsi="Times New Roman"/>
                      <w:szCs w:val="21"/>
                    </w:rPr>
                    <w:t>脑型急性放射病</w:t>
                  </w:r>
                </w:p>
              </w:tc>
              <w:tc>
                <w:tcPr>
                  <w:tcW w:w="390" w:type="pct"/>
                  <w:tcBorders>
                    <w:tl2br w:val="nil"/>
                    <w:tr2bl w:val="nil"/>
                  </w:tcBorders>
                  <w:vAlign w:val="center"/>
                </w:tcPr>
                <w:p w14:paraId="07B7270F">
                  <w:pPr>
                    <w:jc w:val="center"/>
                    <w:rPr>
                      <w:rFonts w:ascii="Times New Roman" w:hAnsi="Times New Roman"/>
                      <w:szCs w:val="21"/>
                    </w:rPr>
                  </w:pPr>
                  <w:r>
                    <w:rPr>
                      <w:rFonts w:hint="eastAsia" w:ascii="Times New Roman" w:hAnsi="Times New Roman"/>
                      <w:szCs w:val="21"/>
                      <w:lang w:val="en-US" w:eastAsia="zh-CN"/>
                    </w:rPr>
                    <w:t>/</w:t>
                  </w:r>
                </w:p>
              </w:tc>
              <w:tc>
                <w:tcPr>
                  <w:tcW w:w="3215" w:type="pct"/>
                  <w:tcBorders>
                    <w:tl2br w:val="nil"/>
                    <w:tr2bl w:val="nil"/>
                  </w:tcBorders>
                  <w:vAlign w:val="center"/>
                </w:tcPr>
                <w:p w14:paraId="47BC0390">
                  <w:pPr>
                    <w:jc w:val="center"/>
                    <w:rPr>
                      <w:rFonts w:ascii="Times New Roman" w:hAnsi="Times New Roman"/>
                      <w:szCs w:val="21"/>
                    </w:rPr>
                  </w:pPr>
                  <w:r>
                    <w:rPr>
                      <w:rFonts w:hint="eastAsia" w:ascii="Times New Roman" w:hAnsi="Times New Roman"/>
                      <w:szCs w:val="21"/>
                    </w:rPr>
                    <w:t>受照射后出现站立不稳、步态蹒跚等共济失调现象，定向力和判断力障碍，肢体或眼球震颤，强直抽搐，角弓反张等征象。如受照剂量&gt;100Gy，则受照射后意识丧失，瞳孔散大，大小便失禁，休克，昏迷，很快死亡，病程经过仅为数小时。</w:t>
                  </w:r>
                </w:p>
              </w:tc>
              <w:tc>
                <w:tcPr>
                  <w:tcW w:w="837" w:type="pct"/>
                  <w:tcBorders>
                    <w:tl2br w:val="nil"/>
                    <w:tr2bl w:val="nil"/>
                  </w:tcBorders>
                  <w:vAlign w:val="center"/>
                </w:tcPr>
                <w:p w14:paraId="69826DB1">
                  <w:pPr>
                    <w:jc w:val="center"/>
                    <w:rPr>
                      <w:rFonts w:ascii="Times New Roman" w:hAnsi="Times New Roman"/>
                      <w:szCs w:val="21"/>
                    </w:rPr>
                  </w:pPr>
                  <w:r>
                    <w:rPr>
                      <w:rFonts w:ascii="Times New Roman" w:hAnsi="Times New Roman"/>
                      <w:szCs w:val="21"/>
                    </w:rPr>
                    <w:t>50Gy~100Gy</w:t>
                  </w:r>
                </w:p>
              </w:tc>
            </w:tr>
            <w:tr w14:paraId="578F51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556" w:type="pct"/>
                  <w:vMerge w:val="continue"/>
                  <w:tcBorders>
                    <w:tl2br w:val="nil"/>
                    <w:tr2bl w:val="nil"/>
                  </w:tcBorders>
                  <w:vAlign w:val="center"/>
                </w:tcPr>
                <w:p w14:paraId="52A3F47E">
                  <w:pPr>
                    <w:jc w:val="center"/>
                    <w:rPr>
                      <w:rFonts w:ascii="Times New Roman" w:hAnsi="Times New Roman"/>
                      <w:szCs w:val="21"/>
                    </w:rPr>
                  </w:pPr>
                </w:p>
              </w:tc>
              <w:tc>
                <w:tcPr>
                  <w:tcW w:w="390" w:type="pct"/>
                  <w:tcBorders>
                    <w:tl2br w:val="nil"/>
                    <w:tr2bl w:val="nil"/>
                  </w:tcBorders>
                  <w:vAlign w:val="center"/>
                </w:tcPr>
                <w:p w14:paraId="084958E4">
                  <w:pPr>
                    <w:jc w:val="center"/>
                    <w:rPr>
                      <w:rFonts w:ascii="Times New Roman" w:hAnsi="Times New Roman"/>
                      <w:szCs w:val="21"/>
                    </w:rPr>
                  </w:pPr>
                  <w:r>
                    <w:rPr>
                      <w:rFonts w:ascii="Times New Roman" w:hAnsi="Times New Roman"/>
                      <w:szCs w:val="21"/>
                    </w:rPr>
                    <w:t>死亡</w:t>
                  </w:r>
                </w:p>
              </w:tc>
              <w:tc>
                <w:tcPr>
                  <w:tcW w:w="3215" w:type="pct"/>
                  <w:tcBorders>
                    <w:tl2br w:val="nil"/>
                    <w:tr2bl w:val="nil"/>
                  </w:tcBorders>
                  <w:vAlign w:val="center"/>
                </w:tcPr>
                <w:p w14:paraId="01C500F2">
                  <w:pPr>
                    <w:jc w:val="center"/>
                    <w:rPr>
                      <w:rFonts w:hint="default" w:ascii="Times New Roman" w:hAnsi="Times New Roman" w:eastAsia="宋体"/>
                      <w:szCs w:val="21"/>
                      <w:lang w:val="en-US" w:eastAsia="zh-CN"/>
                    </w:rPr>
                  </w:pPr>
                  <w:r>
                    <w:rPr>
                      <w:rFonts w:hint="eastAsia" w:ascii="Times New Roman" w:hAnsi="Times New Roman"/>
                      <w:szCs w:val="21"/>
                      <w:lang w:val="en-US" w:eastAsia="zh-CN"/>
                    </w:rPr>
                    <w:t>/</w:t>
                  </w:r>
                </w:p>
              </w:tc>
              <w:tc>
                <w:tcPr>
                  <w:tcW w:w="837" w:type="pct"/>
                  <w:tcBorders>
                    <w:tl2br w:val="nil"/>
                    <w:tr2bl w:val="nil"/>
                  </w:tcBorders>
                  <w:vAlign w:val="center"/>
                </w:tcPr>
                <w:p w14:paraId="70CC2405">
                  <w:pPr>
                    <w:jc w:val="center"/>
                    <w:rPr>
                      <w:rFonts w:ascii="Times New Roman" w:hAnsi="Times New Roman"/>
                      <w:szCs w:val="21"/>
                    </w:rPr>
                  </w:pPr>
                  <w:r>
                    <w:rPr>
                      <w:rFonts w:ascii="Times New Roman" w:hAnsi="Times New Roman"/>
                      <w:szCs w:val="21"/>
                    </w:rPr>
                    <w:t>100Gy</w:t>
                  </w:r>
                </w:p>
              </w:tc>
            </w:tr>
          </w:tbl>
          <w:p w14:paraId="7BB6F55B">
            <w:pPr>
              <w:spacing w:line="360" w:lineRule="auto"/>
              <w:jc w:val="left"/>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4、</w:t>
            </w:r>
            <w:r>
              <w:rPr>
                <w:rFonts w:ascii="Times New Roman" w:hAnsi="Times New Roman"/>
                <w:b/>
                <w:bCs/>
                <w:color w:val="000000" w:themeColor="text1"/>
                <w:sz w:val="28"/>
                <w:szCs w:val="28"/>
                <w14:textFill>
                  <w14:solidFill>
                    <w14:schemeClr w14:val="tx1"/>
                  </w14:solidFill>
                </w14:textFill>
              </w:rPr>
              <w:t>最大可能性事故分析</w:t>
            </w:r>
          </w:p>
          <w:p w14:paraId="60462CE6">
            <w:pPr>
              <w:spacing w:line="360" w:lineRule="auto"/>
              <w:jc w:val="left"/>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1、介入手术过程中，发生介入手术人员超剂量照射</w:t>
            </w:r>
          </w:p>
          <w:p w14:paraId="6CA4870B">
            <w:pPr>
              <w:spacing w:line="360" w:lineRule="auto"/>
              <w:ind w:firstLine="482" w:firstLineChars="200"/>
              <w:jc w:val="left"/>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（1）事故假设</w:t>
            </w:r>
          </w:p>
          <w:p w14:paraId="3A4D6880">
            <w:pPr>
              <w:pStyle w:val="11"/>
              <w:bidi w:val="0"/>
            </w:pPr>
            <w:r>
              <w:t>①射线装置在运行时，辐射工作人员位于非主射方向，未采取任何防护的情况下与射线束最近距离0.5m进行介入手术操作；由于安全联锁系统失效，手术过程中，人员误入或滞留在机房内而造成非主射方向的误照射。</w:t>
            </w:r>
          </w:p>
          <w:p w14:paraId="5BA3D432">
            <w:pPr>
              <w:pStyle w:val="11"/>
              <w:bidi w:val="0"/>
            </w:pPr>
            <w:r>
              <w:t>②射线装置在运行时，公众未采取任何防护的情况下，误入射线装置机房，位于射线装置非主射方向，与射线束最近距离1.5m。</w:t>
            </w:r>
          </w:p>
          <w:p w14:paraId="6C44FEB3">
            <w:pPr>
              <w:pStyle w:val="11"/>
              <w:bidi w:val="0"/>
              <w:rPr>
                <w:b/>
                <w:bCs/>
              </w:rPr>
            </w:pPr>
            <w:r>
              <w:rPr>
                <w:b/>
                <w:bCs/>
              </w:rPr>
              <w:t>（2）剂量估算</w:t>
            </w:r>
          </w:p>
          <w:p w14:paraId="7A62223A">
            <w:pPr>
              <w:pStyle w:val="11"/>
              <w:bidi w:val="0"/>
            </w:pPr>
            <w:r>
              <w:t>①介入手术人员在未采取任何防护的情况下位于非主射方向进行介入手术操作受到非主射方向的照射的事故后果计算结果如下表所示：</w:t>
            </w:r>
          </w:p>
          <w:p w14:paraId="0C0A540C">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事故状态下非主射方向不同停留时间和距离职业人员受照剂量表</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563"/>
              <w:gridCol w:w="1153"/>
              <w:gridCol w:w="1527"/>
              <w:gridCol w:w="1554"/>
              <w:gridCol w:w="1428"/>
              <w:gridCol w:w="1428"/>
            </w:tblGrid>
            <w:tr w14:paraId="67BD86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tcBorders>
                    <w:tl2br w:val="nil"/>
                    <w:tr2bl w:val="nil"/>
                  </w:tcBorders>
                  <w:vAlign w:val="center"/>
                </w:tcPr>
                <w:p w14:paraId="34614601">
                  <w:pPr>
                    <w:jc w:val="center"/>
                    <w:rPr>
                      <w:rFonts w:ascii="Times New Roman" w:hAnsi="Times New Roman"/>
                      <w:b/>
                      <w:bCs/>
                      <w:szCs w:val="21"/>
                    </w:rPr>
                  </w:pPr>
                  <w:r>
                    <w:rPr>
                      <w:rFonts w:ascii="Times New Roman" w:hAnsi="Times New Roman"/>
                      <w:b/>
                      <w:bCs/>
                      <w:szCs w:val="21"/>
                    </w:rPr>
                    <w:t>关注点与射线装置的距离（m）</w:t>
                  </w:r>
                </w:p>
              </w:tc>
              <w:tc>
                <w:tcPr>
                  <w:tcW w:w="666" w:type="pct"/>
                  <w:tcBorders>
                    <w:tl2br w:val="nil"/>
                    <w:tr2bl w:val="nil"/>
                  </w:tcBorders>
                  <w:vAlign w:val="center"/>
                </w:tcPr>
                <w:p w14:paraId="740B5741">
                  <w:pPr>
                    <w:jc w:val="center"/>
                    <w:rPr>
                      <w:rFonts w:ascii="Times New Roman" w:hAnsi="Times New Roman"/>
                      <w:b/>
                      <w:bCs/>
                      <w:szCs w:val="21"/>
                    </w:rPr>
                  </w:pPr>
                  <w:r>
                    <w:rPr>
                      <w:rFonts w:ascii="Times New Roman" w:hAnsi="Times New Roman"/>
                      <w:b/>
                      <w:bCs/>
                      <w:szCs w:val="21"/>
                    </w:rPr>
                    <w:t>时间（min）</w:t>
                  </w:r>
                </w:p>
              </w:tc>
              <w:tc>
                <w:tcPr>
                  <w:tcW w:w="882" w:type="pct"/>
                  <w:tcBorders>
                    <w:tl2br w:val="nil"/>
                    <w:tr2bl w:val="nil"/>
                  </w:tcBorders>
                  <w:vAlign w:val="center"/>
                </w:tcPr>
                <w:p w14:paraId="4E6A8E34">
                  <w:pPr>
                    <w:jc w:val="center"/>
                    <w:rPr>
                      <w:rFonts w:ascii="Times New Roman" w:hAnsi="Times New Roman"/>
                      <w:b/>
                      <w:bCs/>
                      <w:szCs w:val="21"/>
                    </w:rPr>
                  </w:pPr>
                  <w:r>
                    <w:rPr>
                      <w:rFonts w:ascii="Times New Roman" w:hAnsi="Times New Roman"/>
                      <w:b/>
                      <w:bCs/>
                      <w:szCs w:val="21"/>
                    </w:rPr>
                    <w:t>散射所致剂量（mGy）</w:t>
                  </w:r>
                </w:p>
              </w:tc>
              <w:tc>
                <w:tcPr>
                  <w:tcW w:w="897" w:type="pct"/>
                  <w:tcBorders>
                    <w:tl2br w:val="nil"/>
                    <w:tr2bl w:val="nil"/>
                  </w:tcBorders>
                  <w:vAlign w:val="center"/>
                </w:tcPr>
                <w:p w14:paraId="0A8A8A47">
                  <w:pPr>
                    <w:jc w:val="center"/>
                    <w:rPr>
                      <w:rFonts w:ascii="Times New Roman" w:hAnsi="Times New Roman"/>
                      <w:b/>
                      <w:bCs/>
                      <w:szCs w:val="21"/>
                    </w:rPr>
                  </w:pPr>
                  <w:r>
                    <w:rPr>
                      <w:rFonts w:ascii="Times New Roman" w:hAnsi="Times New Roman"/>
                      <w:b/>
                      <w:bCs/>
                      <w:szCs w:val="21"/>
                    </w:rPr>
                    <w:t>漏射所致剂量（mGy）</w:t>
                  </w:r>
                </w:p>
              </w:tc>
              <w:tc>
                <w:tcPr>
                  <w:tcW w:w="825" w:type="pct"/>
                  <w:tcBorders>
                    <w:tl2br w:val="nil"/>
                    <w:tr2bl w:val="nil"/>
                  </w:tcBorders>
                  <w:vAlign w:val="center"/>
                </w:tcPr>
                <w:p w14:paraId="4335C2F8">
                  <w:pPr>
                    <w:jc w:val="center"/>
                    <w:rPr>
                      <w:rFonts w:ascii="Times New Roman" w:hAnsi="Times New Roman"/>
                      <w:b/>
                      <w:bCs/>
                      <w:szCs w:val="21"/>
                    </w:rPr>
                  </w:pPr>
                  <w:r>
                    <w:rPr>
                      <w:rFonts w:ascii="Times New Roman" w:hAnsi="Times New Roman"/>
                      <w:b/>
                      <w:bCs/>
                      <w:szCs w:val="21"/>
                    </w:rPr>
                    <w:t>总剂量</w:t>
                  </w:r>
                </w:p>
                <w:p w14:paraId="104C4EBB">
                  <w:pPr>
                    <w:jc w:val="center"/>
                    <w:rPr>
                      <w:rFonts w:ascii="Times New Roman" w:hAnsi="Times New Roman"/>
                      <w:b/>
                      <w:bCs/>
                      <w:szCs w:val="21"/>
                    </w:rPr>
                  </w:pPr>
                  <w:r>
                    <w:rPr>
                      <w:rFonts w:ascii="Times New Roman" w:hAnsi="Times New Roman"/>
                      <w:b/>
                      <w:bCs/>
                      <w:szCs w:val="21"/>
                    </w:rPr>
                    <w:t>（mGy）</w:t>
                  </w:r>
                </w:p>
              </w:tc>
              <w:tc>
                <w:tcPr>
                  <w:tcW w:w="825" w:type="pct"/>
                  <w:tcBorders>
                    <w:tl2br w:val="nil"/>
                    <w:tr2bl w:val="nil"/>
                  </w:tcBorders>
                  <w:vAlign w:val="center"/>
                </w:tcPr>
                <w:p w14:paraId="3284B93E">
                  <w:pPr>
                    <w:jc w:val="center"/>
                    <w:rPr>
                      <w:rFonts w:ascii="Times New Roman" w:hAnsi="Times New Roman"/>
                      <w:b/>
                      <w:bCs/>
                    </w:rPr>
                  </w:pPr>
                  <w:r>
                    <w:rPr>
                      <w:rFonts w:ascii="Times New Roman" w:hAnsi="Times New Roman"/>
                      <w:b/>
                      <w:bCs/>
                    </w:rPr>
                    <w:t>总剂量</w:t>
                  </w:r>
                </w:p>
                <w:p w14:paraId="7C18C959">
                  <w:pPr>
                    <w:jc w:val="center"/>
                    <w:rPr>
                      <w:rFonts w:ascii="Times New Roman" w:hAnsi="Times New Roman"/>
                      <w:b/>
                      <w:bCs/>
                      <w:szCs w:val="21"/>
                    </w:rPr>
                  </w:pPr>
                  <w:r>
                    <w:rPr>
                      <w:rFonts w:ascii="Times New Roman" w:hAnsi="Times New Roman"/>
                      <w:b/>
                      <w:bCs/>
                    </w:rPr>
                    <w:t>（mSv）</w:t>
                  </w:r>
                </w:p>
              </w:tc>
            </w:tr>
            <w:tr w14:paraId="3E4DD1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restart"/>
                  <w:tcBorders>
                    <w:tl2br w:val="nil"/>
                    <w:tr2bl w:val="nil"/>
                  </w:tcBorders>
                  <w:vAlign w:val="center"/>
                </w:tcPr>
                <w:p w14:paraId="687CCC14">
                  <w:pPr>
                    <w:jc w:val="center"/>
                    <w:rPr>
                      <w:rFonts w:ascii="Times New Roman" w:hAnsi="Times New Roman"/>
                      <w:szCs w:val="21"/>
                    </w:rPr>
                  </w:pPr>
                  <w:r>
                    <w:rPr>
                      <w:rFonts w:ascii="Times New Roman" w:hAnsi="Times New Roman"/>
                      <w:szCs w:val="21"/>
                    </w:rPr>
                    <w:t>0.5</w:t>
                  </w:r>
                </w:p>
              </w:tc>
              <w:tc>
                <w:tcPr>
                  <w:tcW w:w="666" w:type="pct"/>
                  <w:tcBorders>
                    <w:tl2br w:val="nil"/>
                    <w:tr2bl w:val="nil"/>
                  </w:tcBorders>
                  <w:vAlign w:val="center"/>
                </w:tcPr>
                <w:p w14:paraId="284DB0CB">
                  <w:pPr>
                    <w:jc w:val="center"/>
                    <w:rPr>
                      <w:rFonts w:ascii="Times New Roman" w:hAnsi="Times New Roman"/>
                      <w:szCs w:val="21"/>
                    </w:rPr>
                  </w:pPr>
                  <w:r>
                    <w:rPr>
                      <w:rFonts w:ascii="Times New Roman" w:hAnsi="Times New Roman"/>
                      <w:szCs w:val="21"/>
                    </w:rPr>
                    <w:t>1</w:t>
                  </w:r>
                </w:p>
              </w:tc>
              <w:tc>
                <w:tcPr>
                  <w:tcW w:w="1527" w:type="dxa"/>
                  <w:tcBorders>
                    <w:tl2br w:val="nil"/>
                    <w:tr2bl w:val="nil"/>
                  </w:tcBorders>
                  <w:vAlign w:val="center"/>
                </w:tcPr>
                <w:p w14:paraId="6A6D1063">
                  <w:pPr>
                    <w:pStyle w:val="52"/>
                    <w:bidi w:val="0"/>
                  </w:pPr>
                  <w:r>
                    <w:rPr>
                      <w:rFonts w:hint="default"/>
                      <w:lang w:val="en-US" w:eastAsia="zh-CN"/>
                    </w:rPr>
                    <w:t xml:space="preserve">0.475 </w:t>
                  </w:r>
                </w:p>
              </w:tc>
              <w:tc>
                <w:tcPr>
                  <w:tcW w:w="1554" w:type="dxa"/>
                  <w:tcBorders>
                    <w:tl2br w:val="nil"/>
                    <w:tr2bl w:val="nil"/>
                  </w:tcBorders>
                  <w:vAlign w:val="center"/>
                </w:tcPr>
                <w:p w14:paraId="0203EADC">
                  <w:pPr>
                    <w:pStyle w:val="52"/>
                    <w:bidi w:val="0"/>
                  </w:pPr>
                  <w:r>
                    <w:rPr>
                      <w:rFonts w:hint="default"/>
                      <w:lang w:val="en-US" w:eastAsia="zh-CN"/>
                    </w:rPr>
                    <w:t xml:space="preserve">0.380 </w:t>
                  </w:r>
                </w:p>
              </w:tc>
              <w:tc>
                <w:tcPr>
                  <w:tcW w:w="1428" w:type="dxa"/>
                  <w:tcBorders>
                    <w:tl2br w:val="nil"/>
                    <w:tr2bl w:val="nil"/>
                  </w:tcBorders>
                  <w:vAlign w:val="center"/>
                </w:tcPr>
                <w:p w14:paraId="3E824D0A">
                  <w:pPr>
                    <w:pStyle w:val="52"/>
                    <w:bidi w:val="0"/>
                  </w:pPr>
                  <w:r>
                    <w:rPr>
                      <w:rFonts w:hint="default"/>
                      <w:lang w:val="en-US" w:eastAsia="zh-CN"/>
                    </w:rPr>
                    <w:t xml:space="preserve">0.855 </w:t>
                  </w:r>
                </w:p>
              </w:tc>
              <w:tc>
                <w:tcPr>
                  <w:tcW w:w="1428" w:type="dxa"/>
                  <w:tcBorders>
                    <w:tl2br w:val="nil"/>
                    <w:tr2bl w:val="nil"/>
                  </w:tcBorders>
                  <w:vAlign w:val="center"/>
                </w:tcPr>
                <w:p w14:paraId="62BA9B95">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 xml:space="preserve">0.855 </w:t>
                  </w:r>
                </w:p>
              </w:tc>
            </w:tr>
            <w:tr w14:paraId="13B80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024ED8F4">
                  <w:pPr>
                    <w:jc w:val="center"/>
                    <w:rPr>
                      <w:rFonts w:ascii="Times New Roman" w:hAnsi="Times New Roman"/>
                      <w:szCs w:val="21"/>
                    </w:rPr>
                  </w:pPr>
                </w:p>
              </w:tc>
              <w:tc>
                <w:tcPr>
                  <w:tcW w:w="666" w:type="pct"/>
                  <w:tcBorders>
                    <w:tl2br w:val="nil"/>
                    <w:tr2bl w:val="nil"/>
                  </w:tcBorders>
                  <w:vAlign w:val="center"/>
                </w:tcPr>
                <w:p w14:paraId="37D8CF7C">
                  <w:pPr>
                    <w:jc w:val="center"/>
                    <w:rPr>
                      <w:rFonts w:ascii="Times New Roman" w:hAnsi="Times New Roman"/>
                      <w:szCs w:val="21"/>
                    </w:rPr>
                  </w:pPr>
                  <w:r>
                    <w:rPr>
                      <w:rFonts w:ascii="Times New Roman" w:hAnsi="Times New Roman"/>
                      <w:szCs w:val="21"/>
                    </w:rPr>
                    <w:t>5</w:t>
                  </w:r>
                </w:p>
              </w:tc>
              <w:tc>
                <w:tcPr>
                  <w:tcW w:w="1527" w:type="dxa"/>
                  <w:tcBorders>
                    <w:tl2br w:val="nil"/>
                    <w:tr2bl w:val="nil"/>
                  </w:tcBorders>
                  <w:vAlign w:val="center"/>
                </w:tcPr>
                <w:p w14:paraId="1BE8B1E3">
                  <w:pPr>
                    <w:pStyle w:val="52"/>
                    <w:bidi w:val="0"/>
                  </w:pPr>
                  <w:r>
                    <w:rPr>
                      <w:rFonts w:hint="default"/>
                      <w:lang w:val="en-US" w:eastAsia="zh-CN"/>
                    </w:rPr>
                    <w:t xml:space="preserve">2.376 </w:t>
                  </w:r>
                </w:p>
              </w:tc>
              <w:tc>
                <w:tcPr>
                  <w:tcW w:w="1554" w:type="dxa"/>
                  <w:tcBorders>
                    <w:tl2br w:val="nil"/>
                    <w:tr2bl w:val="nil"/>
                  </w:tcBorders>
                  <w:vAlign w:val="center"/>
                </w:tcPr>
                <w:p w14:paraId="32794DEE">
                  <w:pPr>
                    <w:pStyle w:val="52"/>
                    <w:bidi w:val="0"/>
                  </w:pPr>
                  <w:r>
                    <w:rPr>
                      <w:rFonts w:hint="default"/>
                      <w:lang w:val="en-US" w:eastAsia="zh-CN"/>
                    </w:rPr>
                    <w:t xml:space="preserve">1.901 </w:t>
                  </w:r>
                </w:p>
              </w:tc>
              <w:tc>
                <w:tcPr>
                  <w:tcW w:w="1428" w:type="dxa"/>
                  <w:tcBorders>
                    <w:tl2br w:val="nil"/>
                    <w:tr2bl w:val="nil"/>
                  </w:tcBorders>
                  <w:vAlign w:val="center"/>
                </w:tcPr>
                <w:p w14:paraId="0D3F507C">
                  <w:pPr>
                    <w:pStyle w:val="52"/>
                    <w:bidi w:val="0"/>
                  </w:pPr>
                  <w:r>
                    <w:rPr>
                      <w:rFonts w:hint="default"/>
                      <w:lang w:val="en-US" w:eastAsia="zh-CN"/>
                    </w:rPr>
                    <w:t xml:space="preserve">4.277 </w:t>
                  </w:r>
                </w:p>
              </w:tc>
              <w:tc>
                <w:tcPr>
                  <w:tcW w:w="1428" w:type="dxa"/>
                  <w:tcBorders>
                    <w:tl2br w:val="nil"/>
                    <w:tr2bl w:val="nil"/>
                  </w:tcBorders>
                  <w:vAlign w:val="center"/>
                </w:tcPr>
                <w:p w14:paraId="63D35023">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 xml:space="preserve">4.277 </w:t>
                  </w:r>
                </w:p>
              </w:tc>
            </w:tr>
            <w:tr w14:paraId="45D827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25E5CEB9">
                  <w:pPr>
                    <w:jc w:val="center"/>
                    <w:rPr>
                      <w:rFonts w:ascii="Times New Roman" w:hAnsi="Times New Roman"/>
                      <w:szCs w:val="21"/>
                    </w:rPr>
                  </w:pPr>
                </w:p>
              </w:tc>
              <w:tc>
                <w:tcPr>
                  <w:tcW w:w="666" w:type="pct"/>
                  <w:tcBorders>
                    <w:tl2br w:val="nil"/>
                    <w:tr2bl w:val="nil"/>
                  </w:tcBorders>
                  <w:vAlign w:val="center"/>
                </w:tcPr>
                <w:p w14:paraId="0D43AEC0">
                  <w:pPr>
                    <w:jc w:val="center"/>
                    <w:rPr>
                      <w:rFonts w:ascii="Times New Roman" w:hAnsi="Times New Roman"/>
                      <w:szCs w:val="21"/>
                    </w:rPr>
                  </w:pPr>
                  <w:r>
                    <w:rPr>
                      <w:rFonts w:ascii="Times New Roman" w:hAnsi="Times New Roman"/>
                      <w:szCs w:val="21"/>
                    </w:rPr>
                    <w:t>10</w:t>
                  </w:r>
                </w:p>
              </w:tc>
              <w:tc>
                <w:tcPr>
                  <w:tcW w:w="1527" w:type="dxa"/>
                  <w:tcBorders>
                    <w:tl2br w:val="nil"/>
                    <w:tr2bl w:val="nil"/>
                  </w:tcBorders>
                  <w:vAlign w:val="center"/>
                </w:tcPr>
                <w:p w14:paraId="44E8DB33">
                  <w:pPr>
                    <w:pStyle w:val="52"/>
                    <w:bidi w:val="0"/>
                  </w:pPr>
                  <w:r>
                    <w:rPr>
                      <w:rFonts w:hint="default"/>
                      <w:lang w:val="en-US" w:eastAsia="zh-CN"/>
                    </w:rPr>
                    <w:t xml:space="preserve">4.752 </w:t>
                  </w:r>
                </w:p>
              </w:tc>
              <w:tc>
                <w:tcPr>
                  <w:tcW w:w="1554" w:type="dxa"/>
                  <w:tcBorders>
                    <w:tl2br w:val="nil"/>
                    <w:tr2bl w:val="nil"/>
                  </w:tcBorders>
                  <w:vAlign w:val="center"/>
                </w:tcPr>
                <w:p w14:paraId="1C7F594C">
                  <w:pPr>
                    <w:pStyle w:val="52"/>
                    <w:bidi w:val="0"/>
                  </w:pPr>
                  <w:r>
                    <w:rPr>
                      <w:rFonts w:hint="default"/>
                      <w:lang w:val="en-US" w:eastAsia="zh-CN"/>
                    </w:rPr>
                    <w:t xml:space="preserve">3.802 </w:t>
                  </w:r>
                </w:p>
              </w:tc>
              <w:tc>
                <w:tcPr>
                  <w:tcW w:w="1428" w:type="dxa"/>
                  <w:tcBorders>
                    <w:tl2br w:val="nil"/>
                    <w:tr2bl w:val="nil"/>
                  </w:tcBorders>
                  <w:vAlign w:val="center"/>
                </w:tcPr>
                <w:p w14:paraId="055166AF">
                  <w:pPr>
                    <w:pStyle w:val="52"/>
                    <w:bidi w:val="0"/>
                  </w:pPr>
                  <w:r>
                    <w:rPr>
                      <w:rFonts w:hint="default"/>
                      <w:lang w:val="en-US" w:eastAsia="zh-CN"/>
                    </w:rPr>
                    <w:t xml:space="preserve">8.554 </w:t>
                  </w:r>
                </w:p>
              </w:tc>
              <w:tc>
                <w:tcPr>
                  <w:tcW w:w="1428" w:type="dxa"/>
                  <w:tcBorders>
                    <w:tl2br w:val="nil"/>
                    <w:tr2bl w:val="nil"/>
                  </w:tcBorders>
                  <w:vAlign w:val="center"/>
                </w:tcPr>
                <w:p w14:paraId="22BA219C">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 xml:space="preserve">8.554 </w:t>
                  </w:r>
                </w:p>
              </w:tc>
            </w:tr>
            <w:tr w14:paraId="25874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1844253E">
                  <w:pPr>
                    <w:jc w:val="center"/>
                    <w:rPr>
                      <w:rFonts w:ascii="Times New Roman" w:hAnsi="Times New Roman"/>
                      <w:szCs w:val="21"/>
                    </w:rPr>
                  </w:pPr>
                </w:p>
              </w:tc>
              <w:tc>
                <w:tcPr>
                  <w:tcW w:w="666" w:type="pct"/>
                  <w:tcBorders>
                    <w:tl2br w:val="nil"/>
                    <w:tr2bl w:val="nil"/>
                  </w:tcBorders>
                  <w:vAlign w:val="center"/>
                </w:tcPr>
                <w:p w14:paraId="1BCEB8FD">
                  <w:pPr>
                    <w:jc w:val="center"/>
                    <w:rPr>
                      <w:rFonts w:ascii="Times New Roman" w:hAnsi="Times New Roman"/>
                      <w:szCs w:val="21"/>
                    </w:rPr>
                  </w:pPr>
                  <w:r>
                    <w:rPr>
                      <w:rFonts w:hint="eastAsia" w:ascii="Times New Roman" w:hAnsi="Times New Roman"/>
                      <w:szCs w:val="21"/>
                    </w:rPr>
                    <w:t>15</w:t>
                  </w:r>
                </w:p>
              </w:tc>
              <w:tc>
                <w:tcPr>
                  <w:tcW w:w="1527" w:type="dxa"/>
                  <w:tcBorders>
                    <w:tl2br w:val="nil"/>
                    <w:tr2bl w:val="nil"/>
                  </w:tcBorders>
                  <w:vAlign w:val="center"/>
                </w:tcPr>
                <w:p w14:paraId="4F26F8E5">
                  <w:pPr>
                    <w:pStyle w:val="52"/>
                    <w:bidi w:val="0"/>
                  </w:pPr>
                  <w:r>
                    <w:rPr>
                      <w:rFonts w:hint="default"/>
                      <w:lang w:val="en-US" w:eastAsia="zh-CN"/>
                    </w:rPr>
                    <w:t xml:space="preserve">7.128 </w:t>
                  </w:r>
                </w:p>
              </w:tc>
              <w:tc>
                <w:tcPr>
                  <w:tcW w:w="1554" w:type="dxa"/>
                  <w:tcBorders>
                    <w:tl2br w:val="nil"/>
                    <w:tr2bl w:val="nil"/>
                  </w:tcBorders>
                  <w:vAlign w:val="center"/>
                </w:tcPr>
                <w:p w14:paraId="2A8E2451">
                  <w:pPr>
                    <w:pStyle w:val="52"/>
                    <w:bidi w:val="0"/>
                  </w:pPr>
                  <w:r>
                    <w:rPr>
                      <w:rFonts w:hint="default"/>
                      <w:lang w:val="en-US" w:eastAsia="zh-CN"/>
                    </w:rPr>
                    <w:t xml:space="preserve">5.702 </w:t>
                  </w:r>
                </w:p>
              </w:tc>
              <w:tc>
                <w:tcPr>
                  <w:tcW w:w="1428" w:type="dxa"/>
                  <w:tcBorders>
                    <w:tl2br w:val="nil"/>
                    <w:tr2bl w:val="nil"/>
                  </w:tcBorders>
                  <w:vAlign w:val="center"/>
                </w:tcPr>
                <w:p w14:paraId="6D5989F0">
                  <w:pPr>
                    <w:pStyle w:val="52"/>
                    <w:bidi w:val="0"/>
                  </w:pPr>
                  <w:r>
                    <w:rPr>
                      <w:rFonts w:hint="default"/>
                      <w:lang w:val="en-US" w:eastAsia="zh-CN"/>
                    </w:rPr>
                    <w:t xml:space="preserve">12.830 </w:t>
                  </w:r>
                </w:p>
              </w:tc>
              <w:tc>
                <w:tcPr>
                  <w:tcW w:w="1428" w:type="dxa"/>
                  <w:tcBorders>
                    <w:tl2br w:val="nil"/>
                    <w:tr2bl w:val="nil"/>
                  </w:tcBorders>
                  <w:vAlign w:val="center"/>
                </w:tcPr>
                <w:p w14:paraId="2C0C0BC0">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 xml:space="preserve">12.830 </w:t>
                  </w:r>
                </w:p>
              </w:tc>
            </w:tr>
            <w:tr w14:paraId="501BC6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restart"/>
                  <w:tcBorders>
                    <w:tl2br w:val="nil"/>
                    <w:tr2bl w:val="nil"/>
                  </w:tcBorders>
                  <w:vAlign w:val="center"/>
                </w:tcPr>
                <w:p w14:paraId="649CFD6E">
                  <w:pPr>
                    <w:jc w:val="center"/>
                    <w:rPr>
                      <w:rFonts w:ascii="Times New Roman" w:hAnsi="Times New Roman"/>
                      <w:szCs w:val="21"/>
                    </w:rPr>
                  </w:pPr>
                  <w:r>
                    <w:rPr>
                      <w:rFonts w:ascii="Times New Roman" w:hAnsi="Times New Roman"/>
                      <w:szCs w:val="21"/>
                    </w:rPr>
                    <w:t>1</w:t>
                  </w:r>
                </w:p>
              </w:tc>
              <w:tc>
                <w:tcPr>
                  <w:tcW w:w="666" w:type="pct"/>
                  <w:tcBorders>
                    <w:tl2br w:val="nil"/>
                    <w:tr2bl w:val="nil"/>
                  </w:tcBorders>
                  <w:vAlign w:val="center"/>
                </w:tcPr>
                <w:p w14:paraId="474BC293">
                  <w:pPr>
                    <w:jc w:val="center"/>
                    <w:rPr>
                      <w:rFonts w:ascii="Times New Roman" w:hAnsi="Times New Roman"/>
                      <w:szCs w:val="21"/>
                    </w:rPr>
                  </w:pPr>
                  <w:r>
                    <w:rPr>
                      <w:rFonts w:ascii="Times New Roman" w:hAnsi="Times New Roman"/>
                      <w:szCs w:val="21"/>
                    </w:rPr>
                    <w:t>1</w:t>
                  </w:r>
                </w:p>
              </w:tc>
              <w:tc>
                <w:tcPr>
                  <w:tcW w:w="1527" w:type="dxa"/>
                  <w:tcBorders>
                    <w:tl2br w:val="nil"/>
                    <w:tr2bl w:val="nil"/>
                  </w:tcBorders>
                  <w:vAlign w:val="center"/>
                </w:tcPr>
                <w:p w14:paraId="7ED4C4EC">
                  <w:pPr>
                    <w:pStyle w:val="52"/>
                    <w:bidi w:val="0"/>
                  </w:pPr>
                  <w:r>
                    <w:rPr>
                      <w:rFonts w:hint="default"/>
                      <w:lang w:val="en-US" w:eastAsia="zh-CN"/>
                    </w:rPr>
                    <w:t xml:space="preserve">0.119 </w:t>
                  </w:r>
                </w:p>
              </w:tc>
              <w:tc>
                <w:tcPr>
                  <w:tcW w:w="1554" w:type="dxa"/>
                  <w:tcBorders>
                    <w:tl2br w:val="nil"/>
                    <w:tr2bl w:val="nil"/>
                  </w:tcBorders>
                  <w:vAlign w:val="center"/>
                </w:tcPr>
                <w:p w14:paraId="7A6DBFF7">
                  <w:pPr>
                    <w:pStyle w:val="52"/>
                    <w:bidi w:val="0"/>
                  </w:pPr>
                  <w:r>
                    <w:rPr>
                      <w:rFonts w:hint="default"/>
                      <w:lang w:val="en-US" w:eastAsia="zh-CN"/>
                    </w:rPr>
                    <w:t xml:space="preserve">0.095 </w:t>
                  </w:r>
                </w:p>
              </w:tc>
              <w:tc>
                <w:tcPr>
                  <w:tcW w:w="1428" w:type="dxa"/>
                  <w:tcBorders>
                    <w:tl2br w:val="nil"/>
                    <w:tr2bl w:val="nil"/>
                  </w:tcBorders>
                  <w:vAlign w:val="center"/>
                </w:tcPr>
                <w:p w14:paraId="530909AB">
                  <w:pPr>
                    <w:pStyle w:val="52"/>
                    <w:bidi w:val="0"/>
                  </w:pPr>
                  <w:r>
                    <w:rPr>
                      <w:rFonts w:hint="default"/>
                      <w:lang w:val="en-US" w:eastAsia="zh-CN"/>
                    </w:rPr>
                    <w:t xml:space="preserve">0.214 </w:t>
                  </w:r>
                </w:p>
              </w:tc>
              <w:tc>
                <w:tcPr>
                  <w:tcW w:w="1428" w:type="dxa"/>
                  <w:tcBorders>
                    <w:tl2br w:val="nil"/>
                    <w:tr2bl w:val="nil"/>
                  </w:tcBorders>
                  <w:vAlign w:val="center"/>
                </w:tcPr>
                <w:p w14:paraId="70D735AA">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 xml:space="preserve">0.214 </w:t>
                  </w:r>
                </w:p>
              </w:tc>
            </w:tr>
            <w:tr w14:paraId="45DBFE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725E6BD7">
                  <w:pPr>
                    <w:jc w:val="center"/>
                    <w:rPr>
                      <w:rFonts w:ascii="Times New Roman" w:hAnsi="Times New Roman"/>
                      <w:szCs w:val="21"/>
                    </w:rPr>
                  </w:pPr>
                </w:p>
              </w:tc>
              <w:tc>
                <w:tcPr>
                  <w:tcW w:w="666" w:type="pct"/>
                  <w:tcBorders>
                    <w:tl2br w:val="nil"/>
                    <w:tr2bl w:val="nil"/>
                  </w:tcBorders>
                  <w:vAlign w:val="center"/>
                </w:tcPr>
                <w:p w14:paraId="4BC5EB67">
                  <w:pPr>
                    <w:jc w:val="center"/>
                    <w:rPr>
                      <w:rFonts w:ascii="Times New Roman" w:hAnsi="Times New Roman"/>
                      <w:szCs w:val="21"/>
                    </w:rPr>
                  </w:pPr>
                  <w:r>
                    <w:rPr>
                      <w:rFonts w:ascii="Times New Roman" w:hAnsi="Times New Roman"/>
                      <w:szCs w:val="21"/>
                    </w:rPr>
                    <w:t>5</w:t>
                  </w:r>
                </w:p>
              </w:tc>
              <w:tc>
                <w:tcPr>
                  <w:tcW w:w="1527" w:type="dxa"/>
                  <w:tcBorders>
                    <w:tl2br w:val="nil"/>
                    <w:tr2bl w:val="nil"/>
                  </w:tcBorders>
                  <w:vAlign w:val="center"/>
                </w:tcPr>
                <w:p w14:paraId="0BA12705">
                  <w:pPr>
                    <w:pStyle w:val="52"/>
                    <w:bidi w:val="0"/>
                  </w:pPr>
                  <w:r>
                    <w:rPr>
                      <w:rFonts w:hint="default"/>
                      <w:lang w:val="en-US" w:eastAsia="zh-CN"/>
                    </w:rPr>
                    <w:t xml:space="preserve">0.594 </w:t>
                  </w:r>
                </w:p>
              </w:tc>
              <w:tc>
                <w:tcPr>
                  <w:tcW w:w="1554" w:type="dxa"/>
                  <w:tcBorders>
                    <w:tl2br w:val="nil"/>
                    <w:tr2bl w:val="nil"/>
                  </w:tcBorders>
                  <w:vAlign w:val="center"/>
                </w:tcPr>
                <w:p w14:paraId="6A678FEC">
                  <w:pPr>
                    <w:pStyle w:val="52"/>
                    <w:bidi w:val="0"/>
                  </w:pPr>
                  <w:r>
                    <w:rPr>
                      <w:rFonts w:hint="default"/>
                      <w:lang w:val="en-US" w:eastAsia="zh-CN"/>
                    </w:rPr>
                    <w:t xml:space="preserve">0.475 </w:t>
                  </w:r>
                </w:p>
              </w:tc>
              <w:tc>
                <w:tcPr>
                  <w:tcW w:w="1428" w:type="dxa"/>
                  <w:tcBorders>
                    <w:tl2br w:val="nil"/>
                    <w:tr2bl w:val="nil"/>
                  </w:tcBorders>
                  <w:vAlign w:val="center"/>
                </w:tcPr>
                <w:p w14:paraId="38E45BCE">
                  <w:pPr>
                    <w:pStyle w:val="52"/>
                    <w:bidi w:val="0"/>
                  </w:pPr>
                  <w:r>
                    <w:rPr>
                      <w:rFonts w:hint="default"/>
                      <w:lang w:val="en-US" w:eastAsia="zh-CN"/>
                    </w:rPr>
                    <w:t xml:space="preserve">1.069 </w:t>
                  </w:r>
                </w:p>
              </w:tc>
              <w:tc>
                <w:tcPr>
                  <w:tcW w:w="1428" w:type="dxa"/>
                  <w:tcBorders>
                    <w:tl2br w:val="nil"/>
                    <w:tr2bl w:val="nil"/>
                  </w:tcBorders>
                  <w:vAlign w:val="center"/>
                </w:tcPr>
                <w:p w14:paraId="499B69FA">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 xml:space="preserve">1.069 </w:t>
                  </w:r>
                </w:p>
              </w:tc>
            </w:tr>
            <w:tr w14:paraId="071B5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0B7AE4F3">
                  <w:pPr>
                    <w:jc w:val="center"/>
                    <w:rPr>
                      <w:rFonts w:ascii="Times New Roman" w:hAnsi="Times New Roman"/>
                      <w:szCs w:val="21"/>
                    </w:rPr>
                  </w:pPr>
                </w:p>
              </w:tc>
              <w:tc>
                <w:tcPr>
                  <w:tcW w:w="666" w:type="pct"/>
                  <w:tcBorders>
                    <w:tl2br w:val="nil"/>
                    <w:tr2bl w:val="nil"/>
                  </w:tcBorders>
                  <w:vAlign w:val="center"/>
                </w:tcPr>
                <w:p w14:paraId="77B21CDC">
                  <w:pPr>
                    <w:jc w:val="center"/>
                    <w:rPr>
                      <w:rFonts w:ascii="Times New Roman" w:hAnsi="Times New Roman"/>
                      <w:szCs w:val="21"/>
                    </w:rPr>
                  </w:pPr>
                  <w:r>
                    <w:rPr>
                      <w:rFonts w:ascii="Times New Roman" w:hAnsi="Times New Roman"/>
                      <w:szCs w:val="21"/>
                    </w:rPr>
                    <w:t>10</w:t>
                  </w:r>
                </w:p>
              </w:tc>
              <w:tc>
                <w:tcPr>
                  <w:tcW w:w="1527" w:type="dxa"/>
                  <w:tcBorders>
                    <w:tl2br w:val="nil"/>
                    <w:tr2bl w:val="nil"/>
                  </w:tcBorders>
                  <w:vAlign w:val="center"/>
                </w:tcPr>
                <w:p w14:paraId="202ED4A2">
                  <w:pPr>
                    <w:pStyle w:val="52"/>
                    <w:bidi w:val="0"/>
                  </w:pPr>
                  <w:r>
                    <w:rPr>
                      <w:rFonts w:hint="default"/>
                      <w:lang w:val="en-US" w:eastAsia="zh-CN"/>
                    </w:rPr>
                    <w:t xml:space="preserve">1.188 </w:t>
                  </w:r>
                </w:p>
              </w:tc>
              <w:tc>
                <w:tcPr>
                  <w:tcW w:w="1554" w:type="dxa"/>
                  <w:tcBorders>
                    <w:tl2br w:val="nil"/>
                    <w:tr2bl w:val="nil"/>
                  </w:tcBorders>
                  <w:vAlign w:val="center"/>
                </w:tcPr>
                <w:p w14:paraId="7A36E1F9">
                  <w:pPr>
                    <w:pStyle w:val="52"/>
                    <w:bidi w:val="0"/>
                  </w:pPr>
                  <w:r>
                    <w:rPr>
                      <w:rFonts w:hint="default"/>
                      <w:lang w:val="en-US" w:eastAsia="zh-CN"/>
                    </w:rPr>
                    <w:t xml:space="preserve">0.950 </w:t>
                  </w:r>
                </w:p>
              </w:tc>
              <w:tc>
                <w:tcPr>
                  <w:tcW w:w="1428" w:type="dxa"/>
                  <w:tcBorders>
                    <w:tl2br w:val="nil"/>
                    <w:tr2bl w:val="nil"/>
                  </w:tcBorders>
                  <w:vAlign w:val="center"/>
                </w:tcPr>
                <w:p w14:paraId="21E6AF1E">
                  <w:pPr>
                    <w:pStyle w:val="52"/>
                    <w:bidi w:val="0"/>
                  </w:pPr>
                  <w:r>
                    <w:rPr>
                      <w:rFonts w:hint="default"/>
                      <w:lang w:val="en-US" w:eastAsia="zh-CN"/>
                    </w:rPr>
                    <w:t xml:space="preserve">2.138 </w:t>
                  </w:r>
                </w:p>
              </w:tc>
              <w:tc>
                <w:tcPr>
                  <w:tcW w:w="1428" w:type="dxa"/>
                  <w:tcBorders>
                    <w:tl2br w:val="nil"/>
                    <w:tr2bl w:val="nil"/>
                  </w:tcBorders>
                  <w:vAlign w:val="center"/>
                </w:tcPr>
                <w:p w14:paraId="3905BC9D">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 xml:space="preserve">2.138 </w:t>
                  </w:r>
                </w:p>
              </w:tc>
            </w:tr>
            <w:tr w14:paraId="1BC19E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393073A2">
                  <w:pPr>
                    <w:jc w:val="center"/>
                    <w:rPr>
                      <w:rFonts w:ascii="Times New Roman" w:hAnsi="Times New Roman"/>
                      <w:szCs w:val="21"/>
                    </w:rPr>
                  </w:pPr>
                </w:p>
              </w:tc>
              <w:tc>
                <w:tcPr>
                  <w:tcW w:w="666" w:type="pct"/>
                  <w:tcBorders>
                    <w:tl2br w:val="nil"/>
                    <w:tr2bl w:val="nil"/>
                  </w:tcBorders>
                  <w:vAlign w:val="center"/>
                </w:tcPr>
                <w:p w14:paraId="719328C1">
                  <w:pPr>
                    <w:jc w:val="center"/>
                    <w:rPr>
                      <w:rFonts w:ascii="Times New Roman" w:hAnsi="Times New Roman"/>
                      <w:szCs w:val="21"/>
                    </w:rPr>
                  </w:pPr>
                  <w:r>
                    <w:rPr>
                      <w:rFonts w:hint="eastAsia" w:ascii="Times New Roman" w:hAnsi="Times New Roman"/>
                      <w:szCs w:val="21"/>
                    </w:rPr>
                    <w:t>15</w:t>
                  </w:r>
                </w:p>
              </w:tc>
              <w:tc>
                <w:tcPr>
                  <w:tcW w:w="1527" w:type="dxa"/>
                  <w:tcBorders>
                    <w:tl2br w:val="nil"/>
                    <w:tr2bl w:val="nil"/>
                  </w:tcBorders>
                  <w:vAlign w:val="center"/>
                </w:tcPr>
                <w:p w14:paraId="4F7EB452">
                  <w:pPr>
                    <w:pStyle w:val="52"/>
                    <w:bidi w:val="0"/>
                  </w:pPr>
                  <w:r>
                    <w:rPr>
                      <w:rFonts w:hint="default"/>
                      <w:lang w:val="en-US" w:eastAsia="zh-CN"/>
                    </w:rPr>
                    <w:t xml:space="preserve">1.782 </w:t>
                  </w:r>
                </w:p>
              </w:tc>
              <w:tc>
                <w:tcPr>
                  <w:tcW w:w="1554" w:type="dxa"/>
                  <w:tcBorders>
                    <w:tl2br w:val="nil"/>
                    <w:tr2bl w:val="nil"/>
                  </w:tcBorders>
                  <w:vAlign w:val="center"/>
                </w:tcPr>
                <w:p w14:paraId="630963B3">
                  <w:pPr>
                    <w:pStyle w:val="52"/>
                    <w:bidi w:val="0"/>
                  </w:pPr>
                  <w:r>
                    <w:rPr>
                      <w:rFonts w:hint="default"/>
                      <w:lang w:val="en-US" w:eastAsia="zh-CN"/>
                    </w:rPr>
                    <w:t xml:space="preserve">1.426 </w:t>
                  </w:r>
                </w:p>
              </w:tc>
              <w:tc>
                <w:tcPr>
                  <w:tcW w:w="1428" w:type="dxa"/>
                  <w:tcBorders>
                    <w:tl2br w:val="nil"/>
                    <w:tr2bl w:val="nil"/>
                  </w:tcBorders>
                  <w:vAlign w:val="center"/>
                </w:tcPr>
                <w:p w14:paraId="5B375741">
                  <w:pPr>
                    <w:pStyle w:val="52"/>
                    <w:bidi w:val="0"/>
                  </w:pPr>
                  <w:r>
                    <w:rPr>
                      <w:rFonts w:hint="default"/>
                      <w:lang w:val="en-US" w:eastAsia="zh-CN"/>
                    </w:rPr>
                    <w:t xml:space="preserve">3.208 </w:t>
                  </w:r>
                </w:p>
              </w:tc>
              <w:tc>
                <w:tcPr>
                  <w:tcW w:w="1428" w:type="dxa"/>
                  <w:tcBorders>
                    <w:tl2br w:val="nil"/>
                    <w:tr2bl w:val="nil"/>
                  </w:tcBorders>
                  <w:vAlign w:val="center"/>
                </w:tcPr>
                <w:p w14:paraId="17BA3AF2">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 xml:space="preserve">3.208 </w:t>
                  </w:r>
                </w:p>
              </w:tc>
            </w:tr>
          </w:tbl>
          <w:p w14:paraId="77904BCA">
            <w:pPr>
              <w:adjustRightInd w:val="0"/>
              <w:spacing w:line="360" w:lineRule="auto"/>
              <w:ind w:firstLine="0" w:firstLineChars="0"/>
              <w:jc w:val="left"/>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注：对于X射线，由于它的辐射权重因数为1，所以1Gy等于1Sv</w:t>
            </w:r>
          </w:p>
          <w:p w14:paraId="721FEE88">
            <w:pPr>
              <w:pStyle w:val="11"/>
              <w:bidi w:val="0"/>
            </w:pPr>
            <w:r>
              <w:t>根据表11-1</w:t>
            </w:r>
            <w:r>
              <w:rPr>
                <w:rFonts w:hint="eastAsia"/>
                <w:lang w:val="en-US" w:eastAsia="zh-CN"/>
              </w:rPr>
              <w:t>2</w:t>
            </w:r>
            <w:r>
              <w:t>可知，随着不同位置和时间的推移，介入手术人员非主射方向上最大可能受照剂量为</w:t>
            </w:r>
            <w:r>
              <w:rPr>
                <w:rFonts w:hint="eastAsia"/>
                <w:lang w:val="en-US" w:eastAsia="zh-CN"/>
              </w:rPr>
              <w:t>12.830</w:t>
            </w:r>
            <w:r>
              <w:t>mSv/次，低于《</w:t>
            </w:r>
            <w:bookmarkStart w:id="34" w:name="OLE_LINK16"/>
            <w:r>
              <w:t>电离辐射防护与辐射源安全基本标准</w:t>
            </w:r>
            <w:bookmarkEnd w:id="34"/>
            <w:r>
              <w:t>》（GB18871-2002）规定的职业人员20mSv/a的剂量限值，因此，介入手术人员位于非主射方向未穿防护服的情况下实施介入手术，</w:t>
            </w:r>
            <w:r>
              <w:rPr>
                <w:rFonts w:hint="eastAsia"/>
                <w:b/>
                <w:bCs/>
                <w:lang w:val="en-US" w:eastAsia="zh-CN"/>
              </w:rPr>
              <w:t>未达到辐射事故等级</w:t>
            </w:r>
            <w:r>
              <w:t>。</w:t>
            </w:r>
          </w:p>
          <w:p w14:paraId="38D3499A">
            <w:pPr>
              <w:pStyle w:val="11"/>
              <w:bidi w:val="0"/>
            </w:pPr>
            <w:r>
              <w:t>②公众误入射线装置机房，未采取任何防护的情况下，受到非主射方向的照射的事故后果计算结果如下表所示：</w:t>
            </w:r>
          </w:p>
          <w:p w14:paraId="17BEC178">
            <w:pPr>
              <w:numPr>
                <w:ilvl w:val="0"/>
                <w:numId w:val="15"/>
              </w:numPr>
              <w:spacing w:line="360" w:lineRule="auto"/>
              <w:ind w:left="440" w:leftChars="0" w:hanging="440" w:firstLineChars="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事故状态下非主射方向不同停留时间和距离公众受照剂量表</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563"/>
              <w:gridCol w:w="1154"/>
              <w:gridCol w:w="1528"/>
              <w:gridCol w:w="1554"/>
              <w:gridCol w:w="1427"/>
              <w:gridCol w:w="1427"/>
            </w:tblGrid>
            <w:tr w14:paraId="62E059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tcBorders>
                    <w:tl2br w:val="nil"/>
                    <w:tr2bl w:val="nil"/>
                  </w:tcBorders>
                  <w:vAlign w:val="center"/>
                </w:tcPr>
                <w:p w14:paraId="6D6A65D2">
                  <w:pPr>
                    <w:jc w:val="center"/>
                    <w:rPr>
                      <w:rFonts w:ascii="Times New Roman" w:hAnsi="Times New Roman"/>
                      <w:b/>
                      <w:bCs/>
                    </w:rPr>
                  </w:pPr>
                  <w:r>
                    <w:rPr>
                      <w:rFonts w:ascii="Times New Roman" w:hAnsi="Times New Roman"/>
                      <w:b/>
                      <w:bCs/>
                    </w:rPr>
                    <w:t>误入公众与射线装置的距离（m）</w:t>
                  </w:r>
                </w:p>
              </w:tc>
              <w:tc>
                <w:tcPr>
                  <w:tcW w:w="666" w:type="pct"/>
                  <w:tcBorders>
                    <w:tl2br w:val="nil"/>
                    <w:tr2bl w:val="nil"/>
                  </w:tcBorders>
                  <w:vAlign w:val="center"/>
                </w:tcPr>
                <w:p w14:paraId="2510A8E7">
                  <w:pPr>
                    <w:jc w:val="center"/>
                    <w:rPr>
                      <w:rFonts w:ascii="Times New Roman" w:hAnsi="Times New Roman"/>
                      <w:b/>
                      <w:bCs/>
                    </w:rPr>
                  </w:pPr>
                  <w:r>
                    <w:rPr>
                      <w:rFonts w:ascii="Times New Roman" w:hAnsi="Times New Roman"/>
                      <w:b/>
                      <w:bCs/>
                    </w:rPr>
                    <w:t>时间（s）</w:t>
                  </w:r>
                </w:p>
              </w:tc>
              <w:tc>
                <w:tcPr>
                  <w:tcW w:w="882" w:type="pct"/>
                  <w:tcBorders>
                    <w:tl2br w:val="nil"/>
                    <w:tr2bl w:val="nil"/>
                  </w:tcBorders>
                  <w:vAlign w:val="center"/>
                </w:tcPr>
                <w:p w14:paraId="09A3B7C0">
                  <w:pPr>
                    <w:jc w:val="center"/>
                    <w:rPr>
                      <w:rFonts w:ascii="Times New Roman" w:hAnsi="Times New Roman"/>
                      <w:b/>
                      <w:bCs/>
                    </w:rPr>
                  </w:pPr>
                  <w:r>
                    <w:rPr>
                      <w:rFonts w:ascii="Times New Roman" w:hAnsi="Times New Roman"/>
                      <w:b/>
                      <w:bCs/>
                    </w:rPr>
                    <w:t>散射所致剂量（mGy）</w:t>
                  </w:r>
                </w:p>
              </w:tc>
              <w:tc>
                <w:tcPr>
                  <w:tcW w:w="897" w:type="pct"/>
                  <w:tcBorders>
                    <w:tl2br w:val="nil"/>
                    <w:tr2bl w:val="nil"/>
                  </w:tcBorders>
                  <w:vAlign w:val="center"/>
                </w:tcPr>
                <w:p w14:paraId="62D31D88">
                  <w:pPr>
                    <w:jc w:val="center"/>
                    <w:rPr>
                      <w:rFonts w:ascii="Times New Roman" w:hAnsi="Times New Roman"/>
                      <w:b/>
                      <w:bCs/>
                    </w:rPr>
                  </w:pPr>
                  <w:r>
                    <w:rPr>
                      <w:rFonts w:ascii="Times New Roman" w:hAnsi="Times New Roman"/>
                      <w:b/>
                      <w:bCs/>
                    </w:rPr>
                    <w:t>漏射所致剂量（mGy）</w:t>
                  </w:r>
                </w:p>
              </w:tc>
              <w:tc>
                <w:tcPr>
                  <w:tcW w:w="824" w:type="pct"/>
                  <w:tcBorders>
                    <w:tl2br w:val="nil"/>
                    <w:tr2bl w:val="nil"/>
                  </w:tcBorders>
                  <w:vAlign w:val="center"/>
                </w:tcPr>
                <w:p w14:paraId="7F071E5A">
                  <w:pPr>
                    <w:jc w:val="center"/>
                    <w:rPr>
                      <w:rFonts w:ascii="Times New Roman" w:hAnsi="Times New Roman"/>
                      <w:b/>
                      <w:bCs/>
                    </w:rPr>
                  </w:pPr>
                  <w:r>
                    <w:rPr>
                      <w:rFonts w:ascii="Times New Roman" w:hAnsi="Times New Roman"/>
                      <w:b/>
                      <w:bCs/>
                    </w:rPr>
                    <w:t>总剂量</w:t>
                  </w:r>
                </w:p>
                <w:p w14:paraId="62CBE68D">
                  <w:pPr>
                    <w:jc w:val="center"/>
                    <w:rPr>
                      <w:rFonts w:ascii="Times New Roman" w:hAnsi="Times New Roman"/>
                      <w:b/>
                      <w:bCs/>
                    </w:rPr>
                  </w:pPr>
                  <w:r>
                    <w:rPr>
                      <w:rFonts w:ascii="Times New Roman" w:hAnsi="Times New Roman"/>
                      <w:b/>
                      <w:bCs/>
                    </w:rPr>
                    <w:t>（mGy）</w:t>
                  </w:r>
                </w:p>
              </w:tc>
              <w:tc>
                <w:tcPr>
                  <w:tcW w:w="824" w:type="pct"/>
                  <w:tcBorders>
                    <w:tl2br w:val="nil"/>
                    <w:tr2bl w:val="nil"/>
                  </w:tcBorders>
                  <w:vAlign w:val="center"/>
                </w:tcPr>
                <w:p w14:paraId="0251C959">
                  <w:pPr>
                    <w:jc w:val="center"/>
                    <w:rPr>
                      <w:rFonts w:ascii="Times New Roman" w:hAnsi="Times New Roman"/>
                      <w:b/>
                      <w:bCs/>
                    </w:rPr>
                  </w:pPr>
                  <w:r>
                    <w:rPr>
                      <w:rFonts w:ascii="Times New Roman" w:hAnsi="Times New Roman"/>
                      <w:b/>
                      <w:bCs/>
                    </w:rPr>
                    <w:t>总剂量</w:t>
                  </w:r>
                </w:p>
                <w:p w14:paraId="46951154">
                  <w:pPr>
                    <w:jc w:val="center"/>
                    <w:rPr>
                      <w:rFonts w:ascii="Times New Roman" w:hAnsi="Times New Roman"/>
                      <w:b/>
                      <w:bCs/>
                    </w:rPr>
                  </w:pPr>
                  <w:r>
                    <w:rPr>
                      <w:rFonts w:ascii="Times New Roman" w:hAnsi="Times New Roman"/>
                      <w:b/>
                      <w:bCs/>
                    </w:rPr>
                    <w:t>（mSv）</w:t>
                  </w:r>
                </w:p>
              </w:tc>
            </w:tr>
            <w:tr w14:paraId="4F660D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restart"/>
                  <w:tcBorders>
                    <w:tl2br w:val="nil"/>
                    <w:tr2bl w:val="nil"/>
                  </w:tcBorders>
                  <w:vAlign w:val="center"/>
                </w:tcPr>
                <w:p w14:paraId="1A314C96">
                  <w:pPr>
                    <w:jc w:val="center"/>
                    <w:rPr>
                      <w:rFonts w:ascii="Times New Roman" w:hAnsi="Times New Roman"/>
                    </w:rPr>
                  </w:pPr>
                  <w:r>
                    <w:rPr>
                      <w:rFonts w:ascii="Times New Roman" w:hAnsi="Times New Roman"/>
                    </w:rPr>
                    <w:t>1.5</w:t>
                  </w:r>
                </w:p>
              </w:tc>
              <w:tc>
                <w:tcPr>
                  <w:tcW w:w="666" w:type="pct"/>
                  <w:tcBorders>
                    <w:tl2br w:val="nil"/>
                    <w:tr2bl w:val="nil"/>
                  </w:tcBorders>
                  <w:vAlign w:val="center"/>
                </w:tcPr>
                <w:p w14:paraId="63AB291C">
                  <w:pPr>
                    <w:jc w:val="center"/>
                    <w:rPr>
                      <w:rFonts w:ascii="Times New Roman" w:hAnsi="Times New Roman"/>
                    </w:rPr>
                  </w:pPr>
                  <w:r>
                    <w:rPr>
                      <w:rFonts w:ascii="Times New Roman" w:hAnsi="Times New Roman"/>
                    </w:rPr>
                    <w:t>10</w:t>
                  </w:r>
                </w:p>
              </w:tc>
              <w:tc>
                <w:tcPr>
                  <w:tcW w:w="1528" w:type="dxa"/>
                  <w:tcBorders>
                    <w:tl2br w:val="nil"/>
                    <w:tr2bl w:val="nil"/>
                  </w:tcBorders>
                  <w:vAlign w:val="center"/>
                </w:tcPr>
                <w:p w14:paraId="562A53C4">
                  <w:pPr>
                    <w:pStyle w:val="52"/>
                    <w:bidi w:val="0"/>
                  </w:pPr>
                  <w:r>
                    <w:rPr>
                      <w:rFonts w:hint="default"/>
                      <w:lang w:val="en-US" w:eastAsia="zh-CN"/>
                    </w:rPr>
                    <w:t>8.80E-03</w:t>
                  </w:r>
                </w:p>
              </w:tc>
              <w:tc>
                <w:tcPr>
                  <w:tcW w:w="1554" w:type="dxa"/>
                  <w:tcBorders>
                    <w:tl2br w:val="nil"/>
                    <w:tr2bl w:val="nil"/>
                  </w:tcBorders>
                  <w:vAlign w:val="center"/>
                </w:tcPr>
                <w:p w14:paraId="52E141E6">
                  <w:pPr>
                    <w:pStyle w:val="52"/>
                    <w:bidi w:val="0"/>
                  </w:pPr>
                  <w:r>
                    <w:rPr>
                      <w:rFonts w:hint="default"/>
                      <w:lang w:val="en-US" w:eastAsia="zh-CN"/>
                    </w:rPr>
                    <w:t>7.04E-03</w:t>
                  </w:r>
                </w:p>
              </w:tc>
              <w:tc>
                <w:tcPr>
                  <w:tcW w:w="1427" w:type="dxa"/>
                  <w:tcBorders>
                    <w:tl2br w:val="nil"/>
                    <w:tr2bl w:val="nil"/>
                  </w:tcBorders>
                  <w:vAlign w:val="center"/>
                </w:tcPr>
                <w:p w14:paraId="1CB48364">
                  <w:pPr>
                    <w:pStyle w:val="52"/>
                    <w:bidi w:val="0"/>
                  </w:pPr>
                  <w:r>
                    <w:rPr>
                      <w:rFonts w:hint="default"/>
                      <w:lang w:val="en-US" w:eastAsia="zh-CN"/>
                    </w:rPr>
                    <w:t>1.58E-02</w:t>
                  </w:r>
                </w:p>
              </w:tc>
              <w:tc>
                <w:tcPr>
                  <w:tcW w:w="1427" w:type="dxa"/>
                  <w:tcBorders>
                    <w:tl2br w:val="nil"/>
                    <w:tr2bl w:val="nil"/>
                  </w:tcBorders>
                  <w:vAlign w:val="center"/>
                </w:tcPr>
                <w:p w14:paraId="578ED45C">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1.58E-02</w:t>
                  </w:r>
                </w:p>
              </w:tc>
            </w:tr>
            <w:tr w14:paraId="686BDC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61698CC3">
                  <w:pPr>
                    <w:jc w:val="center"/>
                    <w:rPr>
                      <w:rFonts w:ascii="Times New Roman" w:hAnsi="Times New Roman"/>
                    </w:rPr>
                  </w:pPr>
                </w:p>
              </w:tc>
              <w:tc>
                <w:tcPr>
                  <w:tcW w:w="666" w:type="pct"/>
                  <w:tcBorders>
                    <w:tl2br w:val="nil"/>
                    <w:tr2bl w:val="nil"/>
                  </w:tcBorders>
                  <w:vAlign w:val="center"/>
                </w:tcPr>
                <w:p w14:paraId="459631E7">
                  <w:pPr>
                    <w:jc w:val="center"/>
                    <w:rPr>
                      <w:rFonts w:ascii="Times New Roman" w:hAnsi="Times New Roman"/>
                    </w:rPr>
                  </w:pPr>
                  <w:r>
                    <w:rPr>
                      <w:rFonts w:ascii="Times New Roman" w:hAnsi="Times New Roman"/>
                    </w:rPr>
                    <w:t>30</w:t>
                  </w:r>
                </w:p>
              </w:tc>
              <w:tc>
                <w:tcPr>
                  <w:tcW w:w="1528" w:type="dxa"/>
                  <w:tcBorders>
                    <w:tl2br w:val="nil"/>
                    <w:tr2bl w:val="nil"/>
                  </w:tcBorders>
                  <w:vAlign w:val="center"/>
                </w:tcPr>
                <w:p w14:paraId="35F55B3E">
                  <w:pPr>
                    <w:pStyle w:val="52"/>
                    <w:bidi w:val="0"/>
                  </w:pPr>
                  <w:r>
                    <w:rPr>
                      <w:rFonts w:hint="default"/>
                      <w:lang w:val="en-US" w:eastAsia="zh-CN"/>
                    </w:rPr>
                    <w:t>2.64E-02</w:t>
                  </w:r>
                </w:p>
              </w:tc>
              <w:tc>
                <w:tcPr>
                  <w:tcW w:w="1554" w:type="dxa"/>
                  <w:tcBorders>
                    <w:tl2br w:val="nil"/>
                    <w:tr2bl w:val="nil"/>
                  </w:tcBorders>
                  <w:vAlign w:val="center"/>
                </w:tcPr>
                <w:p w14:paraId="4951654F">
                  <w:pPr>
                    <w:pStyle w:val="52"/>
                    <w:bidi w:val="0"/>
                  </w:pPr>
                  <w:r>
                    <w:rPr>
                      <w:rFonts w:hint="default"/>
                      <w:lang w:val="en-US" w:eastAsia="zh-CN"/>
                    </w:rPr>
                    <w:t>2.11E-02</w:t>
                  </w:r>
                </w:p>
              </w:tc>
              <w:tc>
                <w:tcPr>
                  <w:tcW w:w="1427" w:type="dxa"/>
                  <w:tcBorders>
                    <w:tl2br w:val="nil"/>
                    <w:tr2bl w:val="nil"/>
                  </w:tcBorders>
                  <w:vAlign w:val="center"/>
                </w:tcPr>
                <w:p w14:paraId="4274257D">
                  <w:pPr>
                    <w:pStyle w:val="52"/>
                    <w:bidi w:val="0"/>
                  </w:pPr>
                  <w:r>
                    <w:rPr>
                      <w:rFonts w:hint="default"/>
                      <w:lang w:val="en-US" w:eastAsia="zh-CN"/>
                    </w:rPr>
                    <w:t>4.75E-02</w:t>
                  </w:r>
                </w:p>
              </w:tc>
              <w:tc>
                <w:tcPr>
                  <w:tcW w:w="1427" w:type="dxa"/>
                  <w:tcBorders>
                    <w:tl2br w:val="nil"/>
                    <w:tr2bl w:val="nil"/>
                  </w:tcBorders>
                  <w:vAlign w:val="center"/>
                </w:tcPr>
                <w:p w14:paraId="03BA6618">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4.75E-02</w:t>
                  </w:r>
                </w:p>
              </w:tc>
            </w:tr>
            <w:tr w14:paraId="06EAC0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4EB118A9">
                  <w:pPr>
                    <w:jc w:val="center"/>
                    <w:rPr>
                      <w:rFonts w:ascii="Times New Roman" w:hAnsi="Times New Roman"/>
                    </w:rPr>
                  </w:pPr>
                </w:p>
              </w:tc>
              <w:tc>
                <w:tcPr>
                  <w:tcW w:w="666" w:type="pct"/>
                  <w:tcBorders>
                    <w:tl2br w:val="nil"/>
                    <w:tr2bl w:val="nil"/>
                  </w:tcBorders>
                  <w:vAlign w:val="center"/>
                </w:tcPr>
                <w:p w14:paraId="4B13BCD1">
                  <w:pPr>
                    <w:jc w:val="center"/>
                    <w:rPr>
                      <w:rFonts w:ascii="Times New Roman" w:hAnsi="Times New Roman"/>
                    </w:rPr>
                  </w:pPr>
                  <w:r>
                    <w:rPr>
                      <w:rFonts w:ascii="Times New Roman" w:hAnsi="Times New Roman"/>
                    </w:rPr>
                    <w:t>60</w:t>
                  </w:r>
                </w:p>
              </w:tc>
              <w:tc>
                <w:tcPr>
                  <w:tcW w:w="1528" w:type="dxa"/>
                  <w:tcBorders>
                    <w:tl2br w:val="nil"/>
                    <w:tr2bl w:val="nil"/>
                  </w:tcBorders>
                  <w:vAlign w:val="center"/>
                </w:tcPr>
                <w:p w14:paraId="7695C39F">
                  <w:pPr>
                    <w:pStyle w:val="52"/>
                    <w:bidi w:val="0"/>
                  </w:pPr>
                  <w:r>
                    <w:rPr>
                      <w:rFonts w:hint="default"/>
                      <w:lang w:val="en-US" w:eastAsia="zh-CN"/>
                    </w:rPr>
                    <w:t>5.28E-02</w:t>
                  </w:r>
                </w:p>
              </w:tc>
              <w:tc>
                <w:tcPr>
                  <w:tcW w:w="1554" w:type="dxa"/>
                  <w:tcBorders>
                    <w:tl2br w:val="nil"/>
                    <w:tr2bl w:val="nil"/>
                  </w:tcBorders>
                  <w:vAlign w:val="center"/>
                </w:tcPr>
                <w:p w14:paraId="5228FB45">
                  <w:pPr>
                    <w:pStyle w:val="52"/>
                    <w:bidi w:val="0"/>
                  </w:pPr>
                  <w:r>
                    <w:rPr>
                      <w:rFonts w:hint="default"/>
                      <w:lang w:val="en-US" w:eastAsia="zh-CN"/>
                    </w:rPr>
                    <w:t>4.22E-02</w:t>
                  </w:r>
                </w:p>
              </w:tc>
              <w:tc>
                <w:tcPr>
                  <w:tcW w:w="1427" w:type="dxa"/>
                  <w:tcBorders>
                    <w:tl2br w:val="nil"/>
                    <w:tr2bl w:val="nil"/>
                  </w:tcBorders>
                  <w:vAlign w:val="center"/>
                </w:tcPr>
                <w:p w14:paraId="599C69C0">
                  <w:pPr>
                    <w:pStyle w:val="52"/>
                    <w:bidi w:val="0"/>
                  </w:pPr>
                  <w:r>
                    <w:rPr>
                      <w:rFonts w:hint="default"/>
                      <w:lang w:val="en-US" w:eastAsia="zh-CN"/>
                    </w:rPr>
                    <w:t>9.50E-02</w:t>
                  </w:r>
                </w:p>
              </w:tc>
              <w:tc>
                <w:tcPr>
                  <w:tcW w:w="1427" w:type="dxa"/>
                  <w:tcBorders>
                    <w:tl2br w:val="nil"/>
                    <w:tr2bl w:val="nil"/>
                  </w:tcBorders>
                  <w:vAlign w:val="center"/>
                </w:tcPr>
                <w:p w14:paraId="08033BA0">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9.50E-02</w:t>
                  </w:r>
                </w:p>
              </w:tc>
            </w:tr>
            <w:tr w14:paraId="588C31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restart"/>
                  <w:tcBorders>
                    <w:tl2br w:val="nil"/>
                    <w:tr2bl w:val="nil"/>
                  </w:tcBorders>
                  <w:vAlign w:val="center"/>
                </w:tcPr>
                <w:p w14:paraId="0CFC51F8">
                  <w:pPr>
                    <w:jc w:val="center"/>
                    <w:rPr>
                      <w:rFonts w:ascii="Times New Roman" w:hAnsi="Times New Roman"/>
                    </w:rPr>
                  </w:pPr>
                  <w:r>
                    <w:rPr>
                      <w:rFonts w:ascii="Times New Roman" w:hAnsi="Times New Roman"/>
                    </w:rPr>
                    <w:t>2</w:t>
                  </w:r>
                </w:p>
              </w:tc>
              <w:tc>
                <w:tcPr>
                  <w:tcW w:w="666" w:type="pct"/>
                  <w:tcBorders>
                    <w:tl2br w:val="nil"/>
                    <w:tr2bl w:val="nil"/>
                  </w:tcBorders>
                  <w:vAlign w:val="center"/>
                </w:tcPr>
                <w:p w14:paraId="74753CF7">
                  <w:pPr>
                    <w:jc w:val="center"/>
                    <w:rPr>
                      <w:rFonts w:ascii="Times New Roman" w:hAnsi="Times New Roman"/>
                    </w:rPr>
                  </w:pPr>
                  <w:r>
                    <w:rPr>
                      <w:rFonts w:ascii="Times New Roman" w:hAnsi="Times New Roman"/>
                    </w:rPr>
                    <w:t>10</w:t>
                  </w:r>
                </w:p>
              </w:tc>
              <w:tc>
                <w:tcPr>
                  <w:tcW w:w="1528" w:type="dxa"/>
                  <w:tcBorders>
                    <w:tl2br w:val="nil"/>
                    <w:tr2bl w:val="nil"/>
                  </w:tcBorders>
                  <w:vAlign w:val="center"/>
                </w:tcPr>
                <w:p w14:paraId="1142C17B">
                  <w:pPr>
                    <w:pStyle w:val="52"/>
                    <w:bidi w:val="0"/>
                  </w:pPr>
                  <w:r>
                    <w:rPr>
                      <w:rFonts w:hint="default"/>
                      <w:lang w:val="en-US" w:eastAsia="zh-CN"/>
                    </w:rPr>
                    <w:t>4.95E-03</w:t>
                  </w:r>
                </w:p>
              </w:tc>
              <w:tc>
                <w:tcPr>
                  <w:tcW w:w="1554" w:type="dxa"/>
                  <w:tcBorders>
                    <w:tl2br w:val="nil"/>
                    <w:tr2bl w:val="nil"/>
                  </w:tcBorders>
                  <w:vAlign w:val="center"/>
                </w:tcPr>
                <w:p w14:paraId="6C1D7CC6">
                  <w:pPr>
                    <w:pStyle w:val="52"/>
                    <w:bidi w:val="0"/>
                  </w:pPr>
                  <w:r>
                    <w:rPr>
                      <w:rFonts w:hint="default"/>
                      <w:lang w:val="en-US" w:eastAsia="zh-CN"/>
                    </w:rPr>
                    <w:t>3.96E-03</w:t>
                  </w:r>
                </w:p>
              </w:tc>
              <w:tc>
                <w:tcPr>
                  <w:tcW w:w="1427" w:type="dxa"/>
                  <w:tcBorders>
                    <w:tl2br w:val="nil"/>
                    <w:tr2bl w:val="nil"/>
                  </w:tcBorders>
                  <w:vAlign w:val="center"/>
                </w:tcPr>
                <w:p w14:paraId="6BDFB2B1">
                  <w:pPr>
                    <w:pStyle w:val="52"/>
                    <w:bidi w:val="0"/>
                  </w:pPr>
                  <w:r>
                    <w:rPr>
                      <w:rFonts w:hint="default"/>
                      <w:lang w:val="en-US" w:eastAsia="zh-CN"/>
                    </w:rPr>
                    <w:t>8.91E-03</w:t>
                  </w:r>
                </w:p>
              </w:tc>
              <w:tc>
                <w:tcPr>
                  <w:tcW w:w="1427" w:type="dxa"/>
                  <w:tcBorders>
                    <w:tl2br w:val="nil"/>
                    <w:tr2bl w:val="nil"/>
                  </w:tcBorders>
                  <w:vAlign w:val="center"/>
                </w:tcPr>
                <w:p w14:paraId="1349DFF1">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8.91E-03</w:t>
                  </w:r>
                </w:p>
              </w:tc>
            </w:tr>
            <w:tr w14:paraId="75D623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39622414">
                  <w:pPr>
                    <w:jc w:val="center"/>
                    <w:rPr>
                      <w:rFonts w:ascii="Times New Roman" w:hAnsi="Times New Roman"/>
                    </w:rPr>
                  </w:pPr>
                </w:p>
              </w:tc>
              <w:tc>
                <w:tcPr>
                  <w:tcW w:w="666" w:type="pct"/>
                  <w:tcBorders>
                    <w:tl2br w:val="nil"/>
                    <w:tr2bl w:val="nil"/>
                  </w:tcBorders>
                  <w:vAlign w:val="center"/>
                </w:tcPr>
                <w:p w14:paraId="2FFFD6F8">
                  <w:pPr>
                    <w:jc w:val="center"/>
                    <w:rPr>
                      <w:rFonts w:ascii="Times New Roman" w:hAnsi="Times New Roman"/>
                    </w:rPr>
                  </w:pPr>
                  <w:r>
                    <w:rPr>
                      <w:rFonts w:ascii="Times New Roman" w:hAnsi="Times New Roman"/>
                    </w:rPr>
                    <w:t>30</w:t>
                  </w:r>
                </w:p>
              </w:tc>
              <w:tc>
                <w:tcPr>
                  <w:tcW w:w="1528" w:type="dxa"/>
                  <w:tcBorders>
                    <w:tl2br w:val="nil"/>
                    <w:tr2bl w:val="nil"/>
                  </w:tcBorders>
                  <w:vAlign w:val="center"/>
                </w:tcPr>
                <w:p w14:paraId="391AF5AB">
                  <w:pPr>
                    <w:pStyle w:val="52"/>
                    <w:bidi w:val="0"/>
                  </w:pPr>
                  <w:r>
                    <w:rPr>
                      <w:rFonts w:hint="default"/>
                      <w:lang w:val="en-US" w:eastAsia="zh-CN"/>
                    </w:rPr>
                    <w:t>1.49E-02</w:t>
                  </w:r>
                </w:p>
              </w:tc>
              <w:tc>
                <w:tcPr>
                  <w:tcW w:w="1554" w:type="dxa"/>
                  <w:tcBorders>
                    <w:tl2br w:val="nil"/>
                    <w:tr2bl w:val="nil"/>
                  </w:tcBorders>
                  <w:vAlign w:val="center"/>
                </w:tcPr>
                <w:p w14:paraId="029C6F59">
                  <w:pPr>
                    <w:pStyle w:val="52"/>
                    <w:bidi w:val="0"/>
                  </w:pPr>
                  <w:r>
                    <w:rPr>
                      <w:rFonts w:hint="default"/>
                      <w:lang w:val="en-US" w:eastAsia="zh-CN"/>
                    </w:rPr>
                    <w:t>1.19E-02</w:t>
                  </w:r>
                </w:p>
              </w:tc>
              <w:tc>
                <w:tcPr>
                  <w:tcW w:w="1427" w:type="dxa"/>
                  <w:tcBorders>
                    <w:tl2br w:val="nil"/>
                    <w:tr2bl w:val="nil"/>
                  </w:tcBorders>
                  <w:vAlign w:val="center"/>
                </w:tcPr>
                <w:p w14:paraId="4C360026">
                  <w:pPr>
                    <w:pStyle w:val="52"/>
                    <w:bidi w:val="0"/>
                  </w:pPr>
                  <w:r>
                    <w:rPr>
                      <w:rFonts w:hint="default"/>
                      <w:lang w:val="en-US" w:eastAsia="zh-CN"/>
                    </w:rPr>
                    <w:t>2.67E-02</w:t>
                  </w:r>
                </w:p>
              </w:tc>
              <w:tc>
                <w:tcPr>
                  <w:tcW w:w="1427" w:type="dxa"/>
                  <w:tcBorders>
                    <w:tl2br w:val="nil"/>
                    <w:tr2bl w:val="nil"/>
                  </w:tcBorders>
                  <w:vAlign w:val="center"/>
                </w:tcPr>
                <w:p w14:paraId="2F3D2B39">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2.67E-02</w:t>
                  </w:r>
                </w:p>
              </w:tc>
            </w:tr>
            <w:tr w14:paraId="7EDDF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03" w:type="pct"/>
                  <w:vMerge w:val="continue"/>
                  <w:tcBorders>
                    <w:tl2br w:val="nil"/>
                    <w:tr2bl w:val="nil"/>
                  </w:tcBorders>
                  <w:vAlign w:val="center"/>
                </w:tcPr>
                <w:p w14:paraId="4DDC261F">
                  <w:pPr>
                    <w:jc w:val="center"/>
                    <w:rPr>
                      <w:rFonts w:ascii="Times New Roman" w:hAnsi="Times New Roman"/>
                    </w:rPr>
                  </w:pPr>
                </w:p>
              </w:tc>
              <w:tc>
                <w:tcPr>
                  <w:tcW w:w="666" w:type="pct"/>
                  <w:tcBorders>
                    <w:tl2br w:val="nil"/>
                    <w:tr2bl w:val="nil"/>
                  </w:tcBorders>
                  <w:vAlign w:val="center"/>
                </w:tcPr>
                <w:p w14:paraId="051843D1">
                  <w:pPr>
                    <w:jc w:val="center"/>
                    <w:rPr>
                      <w:rFonts w:ascii="Times New Roman" w:hAnsi="Times New Roman"/>
                    </w:rPr>
                  </w:pPr>
                  <w:r>
                    <w:rPr>
                      <w:rFonts w:ascii="Times New Roman" w:hAnsi="Times New Roman"/>
                    </w:rPr>
                    <w:t>60</w:t>
                  </w:r>
                </w:p>
              </w:tc>
              <w:tc>
                <w:tcPr>
                  <w:tcW w:w="1528" w:type="dxa"/>
                  <w:tcBorders>
                    <w:tl2br w:val="nil"/>
                    <w:tr2bl w:val="nil"/>
                  </w:tcBorders>
                  <w:vAlign w:val="center"/>
                </w:tcPr>
                <w:p w14:paraId="0A02EB69">
                  <w:pPr>
                    <w:pStyle w:val="52"/>
                    <w:bidi w:val="0"/>
                  </w:pPr>
                  <w:r>
                    <w:rPr>
                      <w:rFonts w:hint="default"/>
                      <w:lang w:val="en-US" w:eastAsia="zh-CN"/>
                    </w:rPr>
                    <w:t>2.97E-02</w:t>
                  </w:r>
                </w:p>
              </w:tc>
              <w:tc>
                <w:tcPr>
                  <w:tcW w:w="1554" w:type="dxa"/>
                  <w:tcBorders>
                    <w:tl2br w:val="nil"/>
                    <w:tr2bl w:val="nil"/>
                  </w:tcBorders>
                  <w:vAlign w:val="center"/>
                </w:tcPr>
                <w:p w14:paraId="1D9DC016">
                  <w:pPr>
                    <w:pStyle w:val="52"/>
                    <w:bidi w:val="0"/>
                  </w:pPr>
                  <w:r>
                    <w:rPr>
                      <w:rFonts w:hint="default"/>
                      <w:lang w:val="en-US" w:eastAsia="zh-CN"/>
                    </w:rPr>
                    <w:t>2.38E-02</w:t>
                  </w:r>
                </w:p>
              </w:tc>
              <w:tc>
                <w:tcPr>
                  <w:tcW w:w="1427" w:type="dxa"/>
                  <w:tcBorders>
                    <w:tl2br w:val="nil"/>
                    <w:tr2bl w:val="nil"/>
                  </w:tcBorders>
                  <w:vAlign w:val="center"/>
                </w:tcPr>
                <w:p w14:paraId="297A10F6">
                  <w:pPr>
                    <w:pStyle w:val="52"/>
                    <w:bidi w:val="0"/>
                  </w:pPr>
                  <w:r>
                    <w:rPr>
                      <w:rFonts w:hint="default"/>
                      <w:lang w:val="en-US" w:eastAsia="zh-CN"/>
                    </w:rPr>
                    <w:t>5.35E-02</w:t>
                  </w:r>
                </w:p>
              </w:tc>
              <w:tc>
                <w:tcPr>
                  <w:tcW w:w="1427" w:type="dxa"/>
                  <w:tcBorders>
                    <w:tl2br w:val="nil"/>
                    <w:tr2bl w:val="nil"/>
                  </w:tcBorders>
                  <w:vAlign w:val="center"/>
                </w:tcPr>
                <w:p w14:paraId="1BA54321">
                  <w:pPr>
                    <w:pStyle w:val="52"/>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lang w:val="en-US" w:eastAsia="zh-CN"/>
                    </w:rPr>
                    <w:t>5.35E-02</w:t>
                  </w:r>
                </w:p>
              </w:tc>
            </w:tr>
          </w:tbl>
          <w:p w14:paraId="1E4C6979">
            <w:pPr>
              <w:adjustRightInd w:val="0"/>
              <w:spacing w:line="360" w:lineRule="auto"/>
              <w:ind w:firstLine="0" w:firstLineChars="0"/>
              <w:jc w:val="left"/>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注：对于X射线，由于它的辐射权重因数为1，所以1Gy等于1Sv</w:t>
            </w:r>
          </w:p>
          <w:p w14:paraId="43D6F582">
            <w:pPr>
              <w:pStyle w:val="11"/>
              <w:bidi w:val="0"/>
            </w:pPr>
            <w:r>
              <w:t>根据表11-1</w:t>
            </w:r>
            <w:r>
              <w:rPr>
                <w:rFonts w:hint="eastAsia"/>
                <w:lang w:val="en-US" w:eastAsia="zh-CN"/>
              </w:rPr>
              <w:t>3</w:t>
            </w:r>
            <w:r>
              <w:t>可知，随着不同位置和时间的推移，公众人员误入DSA机房，在距离射线装置1.5m受照60s，非主射方向最大可能受照射剂量为</w:t>
            </w:r>
            <w:r>
              <w:rPr>
                <w:rFonts w:hint="default"/>
                <w:lang w:val="en-US" w:eastAsia="zh-CN"/>
              </w:rPr>
              <w:t>9.5</w:t>
            </w:r>
            <w:r>
              <w:rPr>
                <w:rFonts w:hint="eastAsia"/>
                <w:lang w:val="en-US" w:eastAsia="zh-CN"/>
              </w:rPr>
              <w:t>0</w:t>
            </w:r>
            <w:r>
              <w:rPr>
                <w:rFonts w:hint="default"/>
                <w:lang w:val="en-US" w:eastAsia="zh-CN"/>
              </w:rPr>
              <w:t>E-02</w:t>
            </w:r>
            <w:r>
              <w:t>mSv/次，低于《电离辐射防护与辐射源安全基本标准》（GB18871-2002）规定的公众1mSv/a的剂量限值，因此，误入人员单次滞留在DSA机房内造成非主射方向的误射，</w:t>
            </w:r>
            <w:r>
              <w:rPr>
                <w:rFonts w:hint="eastAsia"/>
                <w:lang w:val="en-US" w:eastAsia="zh-CN"/>
              </w:rPr>
              <w:t>未达到辐射事故等级</w:t>
            </w:r>
            <w:r>
              <w:t>。</w:t>
            </w:r>
          </w:p>
          <w:p w14:paraId="49301BD4">
            <w:pPr>
              <w:pStyle w:val="11"/>
              <w:bidi w:val="0"/>
              <w:rPr>
                <w:b/>
                <w:bCs/>
              </w:rPr>
            </w:pPr>
            <w:r>
              <w:rPr>
                <w:b/>
                <w:bCs/>
              </w:rPr>
              <w:t>综上所述，若本项目发生误照射，职业人员及公众受照剂量小不构成辐射事故。本项目射线装置一旦发生辐射事故，应立即切断电源，停止射线装置出束。建设单位在管理中必须认真执行安全操作规程和各项规章制度，强化安全管理，杜绝误照射事故发生。</w:t>
            </w:r>
          </w:p>
          <w:p w14:paraId="47D10C9E">
            <w:pPr>
              <w:spacing w:line="360" w:lineRule="auto"/>
              <w:jc w:val="left"/>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五、事故情况下的环境影响分析与防范应对措施</w:t>
            </w:r>
          </w:p>
          <w:p w14:paraId="7FACFEDE">
            <w:pPr>
              <w:pStyle w:val="11"/>
              <w:bidi w:val="0"/>
            </w:pPr>
            <w:r>
              <w:t>DSA属于Ⅱ类射线装置，事故时可使受照人员产生较严重的辐射照射损伤，但由于DSA的特殊性，事故时使受照人员</w:t>
            </w:r>
            <w:r>
              <w:rPr>
                <w:rFonts w:hint="eastAsia"/>
                <w:lang w:eastAsia="zh-CN"/>
              </w:rPr>
              <w:t>受到</w:t>
            </w:r>
            <w:r>
              <w:t>大剂量照射甚至导致死亡的几率很小。DSA开机时，医生与病人同处一室，且距X射线机的管头组装体约1m左右，距病人很近，介入射线装置主要事故是因曝光时间较长，防护条件欠佳对医生和病人引起的超剂量照射。</w:t>
            </w:r>
          </w:p>
          <w:p w14:paraId="366AAA05">
            <w:pPr>
              <w:pStyle w:val="11"/>
              <w:bidi w:val="0"/>
            </w:pPr>
            <w:r>
              <w:t>（1）为了防止事故的发生，医院在辐射防护设施方面应做好以下工作：</w:t>
            </w:r>
          </w:p>
          <w:p w14:paraId="40DF6220">
            <w:pPr>
              <w:pStyle w:val="11"/>
              <w:bidi w:val="0"/>
            </w:pPr>
            <w:r>
              <w:t>①购置工作性能和防护条件均较好的介入诊疗设备；</w:t>
            </w:r>
          </w:p>
          <w:p w14:paraId="5FE6356B">
            <w:pPr>
              <w:pStyle w:val="11"/>
              <w:bidi w:val="0"/>
            </w:pPr>
            <w:r>
              <w:t>②实施介入诊疗的质量保证；</w:t>
            </w:r>
          </w:p>
          <w:p w14:paraId="4DABA4A3">
            <w:pPr>
              <w:pStyle w:val="11"/>
              <w:bidi w:val="0"/>
            </w:pPr>
            <w:r>
              <w:t>③做好医生的个人防护；</w:t>
            </w:r>
          </w:p>
          <w:p w14:paraId="6E0B068B">
            <w:pPr>
              <w:pStyle w:val="11"/>
              <w:bidi w:val="0"/>
            </w:pPr>
            <w:r>
              <w:t>④做好病人非投照部位的防护工作；</w:t>
            </w:r>
          </w:p>
          <w:p w14:paraId="78C299D4">
            <w:pPr>
              <w:pStyle w:val="11"/>
              <w:bidi w:val="0"/>
            </w:pPr>
            <w:r>
              <w:t>⑤按照《放射性同位素与射线装置安全和防护条例》，当发生辐射事故时，工作人员应立即切断电源，将病人撤出机房，关闭机房门，及时向医院主管领导和当地生态环境主管部门报告。</w:t>
            </w:r>
          </w:p>
          <w:p w14:paraId="246EE241">
            <w:pPr>
              <w:pStyle w:val="11"/>
              <w:bidi w:val="0"/>
            </w:pPr>
            <w:r>
              <w:t>（2）对于上述可能发生的各种事故，医院方面除在硬件上配齐、完善各种防范措施外，在软件设施上也注意了建设、补充和完善，使之在安全工作中发挥约束和规范作用，其主要内容有：</w:t>
            </w:r>
          </w:p>
          <w:p w14:paraId="6B68D5D0">
            <w:pPr>
              <w:pStyle w:val="11"/>
              <w:bidi w:val="0"/>
            </w:pPr>
            <w:r>
              <w:t>①建立健全全院辐射安全管理领导小组，组织管理医院的安全工作。</w:t>
            </w:r>
          </w:p>
          <w:p w14:paraId="2BC0BA36">
            <w:pPr>
              <w:pStyle w:val="11"/>
              <w:bidi w:val="0"/>
            </w:pPr>
            <w:r>
              <w:t>②加强人员的辐射安全专业知识的学习，考试</w:t>
            </w:r>
            <w:r>
              <w:rPr>
                <w:rFonts w:hint="eastAsia"/>
                <w:lang w:eastAsia="zh-CN"/>
              </w:rPr>
              <w:t>（考</w:t>
            </w:r>
            <w:r>
              <w:t>核）合格、持证上岗。</w:t>
            </w:r>
          </w:p>
          <w:p w14:paraId="0502D539">
            <w:pPr>
              <w:pStyle w:val="11"/>
              <w:bidi w:val="0"/>
            </w:pPr>
            <w:r>
              <w:t>③完善岗位的安全操作规程和安全规章制度，注意检查考核，认真贯彻实施。</w:t>
            </w:r>
          </w:p>
          <w:p w14:paraId="51973481">
            <w:pPr>
              <w:pStyle w:val="11"/>
              <w:bidi w:val="0"/>
            </w:pPr>
            <w:r>
              <w:t>④修订完善全院重大事故应急处理预案、完善组织、落实经费、准备物资、加强演练、时刻准备应对可能发生的各种事故和突发事件。</w:t>
            </w:r>
          </w:p>
          <w:p w14:paraId="34543BE5">
            <w:pPr>
              <w:pStyle w:val="11"/>
              <w:bidi w:val="0"/>
            </w:pPr>
            <w:r>
              <w:t>⑤定期对辐射安全和防护措施、设施的安全防护效果进行检测或检查，发现安全隐患立即整改。</w:t>
            </w:r>
          </w:p>
          <w:p w14:paraId="5BB11B47">
            <w:pPr>
              <w:pStyle w:val="11"/>
              <w:bidi w:val="0"/>
              <w:rPr>
                <w:rFonts w:ascii="Times New Roman" w:hAnsi="Times New Roman"/>
              </w:rPr>
            </w:pPr>
            <w:r>
              <w:t>以上各种事故的防范与对策措施，可减少或避免辐射事故的发生率，从而保证项目正常运营，也保障工作人员、公众的健康与安全。</w:t>
            </w:r>
          </w:p>
        </w:tc>
      </w:tr>
    </w:tbl>
    <w:p w14:paraId="2E22D4BE">
      <w:pPr>
        <w:pStyle w:val="4"/>
        <w:numPr>
          <w:ilvl w:val="2"/>
          <w:numId w:val="0"/>
        </w:numPr>
        <w:rPr>
          <w:rFonts w:ascii="Times New Roman" w:hAnsi="Times New Roman"/>
        </w:rPr>
      </w:pPr>
      <w:r>
        <w:rPr>
          <w:rFonts w:ascii="Times New Roman" w:hAnsi="Times New Roman"/>
          <w:sz w:val="28"/>
          <w:szCs w:val="28"/>
        </w:rPr>
        <w:br w:type="page"/>
      </w:r>
      <w:bookmarkStart w:id="35" w:name="_Toc24518"/>
      <w:r>
        <w:rPr>
          <w:rFonts w:ascii="Times New Roman" w:hAnsi="Times New Roman"/>
        </w:rPr>
        <w:t>表12 辐射安全管理</w:t>
      </w:r>
      <w:bookmarkEnd w:id="35"/>
    </w:p>
    <w:tbl>
      <w:tblPr>
        <w:tblStyle w:val="23"/>
        <w:tblW w:w="9133" w:type="dxa"/>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3"/>
      </w:tblGrid>
      <w:tr w14:paraId="09F1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0" w:hRule="atLeast"/>
        </w:trPr>
        <w:tc>
          <w:tcPr>
            <w:tcW w:w="9133" w:type="dxa"/>
          </w:tcPr>
          <w:p w14:paraId="6F95B63E">
            <w:pPr>
              <w:spacing w:line="360" w:lineRule="auto"/>
              <w:rPr>
                <w:rFonts w:ascii="Times New Roman" w:hAnsi="Times New Roman"/>
                <w:b/>
                <w:bCs/>
                <w:sz w:val="28"/>
                <w:szCs w:val="28"/>
              </w:rPr>
            </w:pPr>
            <w:r>
              <w:rPr>
                <w:rFonts w:ascii="Times New Roman" w:hAnsi="Times New Roman"/>
                <w:b/>
                <w:bCs/>
                <w:sz w:val="28"/>
                <w:szCs w:val="28"/>
              </w:rPr>
              <w:t>辐射安全与环境保护管理</w:t>
            </w:r>
          </w:p>
          <w:p w14:paraId="36D0A2D1">
            <w:pPr>
              <w:spacing w:line="360" w:lineRule="auto"/>
              <w:rPr>
                <w:rFonts w:ascii="Times New Roman" w:hAnsi="Times New Roman"/>
                <w:b/>
                <w:bCs/>
                <w:sz w:val="28"/>
                <w:szCs w:val="28"/>
              </w:rPr>
            </w:pPr>
            <w:r>
              <w:rPr>
                <w:rFonts w:ascii="Times New Roman" w:hAnsi="Times New Roman"/>
                <w:b/>
                <w:bCs/>
                <w:sz w:val="28"/>
                <w:szCs w:val="28"/>
              </w:rPr>
              <w:t>一、辐射安全与环境保护管理机构的设置</w:t>
            </w:r>
          </w:p>
          <w:p w14:paraId="22CCB5A9">
            <w:pPr>
              <w:pStyle w:val="11"/>
              <w:bidi w:val="0"/>
            </w:pPr>
            <w:r>
              <w:rPr>
                <w:rFonts w:hint="eastAsia"/>
                <w:lang w:eastAsia="zh-CN"/>
              </w:rPr>
              <w:t>平昌县中医医院</w:t>
            </w:r>
            <w:r>
              <w:t>已经成立辐射安全管理领导小组，根据文件可知，医院辐射（放射）安全与防护管理委员会由负责人担任组长。</w:t>
            </w:r>
          </w:p>
          <w:p w14:paraId="1E4AC233">
            <w:pPr>
              <w:pStyle w:val="30"/>
              <w:spacing w:line="360" w:lineRule="auto"/>
              <w:ind w:firstLine="482" w:firstLineChars="200"/>
              <w:jc w:val="both"/>
              <w:rPr>
                <w:rFonts w:ascii="Times New Roman" w:hAnsi="Times New Roman"/>
                <w:b/>
                <w:bCs/>
                <w:color w:val="auto"/>
              </w:rPr>
            </w:pPr>
            <w:r>
              <w:rPr>
                <w:rFonts w:ascii="Times New Roman" w:hAnsi="Times New Roman"/>
                <w:b/>
                <w:bCs/>
                <w:color w:val="auto"/>
              </w:rPr>
              <w:t>（1）小组组成成员</w:t>
            </w:r>
          </w:p>
          <w:p w14:paraId="31550CFE">
            <w:pPr>
              <w:pStyle w:val="11"/>
              <w:bidi w:val="0"/>
              <w:rPr>
                <w:rFonts w:hint="eastAsia"/>
                <w:lang w:eastAsia="zh-CN"/>
              </w:rPr>
            </w:pPr>
            <w:r>
              <w:rPr>
                <w:rFonts w:hint="eastAsia"/>
                <w:lang w:eastAsia="zh-CN"/>
              </w:rPr>
              <w:t>组长：曾祥熙</w:t>
            </w:r>
          </w:p>
          <w:p w14:paraId="2593B366">
            <w:pPr>
              <w:pStyle w:val="11"/>
              <w:bidi w:val="0"/>
              <w:rPr>
                <w:rFonts w:hint="eastAsia"/>
                <w:lang w:eastAsia="zh-CN"/>
              </w:rPr>
            </w:pPr>
            <w:r>
              <w:rPr>
                <w:rFonts w:hint="eastAsia"/>
                <w:lang w:eastAsia="zh-CN"/>
              </w:rPr>
              <w:t>副组长：张勇、魏碧昌</w:t>
            </w:r>
          </w:p>
          <w:p w14:paraId="1D3B07E5">
            <w:pPr>
              <w:pStyle w:val="11"/>
              <w:bidi w:val="0"/>
              <w:rPr>
                <w:rFonts w:hint="eastAsia"/>
                <w:lang w:eastAsia="zh-CN"/>
              </w:rPr>
            </w:pPr>
            <w:r>
              <w:rPr>
                <w:rFonts w:hint="eastAsia"/>
                <w:lang w:eastAsia="zh-CN"/>
              </w:rPr>
              <w:t>成员：沈君华、周荣、徐鸿斌、何峰、杨波、罗辉、靳元强、任财祥、韩毅、丁钊建。</w:t>
            </w:r>
          </w:p>
          <w:p w14:paraId="3F8FC032">
            <w:pPr>
              <w:pStyle w:val="11"/>
              <w:bidi w:val="0"/>
            </w:pPr>
            <w:r>
              <w:rPr>
                <w:rFonts w:hint="eastAsia"/>
              </w:rPr>
              <w:t>领导小组下设办公室，由任财祥同志负责办公室日常工作。</w:t>
            </w:r>
          </w:p>
          <w:p w14:paraId="11E1F2B9">
            <w:pPr>
              <w:pStyle w:val="30"/>
              <w:spacing w:line="360" w:lineRule="auto"/>
              <w:ind w:firstLine="482" w:firstLineChars="200"/>
              <w:jc w:val="both"/>
              <w:rPr>
                <w:rFonts w:ascii="Times New Roman" w:hAnsi="Times New Roman"/>
                <w:b/>
                <w:bCs/>
                <w:color w:val="auto"/>
              </w:rPr>
            </w:pPr>
            <w:r>
              <w:rPr>
                <w:rFonts w:ascii="Times New Roman" w:hAnsi="Times New Roman"/>
                <w:b/>
                <w:bCs/>
                <w:color w:val="auto"/>
              </w:rPr>
              <w:t>（2）各级职责</w:t>
            </w:r>
          </w:p>
          <w:p w14:paraId="38F21DA4">
            <w:pPr>
              <w:pStyle w:val="11"/>
              <w:bidi w:val="0"/>
              <w:rPr>
                <w:rFonts w:hint="eastAsia" w:eastAsia="宋体"/>
                <w:lang w:eastAsia="zh-CN"/>
              </w:rPr>
            </w:pPr>
            <w:r>
              <w:rPr>
                <w:rFonts w:hint="eastAsia"/>
              </w:rPr>
              <w:t>组长的职责</w:t>
            </w:r>
            <w:r>
              <w:rPr>
                <w:rFonts w:hint="eastAsia"/>
                <w:lang w:eastAsia="zh-CN"/>
              </w:rPr>
              <w:t>：</w:t>
            </w:r>
          </w:p>
          <w:p w14:paraId="5A8E2BCD">
            <w:pPr>
              <w:pStyle w:val="11"/>
              <w:bidi w:val="0"/>
              <w:rPr>
                <w:rFonts w:hint="eastAsia"/>
              </w:rPr>
            </w:pPr>
            <w:r>
              <w:rPr>
                <w:rFonts w:hint="eastAsia"/>
              </w:rPr>
              <w:t>1.负责指导制定医院辐射安全与防护管理的各项规章制度、应急预案、操作规程以及辐射工作场所日常监测方案等，并确保这些措施得到严格落实。</w:t>
            </w:r>
          </w:p>
          <w:p w14:paraId="4231CD62">
            <w:pPr>
              <w:pStyle w:val="11"/>
              <w:bidi w:val="0"/>
              <w:rPr>
                <w:rFonts w:hint="eastAsia"/>
              </w:rPr>
            </w:pPr>
            <w:r>
              <w:rPr>
                <w:rFonts w:hint="eastAsia"/>
              </w:rPr>
              <w:t>2.负责指导组织开展射线装置及场所的安全检查活动，以及处理并通报相关事故，包括对放射设备的管理与监测，确保设备的选型、安装、运行安全措施得当，并定期进行监测和维护。</w:t>
            </w:r>
          </w:p>
          <w:p w14:paraId="51866F7C">
            <w:pPr>
              <w:pStyle w:val="11"/>
              <w:bidi w:val="0"/>
              <w:rPr>
                <w:rFonts w:hint="eastAsia" w:eastAsia="宋体"/>
                <w:lang w:eastAsia="zh-CN"/>
              </w:rPr>
            </w:pPr>
            <w:r>
              <w:rPr>
                <w:rFonts w:hint="default"/>
              </w:rPr>
              <w:t>副组长职责</w:t>
            </w:r>
            <w:r>
              <w:rPr>
                <w:rFonts w:hint="eastAsia"/>
                <w:lang w:eastAsia="zh-CN"/>
              </w:rPr>
              <w:t>：</w:t>
            </w:r>
          </w:p>
          <w:p w14:paraId="1A71BF76">
            <w:pPr>
              <w:pStyle w:val="11"/>
              <w:bidi w:val="0"/>
              <w:rPr>
                <w:rFonts w:hint="default"/>
              </w:rPr>
            </w:pPr>
            <w:r>
              <w:rPr>
                <w:rFonts w:hint="default"/>
              </w:rPr>
              <w:t>1.负责开展辐射防护知识的培训和宣传活动，提高操作人员、职工和公众的辐射防护意识和技能。</w:t>
            </w:r>
          </w:p>
          <w:p w14:paraId="26B65F01">
            <w:pPr>
              <w:pStyle w:val="11"/>
              <w:bidi w:val="0"/>
              <w:rPr>
                <w:rFonts w:hint="default"/>
              </w:rPr>
            </w:pPr>
            <w:r>
              <w:rPr>
                <w:rFonts w:hint="default"/>
              </w:rPr>
              <w:t>2.组织辐射工作人员和管理人员参加辐射安全与防护教育培训，确保他们具备必要的辐射安全知识和应急处理能力。</w:t>
            </w:r>
          </w:p>
          <w:p w14:paraId="08939201">
            <w:pPr>
              <w:pStyle w:val="11"/>
              <w:bidi w:val="0"/>
              <w:rPr>
                <w:rFonts w:hint="eastAsia" w:eastAsia="宋体"/>
                <w:lang w:eastAsia="zh-CN"/>
              </w:rPr>
            </w:pPr>
            <w:r>
              <w:rPr>
                <w:rFonts w:hint="default"/>
              </w:rPr>
              <w:t>放射安全管理办公小组职责</w:t>
            </w:r>
            <w:r>
              <w:rPr>
                <w:rFonts w:hint="eastAsia"/>
                <w:lang w:eastAsia="zh-CN"/>
              </w:rPr>
              <w:t>：</w:t>
            </w:r>
          </w:p>
          <w:p w14:paraId="5D9F95D9">
            <w:pPr>
              <w:pStyle w:val="11"/>
              <w:bidi w:val="0"/>
              <w:rPr>
                <w:rFonts w:hint="default"/>
              </w:rPr>
            </w:pPr>
            <w:r>
              <w:rPr>
                <w:rFonts w:hint="default"/>
              </w:rPr>
              <w:t>1.负责制定辐射事故应急预案，组织相关演练和应急处置工作，确保能够及时有效地应对和处理可能发生的辐射事故。</w:t>
            </w:r>
          </w:p>
          <w:p w14:paraId="68E5E262">
            <w:pPr>
              <w:pStyle w:val="11"/>
              <w:bidi w:val="0"/>
              <w:rPr>
                <w:rFonts w:hint="eastAsia" w:eastAsia="宋体"/>
                <w:lang w:eastAsia="zh-CN"/>
              </w:rPr>
            </w:pPr>
            <w:r>
              <w:rPr>
                <w:rFonts w:hint="default"/>
              </w:rPr>
              <w:t>2.对放射工作人员进行个人剂量监测，记录和管理个人辐射剂量信息，及时发现和处理辐射安全风险</w:t>
            </w:r>
            <w:r>
              <w:rPr>
                <w:rFonts w:hint="eastAsia"/>
                <w:lang w:eastAsia="zh-CN"/>
              </w:rPr>
              <w:t>。</w:t>
            </w:r>
          </w:p>
          <w:p w14:paraId="0EB0AE20">
            <w:pPr>
              <w:pStyle w:val="11"/>
              <w:bidi w:val="0"/>
              <w:rPr>
                <w:rFonts w:hint="default"/>
              </w:rPr>
            </w:pPr>
            <w:r>
              <w:rPr>
                <w:rFonts w:hint="default"/>
              </w:rPr>
              <w:t>3.负责放射性废物的管理，严格按照相关规定执行废物管理措施，并对管理质量进行定期评估。</w:t>
            </w:r>
          </w:p>
          <w:p w14:paraId="39D65D9D">
            <w:pPr>
              <w:pStyle w:val="11"/>
              <w:bidi w:val="0"/>
              <w:rPr>
                <w:rFonts w:hint="default"/>
              </w:rPr>
            </w:pPr>
            <w:r>
              <w:rPr>
                <w:rFonts w:hint="default"/>
              </w:rPr>
              <w:t>4.对医院的辐射防护工作进行监督和检查，确保防护措施的有效实施和存在的问题得到及时解决。</w:t>
            </w:r>
          </w:p>
          <w:p w14:paraId="5D8A0222">
            <w:pPr>
              <w:pStyle w:val="11"/>
              <w:ind w:firstLineChars="200"/>
              <w:jc w:val="both"/>
              <w:rPr>
                <w:rFonts w:ascii="Times New Roman" w:hAnsi="Times New Roman"/>
                <w:b/>
                <w:bCs/>
                <w:color w:val="auto"/>
              </w:rPr>
            </w:pPr>
            <w:r>
              <w:rPr>
                <w:rFonts w:ascii="Times New Roman" w:hAnsi="Times New Roman"/>
                <w:b/>
                <w:bCs/>
                <w:color w:val="auto"/>
              </w:rPr>
              <w:t>（3）需要完善的相关内容</w:t>
            </w:r>
          </w:p>
          <w:p w14:paraId="78BD1806">
            <w:pPr>
              <w:pStyle w:val="11"/>
              <w:bidi w:val="0"/>
            </w:pPr>
            <w:r>
              <w:t>根据医院辐射（放射）安全与防护管理委员会机构文件，医院还需在以下几个方面对文件进行完善：</w:t>
            </w:r>
          </w:p>
          <w:p w14:paraId="6D8C25B0">
            <w:pPr>
              <w:pStyle w:val="11"/>
              <w:bidi w:val="0"/>
            </w:pPr>
            <w:r>
              <w:t>①补充明确发生辐射安全事故后，应按照程序及时向生态环境主管部门、当地派出所和卫生行政主管部门报告；</w:t>
            </w:r>
          </w:p>
          <w:p w14:paraId="7D76B086">
            <w:pPr>
              <w:pStyle w:val="11"/>
              <w:bidi w:val="0"/>
            </w:pPr>
            <w:r>
              <w:t>②定期修订、检查辐射安全管理领导小组机构成员名单，确保领导小组的实效性；</w:t>
            </w:r>
          </w:p>
          <w:p w14:paraId="565D886D">
            <w:pPr>
              <w:pStyle w:val="11"/>
              <w:bidi w:val="0"/>
            </w:pPr>
            <w:r>
              <w:t>③组织本单位辐射（放射）诊疗工作人员接受专业技术、放射防护知识及有关规定的培训；</w:t>
            </w:r>
          </w:p>
          <w:p w14:paraId="7D46BBDB">
            <w:pPr>
              <w:pStyle w:val="11"/>
              <w:bidi w:val="0"/>
            </w:pPr>
            <w:r>
              <w:t>④定期维护检查辐射工作场所安全设施设备，确保实时有效；</w:t>
            </w:r>
          </w:p>
          <w:p w14:paraId="44FC7CF0">
            <w:pPr>
              <w:pStyle w:val="11"/>
              <w:bidi w:val="0"/>
            </w:pPr>
            <w:r>
              <w:t>⑤负责组织本单位辐射（放射）人员开展一年一次的体检。</w:t>
            </w:r>
          </w:p>
          <w:p w14:paraId="6C9B4439">
            <w:pPr>
              <w:keepNext/>
              <w:spacing w:line="360" w:lineRule="auto"/>
              <w:rPr>
                <w:rFonts w:ascii="Times New Roman" w:hAnsi="Times New Roman"/>
                <w:b/>
                <w:bCs/>
                <w:sz w:val="28"/>
                <w:szCs w:val="28"/>
              </w:rPr>
            </w:pPr>
            <w:r>
              <w:rPr>
                <w:rFonts w:ascii="Times New Roman" w:hAnsi="Times New Roman"/>
                <w:b/>
                <w:bCs/>
                <w:sz w:val="28"/>
                <w:szCs w:val="28"/>
              </w:rPr>
              <w:t>二、辐射工作岗位人员配置和能力分析</w:t>
            </w:r>
          </w:p>
          <w:p w14:paraId="0186D0CF">
            <w:pPr>
              <w:keepNext/>
              <w:spacing w:line="360" w:lineRule="auto"/>
              <w:ind w:firstLine="482" w:firstLineChars="200"/>
              <w:rPr>
                <w:rFonts w:ascii="Times New Roman" w:hAnsi="Times New Roman"/>
                <w:b/>
                <w:bCs/>
                <w:sz w:val="24"/>
              </w:rPr>
            </w:pPr>
            <w:r>
              <w:rPr>
                <w:rFonts w:ascii="Times New Roman" w:hAnsi="Times New Roman"/>
                <w:b/>
                <w:bCs/>
                <w:sz w:val="24"/>
              </w:rPr>
              <w:t>1、辐射工作岗位人员配置和能力现状分析</w:t>
            </w:r>
          </w:p>
          <w:p w14:paraId="1E56A119">
            <w:pPr>
              <w:pStyle w:val="11"/>
              <w:bidi w:val="0"/>
            </w:pPr>
            <w:r>
              <w:t>①本项目拟新增配置</w:t>
            </w:r>
            <w:r>
              <w:rPr>
                <w:rFonts w:hint="eastAsia"/>
                <w:lang w:val="en-US" w:eastAsia="zh-CN"/>
              </w:rPr>
              <w:t>14</w:t>
            </w:r>
            <w:r>
              <w:t>名辐射工作人员，其中</w:t>
            </w:r>
            <w:r>
              <w:rPr>
                <w:rFonts w:hint="eastAsia"/>
                <w:lang w:val="en-US" w:eastAsia="zh-CN"/>
              </w:rPr>
              <w:t>11</w:t>
            </w:r>
            <w:r>
              <w:t>名医生、</w:t>
            </w:r>
            <w:r>
              <w:rPr>
                <w:rFonts w:hint="eastAsia"/>
                <w:lang w:val="en-US" w:eastAsia="zh-CN"/>
              </w:rPr>
              <w:t>2</w:t>
            </w:r>
            <w:r>
              <w:t>名护士，</w:t>
            </w:r>
            <w:r>
              <w:rPr>
                <w:rFonts w:hint="eastAsia"/>
                <w:lang w:val="en-US" w:eastAsia="zh-CN"/>
              </w:rPr>
              <w:t>1</w:t>
            </w:r>
            <w:r>
              <w:rPr>
                <w:rFonts w:hint="eastAsia"/>
              </w:rPr>
              <w:t>名技师</w:t>
            </w:r>
            <w:r>
              <w:t>。</w:t>
            </w:r>
          </w:p>
          <w:p w14:paraId="40FC1F75">
            <w:pPr>
              <w:pStyle w:val="11"/>
              <w:bidi w:val="0"/>
            </w:pPr>
            <w:r>
              <w:t>②医院对现有Ⅲ类射线装置辐射工作人员进行了辐射安全与防护相关培训，培训合格。</w:t>
            </w:r>
          </w:p>
          <w:p w14:paraId="16075E3B">
            <w:pPr>
              <w:pStyle w:val="11"/>
              <w:bidi w:val="0"/>
              <w:rPr>
                <w:rFonts w:hint="default"/>
                <w:lang w:val="en-US" w:eastAsia="zh-CN"/>
              </w:rPr>
            </w:pPr>
            <w:r>
              <w:t>Ⅲ类射线装置辐射工作人员已取得辐射安全培训合格证的，合格证到期前，需进行再次考核，辐射安全与防护培训成绩报告单和自主考核成绩记录有效期均为五年。</w:t>
            </w:r>
            <w:r>
              <w:rPr>
                <w:rFonts w:hint="default"/>
                <w:lang w:val="en-US" w:eastAsia="zh-CN"/>
              </w:rPr>
              <w:t>Ⅱ类</w:t>
            </w:r>
            <w:r>
              <w:rPr>
                <w:rFonts w:hint="eastAsia"/>
                <w:lang w:val="en-US" w:eastAsia="zh-CN"/>
              </w:rPr>
              <w:t>射线装置DSA工作人员将按照《关于核技术利用辐射安全与防护培训和考核有关事项的公告》和《关于进一步优化辐射安全考核的公告》的要求在生态环境部培训平台考试合格后上岗。</w:t>
            </w:r>
          </w:p>
          <w:p w14:paraId="1952861E">
            <w:pPr>
              <w:keepNext/>
              <w:spacing w:line="360" w:lineRule="auto"/>
              <w:rPr>
                <w:rFonts w:ascii="Times New Roman" w:hAnsi="Times New Roman"/>
                <w:b/>
                <w:bCs/>
                <w:sz w:val="28"/>
                <w:szCs w:val="28"/>
              </w:rPr>
            </w:pPr>
            <w:bookmarkStart w:id="36" w:name="_Toc485996498"/>
            <w:bookmarkStart w:id="37" w:name="_Toc12298"/>
            <w:r>
              <w:rPr>
                <w:rFonts w:ascii="Times New Roman" w:hAnsi="Times New Roman"/>
                <w:b/>
                <w:bCs/>
                <w:sz w:val="28"/>
                <w:szCs w:val="28"/>
              </w:rPr>
              <w:t>三、辐射安全档案资料管理和规章管理制度</w:t>
            </w:r>
            <w:bookmarkEnd w:id="36"/>
            <w:bookmarkEnd w:id="37"/>
          </w:p>
          <w:p w14:paraId="3B049353">
            <w:pPr>
              <w:keepNext/>
              <w:spacing w:line="360" w:lineRule="auto"/>
              <w:rPr>
                <w:rFonts w:ascii="Times New Roman" w:hAnsi="Times New Roman"/>
                <w:b/>
                <w:bCs/>
                <w:sz w:val="24"/>
              </w:rPr>
            </w:pPr>
            <w:r>
              <w:rPr>
                <w:rFonts w:ascii="Times New Roman" w:hAnsi="Times New Roman"/>
                <w:b/>
                <w:bCs/>
                <w:sz w:val="24"/>
              </w:rPr>
              <w:t>1、档案管理分类</w:t>
            </w:r>
          </w:p>
          <w:p w14:paraId="04EC73A9">
            <w:pPr>
              <w:pStyle w:val="11"/>
              <w:bidi w:val="0"/>
            </w:pPr>
            <w:r>
              <w:t>医院对相关资料进行了分类归档放置，包括以下九大类：“制度文件”、“环评资料”、“许可证资料”、“射线装置台账”、“监测和检查记录”、“个人剂量档案”、“培训档案”、“辐射应急资料”、“废物处置记录”，存放在设备科办公室。</w:t>
            </w:r>
          </w:p>
          <w:p w14:paraId="2685947D">
            <w:pPr>
              <w:keepNext/>
              <w:spacing w:line="360" w:lineRule="auto"/>
              <w:rPr>
                <w:rFonts w:ascii="Times New Roman" w:hAnsi="Times New Roman"/>
                <w:b/>
                <w:bCs/>
                <w:sz w:val="24"/>
              </w:rPr>
            </w:pPr>
            <w:r>
              <w:rPr>
                <w:rFonts w:ascii="Times New Roman" w:hAnsi="Times New Roman"/>
                <w:b/>
                <w:bCs/>
                <w:sz w:val="24"/>
              </w:rPr>
              <w:t>2、辐射安全管理规章制度及落实情况</w:t>
            </w:r>
          </w:p>
          <w:p w14:paraId="618221D2">
            <w:pPr>
              <w:pStyle w:val="11"/>
              <w:bidi w:val="0"/>
            </w:pPr>
            <w:r>
              <w:t>根据《放射性同位素与射线装置安全许可管理办法》（</w:t>
            </w:r>
            <w:r>
              <w:rPr>
                <w:rFonts w:hint="eastAsia"/>
              </w:rPr>
              <w:t>生态环境部</w:t>
            </w:r>
            <w:r>
              <w:t>令第20号）“第十六条”、《核技术利用监督检查技术程序》生态环境部（国家核安全局）</w:t>
            </w:r>
            <w:r>
              <w:rPr>
                <w:rFonts w:hint="eastAsia"/>
              </w:rPr>
              <w:t>（2020年发布版）</w:t>
            </w:r>
            <w:r>
              <w:t>及</w:t>
            </w:r>
            <w:r>
              <w:rPr>
                <w:rFonts w:hint="eastAsia"/>
                <w:lang w:eastAsia="zh-CN"/>
              </w:rPr>
              <w:t>《</w:t>
            </w:r>
            <w:r>
              <w:rPr>
                <w:rFonts w:hint="eastAsia"/>
              </w:rPr>
              <w:t>四川省核技术利用单位辐射安全工作指引</w:t>
            </w:r>
            <w:r>
              <w:rPr>
                <w:rFonts w:hint="eastAsia"/>
                <w:lang w:eastAsia="zh-CN"/>
              </w:rPr>
              <w:t>》（</w:t>
            </w:r>
            <w:r>
              <w:rPr>
                <w:rFonts w:hint="eastAsia"/>
              </w:rPr>
              <w:t>2025年版</w:t>
            </w:r>
            <w:r>
              <w:rPr>
                <w:rFonts w:hint="eastAsia"/>
                <w:lang w:eastAsia="zh-CN"/>
              </w:rPr>
              <w:t>）</w:t>
            </w:r>
            <w:r>
              <w:t>的相关要求中的相关规定，将建设单位现有的规章制度落实情况进行对比说明，具体见表12-1：</w:t>
            </w:r>
          </w:p>
          <w:p w14:paraId="7DB6695C">
            <w:pPr>
              <w:spacing w:line="360" w:lineRule="auto"/>
              <w:jc w:val="center"/>
              <w:rPr>
                <w:rFonts w:ascii="Times New Roman" w:hAnsi="Times New Roman"/>
                <w:b/>
                <w:sz w:val="24"/>
              </w:rPr>
            </w:pPr>
            <w:r>
              <w:rPr>
                <w:rFonts w:ascii="Times New Roman" w:hAnsi="Times New Roman"/>
                <w:b/>
                <w:sz w:val="24"/>
              </w:rPr>
              <w:t>表12-1 项目单位辐射安全管理制度制定要求</w:t>
            </w:r>
          </w:p>
          <w:tbl>
            <w:tblPr>
              <w:tblStyle w:val="23"/>
              <w:tblW w:w="893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28"/>
              <w:gridCol w:w="3277"/>
              <w:gridCol w:w="5134"/>
            </w:tblGrid>
            <w:tr w14:paraId="14452F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17394099">
                  <w:pPr>
                    <w:jc w:val="center"/>
                    <w:rPr>
                      <w:rFonts w:ascii="Times New Roman" w:hAnsi="Times New Roman"/>
                      <w:b/>
                      <w:bCs/>
                      <w:szCs w:val="21"/>
                    </w:rPr>
                  </w:pPr>
                  <w:r>
                    <w:rPr>
                      <w:rFonts w:ascii="Times New Roman" w:hAnsi="Times New Roman"/>
                      <w:b/>
                      <w:bCs/>
                      <w:szCs w:val="21"/>
                    </w:rPr>
                    <w:t>序号</w:t>
                  </w:r>
                </w:p>
              </w:tc>
              <w:tc>
                <w:tcPr>
                  <w:tcW w:w="3277" w:type="dxa"/>
                  <w:tcBorders>
                    <w:tl2br w:val="nil"/>
                    <w:tr2bl w:val="nil"/>
                  </w:tcBorders>
                  <w:vAlign w:val="center"/>
                </w:tcPr>
                <w:p w14:paraId="20F1895D">
                  <w:pPr>
                    <w:jc w:val="center"/>
                    <w:rPr>
                      <w:rFonts w:ascii="Times New Roman" w:hAnsi="Times New Roman"/>
                      <w:b/>
                      <w:bCs/>
                      <w:szCs w:val="21"/>
                    </w:rPr>
                  </w:pPr>
                  <w:r>
                    <w:rPr>
                      <w:rFonts w:ascii="Times New Roman" w:hAnsi="Times New Roman"/>
                      <w:b/>
                      <w:bCs/>
                      <w:szCs w:val="21"/>
                    </w:rPr>
                    <w:t>制度名称</w:t>
                  </w:r>
                </w:p>
              </w:tc>
              <w:tc>
                <w:tcPr>
                  <w:tcW w:w="5134" w:type="dxa"/>
                  <w:tcBorders>
                    <w:tl2br w:val="nil"/>
                    <w:tr2bl w:val="nil"/>
                  </w:tcBorders>
                  <w:vAlign w:val="center"/>
                </w:tcPr>
                <w:p w14:paraId="2F88B2BF">
                  <w:pPr>
                    <w:jc w:val="center"/>
                    <w:rPr>
                      <w:rFonts w:ascii="Times New Roman" w:hAnsi="Times New Roman"/>
                      <w:b/>
                      <w:bCs/>
                      <w:szCs w:val="21"/>
                    </w:rPr>
                  </w:pPr>
                  <w:r>
                    <w:rPr>
                      <w:rFonts w:ascii="Times New Roman" w:hAnsi="Times New Roman"/>
                      <w:b/>
                      <w:bCs/>
                      <w:szCs w:val="21"/>
                    </w:rPr>
                    <w:t>备注</w:t>
                  </w:r>
                </w:p>
              </w:tc>
            </w:tr>
            <w:tr w14:paraId="0A1ED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77DD41A9">
                  <w:pPr>
                    <w:pStyle w:val="52"/>
                    <w:bidi w:val="0"/>
                  </w:pPr>
                  <w:r>
                    <w:t>1</w:t>
                  </w:r>
                </w:p>
              </w:tc>
              <w:tc>
                <w:tcPr>
                  <w:tcW w:w="3277" w:type="dxa"/>
                  <w:tcBorders>
                    <w:tl2br w:val="nil"/>
                    <w:tr2bl w:val="nil"/>
                  </w:tcBorders>
                  <w:vAlign w:val="center"/>
                </w:tcPr>
                <w:p w14:paraId="370AA34C">
                  <w:pPr>
                    <w:pStyle w:val="52"/>
                    <w:bidi w:val="0"/>
                  </w:pPr>
                  <w:r>
                    <w:t>辐射安全管理规定</w:t>
                  </w:r>
                </w:p>
              </w:tc>
              <w:tc>
                <w:tcPr>
                  <w:tcW w:w="5134" w:type="dxa"/>
                  <w:tcBorders>
                    <w:tl2br w:val="nil"/>
                    <w:tr2bl w:val="nil"/>
                  </w:tcBorders>
                  <w:vAlign w:val="center"/>
                </w:tcPr>
                <w:p w14:paraId="40950B45">
                  <w:pPr>
                    <w:pStyle w:val="52"/>
                    <w:bidi w:val="0"/>
                  </w:pPr>
                  <w:r>
                    <w:rPr>
                      <w:rFonts w:hint="eastAsia"/>
                      <w:lang w:val="en-US" w:eastAsia="zh-CN"/>
                    </w:rPr>
                    <w:t>新增</w:t>
                  </w:r>
                  <w:r>
                    <w:rPr>
                      <w:rFonts w:hint="eastAsia"/>
                    </w:rPr>
                    <w:t>DSA辐射安全管理规定</w:t>
                  </w:r>
                </w:p>
              </w:tc>
            </w:tr>
            <w:tr w14:paraId="3D6A5A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519FA427">
                  <w:pPr>
                    <w:pStyle w:val="52"/>
                    <w:bidi w:val="0"/>
                  </w:pPr>
                  <w:r>
                    <w:t>2</w:t>
                  </w:r>
                </w:p>
              </w:tc>
              <w:tc>
                <w:tcPr>
                  <w:tcW w:w="3277" w:type="dxa"/>
                  <w:tcBorders>
                    <w:tl2br w:val="nil"/>
                    <w:tr2bl w:val="nil"/>
                  </w:tcBorders>
                  <w:vAlign w:val="center"/>
                </w:tcPr>
                <w:p w14:paraId="5649851C">
                  <w:pPr>
                    <w:pStyle w:val="52"/>
                    <w:bidi w:val="0"/>
                  </w:pPr>
                  <w:r>
                    <w:t>辐射工作人员个人剂量管理制度</w:t>
                  </w:r>
                </w:p>
              </w:tc>
              <w:tc>
                <w:tcPr>
                  <w:tcW w:w="5134" w:type="dxa"/>
                  <w:tcBorders>
                    <w:tl2br w:val="nil"/>
                    <w:tr2bl w:val="nil"/>
                  </w:tcBorders>
                  <w:vAlign w:val="center"/>
                </w:tcPr>
                <w:p w14:paraId="1594FC04">
                  <w:pPr>
                    <w:pStyle w:val="52"/>
                    <w:bidi w:val="0"/>
                  </w:pPr>
                  <w:r>
                    <w:t>应增加“个人剂量档案终生保存”，明确介入工作人员个人剂量计</w:t>
                  </w:r>
                  <w:r>
                    <w:rPr>
                      <w:rFonts w:hint="eastAsia"/>
                      <w:lang w:eastAsia="zh-CN"/>
                    </w:rPr>
                    <w:t>佩戴</w:t>
                  </w:r>
                  <w:r>
                    <w:t>位置</w:t>
                  </w:r>
                </w:p>
              </w:tc>
            </w:tr>
            <w:tr w14:paraId="0FCEF4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6344290E">
                  <w:pPr>
                    <w:pStyle w:val="52"/>
                    <w:bidi w:val="0"/>
                  </w:pPr>
                  <w:r>
                    <w:t>3</w:t>
                  </w:r>
                </w:p>
              </w:tc>
              <w:tc>
                <w:tcPr>
                  <w:tcW w:w="3277" w:type="dxa"/>
                  <w:tcBorders>
                    <w:tl2br w:val="nil"/>
                    <w:tr2bl w:val="nil"/>
                  </w:tcBorders>
                  <w:vAlign w:val="center"/>
                </w:tcPr>
                <w:p w14:paraId="5BE135EA">
                  <w:pPr>
                    <w:pStyle w:val="52"/>
                    <w:bidi w:val="0"/>
                  </w:pPr>
                  <w:r>
                    <w:t>辐射工作设备操作规程</w:t>
                  </w:r>
                </w:p>
              </w:tc>
              <w:tc>
                <w:tcPr>
                  <w:tcW w:w="5134" w:type="dxa"/>
                  <w:tcBorders>
                    <w:tl2br w:val="nil"/>
                    <w:tr2bl w:val="nil"/>
                  </w:tcBorders>
                  <w:vAlign w:val="center"/>
                </w:tcPr>
                <w:p w14:paraId="2EE9D374">
                  <w:pPr>
                    <w:pStyle w:val="52"/>
                    <w:bidi w:val="0"/>
                  </w:pPr>
                  <w:r>
                    <w:t>明确辐射工作人员的资质条件要求、装置操作流程及操作过程中应采取的具体防护措施。重点是明确操作步骤、出束过程中必须采取的辐射安全措施</w:t>
                  </w:r>
                </w:p>
              </w:tc>
            </w:tr>
            <w:tr w14:paraId="5638DD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7F939E0F">
                  <w:pPr>
                    <w:pStyle w:val="52"/>
                    <w:bidi w:val="0"/>
                  </w:pPr>
                  <w:r>
                    <w:t>4</w:t>
                  </w:r>
                </w:p>
              </w:tc>
              <w:tc>
                <w:tcPr>
                  <w:tcW w:w="3277" w:type="dxa"/>
                  <w:tcBorders>
                    <w:tl2br w:val="nil"/>
                    <w:tr2bl w:val="nil"/>
                  </w:tcBorders>
                  <w:vAlign w:val="center"/>
                </w:tcPr>
                <w:p w14:paraId="1EFAE7EC">
                  <w:pPr>
                    <w:pStyle w:val="52"/>
                    <w:bidi w:val="0"/>
                  </w:pPr>
                  <w:r>
                    <w:t>辐射工作人员岗位职责</w:t>
                  </w:r>
                </w:p>
              </w:tc>
              <w:tc>
                <w:tcPr>
                  <w:tcW w:w="5134" w:type="dxa"/>
                  <w:tcBorders>
                    <w:tl2br w:val="nil"/>
                    <w:tr2bl w:val="nil"/>
                  </w:tcBorders>
                  <w:vAlign w:val="center"/>
                </w:tcPr>
                <w:p w14:paraId="3504333D">
                  <w:pPr>
                    <w:pStyle w:val="52"/>
                    <w:bidi w:val="0"/>
                  </w:pPr>
                  <w:r>
                    <w:t>应明确管理人员、辐射工作人员、维修人员的岗位职责</w:t>
                  </w:r>
                </w:p>
              </w:tc>
            </w:tr>
            <w:tr w14:paraId="5FF756EF">
              <w:tblPrEx>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0A9C347F">
                  <w:pPr>
                    <w:pStyle w:val="52"/>
                    <w:bidi w:val="0"/>
                  </w:pPr>
                  <w:r>
                    <w:t>5</w:t>
                  </w:r>
                </w:p>
              </w:tc>
              <w:tc>
                <w:tcPr>
                  <w:tcW w:w="3277" w:type="dxa"/>
                  <w:tcBorders>
                    <w:tl2br w:val="nil"/>
                    <w:tr2bl w:val="nil"/>
                  </w:tcBorders>
                  <w:vAlign w:val="center"/>
                </w:tcPr>
                <w:p w14:paraId="5A1DA9DA">
                  <w:pPr>
                    <w:pStyle w:val="52"/>
                    <w:bidi w:val="0"/>
                  </w:pPr>
                  <w:r>
                    <w:t>监测仪表使用与校验管理制度</w:t>
                  </w:r>
                </w:p>
              </w:tc>
              <w:tc>
                <w:tcPr>
                  <w:tcW w:w="5134" w:type="dxa"/>
                  <w:tcBorders>
                    <w:tl2br w:val="nil"/>
                    <w:tr2bl w:val="nil"/>
                  </w:tcBorders>
                  <w:vAlign w:val="center"/>
                </w:tcPr>
                <w:p w14:paraId="77975C28">
                  <w:pPr>
                    <w:pStyle w:val="52"/>
                    <w:bidi w:val="0"/>
                  </w:pPr>
                  <w:r>
                    <w:rPr>
                      <w:rFonts w:hint="eastAsia"/>
                      <w:lang w:val="en-US" w:eastAsia="zh-CN"/>
                    </w:rPr>
                    <w:t>新建</w:t>
                  </w:r>
                  <w:r>
                    <w:rPr>
                      <w:rFonts w:hint="eastAsia"/>
                    </w:rPr>
                    <w:t>DSA管理制度</w:t>
                  </w:r>
                </w:p>
              </w:tc>
            </w:tr>
            <w:tr w14:paraId="441401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06BE6675">
                  <w:pPr>
                    <w:pStyle w:val="52"/>
                    <w:bidi w:val="0"/>
                  </w:pPr>
                  <w:r>
                    <w:t>6</w:t>
                  </w:r>
                </w:p>
              </w:tc>
              <w:tc>
                <w:tcPr>
                  <w:tcW w:w="3277" w:type="dxa"/>
                  <w:tcBorders>
                    <w:tl2br w:val="nil"/>
                    <w:tr2bl w:val="nil"/>
                  </w:tcBorders>
                  <w:vAlign w:val="center"/>
                </w:tcPr>
                <w:p w14:paraId="69136DD9">
                  <w:pPr>
                    <w:pStyle w:val="52"/>
                    <w:bidi w:val="0"/>
                  </w:pPr>
                  <w:r>
                    <w:t>射线装置台账管理制度</w:t>
                  </w:r>
                </w:p>
              </w:tc>
              <w:tc>
                <w:tcPr>
                  <w:tcW w:w="5134" w:type="dxa"/>
                  <w:tcBorders>
                    <w:tl2br w:val="nil"/>
                    <w:tr2bl w:val="nil"/>
                  </w:tcBorders>
                  <w:vAlign w:val="center"/>
                </w:tcPr>
                <w:p w14:paraId="1A724905">
                  <w:pPr>
                    <w:pStyle w:val="52"/>
                    <w:bidi w:val="0"/>
                  </w:pPr>
                  <w:r>
                    <w:t>应增加“新增射线装置和报废射线装置的台账模板”</w:t>
                  </w:r>
                </w:p>
              </w:tc>
            </w:tr>
            <w:tr w14:paraId="23DC63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7B78F014">
                  <w:pPr>
                    <w:pStyle w:val="52"/>
                    <w:bidi w:val="0"/>
                  </w:pPr>
                  <w:r>
                    <w:t>7</w:t>
                  </w:r>
                </w:p>
              </w:tc>
              <w:tc>
                <w:tcPr>
                  <w:tcW w:w="3277" w:type="dxa"/>
                  <w:tcBorders>
                    <w:tl2br w:val="nil"/>
                    <w:tr2bl w:val="nil"/>
                  </w:tcBorders>
                  <w:vAlign w:val="center"/>
                </w:tcPr>
                <w:p w14:paraId="774BBA1F">
                  <w:pPr>
                    <w:pStyle w:val="52"/>
                    <w:bidi w:val="0"/>
                  </w:pPr>
                  <w:r>
                    <w:t>分区管理制度</w:t>
                  </w:r>
                </w:p>
              </w:tc>
              <w:tc>
                <w:tcPr>
                  <w:tcW w:w="5134" w:type="dxa"/>
                  <w:tcBorders>
                    <w:tl2br w:val="nil"/>
                    <w:tr2bl w:val="nil"/>
                  </w:tcBorders>
                  <w:vAlign w:val="center"/>
                </w:tcPr>
                <w:p w14:paraId="448A3481">
                  <w:pPr>
                    <w:pStyle w:val="52"/>
                    <w:bidi w:val="0"/>
                  </w:pPr>
                  <w:r>
                    <w:t>此次设备控制区和监督区分区管理制度</w:t>
                  </w:r>
                </w:p>
              </w:tc>
            </w:tr>
            <w:tr w14:paraId="33B38E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3D475486">
                  <w:pPr>
                    <w:pStyle w:val="52"/>
                    <w:bidi w:val="0"/>
                  </w:pPr>
                  <w:r>
                    <w:t>8</w:t>
                  </w:r>
                </w:p>
              </w:tc>
              <w:tc>
                <w:tcPr>
                  <w:tcW w:w="3277" w:type="dxa"/>
                  <w:tcBorders>
                    <w:tl2br w:val="nil"/>
                    <w:tr2bl w:val="nil"/>
                  </w:tcBorders>
                  <w:vAlign w:val="center"/>
                </w:tcPr>
                <w:p w14:paraId="47510D39">
                  <w:pPr>
                    <w:pStyle w:val="52"/>
                    <w:bidi w:val="0"/>
                  </w:pPr>
                  <w:r>
                    <w:t>质量保证大纲和质量控制检测计划</w:t>
                  </w:r>
                </w:p>
              </w:tc>
              <w:tc>
                <w:tcPr>
                  <w:tcW w:w="5134" w:type="dxa"/>
                  <w:tcBorders>
                    <w:tl2br w:val="nil"/>
                    <w:tr2bl w:val="nil"/>
                  </w:tcBorders>
                  <w:vAlign w:val="center"/>
                </w:tcPr>
                <w:p w14:paraId="45347241">
                  <w:pPr>
                    <w:pStyle w:val="52"/>
                    <w:bidi w:val="0"/>
                  </w:pPr>
                  <w:r>
                    <w:t>将本次新增设备纳入其中</w:t>
                  </w:r>
                </w:p>
              </w:tc>
            </w:tr>
            <w:tr w14:paraId="62DC61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0E939E1C">
                  <w:pPr>
                    <w:pStyle w:val="52"/>
                    <w:bidi w:val="0"/>
                  </w:pPr>
                  <w:r>
                    <w:t>9</w:t>
                  </w:r>
                </w:p>
              </w:tc>
              <w:tc>
                <w:tcPr>
                  <w:tcW w:w="3277" w:type="dxa"/>
                  <w:tcBorders>
                    <w:tl2br w:val="nil"/>
                    <w:tr2bl w:val="nil"/>
                  </w:tcBorders>
                  <w:vAlign w:val="center"/>
                </w:tcPr>
                <w:p w14:paraId="6B4B02BE">
                  <w:pPr>
                    <w:pStyle w:val="52"/>
                    <w:bidi w:val="0"/>
                  </w:pPr>
                  <w:r>
                    <w:t>辐射安全防护设施维护维修制度</w:t>
                  </w:r>
                </w:p>
              </w:tc>
              <w:tc>
                <w:tcPr>
                  <w:tcW w:w="5134" w:type="dxa"/>
                  <w:tcBorders>
                    <w:tl2br w:val="nil"/>
                    <w:tr2bl w:val="nil"/>
                  </w:tcBorders>
                  <w:vAlign w:val="center"/>
                </w:tcPr>
                <w:p w14:paraId="169C2FE0">
                  <w:pPr>
                    <w:pStyle w:val="52"/>
                    <w:bidi w:val="0"/>
                  </w:pPr>
                  <w:r>
                    <w:rPr>
                      <w:rFonts w:hint="eastAsia"/>
                      <w:lang w:val="en-US" w:eastAsia="zh-CN"/>
                    </w:rPr>
                    <w:t>新建</w:t>
                  </w:r>
                  <w:r>
                    <w:rPr>
                      <w:rFonts w:hint="eastAsia"/>
                    </w:rPr>
                    <w:t>DSA维护维修制度</w:t>
                  </w:r>
                </w:p>
              </w:tc>
            </w:tr>
            <w:tr w14:paraId="489D2B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4EAE088B">
                  <w:pPr>
                    <w:pStyle w:val="52"/>
                    <w:bidi w:val="0"/>
                  </w:pPr>
                  <w:r>
                    <w:t>10</w:t>
                  </w:r>
                </w:p>
              </w:tc>
              <w:tc>
                <w:tcPr>
                  <w:tcW w:w="3277" w:type="dxa"/>
                  <w:tcBorders>
                    <w:tl2br w:val="nil"/>
                    <w:tr2bl w:val="nil"/>
                  </w:tcBorders>
                  <w:vAlign w:val="center"/>
                </w:tcPr>
                <w:p w14:paraId="3DA593B7">
                  <w:pPr>
                    <w:pStyle w:val="52"/>
                    <w:bidi w:val="0"/>
                  </w:pPr>
                  <w:r>
                    <w:t>辐射工作人员培训制度</w:t>
                  </w:r>
                </w:p>
              </w:tc>
              <w:tc>
                <w:tcPr>
                  <w:tcW w:w="5134" w:type="dxa"/>
                  <w:tcBorders>
                    <w:tl2br w:val="nil"/>
                    <w:tr2bl w:val="nil"/>
                  </w:tcBorders>
                  <w:vAlign w:val="center"/>
                </w:tcPr>
                <w:p w14:paraId="7F723C67">
                  <w:pPr>
                    <w:pStyle w:val="52"/>
                    <w:bidi w:val="0"/>
                  </w:pPr>
                  <w:r>
                    <w:t>应明确“所有从事放射诊疗类的工作人员和管理人员，自觉进行辐射安全与防护专业知识的学习。考核合格证明超过5年的辐射工作人员，需进行再进行学习和考核”的相关内容</w:t>
                  </w:r>
                </w:p>
              </w:tc>
            </w:tr>
            <w:tr w14:paraId="7E5CA2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3D28FCDD">
                  <w:pPr>
                    <w:pStyle w:val="52"/>
                    <w:bidi w:val="0"/>
                  </w:pPr>
                  <w:r>
                    <w:t>11</w:t>
                  </w:r>
                </w:p>
              </w:tc>
              <w:tc>
                <w:tcPr>
                  <w:tcW w:w="3277" w:type="dxa"/>
                  <w:tcBorders>
                    <w:tl2br w:val="nil"/>
                    <w:tr2bl w:val="nil"/>
                  </w:tcBorders>
                  <w:vAlign w:val="center"/>
                </w:tcPr>
                <w:p w14:paraId="7E46D1F8">
                  <w:pPr>
                    <w:pStyle w:val="52"/>
                    <w:bidi w:val="0"/>
                  </w:pPr>
                  <w:r>
                    <w:t>辐射工作场所和环境辐射水平监测方案</w:t>
                  </w:r>
                </w:p>
              </w:tc>
              <w:tc>
                <w:tcPr>
                  <w:tcW w:w="5134" w:type="dxa"/>
                  <w:tcBorders>
                    <w:tl2br w:val="nil"/>
                    <w:tr2bl w:val="nil"/>
                  </w:tcBorders>
                  <w:vAlign w:val="center"/>
                </w:tcPr>
                <w:p w14:paraId="2DB8CA37">
                  <w:pPr>
                    <w:pStyle w:val="52"/>
                    <w:bidi w:val="0"/>
                  </w:pPr>
                  <w:r>
                    <w:t>增加本项目新增场所的监测因子、监测内容、监测频次及布点方案，参考本章辐射监测方案</w:t>
                  </w:r>
                </w:p>
              </w:tc>
            </w:tr>
            <w:tr w14:paraId="2BD940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28" w:type="dxa"/>
                  <w:tcBorders>
                    <w:tl2br w:val="nil"/>
                    <w:tr2bl w:val="nil"/>
                  </w:tcBorders>
                  <w:vAlign w:val="center"/>
                </w:tcPr>
                <w:p w14:paraId="1BAFA946">
                  <w:pPr>
                    <w:pStyle w:val="52"/>
                    <w:bidi w:val="0"/>
                  </w:pPr>
                  <w:r>
                    <w:t>12</w:t>
                  </w:r>
                </w:p>
              </w:tc>
              <w:tc>
                <w:tcPr>
                  <w:tcW w:w="3277" w:type="dxa"/>
                  <w:tcBorders>
                    <w:tl2br w:val="nil"/>
                    <w:tr2bl w:val="nil"/>
                  </w:tcBorders>
                  <w:vAlign w:val="center"/>
                </w:tcPr>
                <w:p w14:paraId="6FE4AA38">
                  <w:pPr>
                    <w:pStyle w:val="52"/>
                    <w:bidi w:val="0"/>
                  </w:pPr>
                  <w:r>
                    <w:t>辐射事故预防措施及应急处理预案</w:t>
                  </w:r>
                </w:p>
              </w:tc>
              <w:tc>
                <w:tcPr>
                  <w:tcW w:w="5134" w:type="dxa"/>
                  <w:tcBorders>
                    <w:tl2br w:val="nil"/>
                    <w:tr2bl w:val="nil"/>
                  </w:tcBorders>
                  <w:vAlign w:val="center"/>
                </w:tcPr>
                <w:p w14:paraId="72E07DE6">
                  <w:pPr>
                    <w:pStyle w:val="52"/>
                    <w:bidi w:val="0"/>
                  </w:pPr>
                  <w:r>
                    <w:t>预案中完善上报程序及联系方式</w:t>
                  </w:r>
                  <w:r>
                    <w:rPr>
                      <w:rFonts w:hint="eastAsia"/>
                    </w:rPr>
                    <w:t>及时更新</w:t>
                  </w:r>
                </w:p>
              </w:tc>
            </w:tr>
          </w:tbl>
          <w:p w14:paraId="396CC1D4">
            <w:pPr>
              <w:pStyle w:val="11"/>
              <w:bidi w:val="0"/>
            </w:pPr>
            <w:r>
              <w:t>根据原四川省环境保护厅关于</w:t>
            </w:r>
            <w:r>
              <w:rPr>
                <w:rFonts w:hint="eastAsia"/>
                <w:lang w:eastAsia="zh-CN"/>
              </w:rPr>
              <w:t>《四川省核技术利用单位辐射安全工作指引》（2025年版）</w:t>
            </w:r>
            <w:r>
              <w:t>的要求，</w:t>
            </w:r>
            <w:r>
              <w:rPr>
                <w:rFonts w:hint="eastAsia"/>
              </w:rPr>
              <w:t>单位应根据《辐射事故应急预案》编制《辐射事故应急响应程序》，并将《辐射事故应急响应程序》悬挂于辐射工作场所醒目位置，制度的内容应字体醒目，简单清楚，体现可操作性和实用性，尺寸大小应不小于400mm</w:t>
            </w:r>
            <w:r>
              <w:rPr>
                <w:rFonts w:hint="default" w:ascii="Times New Roman" w:hAnsi="Times New Roman" w:cs="Times New Roman"/>
                <w:lang w:val="en-US" w:eastAsia="zh-CN"/>
              </w:rPr>
              <w:t>×</w:t>
            </w:r>
            <w:r>
              <w:rPr>
                <w:rFonts w:hint="eastAsia"/>
              </w:rPr>
              <w:t>600mm</w:t>
            </w:r>
            <w:r>
              <w:t>。</w:t>
            </w:r>
          </w:p>
          <w:p w14:paraId="310338AA">
            <w:pPr>
              <w:pStyle w:val="11"/>
              <w:bidi w:val="0"/>
            </w:pPr>
            <w:r>
              <w:t>医院应根据规章制度内容认真组织实施，并且应根据国家发布新的相关法规内容，结合医院实际及时对各项规章制度补充修改，使之更能符合实际需要。</w:t>
            </w:r>
          </w:p>
          <w:p w14:paraId="1C3B749E">
            <w:pPr>
              <w:spacing w:line="360" w:lineRule="auto"/>
              <w:rPr>
                <w:rFonts w:ascii="Times New Roman" w:hAnsi="Times New Roman"/>
                <w:b/>
                <w:bCs/>
                <w:sz w:val="28"/>
                <w:szCs w:val="28"/>
              </w:rPr>
            </w:pPr>
            <w:bookmarkStart w:id="38" w:name="_Toc23255"/>
            <w:r>
              <w:rPr>
                <w:rFonts w:ascii="Times New Roman" w:hAnsi="Times New Roman"/>
                <w:b/>
                <w:bCs/>
                <w:sz w:val="28"/>
                <w:szCs w:val="28"/>
              </w:rPr>
              <w:t>四、辐射安全许可证发放条件对照分析</w:t>
            </w:r>
          </w:p>
          <w:p w14:paraId="7728EBFE">
            <w:pPr>
              <w:pStyle w:val="11"/>
              <w:bidi w:val="0"/>
            </w:pPr>
            <w:r>
              <w:t>结合《放射性同位素与射线装置安全许可管理办法》（</w:t>
            </w:r>
            <w:r>
              <w:rPr>
                <w:rFonts w:hint="eastAsia"/>
              </w:rPr>
              <w:t>生态环境部</w:t>
            </w:r>
            <w:r>
              <w:t>令第20号，2021年修订），将本项目采取的辐射安全防护措施列于表12-2。</w:t>
            </w:r>
          </w:p>
          <w:p w14:paraId="339879C3">
            <w:pPr>
              <w:spacing w:line="360" w:lineRule="auto"/>
              <w:jc w:val="center"/>
              <w:rPr>
                <w:rFonts w:ascii="Times New Roman" w:hAnsi="Times New Roman"/>
                <w:b/>
                <w:szCs w:val="21"/>
              </w:rPr>
            </w:pPr>
            <w:r>
              <w:rPr>
                <w:rFonts w:ascii="Times New Roman" w:hAnsi="Times New Roman"/>
                <w:b/>
                <w:sz w:val="24"/>
              </w:rPr>
              <w:t>表12-2 《辐射安全许可证》发放条件与本项目评价结果</w:t>
            </w:r>
          </w:p>
          <w:tbl>
            <w:tblPr>
              <w:tblStyle w:val="23"/>
              <w:tblW w:w="893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589"/>
              <w:gridCol w:w="3465"/>
              <w:gridCol w:w="1178"/>
            </w:tblGrid>
            <w:tr w14:paraId="6E88C9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l2br w:val="nil"/>
                    <w:tr2bl w:val="nil"/>
                  </w:tcBorders>
                  <w:vAlign w:val="center"/>
                </w:tcPr>
                <w:p w14:paraId="18832BEC">
                  <w:pPr>
                    <w:jc w:val="center"/>
                    <w:rPr>
                      <w:rFonts w:ascii="Times New Roman" w:hAnsi="Times New Roman"/>
                      <w:b/>
                      <w:bCs/>
                      <w:szCs w:val="21"/>
                    </w:rPr>
                  </w:pPr>
                  <w:r>
                    <w:rPr>
                      <w:rFonts w:ascii="Times New Roman" w:hAnsi="Times New Roman"/>
                      <w:b/>
                      <w:bCs/>
                      <w:szCs w:val="21"/>
                    </w:rPr>
                    <w:t>序号</w:t>
                  </w:r>
                </w:p>
              </w:tc>
              <w:tc>
                <w:tcPr>
                  <w:tcW w:w="3589" w:type="dxa"/>
                  <w:tcBorders>
                    <w:tl2br w:val="nil"/>
                    <w:tr2bl w:val="nil"/>
                  </w:tcBorders>
                  <w:vAlign w:val="center"/>
                </w:tcPr>
                <w:p w14:paraId="722CD042">
                  <w:pPr>
                    <w:jc w:val="center"/>
                    <w:rPr>
                      <w:rFonts w:ascii="Times New Roman" w:hAnsi="Times New Roman"/>
                      <w:b/>
                      <w:bCs/>
                      <w:szCs w:val="21"/>
                    </w:rPr>
                  </w:pPr>
                  <w:r>
                    <w:rPr>
                      <w:rFonts w:ascii="Times New Roman" w:hAnsi="Times New Roman"/>
                      <w:b/>
                      <w:bCs/>
                      <w:szCs w:val="21"/>
                    </w:rPr>
                    <w:t>原环保部第3号令要求</w:t>
                  </w:r>
                </w:p>
              </w:tc>
              <w:tc>
                <w:tcPr>
                  <w:tcW w:w="3465" w:type="dxa"/>
                  <w:tcBorders>
                    <w:tl2br w:val="nil"/>
                    <w:tr2bl w:val="nil"/>
                  </w:tcBorders>
                  <w:vAlign w:val="center"/>
                </w:tcPr>
                <w:p w14:paraId="6FAE8C79">
                  <w:pPr>
                    <w:jc w:val="center"/>
                    <w:rPr>
                      <w:rFonts w:ascii="Times New Roman" w:hAnsi="Times New Roman"/>
                      <w:b/>
                      <w:bCs/>
                      <w:szCs w:val="21"/>
                    </w:rPr>
                  </w:pPr>
                  <w:r>
                    <w:rPr>
                      <w:rFonts w:ascii="Times New Roman" w:hAnsi="Times New Roman"/>
                      <w:b/>
                      <w:bCs/>
                      <w:szCs w:val="21"/>
                    </w:rPr>
                    <w:t>项目实际情况</w:t>
                  </w:r>
                </w:p>
              </w:tc>
              <w:tc>
                <w:tcPr>
                  <w:tcW w:w="1178" w:type="dxa"/>
                  <w:tcBorders>
                    <w:tl2br w:val="nil"/>
                    <w:tr2bl w:val="nil"/>
                  </w:tcBorders>
                  <w:vAlign w:val="center"/>
                </w:tcPr>
                <w:p w14:paraId="1B9AECB2">
                  <w:pPr>
                    <w:jc w:val="center"/>
                    <w:rPr>
                      <w:rFonts w:ascii="Times New Roman" w:hAnsi="Times New Roman"/>
                      <w:b/>
                      <w:bCs/>
                      <w:szCs w:val="21"/>
                    </w:rPr>
                  </w:pPr>
                  <w:r>
                    <w:rPr>
                      <w:rFonts w:ascii="Times New Roman" w:hAnsi="Times New Roman"/>
                      <w:b/>
                      <w:bCs/>
                      <w:szCs w:val="21"/>
                    </w:rPr>
                    <w:t>评价结果</w:t>
                  </w:r>
                </w:p>
              </w:tc>
            </w:tr>
            <w:tr w14:paraId="622494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l2br w:val="nil"/>
                    <w:tr2bl w:val="nil"/>
                  </w:tcBorders>
                  <w:vAlign w:val="center"/>
                </w:tcPr>
                <w:p w14:paraId="4073AC0D">
                  <w:pPr>
                    <w:jc w:val="center"/>
                    <w:rPr>
                      <w:rFonts w:ascii="Times New Roman" w:hAnsi="Times New Roman"/>
                      <w:b/>
                      <w:szCs w:val="21"/>
                    </w:rPr>
                  </w:pPr>
                  <w:r>
                    <w:rPr>
                      <w:rFonts w:ascii="Times New Roman" w:hAnsi="Times New Roman"/>
                      <w:szCs w:val="21"/>
                    </w:rPr>
                    <w:t>1</w:t>
                  </w:r>
                </w:p>
              </w:tc>
              <w:tc>
                <w:tcPr>
                  <w:tcW w:w="3589" w:type="dxa"/>
                  <w:tcBorders>
                    <w:tl2br w:val="nil"/>
                    <w:tr2bl w:val="nil"/>
                  </w:tcBorders>
                  <w:vAlign w:val="center"/>
                </w:tcPr>
                <w:p w14:paraId="22A28764">
                  <w:pPr>
                    <w:jc w:val="center"/>
                    <w:rPr>
                      <w:rFonts w:ascii="Times New Roman" w:hAnsi="Times New Roman"/>
                      <w:b/>
                      <w:szCs w:val="21"/>
                    </w:rPr>
                  </w:pPr>
                  <w:r>
                    <w:rPr>
                      <w:rFonts w:ascii="Times New Roman" w:hAnsi="Times New Roman"/>
                      <w:szCs w:val="21"/>
                    </w:rPr>
                    <w:t>设有专门的辐射安全与环境保护管理机构，或者至少有1名具有本科以上学历的技术人员专职负责辐射安全与环境保护管理工作</w:t>
                  </w:r>
                </w:p>
              </w:tc>
              <w:tc>
                <w:tcPr>
                  <w:tcW w:w="3465" w:type="dxa"/>
                  <w:tcBorders>
                    <w:tl2br w:val="nil"/>
                    <w:tr2bl w:val="nil"/>
                  </w:tcBorders>
                  <w:vAlign w:val="center"/>
                </w:tcPr>
                <w:p w14:paraId="7C5BF703">
                  <w:pPr>
                    <w:jc w:val="center"/>
                    <w:rPr>
                      <w:rFonts w:ascii="Times New Roman" w:hAnsi="Times New Roman"/>
                      <w:b/>
                      <w:szCs w:val="21"/>
                    </w:rPr>
                  </w:pPr>
                  <w:r>
                    <w:rPr>
                      <w:rFonts w:ascii="Times New Roman" w:hAnsi="Times New Roman"/>
                      <w:szCs w:val="21"/>
                    </w:rPr>
                    <w:t>医院已设立专门的辐射安全与环境保护管理机构，至少有1名具有本科以上学历的技术人员专职负责辐射安全与环境保护管理工作</w:t>
                  </w:r>
                </w:p>
              </w:tc>
              <w:tc>
                <w:tcPr>
                  <w:tcW w:w="1178" w:type="dxa"/>
                  <w:tcBorders>
                    <w:tl2br w:val="nil"/>
                    <w:tr2bl w:val="nil"/>
                  </w:tcBorders>
                  <w:vAlign w:val="center"/>
                </w:tcPr>
                <w:p w14:paraId="0F144A2B">
                  <w:pPr>
                    <w:jc w:val="center"/>
                    <w:rPr>
                      <w:rFonts w:ascii="Times New Roman" w:hAnsi="Times New Roman"/>
                      <w:b/>
                      <w:szCs w:val="21"/>
                    </w:rPr>
                  </w:pPr>
                  <w:r>
                    <w:rPr>
                      <w:rFonts w:ascii="Times New Roman" w:hAnsi="Times New Roman"/>
                      <w:szCs w:val="21"/>
                    </w:rPr>
                    <w:t>满足要求</w:t>
                  </w:r>
                </w:p>
              </w:tc>
            </w:tr>
            <w:tr w14:paraId="6C457B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l2br w:val="nil"/>
                    <w:tr2bl w:val="nil"/>
                  </w:tcBorders>
                  <w:vAlign w:val="center"/>
                </w:tcPr>
                <w:p w14:paraId="2AE1A155">
                  <w:pPr>
                    <w:jc w:val="center"/>
                    <w:rPr>
                      <w:rFonts w:ascii="Times New Roman" w:hAnsi="Times New Roman"/>
                      <w:b/>
                      <w:szCs w:val="21"/>
                    </w:rPr>
                  </w:pPr>
                  <w:r>
                    <w:rPr>
                      <w:rFonts w:ascii="Times New Roman" w:hAnsi="Times New Roman"/>
                      <w:szCs w:val="21"/>
                    </w:rPr>
                    <w:t>2</w:t>
                  </w:r>
                </w:p>
              </w:tc>
              <w:tc>
                <w:tcPr>
                  <w:tcW w:w="3589" w:type="dxa"/>
                  <w:tcBorders>
                    <w:tl2br w:val="nil"/>
                    <w:tr2bl w:val="nil"/>
                  </w:tcBorders>
                  <w:vAlign w:val="center"/>
                </w:tcPr>
                <w:p w14:paraId="52D6C45D">
                  <w:pPr>
                    <w:jc w:val="center"/>
                    <w:rPr>
                      <w:rFonts w:ascii="Times New Roman" w:hAnsi="Times New Roman"/>
                      <w:b/>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从事辐射工作的人员必须通过辐射安全和防护专业知识及相关法律法规的培训和考核</w:t>
                  </w:r>
                </w:p>
              </w:tc>
              <w:tc>
                <w:tcPr>
                  <w:tcW w:w="3465" w:type="dxa"/>
                  <w:tcBorders>
                    <w:tl2br w:val="nil"/>
                    <w:tr2bl w:val="nil"/>
                  </w:tcBorders>
                  <w:vAlign w:val="center"/>
                </w:tcPr>
                <w:p w14:paraId="3B4B057E">
                  <w:pPr>
                    <w:jc w:val="center"/>
                    <w:rPr>
                      <w:rFonts w:ascii="Times New Roman" w:hAnsi="Times New Roman"/>
                      <w:b/>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此次新增</w:t>
                  </w:r>
                  <w:r>
                    <w:rPr>
                      <w:rFonts w:hint="eastAsia" w:ascii="Times New Roman" w:hAnsi="Times New Roman"/>
                      <w:color w:val="000000" w:themeColor="text1"/>
                      <w:szCs w:val="21"/>
                      <w:lang w:val="en-US" w:eastAsia="zh-CN"/>
                      <w14:textFill>
                        <w14:solidFill>
                          <w14:schemeClr w14:val="tx1"/>
                        </w14:solidFill>
                      </w14:textFill>
                    </w:rPr>
                    <w:t>14</w:t>
                  </w:r>
                  <w:r>
                    <w:rPr>
                      <w:rFonts w:ascii="Times New Roman" w:hAnsi="Times New Roman"/>
                      <w:color w:val="000000" w:themeColor="text1"/>
                      <w:szCs w:val="21"/>
                      <w14:textFill>
                        <w14:solidFill>
                          <w14:schemeClr w14:val="tx1"/>
                        </w14:solidFill>
                      </w14:textFill>
                    </w:rPr>
                    <w:t>名辐射工作人员，将安排新增人员通过辐射安全和防护专业知识及相关法律法规的培训和考核后上岗</w:t>
                  </w:r>
                </w:p>
              </w:tc>
              <w:tc>
                <w:tcPr>
                  <w:tcW w:w="1178" w:type="dxa"/>
                  <w:tcBorders>
                    <w:tl2br w:val="nil"/>
                    <w:tr2bl w:val="nil"/>
                  </w:tcBorders>
                  <w:vAlign w:val="center"/>
                </w:tcPr>
                <w:p w14:paraId="3026E17C">
                  <w:pPr>
                    <w:jc w:val="center"/>
                    <w:rPr>
                      <w:rFonts w:hint="default" w:ascii="Times New Roman" w:hAnsi="Times New Roman" w:eastAsia="宋体"/>
                      <w:b/>
                      <w:szCs w:val="21"/>
                      <w:lang w:val="en-US" w:eastAsia="zh-CN"/>
                    </w:rPr>
                  </w:pPr>
                  <w:r>
                    <w:rPr>
                      <w:rFonts w:hint="eastAsia" w:ascii="Times New Roman" w:hAnsi="Times New Roman"/>
                      <w:szCs w:val="21"/>
                      <w:lang w:val="en-US" w:eastAsia="zh-CN"/>
                    </w:rPr>
                    <w:t>培训考核后满足要求</w:t>
                  </w:r>
                </w:p>
              </w:tc>
            </w:tr>
            <w:tr w14:paraId="147A52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l2br w:val="nil"/>
                    <w:tr2bl w:val="nil"/>
                  </w:tcBorders>
                  <w:vAlign w:val="center"/>
                </w:tcPr>
                <w:p w14:paraId="15A7B14B">
                  <w:pPr>
                    <w:jc w:val="center"/>
                    <w:rPr>
                      <w:rFonts w:ascii="Times New Roman" w:hAnsi="Times New Roman"/>
                      <w:b/>
                      <w:szCs w:val="21"/>
                    </w:rPr>
                  </w:pPr>
                  <w:r>
                    <w:rPr>
                      <w:rFonts w:ascii="Times New Roman" w:hAnsi="Times New Roman"/>
                      <w:szCs w:val="21"/>
                    </w:rPr>
                    <w:t>3</w:t>
                  </w:r>
                </w:p>
              </w:tc>
              <w:tc>
                <w:tcPr>
                  <w:tcW w:w="3589" w:type="dxa"/>
                  <w:tcBorders>
                    <w:tl2br w:val="nil"/>
                    <w:tr2bl w:val="nil"/>
                  </w:tcBorders>
                  <w:vAlign w:val="center"/>
                </w:tcPr>
                <w:p w14:paraId="5A7F5D30">
                  <w:pPr>
                    <w:jc w:val="center"/>
                    <w:rPr>
                      <w:rFonts w:ascii="Times New Roman" w:hAnsi="Times New Roman"/>
                      <w:b/>
                      <w:szCs w:val="21"/>
                    </w:rPr>
                  </w:pPr>
                  <w:r>
                    <w:rPr>
                      <w:rFonts w:ascii="Times New Roman" w:hAnsi="Times New Roman"/>
                      <w:szCs w:val="21"/>
                    </w:rPr>
                    <w:t>射线装置使用场所有防止误操作、防止工作人员和公众受到意外照射的安全措施</w:t>
                  </w:r>
                </w:p>
              </w:tc>
              <w:tc>
                <w:tcPr>
                  <w:tcW w:w="3465" w:type="dxa"/>
                  <w:tcBorders>
                    <w:tl2br w:val="nil"/>
                    <w:tr2bl w:val="nil"/>
                  </w:tcBorders>
                  <w:vAlign w:val="center"/>
                </w:tcPr>
                <w:p w14:paraId="45AACC01">
                  <w:pPr>
                    <w:jc w:val="center"/>
                    <w:rPr>
                      <w:rFonts w:ascii="Times New Roman" w:hAnsi="Times New Roman"/>
                      <w:b/>
                      <w:szCs w:val="21"/>
                    </w:rPr>
                  </w:pPr>
                  <w:r>
                    <w:rPr>
                      <w:rFonts w:ascii="Times New Roman" w:hAnsi="Times New Roman"/>
                      <w:szCs w:val="21"/>
                    </w:rPr>
                    <w:t>医院需配置电离辐射警告标志和工作状态指示灯等</w:t>
                  </w:r>
                </w:p>
              </w:tc>
              <w:tc>
                <w:tcPr>
                  <w:tcW w:w="1178" w:type="dxa"/>
                  <w:tcBorders>
                    <w:tl2br w:val="nil"/>
                    <w:tr2bl w:val="nil"/>
                  </w:tcBorders>
                  <w:vAlign w:val="center"/>
                </w:tcPr>
                <w:p w14:paraId="20186666">
                  <w:pPr>
                    <w:jc w:val="center"/>
                    <w:rPr>
                      <w:rFonts w:ascii="Times New Roman" w:hAnsi="Times New Roman"/>
                      <w:b/>
                      <w:szCs w:val="21"/>
                    </w:rPr>
                  </w:pPr>
                  <w:r>
                    <w:rPr>
                      <w:rFonts w:ascii="Times New Roman" w:hAnsi="Times New Roman"/>
                      <w:szCs w:val="21"/>
                    </w:rPr>
                    <w:t>配置后满足要求</w:t>
                  </w:r>
                </w:p>
              </w:tc>
            </w:tr>
            <w:tr w14:paraId="2716B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l2br w:val="nil"/>
                    <w:tr2bl w:val="nil"/>
                  </w:tcBorders>
                  <w:vAlign w:val="center"/>
                </w:tcPr>
                <w:p w14:paraId="14E8EA8F">
                  <w:pPr>
                    <w:jc w:val="center"/>
                    <w:rPr>
                      <w:rFonts w:ascii="Times New Roman" w:hAnsi="Times New Roman"/>
                      <w:b/>
                      <w:szCs w:val="21"/>
                    </w:rPr>
                  </w:pPr>
                  <w:r>
                    <w:rPr>
                      <w:rFonts w:ascii="Times New Roman" w:hAnsi="Times New Roman"/>
                      <w:szCs w:val="21"/>
                    </w:rPr>
                    <w:t>4</w:t>
                  </w:r>
                </w:p>
              </w:tc>
              <w:tc>
                <w:tcPr>
                  <w:tcW w:w="3589" w:type="dxa"/>
                  <w:tcBorders>
                    <w:tl2br w:val="nil"/>
                    <w:tr2bl w:val="nil"/>
                  </w:tcBorders>
                  <w:vAlign w:val="center"/>
                </w:tcPr>
                <w:p w14:paraId="4F35937D">
                  <w:pPr>
                    <w:jc w:val="center"/>
                    <w:rPr>
                      <w:rFonts w:ascii="Times New Roman" w:hAnsi="Times New Roman"/>
                      <w:b/>
                      <w:szCs w:val="21"/>
                    </w:rPr>
                  </w:pPr>
                  <w:r>
                    <w:rPr>
                      <w:rFonts w:ascii="Times New Roman" w:hAnsi="Times New Roman"/>
                      <w:szCs w:val="21"/>
                    </w:rPr>
                    <w:t>配备与辐射类型和辐射水平相适应的防护用品和监测仪器，包括个人剂量报警仪、辐射测量仪器等。</w:t>
                  </w:r>
                </w:p>
              </w:tc>
              <w:tc>
                <w:tcPr>
                  <w:tcW w:w="3465" w:type="dxa"/>
                  <w:tcBorders>
                    <w:tl2br w:val="nil"/>
                    <w:tr2bl w:val="nil"/>
                  </w:tcBorders>
                  <w:vAlign w:val="center"/>
                </w:tcPr>
                <w:p w14:paraId="5048DB36">
                  <w:pPr>
                    <w:jc w:val="center"/>
                    <w:rPr>
                      <w:rFonts w:ascii="Times New Roman" w:hAnsi="Times New Roman"/>
                      <w:b/>
                      <w:szCs w:val="21"/>
                    </w:rPr>
                  </w:pPr>
                  <w:r>
                    <w:rPr>
                      <w:rFonts w:ascii="Times New Roman" w:hAnsi="Times New Roman"/>
                      <w:szCs w:val="21"/>
                    </w:rPr>
                    <w:t>医院需配备个人剂量计、个人剂量报警仪、便携式X-γ辐射监测仪、铅橡胶帽子、铅橡胶围裙等</w:t>
                  </w:r>
                </w:p>
              </w:tc>
              <w:tc>
                <w:tcPr>
                  <w:tcW w:w="1178" w:type="dxa"/>
                  <w:tcBorders>
                    <w:tl2br w:val="nil"/>
                    <w:tr2bl w:val="nil"/>
                  </w:tcBorders>
                  <w:vAlign w:val="center"/>
                </w:tcPr>
                <w:p w14:paraId="0203F281">
                  <w:pPr>
                    <w:jc w:val="center"/>
                    <w:rPr>
                      <w:rFonts w:ascii="Times New Roman" w:hAnsi="Times New Roman"/>
                      <w:b/>
                      <w:szCs w:val="21"/>
                    </w:rPr>
                  </w:pPr>
                  <w:r>
                    <w:rPr>
                      <w:rFonts w:ascii="Times New Roman" w:hAnsi="Times New Roman"/>
                      <w:szCs w:val="21"/>
                    </w:rPr>
                    <w:t>配备后满足要求</w:t>
                  </w:r>
                </w:p>
              </w:tc>
            </w:tr>
            <w:tr w14:paraId="39D3D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l2br w:val="nil"/>
                    <w:tr2bl w:val="nil"/>
                  </w:tcBorders>
                  <w:vAlign w:val="center"/>
                </w:tcPr>
                <w:p w14:paraId="3DA8DB31">
                  <w:pPr>
                    <w:jc w:val="center"/>
                    <w:rPr>
                      <w:rFonts w:ascii="Times New Roman" w:hAnsi="Times New Roman"/>
                      <w:b/>
                      <w:szCs w:val="21"/>
                    </w:rPr>
                  </w:pPr>
                  <w:r>
                    <w:rPr>
                      <w:rFonts w:ascii="Times New Roman" w:hAnsi="Times New Roman"/>
                      <w:szCs w:val="21"/>
                    </w:rPr>
                    <w:t>5</w:t>
                  </w:r>
                </w:p>
              </w:tc>
              <w:tc>
                <w:tcPr>
                  <w:tcW w:w="3589" w:type="dxa"/>
                  <w:tcBorders>
                    <w:tl2br w:val="nil"/>
                    <w:tr2bl w:val="nil"/>
                  </w:tcBorders>
                  <w:vAlign w:val="center"/>
                </w:tcPr>
                <w:p w14:paraId="013F4DF2">
                  <w:pPr>
                    <w:jc w:val="center"/>
                    <w:rPr>
                      <w:rFonts w:ascii="Times New Roman" w:hAnsi="Times New Roman"/>
                      <w:b/>
                      <w:szCs w:val="21"/>
                    </w:rPr>
                  </w:pPr>
                  <w:r>
                    <w:rPr>
                      <w:rFonts w:ascii="Times New Roman" w:hAnsi="Times New Roman"/>
                      <w:szCs w:val="21"/>
                    </w:rPr>
                    <w:t>有健全的操作规程、岗位职责、辐射防护和安全保卫制度、设备检修维护制度、人员培训计划、监测方案</w:t>
                  </w:r>
                </w:p>
              </w:tc>
              <w:tc>
                <w:tcPr>
                  <w:tcW w:w="3465" w:type="dxa"/>
                  <w:tcBorders>
                    <w:tl2br w:val="nil"/>
                    <w:tr2bl w:val="nil"/>
                  </w:tcBorders>
                  <w:vAlign w:val="center"/>
                </w:tcPr>
                <w:p w14:paraId="40C9E368">
                  <w:pPr>
                    <w:jc w:val="center"/>
                    <w:rPr>
                      <w:rFonts w:ascii="Times New Roman" w:hAnsi="Times New Roman"/>
                      <w:b/>
                      <w:szCs w:val="21"/>
                    </w:rPr>
                  </w:pPr>
                  <w:r>
                    <w:rPr>
                      <w:rFonts w:ascii="Times New Roman" w:hAnsi="Times New Roman"/>
                      <w:szCs w:val="21"/>
                    </w:rPr>
                    <w:t>医院需按照要求完善各项规章制度</w:t>
                  </w:r>
                </w:p>
              </w:tc>
              <w:tc>
                <w:tcPr>
                  <w:tcW w:w="1178" w:type="dxa"/>
                  <w:tcBorders>
                    <w:tl2br w:val="nil"/>
                    <w:tr2bl w:val="nil"/>
                  </w:tcBorders>
                  <w:vAlign w:val="center"/>
                </w:tcPr>
                <w:p w14:paraId="7B414736">
                  <w:pPr>
                    <w:jc w:val="center"/>
                    <w:rPr>
                      <w:rFonts w:ascii="Times New Roman" w:hAnsi="Times New Roman"/>
                      <w:b/>
                      <w:szCs w:val="21"/>
                    </w:rPr>
                  </w:pPr>
                  <w:r>
                    <w:rPr>
                      <w:rFonts w:ascii="Times New Roman" w:hAnsi="Times New Roman"/>
                      <w:szCs w:val="21"/>
                    </w:rPr>
                    <w:t>完善后满足要求</w:t>
                  </w:r>
                </w:p>
              </w:tc>
            </w:tr>
            <w:tr w14:paraId="50D349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l2br w:val="nil"/>
                    <w:tr2bl w:val="nil"/>
                  </w:tcBorders>
                  <w:vAlign w:val="center"/>
                </w:tcPr>
                <w:p w14:paraId="39E6D91A">
                  <w:pPr>
                    <w:jc w:val="center"/>
                    <w:rPr>
                      <w:rFonts w:ascii="Times New Roman" w:hAnsi="Times New Roman"/>
                      <w:b/>
                      <w:szCs w:val="21"/>
                    </w:rPr>
                  </w:pPr>
                  <w:r>
                    <w:rPr>
                      <w:rFonts w:ascii="Times New Roman" w:hAnsi="Times New Roman"/>
                      <w:szCs w:val="21"/>
                    </w:rPr>
                    <w:t>6</w:t>
                  </w:r>
                </w:p>
              </w:tc>
              <w:tc>
                <w:tcPr>
                  <w:tcW w:w="3589" w:type="dxa"/>
                  <w:tcBorders>
                    <w:tl2br w:val="nil"/>
                    <w:tr2bl w:val="nil"/>
                  </w:tcBorders>
                  <w:vAlign w:val="center"/>
                </w:tcPr>
                <w:p w14:paraId="4D26458B">
                  <w:pPr>
                    <w:jc w:val="center"/>
                    <w:rPr>
                      <w:rFonts w:ascii="Times New Roman" w:hAnsi="Times New Roman"/>
                      <w:b/>
                      <w:szCs w:val="21"/>
                    </w:rPr>
                  </w:pPr>
                  <w:r>
                    <w:rPr>
                      <w:rFonts w:ascii="Times New Roman" w:hAnsi="Times New Roman"/>
                      <w:szCs w:val="21"/>
                    </w:rPr>
                    <w:t>有完善的辐射事故应急措施</w:t>
                  </w:r>
                </w:p>
              </w:tc>
              <w:tc>
                <w:tcPr>
                  <w:tcW w:w="3465" w:type="dxa"/>
                  <w:tcBorders>
                    <w:tl2br w:val="nil"/>
                    <w:tr2bl w:val="nil"/>
                  </w:tcBorders>
                  <w:vAlign w:val="center"/>
                </w:tcPr>
                <w:p w14:paraId="181D0B97">
                  <w:pPr>
                    <w:jc w:val="center"/>
                    <w:rPr>
                      <w:rFonts w:ascii="Times New Roman" w:hAnsi="Times New Roman"/>
                      <w:b/>
                      <w:szCs w:val="21"/>
                    </w:rPr>
                  </w:pPr>
                  <w:r>
                    <w:rPr>
                      <w:rFonts w:ascii="Times New Roman" w:hAnsi="Times New Roman"/>
                      <w:szCs w:val="21"/>
                    </w:rPr>
                    <w:t>医院已制定有应急响应程序，需补充本项目辐射事故应急措施</w:t>
                  </w:r>
                </w:p>
              </w:tc>
              <w:tc>
                <w:tcPr>
                  <w:tcW w:w="1178" w:type="dxa"/>
                  <w:tcBorders>
                    <w:tl2br w:val="nil"/>
                    <w:tr2bl w:val="nil"/>
                  </w:tcBorders>
                  <w:vAlign w:val="center"/>
                </w:tcPr>
                <w:p w14:paraId="4DB683FE">
                  <w:pPr>
                    <w:jc w:val="center"/>
                    <w:rPr>
                      <w:rFonts w:ascii="Times New Roman" w:hAnsi="Times New Roman"/>
                      <w:b/>
                      <w:szCs w:val="21"/>
                    </w:rPr>
                  </w:pPr>
                  <w:r>
                    <w:rPr>
                      <w:rFonts w:ascii="Times New Roman" w:hAnsi="Times New Roman"/>
                      <w:szCs w:val="21"/>
                    </w:rPr>
                    <w:t>补充后满足要求</w:t>
                  </w:r>
                </w:p>
              </w:tc>
            </w:tr>
            <w:tr w14:paraId="437345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l2br w:val="nil"/>
                    <w:tr2bl w:val="nil"/>
                  </w:tcBorders>
                  <w:vAlign w:val="center"/>
                </w:tcPr>
                <w:p w14:paraId="64C7F563">
                  <w:pPr>
                    <w:jc w:val="center"/>
                    <w:rPr>
                      <w:rFonts w:ascii="Times New Roman" w:hAnsi="Times New Roman"/>
                      <w:b/>
                      <w:szCs w:val="21"/>
                    </w:rPr>
                  </w:pPr>
                  <w:r>
                    <w:rPr>
                      <w:rFonts w:ascii="Times New Roman" w:hAnsi="Times New Roman"/>
                      <w:szCs w:val="21"/>
                    </w:rPr>
                    <w:t>7</w:t>
                  </w:r>
                </w:p>
              </w:tc>
              <w:tc>
                <w:tcPr>
                  <w:tcW w:w="3589" w:type="dxa"/>
                  <w:tcBorders>
                    <w:tl2br w:val="nil"/>
                    <w:tr2bl w:val="nil"/>
                  </w:tcBorders>
                  <w:vAlign w:val="center"/>
                </w:tcPr>
                <w:p w14:paraId="4C7D8AD3">
                  <w:pPr>
                    <w:jc w:val="center"/>
                    <w:rPr>
                      <w:rFonts w:ascii="Times New Roman" w:hAnsi="Times New Roman"/>
                      <w:b/>
                      <w:szCs w:val="21"/>
                    </w:rPr>
                  </w:pPr>
                  <w:r>
                    <w:rPr>
                      <w:rFonts w:ascii="Times New Roman" w:hAnsi="Times New Roman"/>
                      <w:szCs w:val="21"/>
                    </w:rPr>
                    <w:t>产生放射性废气、废液、固体废物的，还应具有确保放射性废气、废液、固体废物达标排放的处理能力或者可行的处理方案</w:t>
                  </w:r>
                </w:p>
              </w:tc>
              <w:tc>
                <w:tcPr>
                  <w:tcW w:w="3465" w:type="dxa"/>
                  <w:tcBorders>
                    <w:tl2br w:val="nil"/>
                    <w:tr2bl w:val="nil"/>
                  </w:tcBorders>
                  <w:vAlign w:val="center"/>
                </w:tcPr>
                <w:p w14:paraId="009C33FE">
                  <w:pPr>
                    <w:jc w:val="center"/>
                    <w:rPr>
                      <w:rFonts w:ascii="Times New Roman" w:hAnsi="Times New Roman"/>
                      <w:b/>
                      <w:szCs w:val="21"/>
                    </w:rPr>
                  </w:pPr>
                  <w:r>
                    <w:rPr>
                      <w:rFonts w:ascii="Times New Roman" w:hAnsi="Times New Roman"/>
                      <w:szCs w:val="21"/>
                    </w:rPr>
                    <w:t>/</w:t>
                  </w:r>
                </w:p>
              </w:tc>
              <w:tc>
                <w:tcPr>
                  <w:tcW w:w="1178" w:type="dxa"/>
                  <w:tcBorders>
                    <w:tl2br w:val="nil"/>
                    <w:tr2bl w:val="nil"/>
                  </w:tcBorders>
                  <w:vAlign w:val="center"/>
                </w:tcPr>
                <w:p w14:paraId="4E4E750B">
                  <w:pPr>
                    <w:jc w:val="center"/>
                    <w:rPr>
                      <w:rFonts w:ascii="Times New Roman" w:hAnsi="Times New Roman"/>
                      <w:b/>
                      <w:szCs w:val="21"/>
                    </w:rPr>
                  </w:pPr>
                  <w:r>
                    <w:rPr>
                      <w:rFonts w:ascii="Times New Roman" w:hAnsi="Times New Roman"/>
                      <w:szCs w:val="21"/>
                    </w:rPr>
                    <w:t>/</w:t>
                  </w:r>
                </w:p>
              </w:tc>
            </w:tr>
            <w:tr w14:paraId="0BD725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l2br w:val="nil"/>
                    <w:tr2bl w:val="nil"/>
                  </w:tcBorders>
                  <w:vAlign w:val="center"/>
                </w:tcPr>
                <w:p w14:paraId="696CB4CA">
                  <w:pPr>
                    <w:jc w:val="center"/>
                    <w:rPr>
                      <w:rFonts w:ascii="Times New Roman" w:hAnsi="Times New Roman"/>
                      <w:b/>
                      <w:szCs w:val="21"/>
                    </w:rPr>
                  </w:pPr>
                  <w:r>
                    <w:rPr>
                      <w:rFonts w:ascii="Times New Roman" w:hAnsi="Times New Roman"/>
                      <w:szCs w:val="21"/>
                    </w:rPr>
                    <w:t>8</w:t>
                  </w:r>
                </w:p>
              </w:tc>
              <w:tc>
                <w:tcPr>
                  <w:tcW w:w="3589" w:type="dxa"/>
                  <w:tcBorders>
                    <w:tl2br w:val="nil"/>
                    <w:tr2bl w:val="nil"/>
                  </w:tcBorders>
                  <w:vAlign w:val="center"/>
                </w:tcPr>
                <w:p w14:paraId="36B922BF">
                  <w:pPr>
                    <w:jc w:val="center"/>
                    <w:rPr>
                      <w:rFonts w:ascii="Times New Roman" w:hAnsi="Times New Roman"/>
                      <w:b/>
                      <w:szCs w:val="21"/>
                    </w:rPr>
                  </w:pPr>
                  <w:r>
                    <w:rPr>
                      <w:rFonts w:ascii="Times New Roman" w:hAnsi="Times New Roman"/>
                      <w:szCs w:val="21"/>
                    </w:rPr>
                    <w:t>使用射线装置开展诊断和治疗的单位，还应当配备质量控制检测设备，制定相应的质量保证大纲和质量控制检测计划，至少有1名医用物理人员负责质量保证与质量控制检测工作</w:t>
                  </w:r>
                </w:p>
              </w:tc>
              <w:tc>
                <w:tcPr>
                  <w:tcW w:w="3465" w:type="dxa"/>
                  <w:tcBorders>
                    <w:tl2br w:val="nil"/>
                    <w:tr2bl w:val="nil"/>
                  </w:tcBorders>
                  <w:vAlign w:val="center"/>
                </w:tcPr>
                <w:p w14:paraId="71972230">
                  <w:pPr>
                    <w:jc w:val="center"/>
                    <w:rPr>
                      <w:rFonts w:ascii="Times New Roman" w:hAnsi="Times New Roman"/>
                      <w:szCs w:val="21"/>
                    </w:rPr>
                  </w:pPr>
                  <w:r>
                    <w:rPr>
                      <w:rFonts w:ascii="Times New Roman" w:hAnsi="Times New Roman"/>
                      <w:szCs w:val="21"/>
                    </w:rPr>
                    <w:t>医院已制定《放射诊疗质量控制制度》，需配备1名医用物理人员负责质量保证与质量控制检测工作。</w:t>
                  </w:r>
                </w:p>
              </w:tc>
              <w:tc>
                <w:tcPr>
                  <w:tcW w:w="1178" w:type="dxa"/>
                  <w:tcBorders>
                    <w:tl2br w:val="nil"/>
                    <w:tr2bl w:val="nil"/>
                  </w:tcBorders>
                  <w:vAlign w:val="center"/>
                </w:tcPr>
                <w:p w14:paraId="64E03E7F">
                  <w:pPr>
                    <w:jc w:val="center"/>
                    <w:rPr>
                      <w:rFonts w:ascii="Times New Roman" w:hAnsi="Times New Roman"/>
                      <w:szCs w:val="21"/>
                    </w:rPr>
                  </w:pPr>
                  <w:r>
                    <w:rPr>
                      <w:rFonts w:ascii="Times New Roman" w:hAnsi="Times New Roman"/>
                      <w:szCs w:val="21"/>
                    </w:rPr>
                    <w:t>配置后满足要求</w:t>
                  </w:r>
                </w:p>
              </w:tc>
            </w:tr>
          </w:tbl>
          <w:p w14:paraId="31CDD47B">
            <w:pPr>
              <w:pStyle w:val="11"/>
              <w:bidi w:val="0"/>
            </w:pPr>
            <w:bookmarkStart w:id="39" w:name="_Toc21894"/>
            <w:bookmarkStart w:id="40" w:name="_Toc20492"/>
            <w:r>
              <w:t>建设单位完成上述内容后，具备《放射性同位素与射线装置安全许可管理办法》中关于使用Ⅱ类射线装置的许可条件。建设单位在具备《辐射安全许可证》申领条件后，及时到四川省生态环境厅申请办理相关业务。</w:t>
            </w:r>
            <w:bookmarkEnd w:id="39"/>
            <w:bookmarkEnd w:id="40"/>
          </w:p>
          <w:p w14:paraId="59AAB947">
            <w:pPr>
              <w:spacing w:line="360" w:lineRule="auto"/>
              <w:outlineLvl w:val="0"/>
              <w:rPr>
                <w:rFonts w:ascii="Times New Roman" w:hAnsi="Times New Roman"/>
                <w:b/>
                <w:sz w:val="28"/>
                <w:szCs w:val="28"/>
              </w:rPr>
            </w:pPr>
            <w:bookmarkStart w:id="41" w:name="_Toc13931"/>
            <w:bookmarkStart w:id="42" w:name="_Toc10224"/>
            <w:r>
              <w:rPr>
                <w:rFonts w:ascii="Times New Roman" w:hAnsi="Times New Roman"/>
                <w:b/>
                <w:sz w:val="28"/>
                <w:szCs w:val="28"/>
              </w:rPr>
              <w:t>五、辐射监测</w:t>
            </w:r>
            <w:bookmarkEnd w:id="38"/>
            <w:bookmarkEnd w:id="41"/>
            <w:bookmarkEnd w:id="42"/>
          </w:p>
          <w:p w14:paraId="58BFF904">
            <w:pPr>
              <w:spacing w:line="360" w:lineRule="auto"/>
              <w:rPr>
                <w:rFonts w:ascii="Times New Roman" w:hAnsi="Times New Roman"/>
                <w:b/>
                <w:bCs/>
                <w:sz w:val="24"/>
              </w:rPr>
            </w:pPr>
            <w:bookmarkStart w:id="43" w:name="_Toc485996500"/>
            <w:r>
              <w:rPr>
                <w:rFonts w:ascii="Times New Roman" w:hAnsi="Times New Roman"/>
                <w:b/>
                <w:bCs/>
                <w:sz w:val="24"/>
              </w:rPr>
              <w:t>1、工作场所监测</w:t>
            </w:r>
            <w:bookmarkEnd w:id="43"/>
          </w:p>
          <w:p w14:paraId="266B10E2">
            <w:pPr>
              <w:pStyle w:val="11"/>
              <w:bidi w:val="0"/>
            </w:pPr>
            <w:r>
              <w:t>年度监测：医院每年应委托有资质的单位对辐射工作场所的剂量进行监测，监测周期为1次/年；年度监测报告应作为《放射性同位素与射线装置安全和防护状况年度评估报告》的重要组成内容一并提交给发证机关。</w:t>
            </w:r>
          </w:p>
          <w:p w14:paraId="451FCE9E">
            <w:pPr>
              <w:pStyle w:val="11"/>
              <w:bidi w:val="0"/>
            </w:pPr>
            <w:r>
              <w:t>自主验收监测：医院在取得《辐射安全许可证》后三个月内，应委托有资质的单位开展1次辐射工作场所验收监测，编制自主验收监测（调查）报告。</w:t>
            </w:r>
            <w:r>
              <w:rPr>
                <w:rFonts w:hint="eastAsia"/>
              </w:rPr>
              <w:t>在进行验收检测时，着重对局部屏蔽和缝隙（如管线洞口及门窗等）进行检测补点。</w:t>
            </w:r>
          </w:p>
          <w:p w14:paraId="5A7C04AF">
            <w:pPr>
              <w:pStyle w:val="11"/>
              <w:bidi w:val="0"/>
            </w:pPr>
            <w:r>
              <w:t>日常自我监测：定期自行开展辐射监测（也可委托有资质的单位进行监测），制定各工作场所的定期监测制度，监测数据应存档备案。</w:t>
            </w:r>
          </w:p>
          <w:p w14:paraId="1C66699E">
            <w:pPr>
              <w:spacing w:line="360" w:lineRule="auto"/>
              <w:rPr>
                <w:rFonts w:ascii="Times New Roman" w:hAnsi="Times New Roman"/>
                <w:b/>
                <w:bCs/>
                <w:sz w:val="24"/>
              </w:rPr>
            </w:pPr>
            <w:bookmarkStart w:id="44" w:name="_Toc485996502"/>
            <w:r>
              <w:rPr>
                <w:rFonts w:ascii="Times New Roman" w:hAnsi="Times New Roman"/>
                <w:b/>
                <w:bCs/>
                <w:sz w:val="24"/>
              </w:rPr>
              <w:t>2、监测内容和要求</w:t>
            </w:r>
            <w:bookmarkEnd w:id="44"/>
          </w:p>
          <w:p w14:paraId="77AA8757">
            <w:pPr>
              <w:pStyle w:val="11"/>
              <w:bidi w:val="0"/>
            </w:pPr>
            <w:r>
              <w:t>（1）监测内容：X-γ空气吸收剂量率。</w:t>
            </w:r>
          </w:p>
          <w:p w14:paraId="6A8FFBB7">
            <w:pPr>
              <w:pStyle w:val="11"/>
              <w:bidi w:val="0"/>
            </w:pPr>
            <w:r>
              <w:t>（2）监测布点及数据管理：本项目监测布点应参考环评提出的监测计划（表12-3）或验收监测布点方案。监测数据应记录完善，并将数据实时汇总，建立好监测数据台账以便核查。</w:t>
            </w:r>
          </w:p>
          <w:p w14:paraId="2CDE87E4">
            <w:pPr>
              <w:spacing w:line="360" w:lineRule="auto"/>
              <w:jc w:val="center"/>
              <w:rPr>
                <w:rFonts w:ascii="Times New Roman" w:hAnsi="Times New Roman"/>
                <w:b/>
                <w:sz w:val="24"/>
              </w:rPr>
            </w:pPr>
            <w:r>
              <w:rPr>
                <w:rFonts w:ascii="Times New Roman" w:hAnsi="Times New Roman"/>
                <w:b/>
                <w:sz w:val="24"/>
              </w:rPr>
              <w:t>表12-3 工作场所监测计划建议</w:t>
            </w:r>
          </w:p>
          <w:tbl>
            <w:tblPr>
              <w:tblStyle w:val="23"/>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58"/>
              <w:gridCol w:w="1155"/>
              <w:gridCol w:w="2152"/>
              <w:gridCol w:w="4535"/>
            </w:tblGrid>
            <w:tr w14:paraId="6BA568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58" w:type="dxa"/>
                  <w:tcBorders>
                    <w:top w:val="single" w:color="auto" w:sz="12" w:space="0"/>
                  </w:tcBorders>
                  <w:vAlign w:val="center"/>
                </w:tcPr>
                <w:p w14:paraId="4D50CA3C">
                  <w:pPr>
                    <w:adjustRightInd w:val="0"/>
                    <w:snapToGrid w:val="0"/>
                    <w:spacing w:before="31" w:beforeLines="10" w:after="31" w:afterLines="10"/>
                    <w:jc w:val="center"/>
                    <w:rPr>
                      <w:rFonts w:ascii="Times New Roman" w:hAnsi="Times New Roman"/>
                      <w:b/>
                      <w:bCs/>
                      <w:snapToGrid w:val="0"/>
                      <w:kern w:val="0"/>
                      <w:szCs w:val="21"/>
                    </w:rPr>
                  </w:pPr>
                  <w:r>
                    <w:rPr>
                      <w:rFonts w:ascii="Times New Roman" w:hAnsi="Times New Roman"/>
                      <w:b/>
                      <w:bCs/>
                      <w:snapToGrid w:val="0"/>
                      <w:kern w:val="0"/>
                      <w:szCs w:val="21"/>
                    </w:rPr>
                    <w:t>设备名称</w:t>
                  </w:r>
                </w:p>
              </w:tc>
              <w:tc>
                <w:tcPr>
                  <w:tcW w:w="1155" w:type="dxa"/>
                  <w:tcBorders>
                    <w:top w:val="single" w:color="auto" w:sz="12" w:space="0"/>
                  </w:tcBorders>
                  <w:vAlign w:val="center"/>
                </w:tcPr>
                <w:p w14:paraId="073306C2">
                  <w:pPr>
                    <w:adjustRightInd w:val="0"/>
                    <w:snapToGrid w:val="0"/>
                    <w:spacing w:before="31" w:beforeLines="10" w:after="31" w:afterLines="10"/>
                    <w:jc w:val="center"/>
                    <w:rPr>
                      <w:rFonts w:ascii="Times New Roman" w:hAnsi="Times New Roman"/>
                      <w:b/>
                      <w:bCs/>
                      <w:snapToGrid w:val="0"/>
                      <w:kern w:val="0"/>
                      <w:szCs w:val="21"/>
                    </w:rPr>
                  </w:pPr>
                  <w:r>
                    <w:rPr>
                      <w:rFonts w:ascii="Times New Roman" w:hAnsi="Times New Roman"/>
                      <w:b/>
                      <w:bCs/>
                      <w:snapToGrid w:val="0"/>
                      <w:kern w:val="0"/>
                      <w:szCs w:val="21"/>
                    </w:rPr>
                    <w:t>监测项目</w:t>
                  </w:r>
                </w:p>
              </w:tc>
              <w:tc>
                <w:tcPr>
                  <w:tcW w:w="2152" w:type="dxa"/>
                  <w:tcBorders>
                    <w:top w:val="single" w:color="auto" w:sz="12" w:space="0"/>
                  </w:tcBorders>
                  <w:vAlign w:val="center"/>
                </w:tcPr>
                <w:p w14:paraId="1FAE80C8">
                  <w:pPr>
                    <w:adjustRightInd w:val="0"/>
                    <w:snapToGrid w:val="0"/>
                    <w:spacing w:before="31" w:beforeLines="10" w:after="31" w:afterLines="10"/>
                    <w:jc w:val="center"/>
                    <w:rPr>
                      <w:rFonts w:ascii="Times New Roman" w:hAnsi="Times New Roman"/>
                      <w:b/>
                      <w:bCs/>
                      <w:snapToGrid w:val="0"/>
                      <w:kern w:val="0"/>
                      <w:szCs w:val="21"/>
                    </w:rPr>
                  </w:pPr>
                  <w:r>
                    <w:rPr>
                      <w:rFonts w:ascii="Times New Roman" w:hAnsi="Times New Roman"/>
                      <w:b/>
                      <w:bCs/>
                      <w:snapToGrid w:val="0"/>
                      <w:kern w:val="0"/>
                      <w:szCs w:val="21"/>
                    </w:rPr>
                    <w:t>监测类别及周期</w:t>
                  </w:r>
                </w:p>
              </w:tc>
              <w:tc>
                <w:tcPr>
                  <w:tcW w:w="4535" w:type="dxa"/>
                  <w:tcBorders>
                    <w:top w:val="single" w:color="auto" w:sz="12" w:space="0"/>
                  </w:tcBorders>
                  <w:vAlign w:val="center"/>
                </w:tcPr>
                <w:p w14:paraId="75163293">
                  <w:pPr>
                    <w:adjustRightInd w:val="0"/>
                    <w:snapToGrid w:val="0"/>
                    <w:spacing w:before="31" w:beforeLines="10" w:after="31" w:afterLines="10"/>
                    <w:jc w:val="center"/>
                    <w:rPr>
                      <w:rFonts w:ascii="Times New Roman" w:hAnsi="Times New Roman"/>
                      <w:b/>
                      <w:bCs/>
                      <w:snapToGrid w:val="0"/>
                      <w:kern w:val="0"/>
                      <w:szCs w:val="21"/>
                    </w:rPr>
                  </w:pPr>
                  <w:r>
                    <w:rPr>
                      <w:rFonts w:ascii="Times New Roman" w:hAnsi="Times New Roman"/>
                      <w:b/>
                      <w:bCs/>
                      <w:snapToGrid w:val="0"/>
                      <w:kern w:val="0"/>
                      <w:szCs w:val="21"/>
                    </w:rPr>
                    <w:t>监测点位</w:t>
                  </w:r>
                </w:p>
              </w:tc>
            </w:tr>
            <w:tr w14:paraId="29FD37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58" w:type="dxa"/>
                  <w:vMerge w:val="restart"/>
                  <w:vAlign w:val="center"/>
                </w:tcPr>
                <w:p w14:paraId="64F7E608">
                  <w:pPr>
                    <w:adjustRightInd w:val="0"/>
                    <w:snapToGrid w:val="0"/>
                    <w:spacing w:before="31" w:beforeLines="10" w:after="31" w:afterLines="10"/>
                    <w:jc w:val="center"/>
                    <w:rPr>
                      <w:rFonts w:ascii="Times New Roman" w:hAnsi="Times New Roman"/>
                      <w:szCs w:val="21"/>
                    </w:rPr>
                  </w:pPr>
                  <w:r>
                    <w:rPr>
                      <w:rFonts w:ascii="Times New Roman" w:hAnsi="Times New Roman"/>
                      <w:szCs w:val="21"/>
                    </w:rPr>
                    <w:t>DSA</w:t>
                  </w:r>
                </w:p>
              </w:tc>
              <w:tc>
                <w:tcPr>
                  <w:tcW w:w="1155" w:type="dxa"/>
                  <w:vMerge w:val="restart"/>
                  <w:vAlign w:val="center"/>
                </w:tcPr>
                <w:p w14:paraId="2DEB4659">
                  <w:pPr>
                    <w:adjustRightInd w:val="0"/>
                    <w:snapToGrid w:val="0"/>
                    <w:spacing w:before="31" w:beforeLines="10" w:after="31" w:afterLines="10"/>
                    <w:jc w:val="center"/>
                    <w:rPr>
                      <w:rFonts w:ascii="Times New Roman" w:hAnsi="Times New Roman"/>
                      <w:snapToGrid w:val="0"/>
                      <w:kern w:val="0"/>
                      <w:szCs w:val="21"/>
                    </w:rPr>
                  </w:pPr>
                  <w:r>
                    <w:rPr>
                      <w:rFonts w:ascii="Times New Roman" w:hAnsi="Times New Roman"/>
                      <w:snapToGrid w:val="0"/>
                      <w:kern w:val="0"/>
                      <w:szCs w:val="21"/>
                    </w:rPr>
                    <w:t>X-γ空气吸收剂量率</w:t>
                  </w:r>
                </w:p>
              </w:tc>
              <w:tc>
                <w:tcPr>
                  <w:tcW w:w="2152" w:type="dxa"/>
                  <w:vAlign w:val="center"/>
                </w:tcPr>
                <w:p w14:paraId="47CD0EAC">
                  <w:pPr>
                    <w:adjustRightInd w:val="0"/>
                    <w:snapToGrid w:val="0"/>
                    <w:spacing w:before="31" w:beforeLines="10" w:after="31" w:afterLines="10"/>
                    <w:jc w:val="center"/>
                    <w:rPr>
                      <w:rFonts w:ascii="Times New Roman" w:hAnsi="Times New Roman"/>
                      <w:snapToGrid w:val="0"/>
                      <w:kern w:val="0"/>
                      <w:szCs w:val="21"/>
                    </w:rPr>
                  </w:pPr>
                  <w:r>
                    <w:rPr>
                      <w:rFonts w:ascii="Times New Roman" w:hAnsi="Times New Roman"/>
                      <w:snapToGrid w:val="0"/>
                      <w:kern w:val="0"/>
                      <w:szCs w:val="21"/>
                    </w:rPr>
                    <w:t>验收监测1次</w:t>
                  </w:r>
                </w:p>
              </w:tc>
              <w:tc>
                <w:tcPr>
                  <w:tcW w:w="4535" w:type="dxa"/>
                  <w:vAlign w:val="center"/>
                </w:tcPr>
                <w:p w14:paraId="6C2041E9">
                  <w:pPr>
                    <w:keepNext/>
                    <w:jc w:val="center"/>
                    <w:rPr>
                      <w:rFonts w:ascii="Times New Roman" w:hAnsi="Times New Roman"/>
                      <w:szCs w:val="21"/>
                    </w:rPr>
                  </w:pPr>
                  <w:r>
                    <w:rPr>
                      <w:rFonts w:ascii="Times New Roman" w:hAnsi="Times New Roman"/>
                      <w:snapToGrid w:val="0"/>
                      <w:kern w:val="0"/>
                      <w:szCs w:val="21"/>
                    </w:rPr>
                    <w:t>铅窗，操作位，防护门及门缝</w:t>
                  </w:r>
                  <w:r>
                    <w:rPr>
                      <w:rFonts w:ascii="Times New Roman" w:hAnsi="Times New Roman"/>
                      <w:szCs w:val="21"/>
                    </w:rPr>
                    <w:t>、管线穿墙孔洞、机房四周、正上方等。</w:t>
                  </w:r>
                </w:p>
              </w:tc>
            </w:tr>
            <w:tr w14:paraId="5D677B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58" w:type="dxa"/>
                  <w:vMerge w:val="continue"/>
                  <w:vAlign w:val="center"/>
                </w:tcPr>
                <w:p w14:paraId="6B11E189">
                  <w:pPr>
                    <w:adjustRightInd w:val="0"/>
                    <w:snapToGrid w:val="0"/>
                    <w:spacing w:before="31" w:beforeLines="10" w:after="31" w:afterLines="10"/>
                    <w:jc w:val="center"/>
                    <w:rPr>
                      <w:rFonts w:ascii="Times New Roman" w:hAnsi="Times New Roman"/>
                      <w:szCs w:val="21"/>
                    </w:rPr>
                  </w:pPr>
                </w:p>
              </w:tc>
              <w:tc>
                <w:tcPr>
                  <w:tcW w:w="1155" w:type="dxa"/>
                  <w:vMerge w:val="continue"/>
                  <w:vAlign w:val="center"/>
                </w:tcPr>
                <w:p w14:paraId="499E45A7">
                  <w:pPr>
                    <w:adjustRightInd w:val="0"/>
                    <w:snapToGrid w:val="0"/>
                    <w:spacing w:before="31" w:beforeLines="10" w:after="31" w:afterLines="10"/>
                    <w:jc w:val="center"/>
                    <w:rPr>
                      <w:rFonts w:ascii="Times New Roman" w:hAnsi="Times New Roman"/>
                      <w:snapToGrid w:val="0"/>
                      <w:kern w:val="0"/>
                      <w:szCs w:val="21"/>
                    </w:rPr>
                  </w:pPr>
                </w:p>
              </w:tc>
              <w:tc>
                <w:tcPr>
                  <w:tcW w:w="2152" w:type="dxa"/>
                  <w:vAlign w:val="center"/>
                </w:tcPr>
                <w:p w14:paraId="6049628D">
                  <w:pPr>
                    <w:adjustRightInd w:val="0"/>
                    <w:snapToGrid w:val="0"/>
                    <w:spacing w:before="31" w:beforeLines="10" w:after="31" w:afterLines="10"/>
                    <w:jc w:val="center"/>
                    <w:rPr>
                      <w:rFonts w:ascii="Times New Roman" w:hAnsi="Times New Roman"/>
                      <w:snapToGrid w:val="0"/>
                      <w:kern w:val="0"/>
                      <w:szCs w:val="21"/>
                    </w:rPr>
                  </w:pPr>
                  <w:r>
                    <w:rPr>
                      <w:rFonts w:ascii="Times New Roman" w:hAnsi="Times New Roman"/>
                      <w:snapToGrid w:val="0"/>
                      <w:kern w:val="0"/>
                      <w:szCs w:val="21"/>
                    </w:rPr>
                    <w:t>委托有资质的单位进行监测，频率为1次/年</w:t>
                  </w:r>
                </w:p>
              </w:tc>
              <w:tc>
                <w:tcPr>
                  <w:tcW w:w="4535" w:type="dxa"/>
                  <w:vAlign w:val="center"/>
                </w:tcPr>
                <w:p w14:paraId="7620DEB1">
                  <w:pPr>
                    <w:widowControl/>
                    <w:jc w:val="center"/>
                    <w:rPr>
                      <w:rFonts w:ascii="Times New Roman" w:hAnsi="Times New Roman"/>
                      <w:szCs w:val="21"/>
                    </w:rPr>
                  </w:pPr>
                  <w:r>
                    <w:rPr>
                      <w:rFonts w:ascii="Times New Roman" w:hAnsi="Times New Roman"/>
                      <w:kern w:val="0"/>
                      <w:szCs w:val="21"/>
                      <w:lang w:bidi="ar"/>
                    </w:rPr>
                    <w:t>对辐射工作场所和周围环境的辐射水平进行监测，每年1次；</w:t>
                  </w:r>
                </w:p>
                <w:p w14:paraId="5CDD03F9">
                  <w:pPr>
                    <w:widowControl/>
                    <w:jc w:val="center"/>
                    <w:rPr>
                      <w:rFonts w:ascii="Times New Roman" w:hAnsi="Times New Roman"/>
                      <w:snapToGrid w:val="0"/>
                      <w:kern w:val="0"/>
                      <w:szCs w:val="21"/>
                    </w:rPr>
                  </w:pPr>
                  <w:r>
                    <w:rPr>
                      <w:rFonts w:ascii="Times New Roman" w:hAnsi="Times New Roman"/>
                      <w:kern w:val="0"/>
                      <w:szCs w:val="21"/>
                      <w:lang w:bidi="ar"/>
                    </w:rPr>
                    <w:t>对产生辐射的仪器设备进行防护监测，包括仪器设备防护性能的检测，每年1次。</w:t>
                  </w:r>
                </w:p>
              </w:tc>
            </w:tr>
            <w:tr w14:paraId="7D394A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58" w:type="dxa"/>
                  <w:vMerge w:val="continue"/>
                  <w:tcBorders>
                    <w:bottom w:val="single" w:color="auto" w:sz="12" w:space="0"/>
                  </w:tcBorders>
                  <w:vAlign w:val="center"/>
                </w:tcPr>
                <w:p w14:paraId="76A40866">
                  <w:pPr>
                    <w:adjustRightInd w:val="0"/>
                    <w:snapToGrid w:val="0"/>
                    <w:spacing w:before="31" w:beforeLines="10" w:after="31" w:afterLines="10"/>
                    <w:jc w:val="center"/>
                    <w:rPr>
                      <w:rFonts w:ascii="Times New Roman" w:hAnsi="Times New Roman"/>
                      <w:szCs w:val="21"/>
                    </w:rPr>
                  </w:pPr>
                </w:p>
              </w:tc>
              <w:tc>
                <w:tcPr>
                  <w:tcW w:w="1155" w:type="dxa"/>
                  <w:vMerge w:val="continue"/>
                  <w:tcBorders>
                    <w:bottom w:val="single" w:color="auto" w:sz="12" w:space="0"/>
                  </w:tcBorders>
                  <w:vAlign w:val="center"/>
                </w:tcPr>
                <w:p w14:paraId="09661FAE">
                  <w:pPr>
                    <w:adjustRightInd w:val="0"/>
                    <w:snapToGrid w:val="0"/>
                    <w:spacing w:before="31" w:beforeLines="10" w:after="31" w:afterLines="10"/>
                    <w:jc w:val="center"/>
                    <w:rPr>
                      <w:rFonts w:ascii="Times New Roman" w:hAnsi="Times New Roman"/>
                      <w:snapToGrid w:val="0"/>
                      <w:kern w:val="0"/>
                      <w:szCs w:val="21"/>
                    </w:rPr>
                  </w:pPr>
                </w:p>
              </w:tc>
              <w:tc>
                <w:tcPr>
                  <w:tcW w:w="2152" w:type="dxa"/>
                  <w:tcBorders>
                    <w:bottom w:val="single" w:color="auto" w:sz="12" w:space="0"/>
                  </w:tcBorders>
                  <w:vAlign w:val="center"/>
                </w:tcPr>
                <w:p w14:paraId="524CD033">
                  <w:pPr>
                    <w:adjustRightInd w:val="0"/>
                    <w:snapToGrid w:val="0"/>
                    <w:spacing w:before="31" w:beforeLines="10" w:after="31" w:afterLines="10"/>
                    <w:jc w:val="center"/>
                    <w:rPr>
                      <w:rFonts w:ascii="Times New Roman" w:hAnsi="Times New Roman"/>
                      <w:snapToGrid w:val="0"/>
                      <w:kern w:val="0"/>
                      <w:szCs w:val="21"/>
                    </w:rPr>
                  </w:pPr>
                  <w:r>
                    <w:rPr>
                      <w:rFonts w:ascii="Times New Roman" w:hAnsi="Times New Roman"/>
                      <w:snapToGrid w:val="0"/>
                      <w:kern w:val="0"/>
                      <w:szCs w:val="21"/>
                    </w:rPr>
                    <w:t>自行开展辐射监测，</w:t>
                  </w:r>
                  <w:r>
                    <w:rPr>
                      <w:rFonts w:ascii="Times New Roman" w:hAnsi="Times New Roman"/>
                      <w:kern w:val="0"/>
                      <w:szCs w:val="21"/>
                      <w:lang w:bidi="ar"/>
                    </w:rPr>
                    <w:t>建议监测周期为1次/月</w:t>
                  </w:r>
                </w:p>
              </w:tc>
              <w:tc>
                <w:tcPr>
                  <w:tcW w:w="4535" w:type="dxa"/>
                  <w:tcBorders>
                    <w:bottom w:val="single" w:color="auto" w:sz="12" w:space="0"/>
                  </w:tcBorders>
                  <w:vAlign w:val="center"/>
                </w:tcPr>
                <w:p w14:paraId="2612796C">
                  <w:pPr>
                    <w:widowControl/>
                    <w:jc w:val="center"/>
                    <w:rPr>
                      <w:rFonts w:ascii="Times New Roman" w:hAnsi="Times New Roman"/>
                      <w:snapToGrid w:val="0"/>
                      <w:kern w:val="0"/>
                      <w:szCs w:val="21"/>
                    </w:rPr>
                  </w:pPr>
                  <w:r>
                    <w:rPr>
                      <w:rFonts w:ascii="Times New Roman" w:hAnsi="Times New Roman"/>
                      <w:kern w:val="0"/>
                      <w:szCs w:val="21"/>
                      <w:lang w:bidi="ar"/>
                    </w:rPr>
                    <w:t>制定定期监测制度，监测数据存档。</w:t>
                  </w:r>
                </w:p>
              </w:tc>
            </w:tr>
          </w:tbl>
          <w:p w14:paraId="189F8889">
            <w:pPr>
              <w:pStyle w:val="11"/>
              <w:bidi w:val="0"/>
            </w:pPr>
            <w:r>
              <w:t>（3）监测范围：控制区和监督区域及周围环境</w:t>
            </w:r>
          </w:p>
          <w:p w14:paraId="5DFF3761">
            <w:pPr>
              <w:pStyle w:val="11"/>
              <w:bidi w:val="0"/>
            </w:pPr>
            <w:r>
              <w:t>（4）监测质量保证</w:t>
            </w:r>
          </w:p>
          <w:p w14:paraId="7B199C0C">
            <w:pPr>
              <w:pStyle w:val="11"/>
              <w:bidi w:val="0"/>
            </w:pPr>
            <w:r>
              <w:t>①落实监测仪表使用、校验管理制度，并利用监测单位的监测数据与医院监测仪器的监测数据进行比对，建立监测仪器比对档案；或委托有资质的单位对监测仪器进行检定/校核；</w:t>
            </w:r>
          </w:p>
          <w:p w14:paraId="7D678F25">
            <w:pPr>
              <w:pStyle w:val="11"/>
              <w:bidi w:val="0"/>
            </w:pPr>
            <w:r>
              <w:t>②采用国家颁布的标准方法或推荐方法，其中自我监测可参照有资质的监测机构出具的监测报告中的方法；</w:t>
            </w:r>
          </w:p>
          <w:p w14:paraId="25176D4B">
            <w:pPr>
              <w:pStyle w:val="11"/>
              <w:bidi w:val="0"/>
            </w:pPr>
            <w:r>
              <w:t>③完善辐射工作场所环境监测管理制度。</w:t>
            </w:r>
          </w:p>
          <w:p w14:paraId="448F42BB">
            <w:pPr>
              <w:pStyle w:val="11"/>
              <w:bidi w:val="0"/>
            </w:pPr>
            <w:r>
              <w:t>此外，医院需定期和不定期对辐射工作场所进行监测，随时掌握辐射工作场所剂量变化情况，发现问题及时维护、整改。做好监测数据的审核，制定相应的报送程序，监测数据及报送情况存档备查。</w:t>
            </w:r>
          </w:p>
          <w:p w14:paraId="6B9F856C">
            <w:pPr>
              <w:spacing w:line="360" w:lineRule="auto"/>
              <w:rPr>
                <w:rFonts w:ascii="Times New Roman" w:hAnsi="Times New Roman"/>
                <w:b/>
                <w:bCs/>
                <w:sz w:val="24"/>
              </w:rPr>
            </w:pPr>
            <w:bookmarkStart w:id="45" w:name="_Toc485996501"/>
            <w:r>
              <w:rPr>
                <w:rFonts w:ascii="Times New Roman" w:hAnsi="Times New Roman"/>
                <w:b/>
                <w:bCs/>
                <w:sz w:val="24"/>
              </w:rPr>
              <w:t>3、个人</w:t>
            </w:r>
            <w:bookmarkEnd w:id="45"/>
            <w:r>
              <w:rPr>
                <w:rFonts w:ascii="Times New Roman" w:hAnsi="Times New Roman"/>
                <w:b/>
                <w:bCs/>
                <w:sz w:val="24"/>
              </w:rPr>
              <w:t>剂量检测</w:t>
            </w:r>
          </w:p>
          <w:p w14:paraId="72806837">
            <w:pPr>
              <w:pStyle w:val="11"/>
              <w:bidi w:val="0"/>
            </w:pPr>
            <w:r>
              <w:t>个人剂量监测主要是利用个人剂量计进行外照射个人累积剂量监测，每名辐射工作人员需佩戴个人剂量计，监测周期为1次/季。</w:t>
            </w:r>
          </w:p>
          <w:p w14:paraId="4E322F21">
            <w:pPr>
              <w:pStyle w:val="11"/>
              <w:bidi w:val="0"/>
              <w:rPr>
                <w:rFonts w:ascii="Times New Roman" w:hAnsi="Times New Roman" w:cs="Times New Roman"/>
                <w:b/>
                <w:color w:val="auto"/>
              </w:rPr>
            </w:pPr>
            <w:r>
              <w:rPr>
                <w:b/>
                <w:bCs/>
              </w:rPr>
              <w:t>医院须严格按照《职业性外照射个人监测规范》（GBZ128-2019）的要求配发个人剂量计，要求辐射工作人员正确</w:t>
            </w:r>
            <w:r>
              <w:rPr>
                <w:rFonts w:hint="eastAsia"/>
                <w:b/>
                <w:bCs/>
                <w:lang w:val="en-US" w:eastAsia="zh-CN"/>
              </w:rPr>
              <w:t>佩戴</w:t>
            </w:r>
            <w:r>
              <w:rPr>
                <w:b/>
                <w:bCs/>
              </w:rPr>
              <w:t>个人剂量计（DSA机房内辐射工作人员佩戴双剂量计，铅衣内外各1个），每季度由专人负责回收后交由有资质的检测单位进行检测，按照要求建立个人剂量档案，并将个人剂量档案终生保存。对于每季度检测数值超过1.25mSv的，医院要及时进行干预，查明原因，撰写调查报告并由当事人在调查报告上签字确认，采取防护措施减少或者避免过量照射；若全年个人积剂量检测数值超过5mSv，医院应当立即暂停该辐射工作人员继续从事放射诊疗作业，同时进行原因调查，撰写正式调查报告，经本人签字确认后通过年度评估报告上报发证机关；当单次个人累积剂量检测数值超过20mSv，应立即开展调查并报告辐射安全许可证发证机关，启动辐射事故应急处置程序。个人剂量检测报告及有关调查报告均应存档备查。</w:t>
            </w:r>
          </w:p>
          <w:p w14:paraId="5E66D1AD">
            <w:pPr>
              <w:widowControl/>
              <w:snapToGrid w:val="0"/>
              <w:spacing w:line="360" w:lineRule="auto"/>
              <w:rPr>
                <w:rFonts w:ascii="Times New Roman" w:hAnsi="Times New Roman"/>
                <w:b/>
                <w:bCs/>
                <w:sz w:val="28"/>
                <w:szCs w:val="28"/>
              </w:rPr>
            </w:pPr>
            <w:r>
              <w:rPr>
                <w:rFonts w:hint="eastAsia" w:ascii="Times New Roman" w:hAnsi="Times New Roman"/>
                <w:b/>
                <w:bCs/>
                <w:sz w:val="28"/>
                <w:szCs w:val="28"/>
                <w:lang w:val="en-US" w:eastAsia="zh-CN"/>
              </w:rPr>
              <w:t>六</w:t>
            </w:r>
            <w:r>
              <w:rPr>
                <w:rFonts w:ascii="Times New Roman" w:hAnsi="Times New Roman"/>
                <w:b/>
                <w:bCs/>
                <w:sz w:val="28"/>
                <w:szCs w:val="28"/>
              </w:rPr>
              <w:t>、年度监测报告情况</w:t>
            </w:r>
          </w:p>
          <w:p w14:paraId="4619686D">
            <w:pPr>
              <w:pStyle w:val="11"/>
              <w:bidi w:val="0"/>
            </w:pPr>
            <w:r>
              <w:t>医院应于每年1月31日前向发证机关提交上年度的《放射性同位素与射线装置安全和防护状况年度评估报告》，近一年（四个季度）个人剂量检测报告和辐射工作场所年度监测报告应作为《放射性同位素与射线装置安全和防护状况年度评估报告》的重要组成内容一并提交给发证机关。医院应按照</w:t>
            </w:r>
            <w:r>
              <w:rPr>
                <w:rFonts w:hint="eastAsia"/>
                <w:lang w:eastAsia="zh-CN"/>
              </w:rPr>
              <w:t>《</w:t>
            </w:r>
            <w:r>
              <w:rPr>
                <w:rFonts w:hint="eastAsia"/>
              </w:rPr>
              <w:t>四川省核技术利用单位辐射安全工作指引</w:t>
            </w:r>
            <w:r>
              <w:rPr>
                <w:rFonts w:hint="eastAsia"/>
                <w:lang w:eastAsia="zh-CN"/>
              </w:rPr>
              <w:t>》（</w:t>
            </w:r>
            <w:r>
              <w:rPr>
                <w:rFonts w:hint="eastAsia"/>
              </w:rPr>
              <w:t>2025年版</w:t>
            </w:r>
            <w:r>
              <w:rPr>
                <w:rFonts w:hint="eastAsia"/>
                <w:lang w:eastAsia="zh-CN"/>
              </w:rPr>
              <w:t>）</w:t>
            </w:r>
            <w:r>
              <w:t>规定的格式编写《放射性同位素与射线装置安全和防护状况年度评估报告》。医院必须在“全国核技术利用辐射安全申报系统”（网址</w:t>
            </w:r>
            <w:r>
              <w:fldChar w:fldCharType="begin"/>
            </w:r>
            <w:r>
              <w:instrText xml:space="preserve"> HYPERLINK "http://rr.mep.gov.cn/" </w:instrText>
            </w:r>
            <w:r>
              <w:fldChar w:fldCharType="separate"/>
            </w:r>
            <w:r>
              <w:rPr>
                <w:rStyle w:val="28"/>
                <w:rFonts w:ascii="Times New Roman" w:hAnsi="Times New Roman"/>
                <w:color w:val="auto"/>
                <w:szCs w:val="24"/>
              </w:rPr>
              <w:t>http</w:t>
            </w:r>
            <w:r>
              <w:rPr>
                <w:rStyle w:val="28"/>
                <w:rFonts w:hint="eastAsia" w:ascii="Times New Roman" w:hAnsi="Times New Roman"/>
                <w:color w:val="auto"/>
                <w:szCs w:val="24"/>
                <w:lang w:eastAsia="zh-CN"/>
              </w:rPr>
              <w:t>：</w:t>
            </w:r>
            <w:r>
              <w:rPr>
                <w:rStyle w:val="28"/>
                <w:rFonts w:ascii="Times New Roman" w:hAnsi="Times New Roman"/>
                <w:color w:val="auto"/>
                <w:szCs w:val="24"/>
              </w:rPr>
              <w:t>//rr.mee.gov.cn/</w:t>
            </w:r>
            <w:r>
              <w:rPr>
                <w:rStyle w:val="28"/>
                <w:rFonts w:ascii="Times New Roman" w:hAnsi="Times New Roman"/>
                <w:color w:val="auto"/>
                <w:szCs w:val="24"/>
              </w:rPr>
              <w:fldChar w:fldCharType="end"/>
            </w:r>
            <w:r>
              <w:t>）中实施申报登记。延续、变更许可证，新增或注销射线装置以及单位信息变更、个人剂量、年度评估报告等信息均应及时在系统中申报。</w:t>
            </w:r>
          </w:p>
          <w:p w14:paraId="697D4647">
            <w:pPr>
              <w:keepNext/>
              <w:spacing w:line="360" w:lineRule="auto"/>
              <w:rPr>
                <w:rFonts w:ascii="Times New Roman" w:hAnsi="Times New Roman"/>
                <w:b/>
                <w:sz w:val="28"/>
                <w:szCs w:val="28"/>
              </w:rPr>
            </w:pPr>
            <w:r>
              <w:rPr>
                <w:rFonts w:hint="eastAsia" w:ascii="Times New Roman" w:hAnsi="Times New Roman"/>
                <w:b/>
                <w:sz w:val="28"/>
                <w:szCs w:val="28"/>
                <w:lang w:val="en-US" w:eastAsia="zh-CN"/>
              </w:rPr>
              <w:t>七</w:t>
            </w:r>
            <w:r>
              <w:rPr>
                <w:rFonts w:ascii="Times New Roman" w:hAnsi="Times New Roman"/>
                <w:b/>
                <w:sz w:val="28"/>
                <w:szCs w:val="28"/>
              </w:rPr>
              <w:t>、辐射事故应急</w:t>
            </w:r>
          </w:p>
          <w:p w14:paraId="4DAFDD30">
            <w:pPr>
              <w:spacing w:line="360" w:lineRule="auto"/>
              <w:rPr>
                <w:rFonts w:ascii="Times New Roman" w:hAnsi="Times New Roman"/>
                <w:b/>
                <w:bCs/>
                <w:sz w:val="24"/>
              </w:rPr>
            </w:pPr>
            <w:r>
              <w:rPr>
                <w:rFonts w:ascii="Times New Roman" w:hAnsi="Times New Roman"/>
                <w:b/>
                <w:bCs/>
                <w:sz w:val="24"/>
              </w:rPr>
              <w:t>1、事故应急预案</w:t>
            </w:r>
          </w:p>
          <w:p w14:paraId="1A38A570">
            <w:pPr>
              <w:pStyle w:val="11"/>
              <w:bidi w:val="0"/>
            </w:pPr>
            <w:r>
              <w:t>为了应对辐射事故和突发事件，医院制订了辐射事故应急预案。</w:t>
            </w:r>
          </w:p>
          <w:p w14:paraId="4C98501D">
            <w:pPr>
              <w:pStyle w:val="30"/>
              <w:spacing w:line="360" w:lineRule="auto"/>
              <w:ind w:firstLine="482" w:firstLineChars="200"/>
              <w:jc w:val="both"/>
              <w:rPr>
                <w:rFonts w:ascii="Times New Roman" w:hAnsi="Times New Roman"/>
                <w:b/>
                <w:color w:val="auto"/>
                <w:kern w:val="2"/>
              </w:rPr>
            </w:pPr>
            <w:r>
              <w:rPr>
                <w:rFonts w:ascii="Times New Roman" w:hAnsi="Times New Roman"/>
                <w:b/>
                <w:color w:val="auto"/>
                <w:kern w:val="2"/>
              </w:rPr>
              <w:t>（1）医院现有辐射事故应急预案内容</w:t>
            </w:r>
          </w:p>
          <w:p w14:paraId="027A2252">
            <w:pPr>
              <w:pStyle w:val="11"/>
              <w:bidi w:val="0"/>
            </w:pPr>
            <w:r>
              <w:t>医院现有辐射事故应急预案内容包括：应急机构人员组成，辐射事故现场应急处理程序，辐射事故分级与应急响应措施，辐射事故调查、报告和处理程序，培训演练，预案管理。</w:t>
            </w:r>
          </w:p>
          <w:p w14:paraId="6AF41AB7">
            <w:pPr>
              <w:pStyle w:val="30"/>
              <w:spacing w:line="360" w:lineRule="auto"/>
              <w:ind w:firstLine="482" w:firstLineChars="200"/>
              <w:jc w:val="both"/>
              <w:rPr>
                <w:rFonts w:ascii="Times New Roman" w:hAnsi="Times New Roman"/>
                <w:b/>
                <w:color w:val="auto"/>
                <w:kern w:val="2"/>
              </w:rPr>
            </w:pPr>
            <w:r>
              <w:rPr>
                <w:rFonts w:ascii="Times New Roman" w:hAnsi="Times New Roman"/>
                <w:b/>
                <w:color w:val="auto"/>
                <w:kern w:val="2"/>
              </w:rPr>
              <w:t>（2）本项目辐射事故应急预案可行性分析</w:t>
            </w:r>
          </w:p>
          <w:p w14:paraId="006A773E">
            <w:pPr>
              <w:pStyle w:val="11"/>
              <w:bidi w:val="0"/>
            </w:pPr>
            <w:r>
              <w:t>医院现有辐射事故应急预案内容包括了应急组织体系和职责、应急处理程序、上报电话等，仍需补充完善以下内容：</w:t>
            </w:r>
          </w:p>
          <w:p w14:paraId="5D7901CD">
            <w:pPr>
              <w:pStyle w:val="11"/>
              <w:bidi w:val="0"/>
            </w:pPr>
            <w:r>
              <w:t>①增加环境风险因子、潜在危害、事故等级等内容。</w:t>
            </w:r>
          </w:p>
          <w:p w14:paraId="3E3D4893">
            <w:pPr>
              <w:pStyle w:val="11"/>
              <w:bidi w:val="0"/>
            </w:pPr>
            <w:r>
              <w:t>②辐射事故风险评估和辐射事故应急预案，应报送所在地县级地方人民政府环境保护主管部门备案。</w:t>
            </w:r>
          </w:p>
          <w:p w14:paraId="6AAB209D">
            <w:pPr>
              <w:pStyle w:val="11"/>
              <w:bidi w:val="0"/>
            </w:pPr>
            <w:r>
              <w:t>③在预案的实施中，应根据国家发布新的相关法规内容，结合医院实际及时对预案作补充修改，使之更能符合实际需要。</w:t>
            </w:r>
          </w:p>
          <w:p w14:paraId="2C6B772A">
            <w:pPr>
              <w:spacing w:line="360" w:lineRule="auto"/>
              <w:rPr>
                <w:rFonts w:ascii="Times New Roman" w:hAnsi="Times New Roman"/>
                <w:b/>
                <w:bCs/>
                <w:sz w:val="24"/>
              </w:rPr>
            </w:pPr>
            <w:r>
              <w:rPr>
                <w:rFonts w:ascii="Times New Roman" w:hAnsi="Times New Roman"/>
                <w:b/>
                <w:bCs/>
                <w:sz w:val="24"/>
              </w:rPr>
              <w:t>2、应急措施</w:t>
            </w:r>
          </w:p>
          <w:p w14:paraId="0DEE859A">
            <w:pPr>
              <w:pStyle w:val="11"/>
              <w:bidi w:val="0"/>
            </w:pPr>
            <w:r>
              <w:t>若本项目发生了辐射事故，项目单位应迅速、有效的采取以下应急措施：</w:t>
            </w:r>
          </w:p>
          <w:p w14:paraId="4BD8C6D0">
            <w:pPr>
              <w:pStyle w:val="11"/>
              <w:bidi w:val="0"/>
            </w:pPr>
            <w:r>
              <w:t>（1）发现误照射事故时，工作人员应立即切断电源，将病人撤出机房，关闭机房门，同时向医院主管领导报告。</w:t>
            </w:r>
          </w:p>
          <w:p w14:paraId="7849465E">
            <w:pPr>
              <w:pStyle w:val="11"/>
              <w:bidi w:val="0"/>
            </w:pPr>
            <w:r>
              <w:t>（2）医院根据估算的超剂量值，尽快安排误照人员进行检查或在指定的医疗机构救治；对可能受放射损伤的人员，应立即采取暂时隔离和应急救援措施。</w:t>
            </w:r>
          </w:p>
          <w:p w14:paraId="61204E4F">
            <w:pPr>
              <w:pStyle w:val="11"/>
              <w:bidi w:val="0"/>
            </w:pPr>
            <w:r>
              <w:t>（3）事故发生后的2小时内填写《辐射事故初始报告表》，向生态环境主管部门公安部门报告。造成或可能造成超剂量照射的，还应同时向当地卫生行政部门报告。</w:t>
            </w:r>
          </w:p>
          <w:p w14:paraId="412E5B3A">
            <w:pPr>
              <w:pStyle w:val="11"/>
              <w:bidi w:val="0"/>
            </w:pPr>
            <w:r>
              <w:t>（4）最后查清事故原因，分清责任，消除事故隐患。</w:t>
            </w:r>
          </w:p>
          <w:p w14:paraId="54B66E4D">
            <w:pPr>
              <w:keepNext/>
              <w:spacing w:line="360" w:lineRule="auto"/>
              <w:rPr>
                <w:rFonts w:ascii="Times New Roman" w:hAnsi="Times New Roman"/>
                <w:sz w:val="24"/>
              </w:rPr>
            </w:pPr>
          </w:p>
        </w:tc>
      </w:tr>
    </w:tbl>
    <w:p w14:paraId="0204D3EF">
      <w:pPr>
        <w:pStyle w:val="4"/>
        <w:numPr>
          <w:ilvl w:val="2"/>
          <w:numId w:val="0"/>
        </w:numPr>
        <w:rPr>
          <w:rFonts w:ascii="Times New Roman" w:hAnsi="Times New Roman"/>
        </w:rPr>
      </w:pPr>
      <w:bookmarkStart w:id="46" w:name="_Toc24243"/>
      <w:bookmarkStart w:id="47" w:name="_Toc29033"/>
      <w:r>
        <w:rPr>
          <w:rFonts w:ascii="Times New Roman" w:hAnsi="Times New Roman"/>
        </w:rPr>
        <w:t>表13 结论与建议</w:t>
      </w:r>
      <w:bookmarkEnd w:id="46"/>
      <w:bookmarkEnd w:id="47"/>
    </w:p>
    <w:tbl>
      <w:tblPr>
        <w:tblStyle w:val="23"/>
        <w:tblW w:w="0" w:type="auto"/>
        <w:tblInd w:w="-3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0"/>
      </w:tblGrid>
      <w:tr w14:paraId="3F71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1" w:hRule="atLeast"/>
        </w:trPr>
        <w:tc>
          <w:tcPr>
            <w:tcW w:w="9120" w:type="dxa"/>
          </w:tcPr>
          <w:p w14:paraId="7A388169">
            <w:pPr>
              <w:pStyle w:val="37"/>
              <w:ind w:left="0"/>
              <w:rPr>
                <w:rFonts w:ascii="Times New Roman" w:hAnsi="Times New Roman"/>
                <w:bCs/>
                <w:sz w:val="28"/>
                <w:szCs w:val="28"/>
              </w:rPr>
            </w:pPr>
            <w:r>
              <w:rPr>
                <w:rFonts w:ascii="Times New Roman" w:hAnsi="Times New Roman"/>
                <w:bCs/>
                <w:sz w:val="28"/>
                <w:szCs w:val="28"/>
              </w:rPr>
              <w:t>结论</w:t>
            </w:r>
          </w:p>
          <w:p w14:paraId="57CCA385">
            <w:pPr>
              <w:keepNext/>
              <w:rPr>
                <w:rFonts w:ascii="Times New Roman" w:hAnsi="Times New Roman"/>
                <w:b/>
                <w:sz w:val="24"/>
              </w:rPr>
            </w:pPr>
            <w:r>
              <w:rPr>
                <w:rFonts w:ascii="Times New Roman" w:hAnsi="Times New Roman"/>
                <w:b/>
                <w:sz w:val="24"/>
              </w:rPr>
              <w:t>一、项目概况</w:t>
            </w:r>
          </w:p>
          <w:p w14:paraId="2C60DF65">
            <w:pPr>
              <w:pStyle w:val="11"/>
              <w:bidi w:val="0"/>
            </w:pPr>
            <w:r>
              <w:t>项目名称：</w:t>
            </w:r>
            <w:r>
              <w:rPr>
                <w:rFonts w:hint="eastAsia"/>
                <w:lang w:eastAsia="zh-CN"/>
              </w:rPr>
              <w:t>平昌县中医医院</w:t>
            </w:r>
            <w:r>
              <w:t>DSA新建项目</w:t>
            </w:r>
          </w:p>
          <w:p w14:paraId="446689DD">
            <w:pPr>
              <w:pStyle w:val="11"/>
              <w:bidi w:val="0"/>
            </w:pPr>
            <w:r>
              <w:t>建设单位：</w:t>
            </w:r>
            <w:r>
              <w:rPr>
                <w:rFonts w:hint="eastAsia"/>
                <w:lang w:eastAsia="zh-CN"/>
              </w:rPr>
              <w:t>平昌县中医医院</w:t>
            </w:r>
          </w:p>
          <w:p w14:paraId="08DA8F1B">
            <w:pPr>
              <w:pStyle w:val="11"/>
              <w:bidi w:val="0"/>
            </w:pPr>
            <w:r>
              <w:t>建设性质：新建</w:t>
            </w:r>
          </w:p>
          <w:p w14:paraId="59A0F8E5">
            <w:pPr>
              <w:pStyle w:val="11"/>
              <w:bidi w:val="0"/>
              <w:rPr>
                <w:rFonts w:hint="default"/>
                <w:lang w:val="en-US"/>
              </w:rPr>
            </w:pPr>
            <w:r>
              <w:t>建设地点：</w:t>
            </w:r>
            <w:r>
              <w:rPr>
                <w:rFonts w:hint="eastAsia"/>
                <w:lang w:eastAsia="zh-CN"/>
              </w:rPr>
              <w:t>平昌县同州街道新平街西段122号</w:t>
            </w:r>
            <w:r>
              <w:rPr>
                <w:rFonts w:hint="eastAsia"/>
                <w:lang w:val="en-US" w:eastAsia="zh-CN"/>
              </w:rPr>
              <w:t>2号住院综合楼一楼</w:t>
            </w:r>
          </w:p>
          <w:p w14:paraId="1FD3D30C">
            <w:pPr>
              <w:pStyle w:val="11"/>
              <w:bidi w:val="0"/>
            </w:pPr>
            <w:r>
              <w:t>本次具体建设内容及规模为：医院拟在</w:t>
            </w:r>
            <w:r>
              <w:rPr>
                <w:rFonts w:hint="eastAsia"/>
                <w:lang w:eastAsia="zh-CN"/>
              </w:rPr>
              <w:t>2号住院综合楼</w:t>
            </w:r>
            <w:r>
              <w:rPr>
                <w:rFonts w:hint="eastAsia"/>
                <w:lang w:val="en-US" w:eastAsia="zh-CN"/>
              </w:rPr>
              <w:t>一楼</w:t>
            </w:r>
            <w:r>
              <w:t>设1间</w:t>
            </w:r>
            <w:r>
              <w:rPr>
                <w:rFonts w:hint="eastAsia"/>
                <w:lang w:eastAsia="zh-CN"/>
              </w:rPr>
              <w:t>DSA机房</w:t>
            </w:r>
            <w:r>
              <w:t>及其他配套用房，拟新建1台DSA在</w:t>
            </w:r>
            <w:r>
              <w:rPr>
                <w:rFonts w:hint="eastAsia"/>
                <w:lang w:eastAsia="zh-CN"/>
              </w:rPr>
              <w:t>DSA机房</w:t>
            </w:r>
            <w:r>
              <w:t>内使用。</w:t>
            </w:r>
            <w:r>
              <w:rPr>
                <w:rFonts w:hint="eastAsia"/>
                <w:lang w:eastAsia="zh-CN"/>
              </w:rPr>
              <w:t>DSA机房</w:t>
            </w:r>
            <w:r>
              <w:t>内使用的DSA</w:t>
            </w:r>
            <w:r>
              <w:rPr>
                <w:rFonts w:hint="eastAsia"/>
              </w:rPr>
              <w:t>最大</w:t>
            </w:r>
            <w:r>
              <w:t>管电压为125kV、最大管电流为</w:t>
            </w:r>
            <w:r>
              <w:rPr>
                <w:rFonts w:hint="eastAsia"/>
              </w:rPr>
              <w:t>1000</w:t>
            </w:r>
            <w:r>
              <w:t>mA，属于Ⅱ类射线装置，年最大曝光时间</w:t>
            </w:r>
            <w:r>
              <w:rPr>
                <w:rFonts w:hint="eastAsia"/>
                <w:lang w:val="en-US" w:eastAsia="zh-CN"/>
              </w:rPr>
              <w:t>107.36</w:t>
            </w:r>
            <w:r>
              <w:t>h（</w:t>
            </w:r>
            <w:r>
              <w:rPr>
                <w:rFonts w:hint="eastAsia"/>
              </w:rPr>
              <w:t>透视</w:t>
            </w:r>
            <w:r>
              <w:rPr>
                <w:rFonts w:hint="eastAsia"/>
                <w:lang w:val="en-US" w:eastAsia="zh-CN"/>
              </w:rPr>
              <w:t>105.00</w:t>
            </w:r>
            <w:r>
              <w:rPr>
                <w:rFonts w:hint="eastAsia"/>
              </w:rPr>
              <w:t>h，拍片</w:t>
            </w:r>
            <w:r>
              <w:rPr>
                <w:rFonts w:hint="eastAsia"/>
                <w:lang w:val="en-US" w:eastAsia="zh-CN"/>
              </w:rPr>
              <w:t>2.36</w:t>
            </w:r>
            <w:r>
              <w:rPr>
                <w:rFonts w:hint="eastAsia"/>
              </w:rPr>
              <w:t>h</w:t>
            </w:r>
            <w:r>
              <w:t>），主要用于</w:t>
            </w:r>
            <w:r>
              <w:rPr>
                <w:rFonts w:hint="eastAsia"/>
              </w:rPr>
              <w:t>介入检查</w:t>
            </w:r>
            <w:r>
              <w:t>、血管造影等。</w:t>
            </w:r>
          </w:p>
          <w:p w14:paraId="3EF1BBA4">
            <w:pPr>
              <w:keepNext/>
              <w:spacing w:line="360" w:lineRule="auto"/>
              <w:rPr>
                <w:rFonts w:ascii="Times New Roman" w:hAnsi="Times New Roman"/>
                <w:b/>
                <w:sz w:val="24"/>
              </w:rPr>
            </w:pPr>
            <w:r>
              <w:rPr>
                <w:rFonts w:ascii="Times New Roman" w:hAnsi="Times New Roman"/>
                <w:b/>
                <w:sz w:val="24"/>
              </w:rPr>
              <w:t>二、本项目产业政策符合性分析</w:t>
            </w:r>
          </w:p>
          <w:p w14:paraId="1338FB67">
            <w:pPr>
              <w:pStyle w:val="11"/>
              <w:bidi w:val="0"/>
            </w:pPr>
            <w:r>
              <w:t>根据《产业结构调整指导目录（2024年本）》，本项目使用数字减影血管造影装置（DSA）为医院医疗基础建设内容，属该指导目录中</w:t>
            </w:r>
            <w:r>
              <w:rPr>
                <w:rFonts w:hint="eastAsia"/>
              </w:rPr>
              <w:t>三十七、卫生健康</w:t>
            </w:r>
            <w:r>
              <w:t>：</w:t>
            </w:r>
            <w:r>
              <w:rPr>
                <w:rFonts w:hint="eastAsia"/>
              </w:rPr>
              <w:t>1、医疗卫生服务设施建设</w:t>
            </w:r>
            <w:r>
              <w:t>，属于国家鼓励类产业，符合国家产业政策。</w:t>
            </w:r>
          </w:p>
          <w:p w14:paraId="792B9E0B">
            <w:pPr>
              <w:keepNext/>
              <w:spacing w:line="360" w:lineRule="auto"/>
              <w:rPr>
                <w:rFonts w:ascii="Times New Roman" w:hAnsi="Times New Roman"/>
                <w:b/>
                <w:sz w:val="24"/>
              </w:rPr>
            </w:pPr>
            <w:r>
              <w:rPr>
                <w:rFonts w:ascii="Times New Roman" w:hAnsi="Times New Roman"/>
                <w:b/>
                <w:sz w:val="24"/>
              </w:rPr>
              <w:t>三、本项目选址合理性分析</w:t>
            </w:r>
          </w:p>
          <w:p w14:paraId="661FFCB2">
            <w:pPr>
              <w:pStyle w:val="11"/>
              <w:bidi w:val="0"/>
            </w:pPr>
            <w:r>
              <w:t>本项目位于</w:t>
            </w:r>
            <w:r>
              <w:rPr>
                <w:rFonts w:hint="eastAsia"/>
                <w:lang w:eastAsia="zh-CN"/>
              </w:rPr>
              <w:t>平昌县中医医院2号住院综合楼</w:t>
            </w:r>
            <w:r>
              <w:rPr>
                <w:rFonts w:hint="eastAsia"/>
                <w:lang w:val="en-US" w:eastAsia="zh-CN"/>
              </w:rPr>
              <w:t>一</w:t>
            </w:r>
            <w:r>
              <w:t>楼内，项目运营</w:t>
            </w:r>
            <w:r>
              <w:rPr>
                <w:rFonts w:hint="eastAsia"/>
              </w:rPr>
              <w:t>由本环评分析，该项目</w:t>
            </w:r>
            <w:r>
              <w:t>对环境基本无影响，本评价认为其选址是合理的。</w:t>
            </w:r>
          </w:p>
          <w:p w14:paraId="08335BDA">
            <w:pPr>
              <w:keepNext/>
              <w:spacing w:line="360" w:lineRule="auto"/>
              <w:rPr>
                <w:rFonts w:ascii="Times New Roman" w:hAnsi="Times New Roman"/>
                <w:b/>
                <w:sz w:val="24"/>
              </w:rPr>
            </w:pPr>
            <w:r>
              <w:rPr>
                <w:rFonts w:ascii="Times New Roman" w:hAnsi="Times New Roman"/>
                <w:b/>
                <w:sz w:val="24"/>
              </w:rPr>
              <w:t>四、工程所在地区环境质量现状</w:t>
            </w:r>
          </w:p>
          <w:p w14:paraId="33A44436">
            <w:pPr>
              <w:pStyle w:val="11"/>
              <w:bidi w:val="0"/>
            </w:pPr>
            <w:r>
              <w:t>根据四川鸿源环境检测技术咨询有限公司的监测报告，项目所在地的X-γ辐射空气吸收剂量率背景值属于</w:t>
            </w:r>
            <w:r>
              <w:rPr>
                <w:rFonts w:hint="eastAsia"/>
              </w:rPr>
              <w:t>成都市</w:t>
            </w:r>
            <w:r>
              <w:t>正常天然本底涨落范围。</w:t>
            </w:r>
          </w:p>
          <w:p w14:paraId="0F29CB63">
            <w:pPr>
              <w:pStyle w:val="5"/>
              <w:numPr>
                <w:ilvl w:val="3"/>
                <w:numId w:val="0"/>
              </w:numPr>
              <w:spacing w:line="360" w:lineRule="auto"/>
              <w:rPr>
                <w:rFonts w:ascii="Times New Roman" w:hAnsi="Times New Roman" w:eastAsia="宋体"/>
                <w:kern w:val="0"/>
                <w:sz w:val="24"/>
              </w:rPr>
            </w:pPr>
            <w:r>
              <w:rPr>
                <w:rFonts w:ascii="Times New Roman" w:hAnsi="Times New Roman" w:eastAsia="宋体"/>
                <w:kern w:val="0"/>
                <w:sz w:val="24"/>
              </w:rPr>
              <w:t>五、环境影响评价分析结论</w:t>
            </w:r>
          </w:p>
          <w:p w14:paraId="301A0699">
            <w:pPr>
              <w:keepNext/>
              <w:spacing w:line="360" w:lineRule="auto"/>
              <w:rPr>
                <w:rFonts w:ascii="Times New Roman" w:hAnsi="Times New Roman"/>
                <w:b/>
                <w:bCs/>
                <w:sz w:val="24"/>
              </w:rPr>
            </w:pPr>
            <w:r>
              <w:rPr>
                <w:rFonts w:ascii="Times New Roman" w:hAnsi="Times New Roman"/>
                <w:b/>
                <w:bCs/>
                <w:sz w:val="24"/>
              </w:rPr>
              <w:t>（一）施工期环境影响分析</w:t>
            </w:r>
          </w:p>
          <w:p w14:paraId="650234B4">
            <w:pPr>
              <w:pStyle w:val="11"/>
              <w:bidi w:val="0"/>
            </w:pPr>
            <w:r>
              <w:t>医院强化施工期环境管理，严格落实施工期各项环保措施，采取有效措施，尽可能减缓施工期对环境产生的影响。</w:t>
            </w:r>
          </w:p>
          <w:p w14:paraId="3DFA118E">
            <w:pPr>
              <w:keepNext/>
              <w:numPr>
                <w:ilvl w:val="0"/>
                <w:numId w:val="5"/>
              </w:numPr>
              <w:spacing w:line="360" w:lineRule="auto"/>
              <w:rPr>
                <w:rFonts w:ascii="Times New Roman" w:hAnsi="Times New Roman"/>
              </w:rPr>
            </w:pPr>
            <w:r>
              <w:rPr>
                <w:rFonts w:ascii="Times New Roman" w:hAnsi="Times New Roman"/>
                <w:b/>
                <w:bCs/>
                <w:sz w:val="24"/>
              </w:rPr>
              <w:t>营运期环境影响分析</w:t>
            </w:r>
          </w:p>
          <w:p w14:paraId="46975E37">
            <w:pPr>
              <w:pStyle w:val="11"/>
              <w:bidi w:val="0"/>
            </w:pPr>
            <w:r>
              <w:t>本项目投入运营后，本项目DSA机房周围本项目DSA机房周围公众所受年剂量最高为</w:t>
            </w:r>
            <w:r>
              <w:rPr>
                <w:rFonts w:hint="eastAsia" w:ascii="Times New Roman" w:hAnsi="Times New Roman"/>
                <w:color w:val="auto"/>
                <w:sz w:val="24"/>
                <w:lang w:val="en-US" w:eastAsia="zh-CN"/>
              </w:rPr>
              <w:t>9.54</w:t>
            </w:r>
            <w:r>
              <w:rPr>
                <w:rFonts w:hint="default" w:ascii="Times New Roman" w:hAnsi="Times New Roman"/>
                <w:color w:val="auto"/>
                <w:sz w:val="24"/>
                <w:lang w:val="en-US" w:eastAsia="zh-CN"/>
              </w:rPr>
              <w:t>E-0</w:t>
            </w:r>
            <w:r>
              <w:rPr>
                <w:rFonts w:hint="eastAsia" w:ascii="Times New Roman" w:hAnsi="Times New Roman"/>
                <w:color w:val="auto"/>
                <w:sz w:val="24"/>
                <w:lang w:val="en-US" w:eastAsia="zh-CN"/>
              </w:rPr>
              <w:t>5</w:t>
            </w:r>
            <w:r>
              <w:t>mSv/a，单名护士所受年剂量最大为</w:t>
            </w:r>
            <w:r>
              <w:rPr>
                <w:rFonts w:hint="eastAsia" w:ascii="Times New Roman" w:hAnsi="Times New Roman"/>
                <w:color w:val="auto"/>
                <w:kern w:val="0"/>
                <w:sz w:val="24"/>
                <w:lang w:val="en-US" w:eastAsia="zh-CN" w:bidi="ar"/>
              </w:rPr>
              <w:t>3.58</w:t>
            </w:r>
            <w:r>
              <w:t>mSv/a；单名助手医生所受年剂量最大为</w:t>
            </w:r>
            <w:r>
              <w:rPr>
                <w:rFonts w:hint="eastAsia" w:ascii="Times New Roman" w:hAnsi="Times New Roman"/>
                <w:color w:val="auto"/>
                <w:kern w:val="0"/>
                <w:sz w:val="24"/>
                <w:lang w:val="en-US" w:eastAsia="zh-CN" w:bidi="ar"/>
              </w:rPr>
              <w:t>3.23</w:t>
            </w:r>
            <w:r>
              <w:t>mSv/a；单名主刀医生所受年剂量最大为</w:t>
            </w:r>
            <w:r>
              <w:rPr>
                <w:rFonts w:hint="eastAsia" w:ascii="Times New Roman" w:hAnsi="Times New Roman"/>
                <w:color w:val="auto"/>
                <w:sz w:val="24"/>
                <w:lang w:val="en-US" w:eastAsia="zh-CN"/>
              </w:rPr>
              <w:t>1.49</w:t>
            </w:r>
            <w:r>
              <w:t>mSv/a；技师所受年剂量最大为</w:t>
            </w:r>
            <w:r>
              <w:rPr>
                <w:rFonts w:hint="eastAsia" w:ascii="Times New Roman" w:hAnsi="Times New Roman"/>
                <w:color w:val="auto"/>
                <w:sz w:val="24"/>
                <w:lang w:val="en-US" w:eastAsia="zh-CN"/>
              </w:rPr>
              <w:t>2.76</w:t>
            </w:r>
            <w:r>
              <w:rPr>
                <w:rFonts w:hint="default" w:ascii="Times New Roman" w:hAnsi="Times New Roman"/>
                <w:color w:val="auto"/>
                <w:sz w:val="24"/>
                <w:lang w:val="en-US" w:eastAsia="zh-CN"/>
              </w:rPr>
              <w:t>E-0</w:t>
            </w:r>
            <w:r>
              <w:rPr>
                <w:rFonts w:hint="eastAsia" w:ascii="Times New Roman" w:hAnsi="Times New Roman"/>
                <w:color w:val="auto"/>
                <w:sz w:val="24"/>
                <w:lang w:val="en-US" w:eastAsia="zh-CN"/>
              </w:rPr>
              <w:t>4</w:t>
            </w:r>
            <w:r>
              <w:t>mSv/a，均满足《</w:t>
            </w:r>
            <w:bookmarkStart w:id="48" w:name="OLE_LINK12"/>
            <w:r>
              <w:t>电离辐射防护与辐射源安全基本标准</w:t>
            </w:r>
            <w:bookmarkEnd w:id="48"/>
            <w:r>
              <w:t>》（GB18871-2002）规定的职业人员20mSv/a和公众1mSv/a剂量限值，也均低于职业人员5mSv/a，公众0.1mSv/a的管理约束值。</w:t>
            </w:r>
          </w:p>
          <w:p w14:paraId="6903B990">
            <w:pPr>
              <w:pStyle w:val="11"/>
              <w:bidi w:val="0"/>
            </w:pPr>
            <w:r>
              <w:t>本项目DSA投入运营后，本项目产生的X射线经墙体、门窗屏蔽、距离衰减后，对机房外保护目标影响更小。</w:t>
            </w:r>
          </w:p>
          <w:p w14:paraId="11E27C5D">
            <w:pPr>
              <w:keepNext/>
              <w:spacing w:line="360" w:lineRule="auto"/>
              <w:rPr>
                <w:rFonts w:ascii="Times New Roman" w:hAnsi="Times New Roman"/>
                <w:b/>
                <w:bCs/>
                <w:sz w:val="24"/>
              </w:rPr>
            </w:pPr>
            <w:r>
              <w:rPr>
                <w:rFonts w:ascii="Times New Roman" w:hAnsi="Times New Roman"/>
                <w:b/>
                <w:bCs/>
                <w:sz w:val="24"/>
              </w:rPr>
              <w:t>六、事故风险与防范</w:t>
            </w:r>
          </w:p>
          <w:p w14:paraId="463AB927">
            <w:pPr>
              <w:pStyle w:val="11"/>
              <w:bidi w:val="0"/>
            </w:pPr>
            <w:r>
              <w:t>医院制定的辐射事故应急预案和安全规章制度经补充和完善后可行，应认真贯彻实施，以减少和避免发生辐射事故与突发事件。</w:t>
            </w:r>
          </w:p>
          <w:p w14:paraId="27AABBDD">
            <w:pPr>
              <w:keepNext/>
              <w:spacing w:line="360" w:lineRule="auto"/>
              <w:rPr>
                <w:rFonts w:ascii="Times New Roman" w:hAnsi="Times New Roman"/>
                <w:b/>
                <w:bCs/>
                <w:sz w:val="24"/>
              </w:rPr>
            </w:pPr>
            <w:r>
              <w:rPr>
                <w:rFonts w:ascii="Times New Roman" w:hAnsi="Times New Roman"/>
                <w:b/>
                <w:bCs/>
                <w:sz w:val="24"/>
              </w:rPr>
              <w:t>七、环保设施与保护目标</w:t>
            </w:r>
          </w:p>
          <w:p w14:paraId="02F37430">
            <w:pPr>
              <w:pStyle w:val="11"/>
              <w:bidi w:val="0"/>
            </w:pPr>
            <w:r>
              <w:t>医院落实本报告表提出的环保措施后，可使本次环评中确定的所有保护目标，所受的辐射剂量，保持在合理的、可达到的尽可能低的水平。</w:t>
            </w:r>
          </w:p>
          <w:p w14:paraId="36D7AD8D">
            <w:pPr>
              <w:keepNext/>
              <w:spacing w:line="360" w:lineRule="auto"/>
              <w:rPr>
                <w:rFonts w:ascii="Times New Roman" w:hAnsi="Times New Roman"/>
                <w:b/>
                <w:bCs/>
                <w:sz w:val="24"/>
              </w:rPr>
            </w:pPr>
            <w:r>
              <w:rPr>
                <w:rFonts w:ascii="Times New Roman" w:hAnsi="Times New Roman"/>
                <w:b/>
                <w:bCs/>
                <w:sz w:val="24"/>
              </w:rPr>
              <w:t>八、医院辐射安全管理的综合能力</w:t>
            </w:r>
          </w:p>
          <w:p w14:paraId="524E7E86">
            <w:pPr>
              <w:pStyle w:val="11"/>
              <w:bidi w:val="0"/>
            </w:pPr>
            <w:r>
              <w:t>经过医院的不断完善，医院安全管理机构健全，有领导分管，人员落实，责任明确，医技人员配置合理，考试（核）合格，持证上岗，有应急预案与安全规章制度；环保设施总体效能良好，可满足防护实际需要。</w:t>
            </w:r>
          </w:p>
          <w:p w14:paraId="77E3C1BA">
            <w:pPr>
              <w:keepNext/>
              <w:spacing w:line="360" w:lineRule="auto"/>
              <w:rPr>
                <w:rFonts w:ascii="Times New Roman" w:hAnsi="Times New Roman"/>
                <w:b/>
                <w:sz w:val="24"/>
              </w:rPr>
            </w:pPr>
            <w:r>
              <w:rPr>
                <w:rFonts w:ascii="Times New Roman" w:hAnsi="Times New Roman"/>
                <w:b/>
                <w:sz w:val="24"/>
              </w:rPr>
              <w:t>九、项目环保可行性结论</w:t>
            </w:r>
          </w:p>
          <w:p w14:paraId="2090D66E">
            <w:pPr>
              <w:pStyle w:val="11"/>
              <w:bidi w:val="0"/>
            </w:pPr>
            <w:r>
              <w:t>在坚持“三同时”的原则，采取切实可行的环保措施，落实本报告提出的各项污染防治措施，本评价认为在</w:t>
            </w:r>
            <w:r>
              <w:rPr>
                <w:rFonts w:hint="eastAsia"/>
                <w:lang w:eastAsia="zh-CN"/>
              </w:rPr>
              <w:t>平昌县中医医院2号住院综合楼</w:t>
            </w:r>
            <w:r>
              <w:rPr>
                <w:rFonts w:hint="eastAsia"/>
                <w:lang w:val="en-US" w:eastAsia="zh-CN"/>
              </w:rPr>
              <w:t>一楼放射科</w:t>
            </w:r>
            <w:r>
              <w:t>建设本项目，从环境保护和辐射防护角度看项目建设是可行的</w:t>
            </w:r>
            <w:bookmarkStart w:id="49" w:name="_Toc11340"/>
            <w:r>
              <w:t>。</w:t>
            </w:r>
          </w:p>
          <w:p w14:paraId="215AB9A2">
            <w:pPr>
              <w:pStyle w:val="3"/>
              <w:numPr>
                <w:ilvl w:val="0"/>
                <w:numId w:val="0"/>
              </w:numPr>
              <w:rPr>
                <w:rFonts w:ascii="Times New Roman" w:hAnsi="Times New Roman"/>
                <w:kern w:val="0"/>
                <w:sz w:val="28"/>
                <w:szCs w:val="28"/>
              </w:rPr>
            </w:pPr>
            <w:bookmarkStart w:id="50" w:name="_Toc21746"/>
            <w:bookmarkStart w:id="51" w:name="_Toc31498"/>
          </w:p>
          <w:p w14:paraId="41D40676">
            <w:pPr>
              <w:rPr>
                <w:rFonts w:ascii="Times New Roman" w:hAnsi="Times New Roman"/>
                <w:kern w:val="0"/>
                <w:sz w:val="28"/>
                <w:szCs w:val="28"/>
              </w:rPr>
            </w:pPr>
          </w:p>
          <w:p w14:paraId="71A861BB">
            <w:pPr>
              <w:pStyle w:val="30"/>
              <w:rPr>
                <w:rFonts w:ascii="Times New Roman" w:hAnsi="Times New Roman"/>
                <w:kern w:val="0"/>
                <w:sz w:val="28"/>
                <w:szCs w:val="28"/>
              </w:rPr>
            </w:pPr>
          </w:p>
          <w:p w14:paraId="3DAA1292">
            <w:pPr>
              <w:pStyle w:val="31"/>
              <w:rPr>
                <w:rFonts w:ascii="Times New Roman" w:hAnsi="Times New Roman"/>
                <w:kern w:val="0"/>
                <w:sz w:val="28"/>
                <w:szCs w:val="28"/>
              </w:rPr>
            </w:pPr>
          </w:p>
          <w:p w14:paraId="35B7E320">
            <w:pPr>
              <w:rPr>
                <w:rFonts w:ascii="Times New Roman" w:hAnsi="Times New Roman"/>
                <w:kern w:val="0"/>
                <w:sz w:val="28"/>
                <w:szCs w:val="28"/>
              </w:rPr>
            </w:pPr>
          </w:p>
          <w:p w14:paraId="267565AC">
            <w:pPr>
              <w:rPr>
                <w:rFonts w:ascii="Times New Roman" w:hAnsi="Times New Roman"/>
                <w:kern w:val="0"/>
                <w:sz w:val="28"/>
                <w:szCs w:val="28"/>
              </w:rPr>
            </w:pPr>
          </w:p>
          <w:p w14:paraId="0705FC1D"/>
          <w:p w14:paraId="78ECD855">
            <w:pPr>
              <w:pStyle w:val="3"/>
              <w:numPr>
                <w:ilvl w:val="0"/>
                <w:numId w:val="0"/>
              </w:numPr>
              <w:rPr>
                <w:rFonts w:ascii="Times New Roman" w:hAnsi="Times New Roman"/>
                <w:kern w:val="0"/>
                <w:sz w:val="28"/>
                <w:szCs w:val="28"/>
              </w:rPr>
            </w:pPr>
            <w:r>
              <w:rPr>
                <w:rFonts w:ascii="Times New Roman" w:hAnsi="Times New Roman"/>
                <w:kern w:val="0"/>
                <w:sz w:val="28"/>
                <w:szCs w:val="28"/>
              </w:rPr>
              <w:t>建议和承诺</w:t>
            </w:r>
            <w:bookmarkEnd w:id="49"/>
            <w:bookmarkEnd w:id="50"/>
            <w:bookmarkEnd w:id="51"/>
          </w:p>
          <w:p w14:paraId="1EC6E567">
            <w:pPr>
              <w:autoSpaceDE w:val="0"/>
              <w:autoSpaceDN w:val="0"/>
              <w:adjustRightInd w:val="0"/>
              <w:spacing w:line="360" w:lineRule="auto"/>
              <w:jc w:val="left"/>
              <w:rPr>
                <w:rFonts w:ascii="Times New Roman" w:hAnsi="Times New Roman"/>
                <w:b/>
                <w:bCs/>
                <w:sz w:val="24"/>
              </w:rPr>
            </w:pPr>
            <w:r>
              <w:rPr>
                <w:rFonts w:ascii="Times New Roman" w:hAnsi="Times New Roman"/>
                <w:b/>
                <w:bCs/>
                <w:sz w:val="24"/>
              </w:rPr>
              <w:t>一、要求</w:t>
            </w:r>
          </w:p>
          <w:p w14:paraId="18AC1849">
            <w:pPr>
              <w:pStyle w:val="11"/>
              <w:bidi w:val="0"/>
            </w:pPr>
            <w:r>
              <w:t>1、落实本报告中的各项辐射防护措施和安全管理制度。</w:t>
            </w:r>
          </w:p>
          <w:p w14:paraId="2EB62383">
            <w:pPr>
              <w:pStyle w:val="11"/>
              <w:bidi w:val="0"/>
            </w:pPr>
            <w:r>
              <w:t>2、建设单位须重视控制区和监督区的管理。</w:t>
            </w:r>
          </w:p>
          <w:p w14:paraId="6F261506">
            <w:pPr>
              <w:pStyle w:val="11"/>
              <w:bidi w:val="0"/>
            </w:pPr>
            <w:r>
              <w:t>3、医院应严格执行辐射工作人员学习考核制度，组织辐射工作人员、相关管理人员到生态环境部网上学习考核平台（http</w:t>
            </w:r>
            <w:r>
              <w:rPr>
                <w:rFonts w:hint="eastAsia"/>
                <w:lang w:eastAsia="zh-CN"/>
              </w:rPr>
              <w:t>：</w:t>
            </w:r>
            <w:r>
              <w:t>/fushe.mee.gov.cn）中进行辐射安全与防护专业知识的学习，考核通过后方能继续上岗。</w:t>
            </w:r>
          </w:p>
          <w:p w14:paraId="6A2C1582">
            <w:pPr>
              <w:pStyle w:val="11"/>
              <w:bidi w:val="0"/>
            </w:pPr>
            <w:r>
              <w:t>4、定期开展场所和环境的辐射监测，据此对所用的射线装置的安全和防护状况进行年度评估，编写辐射安全和防护状况年度自查评估报告，并于每年1月31日前在核安全申报系统中进行报送，报送内容包括：①辐射安全和防护设施的运行与维护情况；②辐射安全和防护制度及措施的制定与落实情况；③辐射工作人员变动及接受辐射安全和防护知识教育学习考核情况；④场所辐射环境监测报告和个人剂量监测情况监测数据；⑤辐射事故及应急响应情况；⑥核技术利用项目新建、改建、扩建和退役情况；⑦存在的安全隐患及其整改情况；⑧其他有关法律、法规规定的落实情况。</w:t>
            </w:r>
          </w:p>
          <w:p w14:paraId="30CDA4AA">
            <w:pPr>
              <w:pStyle w:val="11"/>
              <w:bidi w:val="0"/>
            </w:pPr>
            <w:r>
              <w:t>5、按照《四川省辐射污染防治条例》，射线装置在报废处置时，使用单位应当对射线装置内的高压射线管进行拆解和去功能化处理。</w:t>
            </w:r>
          </w:p>
          <w:p w14:paraId="7F5F6C62">
            <w:pPr>
              <w:pStyle w:val="11"/>
              <w:bidi w:val="0"/>
            </w:pPr>
            <w:r>
              <w:t>6、建设单位必须在全国核技术利用辐射安全申报系统中实施申报登记。申领、延续、更换《辐射安全许可证》、新增或注销射线装置以及单位信息变更、个人剂量、年度评估报告等信息均应及时在系统中申报。</w:t>
            </w:r>
          </w:p>
          <w:p w14:paraId="1051ACB9">
            <w:pPr>
              <w:spacing w:line="360" w:lineRule="auto"/>
              <w:rPr>
                <w:rFonts w:ascii="Times New Roman" w:hAnsi="Times New Roman"/>
                <w:b/>
                <w:bCs/>
                <w:sz w:val="24"/>
              </w:rPr>
            </w:pPr>
            <w:r>
              <w:rPr>
                <w:rFonts w:ascii="Times New Roman" w:hAnsi="Times New Roman"/>
                <w:b/>
                <w:bCs/>
                <w:sz w:val="24"/>
              </w:rPr>
              <w:t>二、项目竣工验收检查内容</w:t>
            </w:r>
          </w:p>
          <w:p w14:paraId="6E57A648">
            <w:pPr>
              <w:pStyle w:val="11"/>
              <w:bidi w:val="0"/>
            </w:pPr>
            <w:r>
              <w:t>根据《建设项目环境保护管理条例》，工程建设执行污染治理设施与主体工程同时设计、同时施工、同时投产使用的“三同时”制度。建设项目正式投产运行前，建设单位应组织专家完成自主环保验收。本工程竣工环境保护验收一览表见下表13-1：</w:t>
            </w:r>
          </w:p>
          <w:p w14:paraId="10E21322">
            <w:pPr>
              <w:spacing w:line="360" w:lineRule="auto"/>
              <w:jc w:val="center"/>
              <w:rPr>
                <w:rFonts w:ascii="Times New Roman" w:hAnsi="Times New Roman"/>
                <w:b/>
                <w:sz w:val="24"/>
              </w:rPr>
            </w:pPr>
            <w:r>
              <w:rPr>
                <w:rFonts w:ascii="Times New Roman" w:hAnsi="Times New Roman"/>
                <w:b/>
                <w:sz w:val="24"/>
              </w:rPr>
              <w:t>表13-1 项目环保竣工验收检查一览表</w:t>
            </w:r>
          </w:p>
          <w:tbl>
            <w:tblPr>
              <w:tblStyle w:val="23"/>
              <w:tblW w:w="881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4"/>
              <w:gridCol w:w="975"/>
              <w:gridCol w:w="7000"/>
            </w:tblGrid>
            <w:tr w14:paraId="037B96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819" w:type="dxa"/>
                  <w:gridSpan w:val="2"/>
                  <w:tcBorders>
                    <w:top w:val="single" w:color="auto" w:sz="12" w:space="0"/>
                    <w:bottom w:val="single" w:color="auto" w:sz="4" w:space="0"/>
                  </w:tcBorders>
                  <w:vAlign w:val="center"/>
                </w:tcPr>
                <w:p w14:paraId="168E6DD0">
                  <w:pPr>
                    <w:jc w:val="center"/>
                    <w:rPr>
                      <w:rFonts w:ascii="Times New Roman" w:hAnsi="Times New Roman"/>
                      <w:b/>
                      <w:szCs w:val="21"/>
                    </w:rPr>
                  </w:pPr>
                  <w:r>
                    <w:rPr>
                      <w:rFonts w:ascii="Times New Roman" w:hAnsi="Times New Roman"/>
                      <w:b/>
                      <w:szCs w:val="21"/>
                    </w:rPr>
                    <w:t>项目</w:t>
                  </w:r>
                </w:p>
              </w:tc>
              <w:tc>
                <w:tcPr>
                  <w:tcW w:w="7000" w:type="dxa"/>
                  <w:tcBorders>
                    <w:top w:val="single" w:color="auto" w:sz="12" w:space="0"/>
                    <w:bottom w:val="single" w:color="auto" w:sz="4" w:space="0"/>
                  </w:tcBorders>
                  <w:vAlign w:val="center"/>
                </w:tcPr>
                <w:p w14:paraId="25767BBC">
                  <w:pPr>
                    <w:jc w:val="center"/>
                    <w:rPr>
                      <w:rFonts w:ascii="Times New Roman" w:hAnsi="Times New Roman"/>
                      <w:b/>
                      <w:szCs w:val="21"/>
                    </w:rPr>
                  </w:pPr>
                  <w:r>
                    <w:rPr>
                      <w:rFonts w:ascii="Times New Roman" w:hAnsi="Times New Roman"/>
                      <w:b/>
                      <w:szCs w:val="21"/>
                    </w:rPr>
                    <w:t>设施</w:t>
                  </w:r>
                </w:p>
              </w:tc>
            </w:tr>
            <w:tr w14:paraId="0C6EA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restart"/>
                  <w:tcBorders>
                    <w:top w:val="single" w:color="auto" w:sz="4" w:space="0"/>
                    <w:bottom w:val="single" w:color="auto" w:sz="4" w:space="0"/>
                  </w:tcBorders>
                  <w:vAlign w:val="center"/>
                </w:tcPr>
                <w:p w14:paraId="7AAE56C6">
                  <w:pPr>
                    <w:jc w:val="center"/>
                    <w:rPr>
                      <w:rFonts w:ascii="Times New Roman" w:hAnsi="Times New Roman"/>
                      <w:bCs/>
                      <w:szCs w:val="21"/>
                    </w:rPr>
                  </w:pPr>
                  <w:r>
                    <w:rPr>
                      <w:rFonts w:hint="eastAsia" w:ascii="Times New Roman" w:hAnsi="Times New Roman"/>
                      <w:szCs w:val="21"/>
                      <w:lang w:eastAsia="zh-CN"/>
                    </w:rPr>
                    <w:t>DSA机房</w:t>
                  </w:r>
                </w:p>
              </w:tc>
              <w:tc>
                <w:tcPr>
                  <w:tcW w:w="975" w:type="dxa"/>
                  <w:vMerge w:val="restart"/>
                  <w:tcBorders>
                    <w:top w:val="single" w:color="auto" w:sz="4" w:space="0"/>
                    <w:bottom w:val="single" w:color="auto" w:sz="4" w:space="0"/>
                  </w:tcBorders>
                  <w:vAlign w:val="center"/>
                </w:tcPr>
                <w:p w14:paraId="4B40FFFF">
                  <w:pPr>
                    <w:jc w:val="center"/>
                    <w:rPr>
                      <w:rFonts w:ascii="Times New Roman" w:hAnsi="Times New Roman"/>
                      <w:bCs/>
                      <w:szCs w:val="21"/>
                    </w:rPr>
                  </w:pPr>
                  <w:r>
                    <w:rPr>
                      <w:rFonts w:ascii="Times New Roman" w:hAnsi="Times New Roman"/>
                      <w:bCs/>
                      <w:szCs w:val="21"/>
                    </w:rPr>
                    <w:t>辐射屏蔽措施</w:t>
                  </w:r>
                </w:p>
              </w:tc>
              <w:tc>
                <w:tcPr>
                  <w:tcW w:w="7000" w:type="dxa"/>
                  <w:tcBorders>
                    <w:top w:val="single" w:color="auto" w:sz="4" w:space="0"/>
                    <w:bottom w:val="single" w:color="auto" w:sz="4" w:space="0"/>
                  </w:tcBorders>
                  <w:vAlign w:val="center"/>
                </w:tcPr>
                <w:p w14:paraId="5F2FB53C">
                  <w:pPr>
                    <w:jc w:val="center"/>
                    <w:rPr>
                      <w:rFonts w:ascii="Times New Roman" w:hAnsi="Times New Roman"/>
                      <w:bCs/>
                      <w:szCs w:val="21"/>
                    </w:rPr>
                  </w:pPr>
                  <w:r>
                    <w:rPr>
                      <w:rFonts w:ascii="Times New Roman" w:hAnsi="Times New Roman"/>
                      <w:bCs/>
                      <w:color w:val="000000" w:themeColor="text1"/>
                      <w:szCs w:val="21"/>
                      <w14:textFill>
                        <w14:solidFill>
                          <w14:schemeClr w14:val="tx1"/>
                        </w14:solidFill>
                      </w14:textFill>
                    </w:rPr>
                    <w:t>铅防护门3扇（3mm铅当量）</w:t>
                  </w:r>
                </w:p>
              </w:tc>
            </w:tr>
            <w:tr w14:paraId="27EE55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7205726B">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338770C3">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6021654F">
                  <w:pPr>
                    <w:jc w:val="center"/>
                    <w:rPr>
                      <w:rFonts w:ascii="Times New Roman" w:hAnsi="Times New Roman"/>
                      <w:bCs/>
                      <w:szCs w:val="21"/>
                    </w:rPr>
                  </w:pPr>
                  <w:r>
                    <w:rPr>
                      <w:rFonts w:ascii="Times New Roman" w:hAnsi="Times New Roman"/>
                      <w:bCs/>
                      <w:color w:val="000000" w:themeColor="text1"/>
                      <w:szCs w:val="21"/>
                      <w14:textFill>
                        <w14:solidFill>
                          <w14:schemeClr w14:val="tx1"/>
                        </w14:solidFill>
                      </w14:textFill>
                    </w:rPr>
                    <w:t>铅玻璃观察窗1扇（</w:t>
                  </w:r>
                  <w:r>
                    <w:rPr>
                      <w:rFonts w:hint="eastAsia" w:ascii="Times New Roman" w:hAnsi="Times New Roman"/>
                      <w:bCs/>
                      <w:color w:val="000000" w:themeColor="text1"/>
                      <w:szCs w:val="21"/>
                      <w14:textFill>
                        <w14:solidFill>
                          <w14:schemeClr w14:val="tx1"/>
                        </w14:solidFill>
                      </w14:textFill>
                    </w:rPr>
                    <w:t>3</w:t>
                  </w:r>
                  <w:r>
                    <w:rPr>
                      <w:rFonts w:ascii="Times New Roman" w:hAnsi="Times New Roman"/>
                      <w:bCs/>
                      <w:color w:val="000000" w:themeColor="text1"/>
                      <w:szCs w:val="21"/>
                      <w14:textFill>
                        <w14:solidFill>
                          <w14:schemeClr w14:val="tx1"/>
                        </w14:solidFill>
                      </w14:textFill>
                    </w:rPr>
                    <w:t>mm铅当量）</w:t>
                  </w:r>
                </w:p>
              </w:tc>
            </w:tr>
            <w:tr w14:paraId="68AC04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568CF010">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53270704">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6988A294">
                  <w:pPr>
                    <w:jc w:val="center"/>
                    <w:rPr>
                      <w:rFonts w:ascii="Times New Roman" w:hAnsi="Times New Roman"/>
                      <w:bCs/>
                      <w:szCs w:val="21"/>
                    </w:rPr>
                  </w:pPr>
                  <w:r>
                    <w:rPr>
                      <w:rFonts w:ascii="Times New Roman" w:hAnsi="Times New Roman"/>
                      <w:color w:val="000000" w:themeColor="text1"/>
                      <w:szCs w:val="21"/>
                      <w14:textFill>
                        <w14:solidFill>
                          <w14:schemeClr w14:val="tx1"/>
                        </w14:solidFill>
                      </w14:textFill>
                    </w:rPr>
                    <w:t>370mm</w:t>
                  </w:r>
                  <w:r>
                    <w:rPr>
                      <w:rFonts w:hint="eastAsia" w:ascii="Times New Roman" w:hAnsi="Times New Roman"/>
                      <w:color w:val="000000" w:themeColor="text1"/>
                      <w:szCs w:val="21"/>
                      <w:lang w:eastAsia="zh-CN"/>
                      <w14:textFill>
                        <w14:solidFill>
                          <w14:schemeClr w14:val="tx1"/>
                        </w14:solidFill>
                      </w14:textFill>
                    </w:rPr>
                    <w:t>红色实心砖墙</w:t>
                  </w:r>
                  <w:r>
                    <w:rPr>
                      <w:rFonts w:hint="eastAsia"/>
                    </w:rPr>
                    <w:t>+10mm硫酸钡水泥砂浆</w:t>
                  </w:r>
                </w:p>
              </w:tc>
            </w:tr>
            <w:tr w14:paraId="71C611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505C62A7">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11B6BB71">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46AEF6D1">
                  <w:pPr>
                    <w:jc w:val="center"/>
                    <w:rPr>
                      <w:rFonts w:hint="eastAsia" w:ascii="Times New Roman" w:hAnsi="Times New Roman" w:eastAsia="宋体"/>
                      <w:bCs/>
                      <w:color w:val="000000" w:themeColor="text1"/>
                      <w:szCs w:val="21"/>
                      <w:lang w:val="en-US" w:eastAsia="zh-CN"/>
                      <w14:textFill>
                        <w14:solidFill>
                          <w14:schemeClr w14:val="tx1"/>
                        </w14:solidFill>
                      </w14:textFill>
                    </w:rPr>
                  </w:pPr>
                  <w:r>
                    <w:rPr>
                      <w:rFonts w:ascii="Times New Roman" w:hAnsi="Times New Roman"/>
                      <w:bCs/>
                      <w:color w:val="000000" w:themeColor="text1"/>
                      <w:szCs w:val="21"/>
                      <w14:textFill>
                        <w14:solidFill>
                          <w14:schemeClr w14:val="tx1"/>
                        </w14:solidFill>
                      </w14:textFill>
                    </w:rPr>
                    <w:t>屋顶为</w:t>
                  </w:r>
                  <w:r>
                    <w:rPr>
                      <w:rFonts w:hint="eastAsia" w:ascii="Times New Roman" w:hAnsi="Times New Roman"/>
                      <w:bCs/>
                      <w:color w:val="000000" w:themeColor="text1"/>
                      <w:szCs w:val="21"/>
                      <w:lang w:val="en-US" w:eastAsia="zh-CN"/>
                      <w14:textFill>
                        <w14:solidFill>
                          <w14:schemeClr w14:val="tx1"/>
                        </w14:solidFill>
                      </w14:textFill>
                    </w:rPr>
                    <w:t>26</w:t>
                  </w:r>
                  <w:r>
                    <w:rPr>
                      <w:rFonts w:hint="eastAsia" w:ascii="Times New Roman" w:hAnsi="Times New Roman"/>
                      <w:bCs/>
                      <w:color w:val="000000" w:themeColor="text1"/>
                      <w:szCs w:val="21"/>
                      <w14:textFill>
                        <w14:solidFill>
                          <w14:schemeClr w14:val="tx1"/>
                        </w14:solidFill>
                      </w14:textFill>
                    </w:rPr>
                    <w:t>0mm现浇混凝土楼板</w:t>
                  </w:r>
                  <w:r>
                    <w:rPr>
                      <w:rFonts w:hint="eastAsia"/>
                    </w:rPr>
                    <w:t>+</w:t>
                  </w:r>
                  <w:r>
                    <w:rPr>
                      <w:rFonts w:hint="eastAsia"/>
                      <w:lang w:val="en-US" w:eastAsia="zh-CN"/>
                    </w:rPr>
                    <w:t>3</w:t>
                  </w:r>
                  <w:r>
                    <w:rPr>
                      <w:rFonts w:hint="eastAsia"/>
                    </w:rPr>
                    <w:t>mm</w:t>
                  </w:r>
                  <w:r>
                    <w:rPr>
                      <w:rFonts w:hint="eastAsia"/>
                      <w:lang w:val="en-US" w:eastAsia="zh-CN"/>
                    </w:rPr>
                    <w:t>铅板</w:t>
                  </w:r>
                </w:p>
                <w:p w14:paraId="443DF5F3">
                  <w:pPr>
                    <w:jc w:val="center"/>
                    <w:rPr>
                      <w:rFonts w:ascii="Times New Roman" w:hAnsi="Times New Roman"/>
                      <w:szCs w:val="21"/>
                    </w:rPr>
                  </w:pPr>
                  <w:r>
                    <w:rPr>
                      <w:rFonts w:ascii="Times New Roman" w:hAnsi="Times New Roman"/>
                      <w:bCs/>
                      <w:color w:val="000000" w:themeColor="text1"/>
                      <w:szCs w:val="21"/>
                      <w14:textFill>
                        <w14:solidFill>
                          <w14:schemeClr w14:val="tx1"/>
                        </w14:solidFill>
                      </w14:textFill>
                    </w:rPr>
                    <w:t>地板为</w:t>
                  </w:r>
                  <w:r>
                    <w:rPr>
                      <w:rFonts w:hint="eastAsia" w:ascii="Times New Roman" w:hAnsi="Times New Roman"/>
                      <w:bCs/>
                      <w:color w:val="000000" w:themeColor="text1"/>
                      <w:szCs w:val="21"/>
                      <w:lang w:val="en-US" w:eastAsia="zh-CN"/>
                      <w14:textFill>
                        <w14:solidFill>
                          <w14:schemeClr w14:val="tx1"/>
                        </w14:solidFill>
                      </w14:textFill>
                    </w:rPr>
                    <w:t>26</w:t>
                  </w:r>
                  <w:r>
                    <w:rPr>
                      <w:rFonts w:hint="eastAsia" w:ascii="Times New Roman" w:hAnsi="Times New Roman"/>
                      <w:bCs/>
                      <w:color w:val="000000" w:themeColor="text1"/>
                      <w:szCs w:val="21"/>
                      <w14:textFill>
                        <w14:solidFill>
                          <w14:schemeClr w14:val="tx1"/>
                        </w14:solidFill>
                      </w14:textFill>
                    </w:rPr>
                    <w:t>0mm现浇混凝土楼板</w:t>
                  </w:r>
                  <w:r>
                    <w:rPr>
                      <w:rFonts w:hint="eastAsia"/>
                    </w:rPr>
                    <w:t>+</w:t>
                  </w:r>
                  <w:r>
                    <w:rPr>
                      <w:rFonts w:hint="eastAsia"/>
                      <w:lang w:val="en-US" w:eastAsia="zh-CN"/>
                    </w:rPr>
                    <w:t>1</w:t>
                  </w:r>
                  <w:r>
                    <w:rPr>
                      <w:rFonts w:hint="eastAsia"/>
                    </w:rPr>
                    <w:t>0mm硫酸钡水泥砂浆</w:t>
                  </w:r>
                </w:p>
              </w:tc>
            </w:tr>
            <w:tr w14:paraId="4365B7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844" w:type="dxa"/>
                  <w:vMerge w:val="continue"/>
                  <w:tcBorders>
                    <w:top w:val="single" w:color="auto" w:sz="4" w:space="0"/>
                    <w:bottom w:val="single" w:color="auto" w:sz="4" w:space="0"/>
                  </w:tcBorders>
                  <w:vAlign w:val="center"/>
                </w:tcPr>
                <w:p w14:paraId="56040CBD">
                  <w:pPr>
                    <w:jc w:val="center"/>
                    <w:rPr>
                      <w:rFonts w:ascii="Times New Roman" w:hAnsi="Times New Roman"/>
                      <w:bCs/>
                      <w:szCs w:val="21"/>
                    </w:rPr>
                  </w:pPr>
                </w:p>
              </w:tc>
              <w:tc>
                <w:tcPr>
                  <w:tcW w:w="975" w:type="dxa"/>
                  <w:vMerge w:val="restart"/>
                  <w:tcBorders>
                    <w:top w:val="single" w:color="auto" w:sz="4" w:space="0"/>
                    <w:bottom w:val="single" w:color="auto" w:sz="4" w:space="0"/>
                  </w:tcBorders>
                  <w:vAlign w:val="center"/>
                </w:tcPr>
                <w:p w14:paraId="3A7948EF">
                  <w:pPr>
                    <w:jc w:val="center"/>
                    <w:rPr>
                      <w:rFonts w:ascii="Times New Roman" w:hAnsi="Times New Roman"/>
                      <w:bCs/>
                      <w:szCs w:val="21"/>
                    </w:rPr>
                  </w:pPr>
                  <w:r>
                    <w:rPr>
                      <w:rFonts w:ascii="Times New Roman" w:hAnsi="Times New Roman"/>
                      <w:bCs/>
                      <w:szCs w:val="21"/>
                    </w:rPr>
                    <w:t>安全装置</w:t>
                  </w:r>
                </w:p>
              </w:tc>
              <w:tc>
                <w:tcPr>
                  <w:tcW w:w="7000" w:type="dxa"/>
                  <w:tcBorders>
                    <w:top w:val="single" w:color="auto" w:sz="4" w:space="0"/>
                    <w:bottom w:val="single" w:color="auto" w:sz="4" w:space="0"/>
                  </w:tcBorders>
                  <w:vAlign w:val="center"/>
                </w:tcPr>
                <w:p w14:paraId="2D4F0434">
                  <w:pPr>
                    <w:spacing w:line="276" w:lineRule="auto"/>
                    <w:jc w:val="center"/>
                    <w:rPr>
                      <w:rFonts w:ascii="Times New Roman" w:hAnsi="Times New Roman"/>
                      <w:color w:val="FF0000"/>
                      <w:szCs w:val="21"/>
                    </w:rPr>
                  </w:pPr>
                  <w:r>
                    <w:rPr>
                      <w:rFonts w:ascii="Times New Roman" w:hAnsi="Times New Roman"/>
                      <w:color w:val="000000" w:themeColor="text1"/>
                      <w:szCs w:val="21"/>
                      <w14:textFill>
                        <w14:solidFill>
                          <w14:schemeClr w14:val="tx1"/>
                        </w14:solidFill>
                      </w14:textFill>
                    </w:rPr>
                    <w:t>工作状态指示灯箱：患者进出门、医护进出门、</w:t>
                  </w:r>
                  <w:r>
                    <w:rPr>
                      <w:rFonts w:hint="eastAsia" w:ascii="Times New Roman" w:hAnsi="Times New Roman"/>
                      <w:color w:val="000000" w:themeColor="text1"/>
                      <w:szCs w:val="21"/>
                      <w14:textFill>
                        <w14:solidFill>
                          <w14:schemeClr w14:val="tx1"/>
                        </w14:solidFill>
                      </w14:textFill>
                    </w:rPr>
                    <w:t>污物门</w:t>
                  </w:r>
                  <w:r>
                    <w:rPr>
                      <w:rFonts w:ascii="Times New Roman" w:hAnsi="Times New Roman"/>
                      <w:color w:val="000000" w:themeColor="text1"/>
                      <w:szCs w:val="21"/>
                      <w14:textFill>
                        <w14:solidFill>
                          <w14:schemeClr w14:val="tx1"/>
                        </w14:solidFill>
                      </w14:textFill>
                    </w:rPr>
                    <w:t>各一个，</w:t>
                  </w:r>
                  <w:r>
                    <w:rPr>
                      <w:rFonts w:ascii="Times New Roman" w:hAnsi="Times New Roman"/>
                      <w:bCs/>
                      <w:color w:val="000000" w:themeColor="text1"/>
                      <w:szCs w:val="21"/>
                      <w14:textFill>
                        <w14:solidFill>
                          <w14:schemeClr w14:val="tx1"/>
                        </w14:solidFill>
                      </w14:textFill>
                    </w:rPr>
                    <w:t>共计3个</w:t>
                  </w:r>
                </w:p>
              </w:tc>
            </w:tr>
            <w:tr w14:paraId="28008E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44" w:type="dxa"/>
                  <w:vMerge w:val="continue"/>
                  <w:tcBorders>
                    <w:top w:val="single" w:color="auto" w:sz="4" w:space="0"/>
                    <w:bottom w:val="single" w:color="auto" w:sz="4" w:space="0"/>
                  </w:tcBorders>
                  <w:vAlign w:val="center"/>
                </w:tcPr>
                <w:p w14:paraId="6067CBA1">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58F1B5D6">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4DEFBEED">
                  <w:pPr>
                    <w:spacing w:line="276" w:lineRule="auto"/>
                    <w:jc w:val="center"/>
                    <w:rPr>
                      <w:rFonts w:ascii="Times New Roman" w:hAnsi="Times New Roman"/>
                      <w:color w:val="FF0000"/>
                      <w:szCs w:val="21"/>
                    </w:rPr>
                  </w:pPr>
                  <w:r>
                    <w:rPr>
                      <w:rFonts w:ascii="Times New Roman" w:hAnsi="Times New Roman"/>
                      <w:color w:val="000000" w:themeColor="text1"/>
                      <w:szCs w:val="21"/>
                      <w14:textFill>
                        <w14:solidFill>
                          <w14:schemeClr w14:val="tx1"/>
                        </w14:solidFill>
                      </w14:textFill>
                    </w:rPr>
                    <w:t>电离辐射警告标志：患者进出门、医护进出门、</w:t>
                  </w:r>
                  <w:r>
                    <w:rPr>
                      <w:rFonts w:hint="eastAsia" w:ascii="Times New Roman" w:hAnsi="Times New Roman"/>
                      <w:color w:val="000000" w:themeColor="text1"/>
                      <w:szCs w:val="21"/>
                      <w14:textFill>
                        <w14:solidFill>
                          <w14:schemeClr w14:val="tx1"/>
                        </w14:solidFill>
                      </w14:textFill>
                    </w:rPr>
                    <w:t>污物门</w:t>
                  </w:r>
                  <w:r>
                    <w:rPr>
                      <w:rFonts w:ascii="Times New Roman" w:hAnsi="Times New Roman"/>
                      <w:color w:val="000000" w:themeColor="text1"/>
                      <w:szCs w:val="21"/>
                      <w14:textFill>
                        <w14:solidFill>
                          <w14:schemeClr w14:val="tx1"/>
                        </w14:solidFill>
                      </w14:textFill>
                    </w:rPr>
                    <w:t>各一个，</w:t>
                  </w:r>
                  <w:r>
                    <w:rPr>
                      <w:rFonts w:ascii="Times New Roman" w:hAnsi="Times New Roman"/>
                      <w:bCs/>
                      <w:color w:val="000000" w:themeColor="text1"/>
                      <w:szCs w:val="21"/>
                      <w14:textFill>
                        <w14:solidFill>
                          <w14:schemeClr w14:val="tx1"/>
                        </w14:solidFill>
                      </w14:textFill>
                    </w:rPr>
                    <w:t>共计3个</w:t>
                  </w:r>
                </w:p>
              </w:tc>
            </w:tr>
            <w:tr w14:paraId="68551E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68C647AF">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172A9161">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3A90703C">
                  <w:pPr>
                    <w:pStyle w:val="37"/>
                    <w:snapToGrid w:val="0"/>
                    <w:spacing w:line="276" w:lineRule="auto"/>
                    <w:ind w:left="0"/>
                    <w:jc w:val="center"/>
                    <w:rPr>
                      <w:rFonts w:ascii="Times New Roman" w:hAnsi="Times New Roman"/>
                      <w:color w:val="FF0000"/>
                      <w:szCs w:val="21"/>
                    </w:rPr>
                  </w:pPr>
                  <w:r>
                    <w:rPr>
                      <w:rFonts w:ascii="Times New Roman" w:hAnsi="Times New Roman"/>
                      <w:b w:val="0"/>
                      <w:color w:val="000000" w:themeColor="text1"/>
                      <w:szCs w:val="21"/>
                      <w14:textFill>
                        <w14:solidFill>
                          <w14:schemeClr w14:val="tx1"/>
                        </w14:solidFill>
                      </w14:textFill>
                    </w:rPr>
                    <w:t>铅悬挂防护屏/铅防护吊帘1副（0.5mmPb）</w:t>
                  </w:r>
                </w:p>
              </w:tc>
            </w:tr>
            <w:tr w14:paraId="64ED16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0F5D2657">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14803023">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4382C550">
                  <w:pPr>
                    <w:spacing w:line="276" w:lineRule="auto"/>
                    <w:jc w:val="center"/>
                    <w:rPr>
                      <w:rFonts w:ascii="Times New Roman" w:hAnsi="Times New Roman"/>
                      <w:color w:val="FF0000"/>
                      <w:szCs w:val="21"/>
                    </w:rPr>
                  </w:pPr>
                  <w:r>
                    <w:rPr>
                      <w:rFonts w:ascii="Times New Roman" w:hAnsi="Times New Roman"/>
                      <w:color w:val="000000" w:themeColor="text1"/>
                      <w:szCs w:val="21"/>
                      <w14:textFill>
                        <w14:solidFill>
                          <w14:schemeClr w14:val="tx1"/>
                        </w14:solidFill>
                      </w14:textFill>
                    </w:rPr>
                    <w:t>床侧防护帘/床侧防护屏1副（0.5mmPb）</w:t>
                  </w:r>
                </w:p>
              </w:tc>
            </w:tr>
            <w:tr w14:paraId="33138A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02E23E75">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06E552CD">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7D274C3E">
                  <w:pPr>
                    <w:jc w:val="center"/>
                    <w:rPr>
                      <w:rFonts w:ascii="Times New Roman" w:hAnsi="Times New Roman"/>
                      <w:color w:val="FF0000"/>
                      <w:szCs w:val="21"/>
                    </w:rPr>
                  </w:pPr>
                  <w:r>
                    <w:rPr>
                      <w:rFonts w:ascii="Times New Roman" w:hAnsi="Times New Roman"/>
                      <w:bCs/>
                      <w:color w:val="000000" w:themeColor="text1"/>
                      <w:szCs w:val="21"/>
                      <w14:textFill>
                        <w14:solidFill>
                          <w14:schemeClr w14:val="tx1"/>
                        </w14:solidFill>
                      </w14:textFill>
                    </w:rPr>
                    <w:t>门灯联锁装置：患者、医护人员进出门、</w:t>
                  </w:r>
                  <w:r>
                    <w:rPr>
                      <w:rFonts w:hint="eastAsia" w:ascii="Times New Roman" w:hAnsi="Times New Roman"/>
                      <w:bCs/>
                      <w:color w:val="000000" w:themeColor="text1"/>
                      <w:szCs w:val="21"/>
                      <w14:textFill>
                        <w14:solidFill>
                          <w14:schemeClr w14:val="tx1"/>
                        </w14:solidFill>
                      </w14:textFill>
                    </w:rPr>
                    <w:t>污物门</w:t>
                  </w:r>
                  <w:r>
                    <w:rPr>
                      <w:rFonts w:ascii="Times New Roman" w:hAnsi="Times New Roman"/>
                      <w:bCs/>
                      <w:color w:val="000000" w:themeColor="text1"/>
                      <w:szCs w:val="21"/>
                      <w14:textFill>
                        <w14:solidFill>
                          <w14:schemeClr w14:val="tx1"/>
                        </w14:solidFill>
                      </w14:textFill>
                    </w:rPr>
                    <w:t>各设置1个，共计3个</w:t>
                  </w:r>
                  <w:r>
                    <w:rPr>
                      <w:rFonts w:hint="eastAsia" w:ascii="Times New Roman" w:hAnsi="Times New Roman"/>
                      <w:bCs/>
                      <w:color w:val="000000" w:themeColor="text1"/>
                      <w:szCs w:val="21"/>
                      <w14:textFill>
                        <w14:solidFill>
                          <w14:schemeClr w14:val="tx1"/>
                        </w14:solidFill>
                      </w14:textFill>
                    </w:rPr>
                    <w:t>。</w:t>
                  </w:r>
                </w:p>
              </w:tc>
            </w:tr>
            <w:tr w14:paraId="7A3ECC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6CE7676F">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67F43B0B">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2684C2C0">
                  <w:pPr>
                    <w:jc w:val="center"/>
                    <w:rPr>
                      <w:rFonts w:ascii="Times New Roman" w:hAnsi="Times New Roman"/>
                      <w:bCs/>
                      <w:color w:val="FF0000"/>
                      <w:szCs w:val="21"/>
                    </w:rPr>
                  </w:pPr>
                  <w:r>
                    <w:rPr>
                      <w:rFonts w:ascii="Times New Roman" w:hAnsi="Times New Roman"/>
                      <w:bCs/>
                      <w:color w:val="000000" w:themeColor="text1"/>
                      <w:szCs w:val="21"/>
                      <w14:textFill>
                        <w14:solidFill>
                          <w14:schemeClr w14:val="tx1"/>
                        </w14:solidFill>
                      </w14:textFill>
                    </w:rPr>
                    <w:t>DSA机房</w:t>
                  </w:r>
                  <w:r>
                    <w:rPr>
                      <w:rFonts w:ascii="Times New Roman" w:hAnsi="Times New Roman"/>
                      <w:color w:val="000000" w:themeColor="text1"/>
                      <w:szCs w:val="21"/>
                      <w14:textFill>
                        <w14:solidFill>
                          <w14:schemeClr w14:val="tx1"/>
                        </w14:solidFill>
                      </w14:textFill>
                    </w:rPr>
                    <w:t>电动防护移门设置防夹装置，平开门设置闭门装置</w:t>
                  </w:r>
                </w:p>
              </w:tc>
            </w:tr>
            <w:tr w14:paraId="05FC96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62FB508B">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6544894B">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5967E76B">
                  <w:pPr>
                    <w:jc w:val="center"/>
                    <w:rPr>
                      <w:rFonts w:ascii="Times New Roman" w:hAnsi="Times New Roman"/>
                      <w:bCs/>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防盗设施一套</w:t>
                  </w:r>
                </w:p>
              </w:tc>
            </w:tr>
            <w:tr w14:paraId="2CEB81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6E640DC7">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7D423A29">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4A956058">
                  <w:pPr>
                    <w:jc w:val="center"/>
                    <w:rPr>
                      <w:rFonts w:ascii="Times New Roman" w:hAnsi="Times New Roman"/>
                      <w:bCs/>
                      <w:color w:val="FF0000"/>
                      <w:szCs w:val="21"/>
                    </w:rPr>
                  </w:pPr>
                  <w:r>
                    <w:rPr>
                      <w:rFonts w:ascii="Times New Roman" w:hAnsi="Times New Roman"/>
                      <w:bCs/>
                      <w:color w:val="000000" w:themeColor="text1"/>
                      <w:szCs w:val="21"/>
                      <w14:textFill>
                        <w14:solidFill>
                          <w14:schemeClr w14:val="tx1"/>
                        </w14:solidFill>
                      </w14:textFill>
                    </w:rPr>
                    <w:t>紧急止动装置1套（操作台及床体上各1个）</w:t>
                  </w:r>
                </w:p>
              </w:tc>
            </w:tr>
            <w:tr w14:paraId="6D06D9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262CD57F">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6A8CBDDE">
                  <w:pPr>
                    <w:jc w:val="center"/>
                    <w:rPr>
                      <w:rFonts w:ascii="Times New Roman" w:hAnsi="Times New Roman"/>
                      <w:bCs/>
                      <w:szCs w:val="21"/>
                    </w:rPr>
                  </w:pPr>
                </w:p>
              </w:tc>
              <w:tc>
                <w:tcPr>
                  <w:tcW w:w="7000" w:type="dxa"/>
                  <w:tcBorders>
                    <w:top w:val="single" w:color="auto" w:sz="4" w:space="0"/>
                    <w:bottom w:val="single" w:color="auto" w:sz="4" w:space="0"/>
                  </w:tcBorders>
                  <w:vAlign w:val="center"/>
                </w:tcPr>
                <w:p w14:paraId="5A5BB949">
                  <w:pPr>
                    <w:jc w:val="center"/>
                    <w:rPr>
                      <w:rFonts w:ascii="Times New Roman" w:hAnsi="Times New Roman"/>
                      <w:bCs/>
                      <w:color w:val="FF0000"/>
                      <w:szCs w:val="21"/>
                    </w:rPr>
                  </w:pPr>
                  <w:r>
                    <w:rPr>
                      <w:rFonts w:ascii="Times New Roman" w:hAnsi="Times New Roman"/>
                      <w:bCs/>
                      <w:color w:val="000000" w:themeColor="text1"/>
                      <w:szCs w:val="21"/>
                      <w14:textFill>
                        <w14:solidFill>
                          <w14:schemeClr w14:val="tx1"/>
                        </w14:solidFill>
                      </w14:textFill>
                    </w:rPr>
                    <w:t>对讲装置1台</w:t>
                  </w:r>
                </w:p>
              </w:tc>
            </w:tr>
            <w:tr w14:paraId="1BFA8F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0A5B4977">
                  <w:pPr>
                    <w:jc w:val="center"/>
                    <w:rPr>
                      <w:rFonts w:ascii="Times New Roman" w:hAnsi="Times New Roman"/>
                      <w:bCs/>
                      <w:szCs w:val="21"/>
                    </w:rPr>
                  </w:pPr>
                </w:p>
              </w:tc>
              <w:tc>
                <w:tcPr>
                  <w:tcW w:w="975" w:type="dxa"/>
                  <w:vMerge w:val="restart"/>
                  <w:tcBorders>
                    <w:top w:val="single" w:color="auto" w:sz="4" w:space="0"/>
                    <w:bottom w:val="single" w:color="auto" w:sz="4" w:space="0"/>
                  </w:tcBorders>
                  <w:vAlign w:val="center"/>
                </w:tcPr>
                <w:p w14:paraId="1D94C516">
                  <w:pPr>
                    <w:jc w:val="center"/>
                    <w:rPr>
                      <w:rFonts w:ascii="Times New Roman" w:hAnsi="Times New Roman"/>
                      <w:szCs w:val="21"/>
                    </w:rPr>
                  </w:pPr>
                  <w:r>
                    <w:rPr>
                      <w:rFonts w:ascii="Times New Roman" w:hAnsi="Times New Roman"/>
                      <w:szCs w:val="21"/>
                    </w:rPr>
                    <w:t>监测仪器和个人防护用品</w:t>
                  </w:r>
                </w:p>
              </w:tc>
              <w:tc>
                <w:tcPr>
                  <w:tcW w:w="7000" w:type="dxa"/>
                  <w:tcBorders>
                    <w:top w:val="single" w:color="auto" w:sz="4" w:space="0"/>
                    <w:bottom w:val="single" w:color="auto" w:sz="4" w:space="0"/>
                  </w:tcBorders>
                  <w:vAlign w:val="center"/>
                </w:tcPr>
                <w:p w14:paraId="6CF01F52">
                  <w:pPr>
                    <w:jc w:val="center"/>
                    <w:rPr>
                      <w:rFonts w:ascii="Times New Roman" w:hAnsi="Times New Roman"/>
                      <w:color w:val="FF0000"/>
                      <w:szCs w:val="21"/>
                    </w:rPr>
                  </w:pPr>
                  <w:r>
                    <w:rPr>
                      <w:rFonts w:hint="eastAsia" w:ascii="Times New Roman" w:hAnsi="Times New Roman"/>
                      <w:bCs/>
                      <w:color w:val="000000" w:themeColor="text1"/>
                      <w:szCs w:val="21"/>
                      <w:lang w:val="en-US" w:eastAsia="zh-CN"/>
                      <w14:textFill>
                        <w14:solidFill>
                          <w14:schemeClr w14:val="tx1"/>
                        </w14:solidFill>
                      </w14:textFill>
                    </w:rPr>
                    <w:t>新增</w:t>
                  </w:r>
                  <w:r>
                    <w:rPr>
                      <w:rFonts w:ascii="Times New Roman" w:hAnsi="Times New Roman"/>
                      <w:bCs/>
                      <w:color w:val="000000" w:themeColor="text1"/>
                      <w:szCs w:val="21"/>
                      <w14:textFill>
                        <w14:solidFill>
                          <w14:schemeClr w14:val="tx1"/>
                        </w14:solidFill>
                      </w14:textFill>
                    </w:rPr>
                    <w:t>个人剂量计</w:t>
                  </w:r>
                  <w:r>
                    <w:rPr>
                      <w:rFonts w:hint="eastAsia" w:ascii="Times New Roman" w:hAnsi="Times New Roman"/>
                      <w:bCs/>
                      <w:color w:val="000000" w:themeColor="text1"/>
                      <w:szCs w:val="21"/>
                      <w:lang w:val="en-US" w:eastAsia="zh-CN"/>
                      <w14:textFill>
                        <w14:solidFill>
                          <w14:schemeClr w14:val="tx1"/>
                        </w14:solidFill>
                      </w14:textFill>
                    </w:rPr>
                    <w:t>14</w:t>
                  </w:r>
                  <w:r>
                    <w:rPr>
                      <w:rFonts w:ascii="Times New Roman" w:hAnsi="Times New Roman"/>
                      <w:bCs/>
                      <w:color w:val="000000" w:themeColor="text1"/>
                      <w:szCs w:val="21"/>
                      <w14:textFill>
                        <w14:solidFill>
                          <w14:schemeClr w14:val="tx1"/>
                        </w14:solidFill>
                      </w14:textFill>
                    </w:rPr>
                    <w:t>套</w:t>
                  </w:r>
                </w:p>
              </w:tc>
            </w:tr>
            <w:tr w14:paraId="3F42B1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762A5F6D">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106B5B50">
                  <w:pPr>
                    <w:jc w:val="center"/>
                    <w:rPr>
                      <w:rFonts w:ascii="Times New Roman" w:hAnsi="Times New Roman"/>
                      <w:szCs w:val="21"/>
                    </w:rPr>
                  </w:pPr>
                </w:p>
              </w:tc>
              <w:tc>
                <w:tcPr>
                  <w:tcW w:w="7000" w:type="dxa"/>
                  <w:tcBorders>
                    <w:top w:val="single" w:color="auto" w:sz="4" w:space="0"/>
                    <w:bottom w:val="single" w:color="auto" w:sz="4" w:space="0"/>
                  </w:tcBorders>
                  <w:vAlign w:val="center"/>
                </w:tcPr>
                <w:p w14:paraId="6815271E">
                  <w:pPr>
                    <w:jc w:val="center"/>
                    <w:rPr>
                      <w:rFonts w:ascii="Times New Roman" w:hAnsi="Times New Roman"/>
                      <w:color w:val="FF0000"/>
                      <w:szCs w:val="21"/>
                    </w:rPr>
                  </w:pPr>
                  <w:r>
                    <w:rPr>
                      <w:rFonts w:ascii="Times New Roman" w:hAnsi="Times New Roman"/>
                      <w:bCs/>
                      <w:color w:val="000000" w:themeColor="text1"/>
                      <w:szCs w:val="21"/>
                      <w14:textFill>
                        <w14:solidFill>
                          <w14:schemeClr w14:val="tx1"/>
                        </w14:solidFill>
                      </w14:textFill>
                    </w:rPr>
                    <w:t>个人剂量报警仪</w:t>
                  </w:r>
                  <w:r>
                    <w:rPr>
                      <w:rFonts w:hint="eastAsia" w:ascii="Times New Roman" w:hAnsi="Times New Roman"/>
                      <w:bCs/>
                      <w:color w:val="000000" w:themeColor="text1"/>
                      <w:szCs w:val="21"/>
                      <w14:textFill>
                        <w14:solidFill>
                          <w14:schemeClr w14:val="tx1"/>
                        </w14:solidFill>
                      </w14:textFill>
                    </w:rPr>
                    <w:t>3</w:t>
                  </w:r>
                  <w:r>
                    <w:rPr>
                      <w:rFonts w:ascii="Times New Roman" w:hAnsi="Times New Roman"/>
                      <w:bCs/>
                      <w:color w:val="000000" w:themeColor="text1"/>
                      <w:szCs w:val="21"/>
                      <w14:textFill>
                        <w14:solidFill>
                          <w14:schemeClr w14:val="tx1"/>
                        </w14:solidFill>
                      </w14:textFill>
                    </w:rPr>
                    <w:t>台</w:t>
                  </w:r>
                </w:p>
              </w:tc>
            </w:tr>
            <w:tr w14:paraId="42DF93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3C335706">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09F55C94">
                  <w:pPr>
                    <w:jc w:val="center"/>
                    <w:rPr>
                      <w:rFonts w:ascii="Times New Roman" w:hAnsi="Times New Roman"/>
                      <w:szCs w:val="21"/>
                    </w:rPr>
                  </w:pPr>
                </w:p>
              </w:tc>
              <w:tc>
                <w:tcPr>
                  <w:tcW w:w="7000" w:type="dxa"/>
                  <w:tcBorders>
                    <w:top w:val="single" w:color="auto" w:sz="4" w:space="0"/>
                    <w:bottom w:val="single" w:color="auto" w:sz="4" w:space="0"/>
                  </w:tcBorders>
                  <w:vAlign w:val="center"/>
                </w:tcPr>
                <w:p w14:paraId="4BCD39AF">
                  <w:pPr>
                    <w:jc w:val="center"/>
                    <w:rPr>
                      <w:rFonts w:ascii="Times New Roman" w:hAnsi="Times New Roman"/>
                      <w:color w:val="FF0000"/>
                      <w:szCs w:val="21"/>
                    </w:rPr>
                  </w:pPr>
                  <w:r>
                    <w:rPr>
                      <w:rFonts w:ascii="Times New Roman" w:hAnsi="Times New Roman"/>
                      <w:bCs/>
                      <w:color w:val="000000" w:themeColor="text1"/>
                      <w:szCs w:val="21"/>
                      <w14:textFill>
                        <w14:solidFill>
                          <w14:schemeClr w14:val="tx1"/>
                        </w14:solidFill>
                      </w14:textFill>
                    </w:rPr>
                    <w:t>便携式辐射</w:t>
                  </w:r>
                  <w:r>
                    <w:rPr>
                      <w:rFonts w:hint="eastAsia" w:ascii="Times New Roman" w:hAnsi="Times New Roman"/>
                      <w:bCs/>
                      <w:color w:val="000000" w:themeColor="text1"/>
                      <w:szCs w:val="21"/>
                      <w14:textFill>
                        <w14:solidFill>
                          <w14:schemeClr w14:val="tx1"/>
                        </w14:solidFill>
                      </w14:textFill>
                    </w:rPr>
                    <w:t>水平</w:t>
                  </w:r>
                  <w:r>
                    <w:rPr>
                      <w:rFonts w:ascii="Times New Roman" w:hAnsi="Times New Roman"/>
                      <w:bCs/>
                      <w:color w:val="000000" w:themeColor="text1"/>
                      <w:szCs w:val="21"/>
                      <w14:textFill>
                        <w14:solidFill>
                          <w14:schemeClr w14:val="tx1"/>
                        </w14:solidFill>
                      </w14:textFill>
                    </w:rPr>
                    <w:t>监测仪1台</w:t>
                  </w:r>
                </w:p>
              </w:tc>
            </w:tr>
            <w:tr w14:paraId="2F80D1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bottom w:val="single" w:color="auto" w:sz="4" w:space="0"/>
                  </w:tcBorders>
                  <w:vAlign w:val="center"/>
                </w:tcPr>
                <w:p w14:paraId="1737D2FE">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4C2C810B">
                  <w:pPr>
                    <w:jc w:val="center"/>
                    <w:rPr>
                      <w:rFonts w:ascii="Times New Roman" w:hAnsi="Times New Roman"/>
                      <w:szCs w:val="21"/>
                    </w:rPr>
                  </w:pPr>
                </w:p>
              </w:tc>
              <w:tc>
                <w:tcPr>
                  <w:tcW w:w="7000" w:type="dxa"/>
                  <w:tcBorders>
                    <w:top w:val="single" w:color="auto" w:sz="4" w:space="0"/>
                    <w:bottom w:val="single" w:color="auto" w:sz="4" w:space="0"/>
                  </w:tcBorders>
                  <w:vAlign w:val="center"/>
                </w:tcPr>
                <w:p w14:paraId="0BBB1AC1">
                  <w:pPr>
                    <w:jc w:val="center"/>
                    <w:rPr>
                      <w:rFonts w:ascii="Times New Roman" w:hAnsi="Times New Roman"/>
                      <w:color w:val="FF0000"/>
                      <w:szCs w:val="21"/>
                    </w:rPr>
                  </w:pPr>
                  <w:r>
                    <w:rPr>
                      <w:rFonts w:ascii="Times New Roman" w:hAnsi="Times New Roman"/>
                      <w:color w:val="000000" w:themeColor="text1"/>
                      <w:szCs w:val="21"/>
                      <w14:textFill>
                        <w14:solidFill>
                          <w14:schemeClr w14:val="tx1"/>
                        </w14:solidFill>
                      </w14:textFill>
                    </w:rPr>
                    <w:t>辐射工作人员防护用品（配备</w:t>
                  </w:r>
                  <w:r>
                    <w:rPr>
                      <w:rFonts w:hint="eastAsia" w:ascii="Times New Roman" w:hAnsi="Times New Roman"/>
                      <w:color w:val="000000" w:themeColor="text1"/>
                      <w:szCs w:val="21"/>
                      <w14:textFill>
                        <w14:solidFill>
                          <w14:schemeClr w14:val="tx1"/>
                        </w14:solidFill>
                      </w14:textFill>
                    </w:rPr>
                    <w:t>0.5mm</w:t>
                  </w:r>
                  <w:r>
                    <w:rPr>
                      <w:rFonts w:ascii="Times New Roman" w:hAnsi="Times New Roman"/>
                      <w:color w:val="000000" w:themeColor="text1"/>
                      <w:szCs w:val="21"/>
                      <w14:textFill>
                        <w14:solidFill>
                          <w14:schemeClr w14:val="tx1"/>
                        </w14:solidFill>
                      </w14:textFill>
                    </w:rPr>
                    <w:t>Pb</w:t>
                  </w:r>
                  <w:r>
                    <w:rPr>
                      <w:rFonts w:hint="eastAsia" w:ascii="Times New Roman" w:hAnsi="Times New Roman"/>
                      <w:color w:val="000000" w:themeColor="text1"/>
                      <w:szCs w:val="21"/>
                      <w14:textFill>
                        <w14:solidFill>
                          <w14:schemeClr w14:val="tx1"/>
                        </w14:solidFill>
                      </w14:textFill>
                    </w:rPr>
                    <w:t>的</w:t>
                  </w:r>
                  <w:r>
                    <w:rPr>
                      <w:rFonts w:ascii="Times New Roman" w:hAnsi="Times New Roman"/>
                      <w:color w:val="000000" w:themeColor="text1"/>
                      <w:szCs w:val="21"/>
                      <w14:textFill>
                        <w14:solidFill>
                          <w14:schemeClr w14:val="tx1"/>
                        </w14:solidFill>
                      </w14:textFill>
                    </w:rPr>
                    <w:t>铅橡胶围裙、铅橡胶帽子、铅橡胶颈套、铅防护眼镜</w:t>
                  </w:r>
                  <w:r>
                    <w:rPr>
                      <w:rFonts w:hint="eastAsia" w:ascii="Times New Roman" w:hAnsi="Times New Roman"/>
                      <w:color w:val="000000" w:themeColor="text1"/>
                      <w:szCs w:val="21"/>
                      <w14:textFill>
                        <w14:solidFill>
                          <w14:schemeClr w14:val="tx1"/>
                        </w14:solidFill>
                      </w14:textFill>
                    </w:rPr>
                    <w:t>0.5mm</w:t>
                  </w:r>
                  <w:r>
                    <w:rPr>
                      <w:rFonts w:ascii="Times New Roman" w:hAnsi="Times New Roman"/>
                      <w:color w:val="000000" w:themeColor="text1"/>
                      <w:szCs w:val="21"/>
                      <w14:textFill>
                        <w14:solidFill>
                          <w14:schemeClr w14:val="tx1"/>
                        </w14:solidFill>
                      </w14:textFill>
                    </w:rPr>
                    <w:t>Pb</w:t>
                  </w:r>
                  <w:r>
                    <w:rPr>
                      <w:rFonts w:hint="eastAsia" w:ascii="Times New Roman" w:hAnsi="Times New Roman"/>
                      <w:color w:val="000000" w:themeColor="text1"/>
                      <w:szCs w:val="21"/>
                      <w14:textFill>
                        <w14:solidFill>
                          <w14:schemeClr w14:val="tx1"/>
                        </w14:solidFill>
                      </w14:textFill>
                    </w:rPr>
                    <w:t>、</w:t>
                  </w:r>
                  <w:r>
                    <w:rPr>
                      <w:rFonts w:ascii="Times New Roman" w:hAnsi="Times New Roman"/>
                      <w:color w:val="000000" w:themeColor="text1"/>
                      <w:szCs w:val="21"/>
                      <w14:textFill>
                        <w14:solidFill>
                          <w14:schemeClr w14:val="tx1"/>
                        </w14:solidFill>
                      </w14:textFill>
                    </w:rPr>
                    <w:t>0.025mmPb介入防护手套）</w:t>
                  </w:r>
                </w:p>
              </w:tc>
            </w:tr>
            <w:tr w14:paraId="394CEE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4" w:type="dxa"/>
                  <w:vMerge w:val="continue"/>
                  <w:tcBorders>
                    <w:top w:val="single" w:color="auto" w:sz="4" w:space="0"/>
                    <w:bottom w:val="single" w:color="auto" w:sz="4" w:space="0"/>
                  </w:tcBorders>
                  <w:vAlign w:val="center"/>
                </w:tcPr>
                <w:p w14:paraId="63D09D85">
                  <w:pPr>
                    <w:jc w:val="center"/>
                    <w:rPr>
                      <w:rFonts w:ascii="Times New Roman" w:hAnsi="Times New Roman"/>
                      <w:bCs/>
                      <w:szCs w:val="21"/>
                    </w:rPr>
                  </w:pPr>
                </w:p>
              </w:tc>
              <w:tc>
                <w:tcPr>
                  <w:tcW w:w="975" w:type="dxa"/>
                  <w:vMerge w:val="continue"/>
                  <w:tcBorders>
                    <w:top w:val="single" w:color="auto" w:sz="4" w:space="0"/>
                    <w:bottom w:val="single" w:color="auto" w:sz="4" w:space="0"/>
                  </w:tcBorders>
                  <w:vAlign w:val="center"/>
                </w:tcPr>
                <w:p w14:paraId="69510099">
                  <w:pPr>
                    <w:jc w:val="center"/>
                    <w:rPr>
                      <w:rFonts w:ascii="Times New Roman" w:hAnsi="Times New Roman"/>
                      <w:szCs w:val="21"/>
                    </w:rPr>
                  </w:pPr>
                </w:p>
              </w:tc>
              <w:tc>
                <w:tcPr>
                  <w:tcW w:w="7000" w:type="dxa"/>
                  <w:tcBorders>
                    <w:top w:val="single" w:color="auto" w:sz="4" w:space="0"/>
                    <w:bottom w:val="single" w:color="auto" w:sz="4" w:space="0"/>
                  </w:tcBorders>
                  <w:vAlign w:val="center"/>
                </w:tcPr>
                <w:p w14:paraId="6984062B">
                  <w:pPr>
                    <w:jc w:val="center"/>
                    <w:rPr>
                      <w:rFonts w:ascii="Times New Roman" w:hAnsi="Times New Roman"/>
                      <w:color w:val="FF0000"/>
                      <w:szCs w:val="21"/>
                    </w:rPr>
                  </w:pPr>
                  <w:r>
                    <w:rPr>
                      <w:rFonts w:ascii="Times New Roman" w:hAnsi="Times New Roman"/>
                      <w:color w:val="000000" w:themeColor="text1"/>
                      <w:szCs w:val="21"/>
                      <w14:textFill>
                        <w14:solidFill>
                          <w14:schemeClr w14:val="tx1"/>
                        </w14:solidFill>
                      </w14:textFill>
                    </w:rPr>
                    <w:t>患者防护用品（</w:t>
                  </w:r>
                  <w:r>
                    <w:rPr>
                      <w:rFonts w:hint="eastAsia" w:ascii="Times New Roman" w:hAnsi="Times New Roman"/>
                      <w:color w:val="000000" w:themeColor="text1"/>
                      <w:szCs w:val="21"/>
                      <w14:textFill>
                        <w14:solidFill>
                          <w14:schemeClr w14:val="tx1"/>
                        </w14:solidFill>
                      </w14:textFill>
                    </w:rPr>
                    <w:t>不小于</w:t>
                  </w:r>
                  <w:r>
                    <w:rPr>
                      <w:rFonts w:ascii="Times New Roman" w:hAnsi="Times New Roman"/>
                      <w:color w:val="000000" w:themeColor="text1"/>
                      <w:szCs w:val="21"/>
                      <w14:textFill>
                        <w14:solidFill>
                          <w14:schemeClr w14:val="tx1"/>
                        </w14:solidFill>
                      </w14:textFill>
                    </w:rPr>
                    <w:t>0.5mmPb</w:t>
                  </w:r>
                  <w:r>
                    <w:rPr>
                      <w:rFonts w:hint="eastAsia" w:ascii="Times New Roman" w:hAnsi="Times New Roman"/>
                      <w:color w:val="000000" w:themeColor="text1"/>
                      <w:szCs w:val="21"/>
                      <w14:textFill>
                        <w14:solidFill>
                          <w14:schemeClr w14:val="tx1"/>
                        </w14:solidFill>
                      </w14:textFill>
                    </w:rPr>
                    <w:t>的</w:t>
                  </w:r>
                  <w:r>
                    <w:rPr>
                      <w:rFonts w:ascii="Times New Roman" w:hAnsi="Times New Roman"/>
                      <w:color w:val="000000" w:themeColor="text1"/>
                      <w:szCs w:val="21"/>
                      <w14:textFill>
                        <w14:solidFill>
                          <w14:schemeClr w14:val="tx1"/>
                        </w14:solidFill>
                      </w14:textFill>
                    </w:rPr>
                    <w:t>铅橡胶性腺防护围裙（方形）或方巾、铅橡胶颈套</w:t>
                  </w:r>
                  <w:r>
                    <w:rPr>
                      <w:rFonts w:hint="eastAsia" w:ascii="Times New Roman" w:hAnsi="Times New Roman"/>
                      <w:color w:val="000000" w:themeColor="text1"/>
                      <w:szCs w:val="21"/>
                      <w14:textFill>
                        <w14:solidFill>
                          <w14:schemeClr w14:val="tx1"/>
                        </w14:solidFill>
                      </w14:textFill>
                    </w:rPr>
                    <w:t>、铅橡胶帽子（儿童、成人尺寸各一套</w:t>
                  </w:r>
                  <w:r>
                    <w:rPr>
                      <w:rFonts w:ascii="Times New Roman" w:hAnsi="Times New Roman"/>
                      <w:color w:val="000000" w:themeColor="text1"/>
                      <w:szCs w:val="21"/>
                      <w14:textFill>
                        <w14:solidFill>
                          <w14:schemeClr w14:val="tx1"/>
                        </w14:solidFill>
                      </w14:textFill>
                    </w:rPr>
                    <w:t>）</w:t>
                  </w:r>
                </w:p>
              </w:tc>
            </w:tr>
            <w:tr w14:paraId="623548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44" w:type="dxa"/>
                  <w:vMerge w:val="continue"/>
                  <w:tcBorders>
                    <w:top w:val="single" w:color="auto" w:sz="4" w:space="0"/>
                  </w:tcBorders>
                  <w:vAlign w:val="center"/>
                </w:tcPr>
                <w:p w14:paraId="746D1190">
                  <w:pPr>
                    <w:jc w:val="center"/>
                    <w:rPr>
                      <w:rFonts w:ascii="Times New Roman" w:hAnsi="Times New Roman"/>
                      <w:bCs/>
                      <w:szCs w:val="21"/>
                    </w:rPr>
                  </w:pPr>
                </w:p>
              </w:tc>
              <w:tc>
                <w:tcPr>
                  <w:tcW w:w="975" w:type="dxa"/>
                  <w:tcBorders>
                    <w:top w:val="single" w:color="auto" w:sz="4" w:space="0"/>
                  </w:tcBorders>
                  <w:vAlign w:val="center"/>
                </w:tcPr>
                <w:p w14:paraId="37CFCDB9">
                  <w:pPr>
                    <w:jc w:val="center"/>
                    <w:rPr>
                      <w:rFonts w:ascii="Times New Roman" w:hAnsi="Times New Roman"/>
                      <w:szCs w:val="21"/>
                    </w:rPr>
                  </w:pPr>
                  <w:r>
                    <w:rPr>
                      <w:rFonts w:ascii="Times New Roman" w:hAnsi="Times New Roman"/>
                      <w:szCs w:val="21"/>
                    </w:rPr>
                    <w:t>其他</w:t>
                  </w:r>
                </w:p>
              </w:tc>
              <w:tc>
                <w:tcPr>
                  <w:tcW w:w="7000" w:type="dxa"/>
                  <w:tcBorders>
                    <w:top w:val="single" w:color="auto" w:sz="4" w:space="0"/>
                  </w:tcBorders>
                  <w:vAlign w:val="center"/>
                </w:tcPr>
                <w:p w14:paraId="01B4CD2E">
                  <w:pPr>
                    <w:jc w:val="center"/>
                    <w:rPr>
                      <w:rFonts w:hint="default" w:ascii="Times New Roman" w:hAnsi="Times New Roman" w:eastAsia="宋体"/>
                      <w:szCs w:val="21"/>
                      <w:lang w:val="en-US" w:eastAsia="zh-CN"/>
                    </w:rPr>
                  </w:pPr>
                  <w:r>
                    <w:rPr>
                      <w:rFonts w:hint="eastAsia" w:ascii="Times New Roman" w:hAnsi="Times New Roman"/>
                      <w:szCs w:val="21"/>
                      <w:lang w:val="en-US" w:eastAsia="zh-CN"/>
                    </w:rPr>
                    <w:t>/</w:t>
                  </w:r>
                </w:p>
              </w:tc>
            </w:tr>
          </w:tbl>
          <w:p w14:paraId="6ACA00A0">
            <w:pPr>
              <w:pStyle w:val="11"/>
              <w:bidi w:val="0"/>
            </w:pPr>
            <w:r>
              <w:t>验收时依据《中华人民共和国环境保护法》、《中华人民共和国放射性污染防治法》、《放射性同位素</w:t>
            </w:r>
            <w:r>
              <w:rPr>
                <w:rFonts w:hint="eastAsia"/>
                <w:lang w:val="en-US" w:eastAsia="zh-CN"/>
              </w:rPr>
              <w:t>与</w:t>
            </w:r>
            <w:r>
              <w:t>射线装置安全和防护条例》（国务院令第449号）、《放射性同位素与射线装置安全和防护管理办法》、《电离辐射防护与辐射源安全基本标准》、《建设项目环境保护管理条例》、《建设项目竣工环境保护验收暂行办法》等法律和标准，对照本项目环境影响报告表验收。</w:t>
            </w:r>
          </w:p>
          <w:p w14:paraId="16A77E84">
            <w:pPr>
              <w:pStyle w:val="11"/>
              <w:bidi w:val="0"/>
            </w:pPr>
            <w:r>
              <w:t>1、根据《建设项目环境保护管理条例》（国务院令第682号，2017年10月1日实施）文件第十七条规定：</w:t>
            </w:r>
          </w:p>
          <w:p w14:paraId="45530001">
            <w:pPr>
              <w:pStyle w:val="11"/>
              <w:bidi w:val="0"/>
            </w:pPr>
            <w:r>
              <w:t>（1）本项目配套建设的环境保护设施竣工后，及时办理《辐射安全许可证》，并在取得《辐射安全许可证》3个月内完成本项目自主验收；</w:t>
            </w:r>
          </w:p>
          <w:p w14:paraId="06226850">
            <w:pPr>
              <w:pStyle w:val="11"/>
              <w:bidi w:val="0"/>
            </w:pPr>
            <w:r>
              <w:t>（2）编制环境影响报告表的建设项目竣工后，建设单位应当按照国务院环境保护行政主管部门规定的标准和程序，对配套建设的环境保护设施进行验收，编制验收报告。</w:t>
            </w:r>
          </w:p>
          <w:p w14:paraId="36B276D6">
            <w:pPr>
              <w:pStyle w:val="11"/>
              <w:bidi w:val="0"/>
            </w:pPr>
            <w:r>
              <w:t xml:space="preserve">（3）建设单位在环境保护设施验收过程中，应当如实查验、监测、记载建设项目环境保护设施的建设和调试情况，不得弄虚作假。 </w:t>
            </w:r>
          </w:p>
          <w:p w14:paraId="2CDED77E">
            <w:pPr>
              <w:pStyle w:val="11"/>
              <w:bidi w:val="0"/>
            </w:pPr>
            <w:r>
              <w:t>（4）除按照国家规定需要保密的情形外，建设单位应当依法向社会公开验收报告。</w:t>
            </w:r>
          </w:p>
          <w:p w14:paraId="3580F351">
            <w:pPr>
              <w:pStyle w:val="11"/>
              <w:bidi w:val="0"/>
            </w:pPr>
            <w:r>
              <w:t>2、根据环保部《建设项目竣工环境保护验收暂行办法》（国环规环评（2017）4号）规定：</w:t>
            </w:r>
          </w:p>
          <w:p w14:paraId="58C7CA8E">
            <w:pPr>
              <w:pStyle w:val="11"/>
              <w:bidi w:val="0"/>
            </w:pPr>
            <w:r>
              <w:t>（1）建设单位可</w:t>
            </w:r>
            <w:r>
              <w:rPr>
                <w:rFonts w:hint="eastAsia"/>
                <w:lang w:val="en-US" w:eastAsia="zh-CN"/>
              </w:rPr>
              <w:t>登录</w:t>
            </w:r>
            <w:r>
              <w:t>生态环境部网站查询建设项目竣工环境保护验收相关技术规范（http</w:t>
            </w:r>
            <w:r>
              <w:rPr>
                <w:rFonts w:hint="eastAsia"/>
                <w:lang w:eastAsia="zh-CN"/>
              </w:rPr>
              <w:t>：</w:t>
            </w:r>
            <w:r>
              <w:t>//kjs.mee.gov.cn/hjbhbz/bzwb/other）。</w:t>
            </w:r>
          </w:p>
          <w:p w14:paraId="451B199B">
            <w:pPr>
              <w:pStyle w:val="11"/>
              <w:bidi w:val="0"/>
            </w:pPr>
            <w:r>
              <w:t>（2）项目竣工后，建设单位应当如实查验、监测、记载建设项目环境保护设施的建设和调试情况，编制验收监测（调查）报告。</w:t>
            </w:r>
          </w:p>
          <w:p w14:paraId="49B29E1A">
            <w:pPr>
              <w:pStyle w:val="11"/>
              <w:bidi w:val="0"/>
            </w:pPr>
            <w:r>
              <w:t>（3）本项目配套建设的环境保护设施经验收合格后，方可投入使用，未经验收或者验收不合格的，不得投入生产或者使用。</w:t>
            </w:r>
          </w:p>
          <w:p w14:paraId="230F1DE1">
            <w:pPr>
              <w:pStyle w:val="11"/>
              <w:bidi w:val="0"/>
            </w:pPr>
            <w:r>
              <w:t>（4）除按照国家需要保密的情形外，建设单位应当通过其网站或其他便于公众知晓的方式，向社会公开下列信息：①对项目配套建设的环境保护设施进行调试前，公开和项目竣工时间和调试的起止日期；②验收报告编制完成后5个工作日内，公开验收报告，公示的期限不得少于20个工作日。</w:t>
            </w:r>
          </w:p>
          <w:p w14:paraId="4217C715">
            <w:pPr>
              <w:pStyle w:val="11"/>
              <w:bidi w:val="0"/>
              <w:rPr>
                <w:rFonts w:ascii="Times New Roman" w:hAnsi="Times New Roman"/>
              </w:rPr>
            </w:pPr>
            <w:r>
              <w:t>（5）建设单位公开上述信息的同时，应当在建设项目环境影响评价信息平台（http</w:t>
            </w:r>
            <w:r>
              <w:rPr>
                <w:rFonts w:hint="eastAsia"/>
                <w:lang w:eastAsia="zh-CN"/>
              </w:rPr>
              <w:t>：</w:t>
            </w:r>
            <w:r>
              <w:t>//114.251.10.205/#/pub-message）中备案，且向项目所在地生态环境主管部门报送相关信息，并接受监督检查。</w:t>
            </w:r>
          </w:p>
        </w:tc>
      </w:tr>
    </w:tbl>
    <w:p w14:paraId="64C56AE9"/>
    <w:p w14:paraId="7E477B70"/>
    <w:sectPr>
      <w:pgSz w:w="11906" w:h="16838"/>
      <w:pgMar w:top="1440" w:right="1800" w:bottom="1553"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1" w:fontKey="{1EB648D0-5D60-4767-B934-C18437239E84}"/>
  </w:font>
  <w:font w:name="Cambria Math">
    <w:panose1 w:val="02040503050406030204"/>
    <w:charset w:val="00"/>
    <w:family w:val="roman"/>
    <w:pitch w:val="default"/>
    <w:sig w:usb0="E00006FF" w:usb1="420024FF" w:usb2="02000000" w:usb3="00000000" w:csb0="2000019F" w:csb1="00000000"/>
    <w:embedRegular r:id="rId2" w:fontKey="{36FF7CE9-6AFD-4AD3-AD06-032F41631DC6}"/>
  </w:font>
  <w:font w:name="Helvetica">
    <w:altName w:val="Arial"/>
    <w:panose1 w:val="020B0604020202020204"/>
    <w:charset w:val="00"/>
    <w:family w:val="roman"/>
    <w:pitch w:val="default"/>
    <w:sig w:usb0="00000000" w:usb1="00000000" w:usb2="00000000" w:usb3="00000000" w:csb0="00000001" w:csb1="00000000"/>
    <w:embedRegular r:id="rId3" w:fontKey="{89C3BB84-A8DD-42A8-8849-971808996E2B}"/>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04A52">
    <w:pPr>
      <w:pStyle w:val="16"/>
      <w:tabs>
        <w:tab w:val="center" w:pos="4320"/>
        <w:tab w:val="right" w:pos="8640"/>
        <w:tab w:val="clear" w:pos="4153"/>
        <w:tab w:val="clear" w:pos="8306"/>
      </w:tabs>
      <w:rPr>
        <w:rStyle w:val="27"/>
      </w:rPr>
    </w:pPr>
  </w:p>
  <w:p w14:paraId="030E9F13">
    <w:pPr>
      <w:pStyle w:val="16"/>
      <w:tabs>
        <w:tab w:val="center" w:pos="4320"/>
        <w:tab w:val="right" w:pos="8640"/>
        <w:tab w:val="clear" w:pos="4153"/>
        <w:tab w:val="clear" w:pos="8306"/>
      </w:tabs>
      <w:rPr>
        <w:rStyle w:val="27"/>
      </w:rPr>
    </w:pPr>
  </w:p>
  <w:p w14:paraId="513A70A7">
    <w:pPr>
      <w:pStyle w:val="16"/>
      <w:tabs>
        <w:tab w:val="center" w:pos="4320"/>
        <w:tab w:val="right" w:pos="8640"/>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13904">
    <w:pPr>
      <w:pStyle w:val="16"/>
      <w:tabs>
        <w:tab w:val="center" w:pos="4320"/>
        <w:tab w:val="right" w:pos="8640"/>
        <w:tab w:val="clear" w:pos="4153"/>
        <w:tab w:val="clear" w:pos="8306"/>
      </w:tabs>
      <w:rPr>
        <w:rStyle w:val="27"/>
      </w:rPr>
    </w:pPr>
  </w:p>
  <w:p w14:paraId="0E7C75A3">
    <w:pPr>
      <w:pStyle w:val="16"/>
      <w:tabs>
        <w:tab w:val="center" w:pos="4320"/>
        <w:tab w:val="right" w:pos="8640"/>
        <w:tab w:val="clear" w:pos="4153"/>
        <w:tab w:val="clear" w:pos="8306"/>
      </w:tabs>
      <w:rPr>
        <w:rStyle w:val="27"/>
      </w:rPr>
    </w:pPr>
  </w:p>
  <w:p w14:paraId="25D431DC">
    <w:pPr>
      <w:pStyle w:val="16"/>
      <w:tabs>
        <w:tab w:val="center" w:pos="4320"/>
        <w:tab w:val="right" w:pos="8640"/>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268D9">
    <w:pPr>
      <w:pStyle w:val="16"/>
      <w:tabs>
        <w:tab w:val="center" w:pos="4320"/>
        <w:tab w:val="right" w:pos="8640"/>
        <w:tab w:val="clear" w:pos="4153"/>
        <w:tab w:val="clear" w:pos="8306"/>
      </w:tabs>
      <w:rPr>
        <w:rStyle w:val="27"/>
      </w:rPr>
    </w:pPr>
  </w:p>
  <w:p w14:paraId="1EEF70EE">
    <w:pPr>
      <w:pStyle w:val="16"/>
      <w:tabs>
        <w:tab w:val="center" w:pos="4320"/>
        <w:tab w:val="right" w:pos="8640"/>
        <w:tab w:val="clear" w:pos="4153"/>
        <w:tab w:val="clear" w:pos="8306"/>
      </w:tabs>
      <w:rPr>
        <w:rStyle w:val="27"/>
      </w:rPr>
    </w:pPr>
  </w:p>
  <w:p w14:paraId="20DA30DB">
    <w:pPr>
      <w:pStyle w:val="16"/>
      <w:tabs>
        <w:tab w:val="center" w:pos="4320"/>
        <w:tab w:val="right" w:pos="8640"/>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F9818">
    <w:pPr>
      <w:pStyle w:val="16"/>
      <w:tabs>
        <w:tab w:val="center" w:pos="4320"/>
        <w:tab w:val="right" w:pos="8640"/>
        <w:tab w:val="clear" w:pos="4153"/>
        <w:tab w:val="clear" w:pos="830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418FD">
    <w:pPr>
      <w:pStyle w:val="16"/>
      <w:tabs>
        <w:tab w:val="center" w:pos="4320"/>
        <w:tab w:val="right" w:pos="8640"/>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1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A80710">
                          <w:pPr>
                            <w:snapToGrid w:val="0"/>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- 4 -</w:t>
                          </w:r>
                          <w:r>
                            <w:rPr>
                              <w:rFonts w:ascii="Times New Roman" w:hAnsi="Times New Roman"/>
                              <w:sz w:val="24"/>
                            </w:rPr>
                            <w:fldChar w:fldCharType="end"/>
                          </w:r>
                        </w:p>
                      </w:txbxContent>
                    </wps:txbx>
                    <wps:bodyPr wrap="none" lIns="0" tIns="0" rIns="0" bIns="0">
                      <a:spAutoFit/>
                    </wps:bodyPr>
                  </wps:wsp>
                </a:graphicData>
              </a:graphic>
            </wp:anchor>
          </w:drawing>
        </mc:Choice>
        <mc:Fallback>
          <w:pict>
            <v:shape id="文本框 15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GzAJUPFAQAAkAMAAA4AAAAAAAAAAQAgAAAAHgEAAGRycy9lMm9Eb2MueG1s&#10;UEsFBgAAAAAGAAYAWQEAAFUFAAAAAA==&#10;">
              <v:fill on="f" focussize="0,0"/>
              <v:stroke on="f"/>
              <v:imagedata o:title=""/>
              <o:lock v:ext="edit" aspectratio="f"/>
              <v:textbox inset="0mm,0mm,0mm,0mm" style="mso-fit-shape-to-text:t;">
                <w:txbxContent>
                  <w:p w14:paraId="4DA80710">
                    <w:pPr>
                      <w:snapToGrid w:val="0"/>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- 4 -</w:t>
                    </w:r>
                    <w:r>
                      <w:rPr>
                        <w:rFonts w:ascii="Times New Roman" w:hAnsi="Times New Roman"/>
                        <w:sz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F0911F"/>
    <w:multiLevelType w:val="multilevel"/>
    <w:tmpl w:val="81F0911F"/>
    <w:lvl w:ilvl="0" w:tentative="0">
      <w:start w:val="1"/>
      <w:numFmt w:val="decimal"/>
      <w:suff w:val="space"/>
      <w:lvlText w:val="表11-%1"/>
      <w:lvlJc w:val="left"/>
      <w:pPr>
        <w:tabs>
          <w:tab w:val="left" w:pos="0"/>
        </w:tabs>
        <w:ind w:left="440" w:hanging="440"/>
      </w:pPr>
      <w:rPr>
        <w:rFonts w:hint="default" w:ascii="Times New Roman" w:hAnsi="Times New Roman" w:eastAsia="宋体" w:cs="Times New Roman"/>
        <w:b/>
        <w:bCs/>
        <w:sz w:val="24"/>
        <w:szCs w:val="24"/>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A0262219"/>
    <w:multiLevelType w:val="singleLevel"/>
    <w:tmpl w:val="A0262219"/>
    <w:lvl w:ilvl="0" w:tentative="0">
      <w:start w:val="1"/>
      <w:numFmt w:val="chineseCounting"/>
      <w:suff w:val="nothing"/>
      <w:lvlText w:val="%1、"/>
      <w:lvlJc w:val="left"/>
      <w:rPr>
        <w:rFonts w:hint="eastAsia"/>
      </w:rPr>
    </w:lvl>
  </w:abstractNum>
  <w:abstractNum w:abstractNumId="2">
    <w:nsid w:val="A26EBBBF"/>
    <w:multiLevelType w:val="singleLevel"/>
    <w:tmpl w:val="A26EBBBF"/>
    <w:lvl w:ilvl="0" w:tentative="0">
      <w:start w:val="1"/>
      <w:numFmt w:val="decimal"/>
      <w:suff w:val="nothing"/>
      <w:lvlText w:val="（%1）"/>
      <w:lvlJc w:val="left"/>
    </w:lvl>
  </w:abstractNum>
  <w:abstractNum w:abstractNumId="3">
    <w:nsid w:val="A8F0260A"/>
    <w:multiLevelType w:val="singleLevel"/>
    <w:tmpl w:val="A8F0260A"/>
    <w:lvl w:ilvl="0" w:tentative="0">
      <w:start w:val="2"/>
      <w:numFmt w:val="chineseCounting"/>
      <w:suff w:val="nothing"/>
      <w:lvlText w:val="%1、"/>
      <w:lvlJc w:val="left"/>
    </w:lvl>
  </w:abstractNum>
  <w:abstractNum w:abstractNumId="4">
    <w:nsid w:val="0000000D"/>
    <w:multiLevelType w:val="multilevel"/>
    <w:tmpl w:val="0000000D"/>
    <w:lvl w:ilvl="0" w:tentative="0">
      <w:start w:val="1"/>
      <w:numFmt w:val="decimal"/>
      <w:pStyle w:val="2"/>
      <w:lvlText w:val="%1."/>
      <w:lvlJc w:val="left"/>
    </w:lvl>
    <w:lvl w:ilvl="1" w:tentative="0">
      <w:start w:val="1"/>
      <w:numFmt w:val="decimal"/>
      <w:lvlText w:val="%1.%2"/>
      <w:lvlJc w:val="left"/>
    </w:lvl>
    <w:lvl w:ilvl="2" w:tentative="0">
      <w:start w:val="1"/>
      <w:numFmt w:val="japaneseCounting"/>
      <w:pStyle w:val="4"/>
      <w:lvlText w:val="（%3）"/>
      <w:lvlJc w:val="left"/>
      <w:rPr>
        <w:rFonts w:ascii="Times New Roman" w:hAnsi="Times New Roman" w:eastAsia="Times New Roman" w:cs="Times New Roman"/>
      </w:rPr>
    </w:lvl>
    <w:lvl w:ilvl="3" w:tentative="0">
      <w:start w:val="1"/>
      <w:numFmt w:val="decimal"/>
      <w:pStyle w:val="5"/>
      <w:lvlText w:val="%1.%2.%3.%4"/>
      <w:lvlJc w:val="left"/>
    </w:lvl>
    <w:lvl w:ilvl="4" w:tentative="0">
      <w:start w:val="1"/>
      <w:numFmt w:val="decimal"/>
      <w:lvlText w:val="%1.%2.%3.%4.%5"/>
      <w:lvlJc w:val="left"/>
    </w:lvl>
    <w:lvl w:ilvl="5" w:tentative="0">
      <w:start w:val="1"/>
      <w:numFmt w:val="decimal"/>
      <w:lvlText w:val="%1.%2.%3.%4.%5.%6"/>
      <w:lvlJc w:val="left"/>
    </w:lvl>
    <w:lvl w:ilvl="6" w:tentative="0">
      <w:start w:val="1"/>
      <w:numFmt w:val="decimal"/>
      <w:lvlText w:val="%1.%2.%3.%4.%5.%6.%7"/>
      <w:lvlJc w:val="left"/>
    </w:lvl>
    <w:lvl w:ilvl="7" w:tentative="0">
      <w:start w:val="1"/>
      <w:numFmt w:val="decimal"/>
      <w:lvlText w:val="%1.%2.%3.%4.%5.%6.%7.%8"/>
      <w:lvlJc w:val="left"/>
    </w:lvl>
    <w:lvl w:ilvl="8" w:tentative="0">
      <w:start w:val="1"/>
      <w:numFmt w:val="decimal"/>
      <w:lvlText w:val="%1.%2.%3.%4.%5.%6.%7.%8.%9"/>
      <w:lvlJc w:val="left"/>
    </w:lvl>
  </w:abstractNum>
  <w:abstractNum w:abstractNumId="5">
    <w:nsid w:val="0F661293"/>
    <w:multiLevelType w:val="singleLevel"/>
    <w:tmpl w:val="0F661293"/>
    <w:lvl w:ilvl="0" w:tentative="0">
      <w:start w:val="5"/>
      <w:numFmt w:val="decimal"/>
      <w:suff w:val="nothing"/>
      <w:lvlText w:val="%1、"/>
      <w:lvlJc w:val="left"/>
    </w:lvl>
  </w:abstractNum>
  <w:abstractNum w:abstractNumId="6">
    <w:nsid w:val="1BB2B1F5"/>
    <w:multiLevelType w:val="singleLevel"/>
    <w:tmpl w:val="1BB2B1F5"/>
    <w:lvl w:ilvl="0" w:tentative="0">
      <w:start w:val="2"/>
      <w:numFmt w:val="chineseCounting"/>
      <w:suff w:val="nothing"/>
      <w:lvlText w:val="（%1）"/>
      <w:lvlJc w:val="left"/>
      <w:rPr>
        <w:rFonts w:hint="eastAsia"/>
      </w:rPr>
    </w:lvl>
  </w:abstractNum>
  <w:abstractNum w:abstractNumId="7">
    <w:nsid w:val="3D0E0664"/>
    <w:multiLevelType w:val="multilevel"/>
    <w:tmpl w:val="3D0E0664"/>
    <w:lvl w:ilvl="0" w:tentative="0">
      <w:start w:val="1"/>
      <w:numFmt w:val="decimal"/>
      <w:lvlText w:val="（%1）"/>
      <w:lvlJc w:val="left"/>
      <w:pPr>
        <w:ind w:left="1140" w:hanging="720"/>
      </w:pPr>
      <w:rPr>
        <w:rFonts w:hint="default"/>
        <w:b/>
        <w:bC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40ACA92F"/>
    <w:multiLevelType w:val="singleLevel"/>
    <w:tmpl w:val="40ACA92F"/>
    <w:lvl w:ilvl="0" w:tentative="0">
      <w:start w:val="2"/>
      <w:numFmt w:val="decimal"/>
      <w:suff w:val="nothing"/>
      <w:lvlText w:val="（%1）"/>
      <w:lvlJc w:val="left"/>
    </w:lvl>
  </w:abstractNum>
  <w:abstractNum w:abstractNumId="9">
    <w:nsid w:val="46904CAB"/>
    <w:multiLevelType w:val="singleLevel"/>
    <w:tmpl w:val="46904CAB"/>
    <w:lvl w:ilvl="0" w:tentative="0">
      <w:start w:val="1"/>
      <w:numFmt w:val="decimal"/>
      <w:lvlText w:val="表10-%1"/>
      <w:lvlJc w:val="left"/>
      <w:pPr>
        <w:tabs>
          <w:tab w:val="left" w:pos="420"/>
        </w:tabs>
        <w:ind w:left="425" w:hanging="425"/>
      </w:pPr>
      <w:rPr>
        <w:rFonts w:hint="default" w:ascii="Times New Roman" w:hAnsi="Times New Roman" w:cs="Times New Roman"/>
        <w:sz w:val="24"/>
        <w:szCs w:val="24"/>
      </w:rPr>
    </w:lvl>
  </w:abstractNum>
  <w:abstractNum w:abstractNumId="10">
    <w:nsid w:val="54078EA4"/>
    <w:multiLevelType w:val="singleLevel"/>
    <w:tmpl w:val="54078EA4"/>
    <w:lvl w:ilvl="0" w:tentative="0">
      <w:start w:val="1"/>
      <w:numFmt w:val="chineseCounting"/>
      <w:suff w:val="nothing"/>
      <w:lvlText w:val="%1、"/>
      <w:lvlJc w:val="left"/>
      <w:rPr>
        <w:rFonts w:hint="eastAsia"/>
      </w:rPr>
    </w:lvl>
  </w:abstractNum>
  <w:abstractNum w:abstractNumId="11">
    <w:nsid w:val="570C94AA"/>
    <w:multiLevelType w:val="singleLevel"/>
    <w:tmpl w:val="570C94AA"/>
    <w:lvl w:ilvl="0" w:tentative="0">
      <w:start w:val="1"/>
      <w:numFmt w:val="chineseCounting"/>
      <w:suff w:val="nothing"/>
      <w:lvlText w:val="（%1）"/>
      <w:lvlJc w:val="left"/>
    </w:lvl>
  </w:abstractNum>
  <w:abstractNum w:abstractNumId="12">
    <w:nsid w:val="574D3D2A"/>
    <w:multiLevelType w:val="singleLevel"/>
    <w:tmpl w:val="574D3D2A"/>
    <w:lvl w:ilvl="0" w:tentative="0">
      <w:start w:val="1"/>
      <w:numFmt w:val="decimal"/>
      <w:suff w:val="nothing"/>
      <w:lvlText w:val="（%1）"/>
      <w:lvlJc w:val="left"/>
      <w:rPr>
        <w:rFonts w:hint="default" w:ascii="Times New Roman" w:hAnsi="Times New Roman" w:cs="Times New Roman"/>
        <w:color w:val="auto"/>
        <w:sz w:val="24"/>
        <w:szCs w:val="24"/>
      </w:rPr>
    </w:lvl>
  </w:abstractNum>
  <w:abstractNum w:abstractNumId="13">
    <w:nsid w:val="593B5115"/>
    <w:multiLevelType w:val="singleLevel"/>
    <w:tmpl w:val="593B5115"/>
    <w:lvl w:ilvl="0" w:tentative="0">
      <w:start w:val="4"/>
      <w:numFmt w:val="chineseCounting"/>
      <w:suff w:val="nothing"/>
      <w:lvlText w:val="（%1）"/>
      <w:lvlJc w:val="left"/>
    </w:lvl>
  </w:abstractNum>
  <w:abstractNum w:abstractNumId="14">
    <w:nsid w:val="639EC058"/>
    <w:multiLevelType w:val="singleLevel"/>
    <w:tmpl w:val="639EC058"/>
    <w:lvl w:ilvl="0" w:tentative="0">
      <w:start w:val="1"/>
      <w:numFmt w:val="decimal"/>
      <w:suff w:val="nothing"/>
      <w:lvlText w:val="（%1）"/>
      <w:lvlJc w:val="left"/>
    </w:lvl>
  </w:abstractNum>
  <w:num w:numId="1">
    <w:abstractNumId w:val="4"/>
  </w:num>
  <w:num w:numId="2">
    <w:abstractNumId w:val="3"/>
  </w:num>
  <w:num w:numId="3">
    <w:abstractNumId w:val="6"/>
  </w:num>
  <w:num w:numId="4">
    <w:abstractNumId w:val="13"/>
  </w:num>
  <w:num w:numId="5">
    <w:abstractNumId w:val="11"/>
  </w:num>
  <w:num w:numId="6">
    <w:abstractNumId w:val="12"/>
  </w:num>
  <w:num w:numId="7">
    <w:abstractNumId w:val="2"/>
  </w:num>
  <w:num w:numId="8">
    <w:abstractNumId w:val="1"/>
  </w:num>
  <w:num w:numId="9">
    <w:abstractNumId w:val="14"/>
  </w:num>
  <w:num w:numId="10">
    <w:abstractNumId w:val="10"/>
  </w:num>
  <w:num w:numId="11">
    <w:abstractNumId w:val="8"/>
  </w:num>
  <w:num w:numId="12">
    <w:abstractNumId w:val="9"/>
  </w:num>
  <w:num w:numId="13">
    <w:abstractNumId w:val="5"/>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Y5YTlkYTBhNTk1ODM2ZjNkYzZkYzY5MzFiYjk4NzQifQ=="/>
  </w:docVars>
  <w:rsids>
    <w:rsidRoot w:val="24E934B5"/>
    <w:rsid w:val="0000154B"/>
    <w:rsid w:val="000056E8"/>
    <w:rsid w:val="00010F3C"/>
    <w:rsid w:val="000248D6"/>
    <w:rsid w:val="00046CA0"/>
    <w:rsid w:val="00055DA7"/>
    <w:rsid w:val="00060C6A"/>
    <w:rsid w:val="000617BC"/>
    <w:rsid w:val="00074DE2"/>
    <w:rsid w:val="0007730D"/>
    <w:rsid w:val="00085451"/>
    <w:rsid w:val="00087FAE"/>
    <w:rsid w:val="000A172C"/>
    <w:rsid w:val="000A22AF"/>
    <w:rsid w:val="000A368E"/>
    <w:rsid w:val="000D2746"/>
    <w:rsid w:val="000E1299"/>
    <w:rsid w:val="0012525A"/>
    <w:rsid w:val="001372FA"/>
    <w:rsid w:val="00142583"/>
    <w:rsid w:val="0018249E"/>
    <w:rsid w:val="00195412"/>
    <w:rsid w:val="001A3A15"/>
    <w:rsid w:val="001B2F28"/>
    <w:rsid w:val="001C419A"/>
    <w:rsid w:val="001F3ADA"/>
    <w:rsid w:val="001F4CEB"/>
    <w:rsid w:val="00236D7C"/>
    <w:rsid w:val="002375D8"/>
    <w:rsid w:val="00244B95"/>
    <w:rsid w:val="00261E35"/>
    <w:rsid w:val="00273017"/>
    <w:rsid w:val="00276BB0"/>
    <w:rsid w:val="0029049E"/>
    <w:rsid w:val="002C36D8"/>
    <w:rsid w:val="002D07B7"/>
    <w:rsid w:val="002E12D1"/>
    <w:rsid w:val="002F3F2B"/>
    <w:rsid w:val="003102DF"/>
    <w:rsid w:val="003148A4"/>
    <w:rsid w:val="00315551"/>
    <w:rsid w:val="003527BA"/>
    <w:rsid w:val="003543DE"/>
    <w:rsid w:val="00382A18"/>
    <w:rsid w:val="00384B9C"/>
    <w:rsid w:val="0039498A"/>
    <w:rsid w:val="003B3E62"/>
    <w:rsid w:val="003C0953"/>
    <w:rsid w:val="003D21B2"/>
    <w:rsid w:val="003D51F8"/>
    <w:rsid w:val="00410450"/>
    <w:rsid w:val="0043126D"/>
    <w:rsid w:val="00431FE5"/>
    <w:rsid w:val="00437CB4"/>
    <w:rsid w:val="00443746"/>
    <w:rsid w:val="00446631"/>
    <w:rsid w:val="0046232C"/>
    <w:rsid w:val="0046550B"/>
    <w:rsid w:val="004703E0"/>
    <w:rsid w:val="0047586B"/>
    <w:rsid w:val="00476802"/>
    <w:rsid w:val="004A34DA"/>
    <w:rsid w:val="004B4032"/>
    <w:rsid w:val="004B4572"/>
    <w:rsid w:val="004B563B"/>
    <w:rsid w:val="004D6893"/>
    <w:rsid w:val="004E3646"/>
    <w:rsid w:val="004E53B3"/>
    <w:rsid w:val="004E6EBD"/>
    <w:rsid w:val="004F6EE0"/>
    <w:rsid w:val="005020DE"/>
    <w:rsid w:val="005038D0"/>
    <w:rsid w:val="00504054"/>
    <w:rsid w:val="00540056"/>
    <w:rsid w:val="0056178D"/>
    <w:rsid w:val="00563274"/>
    <w:rsid w:val="005714C6"/>
    <w:rsid w:val="005741E1"/>
    <w:rsid w:val="005823DB"/>
    <w:rsid w:val="00595951"/>
    <w:rsid w:val="005A79F7"/>
    <w:rsid w:val="005B7CD5"/>
    <w:rsid w:val="005C3918"/>
    <w:rsid w:val="005D2872"/>
    <w:rsid w:val="005E0AA6"/>
    <w:rsid w:val="00601262"/>
    <w:rsid w:val="00607097"/>
    <w:rsid w:val="006128A9"/>
    <w:rsid w:val="006370D9"/>
    <w:rsid w:val="00640EC0"/>
    <w:rsid w:val="006443F9"/>
    <w:rsid w:val="00650E16"/>
    <w:rsid w:val="00660C8B"/>
    <w:rsid w:val="00665927"/>
    <w:rsid w:val="00666E8A"/>
    <w:rsid w:val="00681499"/>
    <w:rsid w:val="006847D9"/>
    <w:rsid w:val="006B3BE1"/>
    <w:rsid w:val="006B5AB6"/>
    <w:rsid w:val="006C3CD2"/>
    <w:rsid w:val="006C6813"/>
    <w:rsid w:val="006D7031"/>
    <w:rsid w:val="006D7B5F"/>
    <w:rsid w:val="006E05BE"/>
    <w:rsid w:val="006E3448"/>
    <w:rsid w:val="00706D98"/>
    <w:rsid w:val="00720130"/>
    <w:rsid w:val="007263EA"/>
    <w:rsid w:val="00731A01"/>
    <w:rsid w:val="007756C4"/>
    <w:rsid w:val="00776473"/>
    <w:rsid w:val="00783182"/>
    <w:rsid w:val="00792FFE"/>
    <w:rsid w:val="007A00FF"/>
    <w:rsid w:val="007A12FB"/>
    <w:rsid w:val="007B763C"/>
    <w:rsid w:val="007C005D"/>
    <w:rsid w:val="007C0F2D"/>
    <w:rsid w:val="007D33E7"/>
    <w:rsid w:val="007D7086"/>
    <w:rsid w:val="007E1519"/>
    <w:rsid w:val="007E77EF"/>
    <w:rsid w:val="007F5CB9"/>
    <w:rsid w:val="007F79A9"/>
    <w:rsid w:val="0084474B"/>
    <w:rsid w:val="00850B4C"/>
    <w:rsid w:val="008651DA"/>
    <w:rsid w:val="00874563"/>
    <w:rsid w:val="008757E5"/>
    <w:rsid w:val="008A1C69"/>
    <w:rsid w:val="008C61D1"/>
    <w:rsid w:val="008E17B6"/>
    <w:rsid w:val="008E5D31"/>
    <w:rsid w:val="009005A0"/>
    <w:rsid w:val="009064F8"/>
    <w:rsid w:val="00906786"/>
    <w:rsid w:val="009269A2"/>
    <w:rsid w:val="00941415"/>
    <w:rsid w:val="00953A9C"/>
    <w:rsid w:val="0098142B"/>
    <w:rsid w:val="00987DE2"/>
    <w:rsid w:val="009A28B4"/>
    <w:rsid w:val="009A3A52"/>
    <w:rsid w:val="009C15CF"/>
    <w:rsid w:val="009C512B"/>
    <w:rsid w:val="009C67F8"/>
    <w:rsid w:val="009F7FA5"/>
    <w:rsid w:val="00A00912"/>
    <w:rsid w:val="00A07717"/>
    <w:rsid w:val="00A12F7F"/>
    <w:rsid w:val="00A16020"/>
    <w:rsid w:val="00A22B4A"/>
    <w:rsid w:val="00A31C2B"/>
    <w:rsid w:val="00A34722"/>
    <w:rsid w:val="00A52B11"/>
    <w:rsid w:val="00A566D5"/>
    <w:rsid w:val="00A75E26"/>
    <w:rsid w:val="00A82CE9"/>
    <w:rsid w:val="00A8382F"/>
    <w:rsid w:val="00A83AD0"/>
    <w:rsid w:val="00AA055E"/>
    <w:rsid w:val="00AA250D"/>
    <w:rsid w:val="00AB25D4"/>
    <w:rsid w:val="00AB53B7"/>
    <w:rsid w:val="00AB7FAC"/>
    <w:rsid w:val="00AC1C14"/>
    <w:rsid w:val="00AC43FD"/>
    <w:rsid w:val="00AD3CC2"/>
    <w:rsid w:val="00AD558A"/>
    <w:rsid w:val="00AD7338"/>
    <w:rsid w:val="00AE16EB"/>
    <w:rsid w:val="00AE5939"/>
    <w:rsid w:val="00B14E5A"/>
    <w:rsid w:val="00B209CA"/>
    <w:rsid w:val="00B329CC"/>
    <w:rsid w:val="00B42FC9"/>
    <w:rsid w:val="00B86C0C"/>
    <w:rsid w:val="00B93CFB"/>
    <w:rsid w:val="00B93F2F"/>
    <w:rsid w:val="00BA26AA"/>
    <w:rsid w:val="00BA403E"/>
    <w:rsid w:val="00BA7CA7"/>
    <w:rsid w:val="00BB0C2C"/>
    <w:rsid w:val="00BB52F6"/>
    <w:rsid w:val="00BC0A83"/>
    <w:rsid w:val="00BC7DB0"/>
    <w:rsid w:val="00BD37E5"/>
    <w:rsid w:val="00BD401B"/>
    <w:rsid w:val="00BE6A49"/>
    <w:rsid w:val="00BF4D28"/>
    <w:rsid w:val="00C06142"/>
    <w:rsid w:val="00C15AAB"/>
    <w:rsid w:val="00C2536B"/>
    <w:rsid w:val="00C44682"/>
    <w:rsid w:val="00C617DC"/>
    <w:rsid w:val="00C815B5"/>
    <w:rsid w:val="00C83A6F"/>
    <w:rsid w:val="00C90CD5"/>
    <w:rsid w:val="00CA1379"/>
    <w:rsid w:val="00CA5363"/>
    <w:rsid w:val="00CB29B6"/>
    <w:rsid w:val="00CB2C79"/>
    <w:rsid w:val="00CB4D4D"/>
    <w:rsid w:val="00CC1C58"/>
    <w:rsid w:val="00CD0FA4"/>
    <w:rsid w:val="00CD1788"/>
    <w:rsid w:val="00CE2B68"/>
    <w:rsid w:val="00CF1853"/>
    <w:rsid w:val="00CF30C7"/>
    <w:rsid w:val="00CF3F83"/>
    <w:rsid w:val="00D00DD7"/>
    <w:rsid w:val="00D02356"/>
    <w:rsid w:val="00D30772"/>
    <w:rsid w:val="00D40A6B"/>
    <w:rsid w:val="00D45EE1"/>
    <w:rsid w:val="00D51490"/>
    <w:rsid w:val="00DF217B"/>
    <w:rsid w:val="00DF3269"/>
    <w:rsid w:val="00DF4158"/>
    <w:rsid w:val="00E00F96"/>
    <w:rsid w:val="00E05153"/>
    <w:rsid w:val="00E05D62"/>
    <w:rsid w:val="00E0770D"/>
    <w:rsid w:val="00E12EFD"/>
    <w:rsid w:val="00E13701"/>
    <w:rsid w:val="00E16FE2"/>
    <w:rsid w:val="00E17136"/>
    <w:rsid w:val="00E204A3"/>
    <w:rsid w:val="00E22558"/>
    <w:rsid w:val="00E2359D"/>
    <w:rsid w:val="00E2485B"/>
    <w:rsid w:val="00E30FAC"/>
    <w:rsid w:val="00E538BF"/>
    <w:rsid w:val="00E54AEB"/>
    <w:rsid w:val="00E948D6"/>
    <w:rsid w:val="00EA0835"/>
    <w:rsid w:val="00EA1BB7"/>
    <w:rsid w:val="00EC3367"/>
    <w:rsid w:val="00EE0195"/>
    <w:rsid w:val="00EF290B"/>
    <w:rsid w:val="00F015D6"/>
    <w:rsid w:val="00F038AF"/>
    <w:rsid w:val="00F25E25"/>
    <w:rsid w:val="00F35363"/>
    <w:rsid w:val="00F6203D"/>
    <w:rsid w:val="00F64ED6"/>
    <w:rsid w:val="00F75860"/>
    <w:rsid w:val="00F83739"/>
    <w:rsid w:val="00F839EE"/>
    <w:rsid w:val="00F8695A"/>
    <w:rsid w:val="00F9018F"/>
    <w:rsid w:val="00FB4017"/>
    <w:rsid w:val="00FB62F5"/>
    <w:rsid w:val="00FD0B9C"/>
    <w:rsid w:val="00FD0D82"/>
    <w:rsid w:val="00FD6020"/>
    <w:rsid w:val="01013118"/>
    <w:rsid w:val="01057174"/>
    <w:rsid w:val="010A29DC"/>
    <w:rsid w:val="010B22B0"/>
    <w:rsid w:val="010F7FF3"/>
    <w:rsid w:val="01113D6B"/>
    <w:rsid w:val="01145609"/>
    <w:rsid w:val="011473B7"/>
    <w:rsid w:val="01192C1F"/>
    <w:rsid w:val="011A24F4"/>
    <w:rsid w:val="011D61A5"/>
    <w:rsid w:val="01233A9E"/>
    <w:rsid w:val="012515C4"/>
    <w:rsid w:val="012670EA"/>
    <w:rsid w:val="012A6BDB"/>
    <w:rsid w:val="01323CE1"/>
    <w:rsid w:val="01347A59"/>
    <w:rsid w:val="0135572B"/>
    <w:rsid w:val="013C06BC"/>
    <w:rsid w:val="013D4B60"/>
    <w:rsid w:val="0140549C"/>
    <w:rsid w:val="014A4B87"/>
    <w:rsid w:val="01514167"/>
    <w:rsid w:val="01545A05"/>
    <w:rsid w:val="0159126E"/>
    <w:rsid w:val="015B6D94"/>
    <w:rsid w:val="015C6596"/>
    <w:rsid w:val="015E0632"/>
    <w:rsid w:val="016101B9"/>
    <w:rsid w:val="01635C49"/>
    <w:rsid w:val="01695955"/>
    <w:rsid w:val="016A6FD7"/>
    <w:rsid w:val="017000F0"/>
    <w:rsid w:val="017165B7"/>
    <w:rsid w:val="01732B25"/>
    <w:rsid w:val="017B5688"/>
    <w:rsid w:val="01813BA6"/>
    <w:rsid w:val="01822782"/>
    <w:rsid w:val="01883901"/>
    <w:rsid w:val="018856AF"/>
    <w:rsid w:val="018F6A3E"/>
    <w:rsid w:val="01964DCD"/>
    <w:rsid w:val="01993D60"/>
    <w:rsid w:val="01AA3877"/>
    <w:rsid w:val="01AA7D1B"/>
    <w:rsid w:val="01AC75F0"/>
    <w:rsid w:val="01AE15BA"/>
    <w:rsid w:val="01B24DBB"/>
    <w:rsid w:val="01B97F5E"/>
    <w:rsid w:val="01BC19B0"/>
    <w:rsid w:val="01BF5575"/>
    <w:rsid w:val="01C04E49"/>
    <w:rsid w:val="01C25065"/>
    <w:rsid w:val="01C26E13"/>
    <w:rsid w:val="01C506B1"/>
    <w:rsid w:val="01CF32DE"/>
    <w:rsid w:val="01D408F4"/>
    <w:rsid w:val="01D8132F"/>
    <w:rsid w:val="01E40440"/>
    <w:rsid w:val="01E50D53"/>
    <w:rsid w:val="01EA636A"/>
    <w:rsid w:val="01EC374D"/>
    <w:rsid w:val="01F216E7"/>
    <w:rsid w:val="01F62F61"/>
    <w:rsid w:val="01F9035B"/>
    <w:rsid w:val="01FF1E15"/>
    <w:rsid w:val="0200793B"/>
    <w:rsid w:val="02021905"/>
    <w:rsid w:val="020531A4"/>
    <w:rsid w:val="02070CCA"/>
    <w:rsid w:val="020B50D3"/>
    <w:rsid w:val="021138F7"/>
    <w:rsid w:val="02117D9A"/>
    <w:rsid w:val="021653B1"/>
    <w:rsid w:val="0216715F"/>
    <w:rsid w:val="02184C85"/>
    <w:rsid w:val="02225B04"/>
    <w:rsid w:val="022655F4"/>
    <w:rsid w:val="02380E83"/>
    <w:rsid w:val="023B6BC5"/>
    <w:rsid w:val="024009F2"/>
    <w:rsid w:val="02477318"/>
    <w:rsid w:val="02493090"/>
    <w:rsid w:val="024E68F9"/>
    <w:rsid w:val="02581525"/>
    <w:rsid w:val="025C50D3"/>
    <w:rsid w:val="0264611C"/>
    <w:rsid w:val="02691984"/>
    <w:rsid w:val="02693733"/>
    <w:rsid w:val="02695548"/>
    <w:rsid w:val="026B74AB"/>
    <w:rsid w:val="027C0F90"/>
    <w:rsid w:val="027F4D04"/>
    <w:rsid w:val="02837A66"/>
    <w:rsid w:val="028B5457"/>
    <w:rsid w:val="028E13EB"/>
    <w:rsid w:val="02936A01"/>
    <w:rsid w:val="029E731E"/>
    <w:rsid w:val="029F6EF5"/>
    <w:rsid w:val="02A97FD3"/>
    <w:rsid w:val="02AD7AC3"/>
    <w:rsid w:val="02B20C36"/>
    <w:rsid w:val="02B524D4"/>
    <w:rsid w:val="02BA5D3C"/>
    <w:rsid w:val="02C94D6C"/>
    <w:rsid w:val="02C95F7F"/>
    <w:rsid w:val="02CA0A21"/>
    <w:rsid w:val="02CD1F13"/>
    <w:rsid w:val="02D47FEA"/>
    <w:rsid w:val="02DF7940"/>
    <w:rsid w:val="02E561E0"/>
    <w:rsid w:val="02E903CF"/>
    <w:rsid w:val="02EB4148"/>
    <w:rsid w:val="02EF40A2"/>
    <w:rsid w:val="02F472DB"/>
    <w:rsid w:val="02FE3E7B"/>
    <w:rsid w:val="030306FE"/>
    <w:rsid w:val="03086AA8"/>
    <w:rsid w:val="030938E5"/>
    <w:rsid w:val="03101E00"/>
    <w:rsid w:val="0314369E"/>
    <w:rsid w:val="031535D5"/>
    <w:rsid w:val="031552A3"/>
    <w:rsid w:val="031750F4"/>
    <w:rsid w:val="031A4A2D"/>
    <w:rsid w:val="031C2553"/>
    <w:rsid w:val="031E451D"/>
    <w:rsid w:val="03255B35"/>
    <w:rsid w:val="032F672A"/>
    <w:rsid w:val="0332621A"/>
    <w:rsid w:val="03356E5E"/>
    <w:rsid w:val="033C2BF5"/>
    <w:rsid w:val="034321D6"/>
    <w:rsid w:val="03435D32"/>
    <w:rsid w:val="03457CFC"/>
    <w:rsid w:val="03465822"/>
    <w:rsid w:val="0348159A"/>
    <w:rsid w:val="03483348"/>
    <w:rsid w:val="034B75D8"/>
    <w:rsid w:val="035148F2"/>
    <w:rsid w:val="035166A0"/>
    <w:rsid w:val="035C6314"/>
    <w:rsid w:val="03634626"/>
    <w:rsid w:val="0365214C"/>
    <w:rsid w:val="036F2FCB"/>
    <w:rsid w:val="037330C1"/>
    <w:rsid w:val="03766B61"/>
    <w:rsid w:val="037979A5"/>
    <w:rsid w:val="03802AE2"/>
    <w:rsid w:val="03841151"/>
    <w:rsid w:val="038500F8"/>
    <w:rsid w:val="03873C02"/>
    <w:rsid w:val="038D3451"/>
    <w:rsid w:val="038D51FF"/>
    <w:rsid w:val="038F71C9"/>
    <w:rsid w:val="039C5442"/>
    <w:rsid w:val="03B60BF9"/>
    <w:rsid w:val="03C70711"/>
    <w:rsid w:val="03D359BD"/>
    <w:rsid w:val="03E33071"/>
    <w:rsid w:val="03EE0393"/>
    <w:rsid w:val="03F37758"/>
    <w:rsid w:val="03F4702C"/>
    <w:rsid w:val="03FF60FC"/>
    <w:rsid w:val="03FF78A8"/>
    <w:rsid w:val="04025BED"/>
    <w:rsid w:val="041871BE"/>
    <w:rsid w:val="041B6CAE"/>
    <w:rsid w:val="041D2A27"/>
    <w:rsid w:val="04207E21"/>
    <w:rsid w:val="04215B8E"/>
    <w:rsid w:val="042167B5"/>
    <w:rsid w:val="042A0CA0"/>
    <w:rsid w:val="042C35F7"/>
    <w:rsid w:val="042C4A18"/>
    <w:rsid w:val="042F62B6"/>
    <w:rsid w:val="0433224A"/>
    <w:rsid w:val="043833BC"/>
    <w:rsid w:val="044162AC"/>
    <w:rsid w:val="0442396F"/>
    <w:rsid w:val="04441D61"/>
    <w:rsid w:val="04455AD9"/>
    <w:rsid w:val="04477AA3"/>
    <w:rsid w:val="044E498E"/>
    <w:rsid w:val="044F0706"/>
    <w:rsid w:val="044F7A30"/>
    <w:rsid w:val="04561A95"/>
    <w:rsid w:val="045D1075"/>
    <w:rsid w:val="046851AD"/>
    <w:rsid w:val="046917C8"/>
    <w:rsid w:val="04697A1A"/>
    <w:rsid w:val="046B7FE6"/>
    <w:rsid w:val="046E624C"/>
    <w:rsid w:val="047168CE"/>
    <w:rsid w:val="047246D0"/>
    <w:rsid w:val="04732647"/>
    <w:rsid w:val="047327B4"/>
    <w:rsid w:val="04762137"/>
    <w:rsid w:val="047B3499"/>
    <w:rsid w:val="04820ADC"/>
    <w:rsid w:val="0482288A"/>
    <w:rsid w:val="04877997"/>
    <w:rsid w:val="048900BC"/>
    <w:rsid w:val="04893C18"/>
    <w:rsid w:val="048C54B6"/>
    <w:rsid w:val="048E7480"/>
    <w:rsid w:val="04902828"/>
    <w:rsid w:val="0495080F"/>
    <w:rsid w:val="04A44EF6"/>
    <w:rsid w:val="04A50EEC"/>
    <w:rsid w:val="04A62A1C"/>
    <w:rsid w:val="04AB1DE0"/>
    <w:rsid w:val="04B0389B"/>
    <w:rsid w:val="04B073F7"/>
    <w:rsid w:val="04B43494"/>
    <w:rsid w:val="04BA7570"/>
    <w:rsid w:val="04BE5FB8"/>
    <w:rsid w:val="04C744EB"/>
    <w:rsid w:val="04C82992"/>
    <w:rsid w:val="04C94C60"/>
    <w:rsid w:val="04D34C89"/>
    <w:rsid w:val="04D95AA3"/>
    <w:rsid w:val="04E35A1E"/>
    <w:rsid w:val="04ED23F9"/>
    <w:rsid w:val="04ED41A7"/>
    <w:rsid w:val="04F617BE"/>
    <w:rsid w:val="04FD789D"/>
    <w:rsid w:val="04FE63B4"/>
    <w:rsid w:val="05045994"/>
    <w:rsid w:val="05092FAB"/>
    <w:rsid w:val="050D2A9B"/>
    <w:rsid w:val="050D2B3E"/>
    <w:rsid w:val="05121E5F"/>
    <w:rsid w:val="051E6A56"/>
    <w:rsid w:val="052102F4"/>
    <w:rsid w:val="0523406D"/>
    <w:rsid w:val="052676B9"/>
    <w:rsid w:val="05283431"/>
    <w:rsid w:val="052B1173"/>
    <w:rsid w:val="052E656D"/>
    <w:rsid w:val="0534627A"/>
    <w:rsid w:val="053F0E39"/>
    <w:rsid w:val="054144F3"/>
    <w:rsid w:val="05576789"/>
    <w:rsid w:val="05616943"/>
    <w:rsid w:val="0562037C"/>
    <w:rsid w:val="05631452"/>
    <w:rsid w:val="056A3A4A"/>
    <w:rsid w:val="056D353A"/>
    <w:rsid w:val="057E5747"/>
    <w:rsid w:val="058233F5"/>
    <w:rsid w:val="05980C25"/>
    <w:rsid w:val="05A30C46"/>
    <w:rsid w:val="05A84572"/>
    <w:rsid w:val="05AD3936"/>
    <w:rsid w:val="05AE4D73"/>
    <w:rsid w:val="05BB24F7"/>
    <w:rsid w:val="05BF2480"/>
    <w:rsid w:val="05C50C80"/>
    <w:rsid w:val="05CF7D50"/>
    <w:rsid w:val="05D7516E"/>
    <w:rsid w:val="05D9297D"/>
    <w:rsid w:val="05D9472B"/>
    <w:rsid w:val="05E11832"/>
    <w:rsid w:val="05E337FC"/>
    <w:rsid w:val="05E57574"/>
    <w:rsid w:val="05E926A2"/>
    <w:rsid w:val="05F81055"/>
    <w:rsid w:val="05F96B7B"/>
    <w:rsid w:val="05FF69D9"/>
    <w:rsid w:val="06035BD5"/>
    <w:rsid w:val="06071298"/>
    <w:rsid w:val="060914B4"/>
    <w:rsid w:val="060A0D89"/>
    <w:rsid w:val="060E0879"/>
    <w:rsid w:val="060F639F"/>
    <w:rsid w:val="06147E59"/>
    <w:rsid w:val="061D6D0E"/>
    <w:rsid w:val="061F106F"/>
    <w:rsid w:val="062005AC"/>
    <w:rsid w:val="0620235A"/>
    <w:rsid w:val="062260D2"/>
    <w:rsid w:val="0623304A"/>
    <w:rsid w:val="062447F7"/>
    <w:rsid w:val="062879D2"/>
    <w:rsid w:val="062956B3"/>
    <w:rsid w:val="062A4F87"/>
    <w:rsid w:val="062C0CFF"/>
    <w:rsid w:val="062E0F1B"/>
    <w:rsid w:val="062F259D"/>
    <w:rsid w:val="06304C93"/>
    <w:rsid w:val="06316315"/>
    <w:rsid w:val="06321BD1"/>
    <w:rsid w:val="0633208D"/>
    <w:rsid w:val="06361B53"/>
    <w:rsid w:val="0640510E"/>
    <w:rsid w:val="06450013"/>
    <w:rsid w:val="06485583"/>
    <w:rsid w:val="064F2C3F"/>
    <w:rsid w:val="06562220"/>
    <w:rsid w:val="065C7B5A"/>
    <w:rsid w:val="065D242C"/>
    <w:rsid w:val="06624721"/>
    <w:rsid w:val="0665153D"/>
    <w:rsid w:val="066F6E3E"/>
    <w:rsid w:val="06764670"/>
    <w:rsid w:val="06794B6E"/>
    <w:rsid w:val="067A5F0E"/>
    <w:rsid w:val="06856661"/>
    <w:rsid w:val="068723D9"/>
    <w:rsid w:val="068F128E"/>
    <w:rsid w:val="069468A4"/>
    <w:rsid w:val="06963C99"/>
    <w:rsid w:val="069D1BFD"/>
    <w:rsid w:val="069D7FBB"/>
    <w:rsid w:val="069F5975"/>
    <w:rsid w:val="06A13572"/>
    <w:rsid w:val="06A44D39"/>
    <w:rsid w:val="06AF0AE6"/>
    <w:rsid w:val="06B036DE"/>
    <w:rsid w:val="06B71CF8"/>
    <w:rsid w:val="06BC55A9"/>
    <w:rsid w:val="06BD404D"/>
    <w:rsid w:val="06C13FB5"/>
    <w:rsid w:val="06C158EB"/>
    <w:rsid w:val="06C4362D"/>
    <w:rsid w:val="06CB49BC"/>
    <w:rsid w:val="06D01FD2"/>
    <w:rsid w:val="06D032DB"/>
    <w:rsid w:val="06D3382F"/>
    <w:rsid w:val="06D80E87"/>
    <w:rsid w:val="06D849E3"/>
    <w:rsid w:val="06E15F8D"/>
    <w:rsid w:val="06E710CA"/>
    <w:rsid w:val="06E96BF0"/>
    <w:rsid w:val="06F07F7E"/>
    <w:rsid w:val="06F21F49"/>
    <w:rsid w:val="06F23CF7"/>
    <w:rsid w:val="06F3181D"/>
    <w:rsid w:val="06F7130D"/>
    <w:rsid w:val="06FC6923"/>
    <w:rsid w:val="06FD6A9C"/>
    <w:rsid w:val="07053888"/>
    <w:rsid w:val="070B10A0"/>
    <w:rsid w:val="070E6657"/>
    <w:rsid w:val="0712688D"/>
    <w:rsid w:val="07130B68"/>
    <w:rsid w:val="07293490"/>
    <w:rsid w:val="07354D17"/>
    <w:rsid w:val="07375BAD"/>
    <w:rsid w:val="074402CA"/>
    <w:rsid w:val="07463027"/>
    <w:rsid w:val="074B1659"/>
    <w:rsid w:val="074B1CA9"/>
    <w:rsid w:val="074D3623"/>
    <w:rsid w:val="074D5462"/>
    <w:rsid w:val="07506C6F"/>
    <w:rsid w:val="07514932"/>
    <w:rsid w:val="0753050D"/>
    <w:rsid w:val="075B2F45"/>
    <w:rsid w:val="075F5104"/>
    <w:rsid w:val="07612EB3"/>
    <w:rsid w:val="076170CE"/>
    <w:rsid w:val="07630750"/>
    <w:rsid w:val="076F41ED"/>
    <w:rsid w:val="077010BF"/>
    <w:rsid w:val="077A1D43"/>
    <w:rsid w:val="077E1A2E"/>
    <w:rsid w:val="078057A6"/>
    <w:rsid w:val="07953CC3"/>
    <w:rsid w:val="07966D78"/>
    <w:rsid w:val="0797664C"/>
    <w:rsid w:val="079C1EB4"/>
    <w:rsid w:val="07A008C0"/>
    <w:rsid w:val="07A817AD"/>
    <w:rsid w:val="07B05960"/>
    <w:rsid w:val="07B30088"/>
    <w:rsid w:val="07BB058C"/>
    <w:rsid w:val="07BE1E2B"/>
    <w:rsid w:val="07C02047"/>
    <w:rsid w:val="07CD2E7D"/>
    <w:rsid w:val="07DC0503"/>
    <w:rsid w:val="07E32AF3"/>
    <w:rsid w:val="07F4584C"/>
    <w:rsid w:val="07F817E1"/>
    <w:rsid w:val="07F81CB9"/>
    <w:rsid w:val="07F92E63"/>
    <w:rsid w:val="08017F69"/>
    <w:rsid w:val="08033CE1"/>
    <w:rsid w:val="08061CCE"/>
    <w:rsid w:val="080B2B96"/>
    <w:rsid w:val="08115575"/>
    <w:rsid w:val="08135810"/>
    <w:rsid w:val="08161C67"/>
    <w:rsid w:val="081E3021"/>
    <w:rsid w:val="08257228"/>
    <w:rsid w:val="082C148A"/>
    <w:rsid w:val="083E2F6B"/>
    <w:rsid w:val="084762C4"/>
    <w:rsid w:val="08493DEA"/>
    <w:rsid w:val="084E1401"/>
    <w:rsid w:val="085207C5"/>
    <w:rsid w:val="08534C69"/>
    <w:rsid w:val="08536A17"/>
    <w:rsid w:val="08602DD3"/>
    <w:rsid w:val="08686E66"/>
    <w:rsid w:val="08687FE8"/>
    <w:rsid w:val="0869448C"/>
    <w:rsid w:val="086E3851"/>
    <w:rsid w:val="087370B9"/>
    <w:rsid w:val="08801B44"/>
    <w:rsid w:val="088C1F29"/>
    <w:rsid w:val="089A4646"/>
    <w:rsid w:val="08A2174C"/>
    <w:rsid w:val="08AC2945"/>
    <w:rsid w:val="08B17BE1"/>
    <w:rsid w:val="08BB45BC"/>
    <w:rsid w:val="08CA47FF"/>
    <w:rsid w:val="08CB0CA3"/>
    <w:rsid w:val="08D062B9"/>
    <w:rsid w:val="08D933BD"/>
    <w:rsid w:val="08DB6A0C"/>
    <w:rsid w:val="08DB7537"/>
    <w:rsid w:val="08DF02AB"/>
    <w:rsid w:val="08EB4EA1"/>
    <w:rsid w:val="08F301FA"/>
    <w:rsid w:val="08F57ACE"/>
    <w:rsid w:val="08FA3336"/>
    <w:rsid w:val="08FE1930"/>
    <w:rsid w:val="09023F99"/>
    <w:rsid w:val="09104908"/>
    <w:rsid w:val="0914210E"/>
    <w:rsid w:val="09142A93"/>
    <w:rsid w:val="09150170"/>
    <w:rsid w:val="091A7535"/>
    <w:rsid w:val="091F4B4B"/>
    <w:rsid w:val="0922463B"/>
    <w:rsid w:val="092B666E"/>
    <w:rsid w:val="093525C0"/>
    <w:rsid w:val="09405F93"/>
    <w:rsid w:val="094840A2"/>
    <w:rsid w:val="095D0AD2"/>
    <w:rsid w:val="095E1B17"/>
    <w:rsid w:val="096243CF"/>
    <w:rsid w:val="09684047"/>
    <w:rsid w:val="096C06E3"/>
    <w:rsid w:val="09725A7F"/>
    <w:rsid w:val="09732A00"/>
    <w:rsid w:val="097B2C2D"/>
    <w:rsid w:val="0985284D"/>
    <w:rsid w:val="09970B85"/>
    <w:rsid w:val="09977F8D"/>
    <w:rsid w:val="09A11A04"/>
    <w:rsid w:val="09B1669C"/>
    <w:rsid w:val="09B47989"/>
    <w:rsid w:val="09BA4874"/>
    <w:rsid w:val="09BC4A90"/>
    <w:rsid w:val="09BE4364"/>
    <w:rsid w:val="09C33728"/>
    <w:rsid w:val="09D21BBD"/>
    <w:rsid w:val="09D771D4"/>
    <w:rsid w:val="09E57B43"/>
    <w:rsid w:val="09F204B1"/>
    <w:rsid w:val="09F2225F"/>
    <w:rsid w:val="09FC30DE"/>
    <w:rsid w:val="0A0124A3"/>
    <w:rsid w:val="0A03621B"/>
    <w:rsid w:val="0A04647E"/>
    <w:rsid w:val="0A0505C6"/>
    <w:rsid w:val="0A051F93"/>
    <w:rsid w:val="0A0F2E11"/>
    <w:rsid w:val="0A0F4BBF"/>
    <w:rsid w:val="0A115F02"/>
    <w:rsid w:val="0A14667A"/>
    <w:rsid w:val="0A193C90"/>
    <w:rsid w:val="0A1C108A"/>
    <w:rsid w:val="0A2166A1"/>
    <w:rsid w:val="0A344626"/>
    <w:rsid w:val="0A382368"/>
    <w:rsid w:val="0A3A6800"/>
    <w:rsid w:val="0A432ABB"/>
    <w:rsid w:val="0A4725AB"/>
    <w:rsid w:val="0A4928E2"/>
    <w:rsid w:val="0A4A5BF8"/>
    <w:rsid w:val="0A4B3D09"/>
    <w:rsid w:val="0A4F5AD9"/>
    <w:rsid w:val="0A542580"/>
    <w:rsid w:val="0A5E78F5"/>
    <w:rsid w:val="0A6065C4"/>
    <w:rsid w:val="0A622F41"/>
    <w:rsid w:val="0A7809B7"/>
    <w:rsid w:val="0A7964DD"/>
    <w:rsid w:val="0A7F59C4"/>
    <w:rsid w:val="0A894972"/>
    <w:rsid w:val="0A99092D"/>
    <w:rsid w:val="0A9C524B"/>
    <w:rsid w:val="0AA479FE"/>
    <w:rsid w:val="0AB15C77"/>
    <w:rsid w:val="0AB17A25"/>
    <w:rsid w:val="0AC17F1C"/>
    <w:rsid w:val="0AC260D6"/>
    <w:rsid w:val="0ACA6D38"/>
    <w:rsid w:val="0ACC03F3"/>
    <w:rsid w:val="0AD007F3"/>
    <w:rsid w:val="0AD13E84"/>
    <w:rsid w:val="0AD35BED"/>
    <w:rsid w:val="0AD55E09"/>
    <w:rsid w:val="0ADD2F10"/>
    <w:rsid w:val="0ADF4592"/>
    <w:rsid w:val="0AE0030A"/>
    <w:rsid w:val="0AE71E5C"/>
    <w:rsid w:val="0AEA2AA6"/>
    <w:rsid w:val="0AFD778E"/>
    <w:rsid w:val="0AFE4755"/>
    <w:rsid w:val="0AFF69E2"/>
    <w:rsid w:val="0B0A5387"/>
    <w:rsid w:val="0B100BEF"/>
    <w:rsid w:val="0B1A1A6E"/>
    <w:rsid w:val="0B1C3A38"/>
    <w:rsid w:val="0B274E41"/>
    <w:rsid w:val="0B301291"/>
    <w:rsid w:val="0B350656"/>
    <w:rsid w:val="0B380146"/>
    <w:rsid w:val="0B41524D"/>
    <w:rsid w:val="0B5605CC"/>
    <w:rsid w:val="0B57057A"/>
    <w:rsid w:val="0B5807E8"/>
    <w:rsid w:val="0B5A4560"/>
    <w:rsid w:val="0B5F1EE7"/>
    <w:rsid w:val="0B621CED"/>
    <w:rsid w:val="0B640F3B"/>
    <w:rsid w:val="0B6D4294"/>
    <w:rsid w:val="0B7068C9"/>
    <w:rsid w:val="0B792C38"/>
    <w:rsid w:val="0B83153D"/>
    <w:rsid w:val="0B860EB1"/>
    <w:rsid w:val="0B882E7B"/>
    <w:rsid w:val="0B883DBB"/>
    <w:rsid w:val="0B884C29"/>
    <w:rsid w:val="0B8B296C"/>
    <w:rsid w:val="0B9610F4"/>
    <w:rsid w:val="0B980BE5"/>
    <w:rsid w:val="0B9A495D"/>
    <w:rsid w:val="0B9E444D"/>
    <w:rsid w:val="0B9F1F73"/>
    <w:rsid w:val="0BAF665A"/>
    <w:rsid w:val="0BB21CA6"/>
    <w:rsid w:val="0BB94CA3"/>
    <w:rsid w:val="0BC908B5"/>
    <w:rsid w:val="0BCC5A3C"/>
    <w:rsid w:val="0BD31C1D"/>
    <w:rsid w:val="0BD55995"/>
    <w:rsid w:val="0BD66261"/>
    <w:rsid w:val="0BF26547"/>
    <w:rsid w:val="0BF91683"/>
    <w:rsid w:val="0BFC1173"/>
    <w:rsid w:val="0C040028"/>
    <w:rsid w:val="0C102012"/>
    <w:rsid w:val="0C104C1F"/>
    <w:rsid w:val="0C2B54AB"/>
    <w:rsid w:val="0C331835"/>
    <w:rsid w:val="0C37664F"/>
    <w:rsid w:val="0C4A1BB8"/>
    <w:rsid w:val="0C517711"/>
    <w:rsid w:val="0C525237"/>
    <w:rsid w:val="0C547201"/>
    <w:rsid w:val="0C564D28"/>
    <w:rsid w:val="0C5B74E0"/>
    <w:rsid w:val="0C5F0ACF"/>
    <w:rsid w:val="0C601702"/>
    <w:rsid w:val="0C605BA6"/>
    <w:rsid w:val="0C637445"/>
    <w:rsid w:val="0C6531BD"/>
    <w:rsid w:val="0C670CE3"/>
    <w:rsid w:val="0C681B81"/>
    <w:rsid w:val="0C79388C"/>
    <w:rsid w:val="0C807FF6"/>
    <w:rsid w:val="0C915D60"/>
    <w:rsid w:val="0C985340"/>
    <w:rsid w:val="0CA35943"/>
    <w:rsid w:val="0CA37841"/>
    <w:rsid w:val="0CB3217A"/>
    <w:rsid w:val="0CBA3508"/>
    <w:rsid w:val="0CBA5324"/>
    <w:rsid w:val="0CC223BD"/>
    <w:rsid w:val="0CC41234"/>
    <w:rsid w:val="0CC7352F"/>
    <w:rsid w:val="0CCA1272"/>
    <w:rsid w:val="0CCF0636"/>
    <w:rsid w:val="0CCF4ADA"/>
    <w:rsid w:val="0CD3594F"/>
    <w:rsid w:val="0CD67C16"/>
    <w:rsid w:val="0CDD2D53"/>
    <w:rsid w:val="0CE40585"/>
    <w:rsid w:val="0CE44226"/>
    <w:rsid w:val="0CEA2EF8"/>
    <w:rsid w:val="0CEA5470"/>
    <w:rsid w:val="0CEC11E8"/>
    <w:rsid w:val="0CF220D2"/>
    <w:rsid w:val="0CF33E8E"/>
    <w:rsid w:val="0CF52BC9"/>
    <w:rsid w:val="0CF85DDF"/>
    <w:rsid w:val="0CFF716D"/>
    <w:rsid w:val="0D004C93"/>
    <w:rsid w:val="0D026C5D"/>
    <w:rsid w:val="0D0E115E"/>
    <w:rsid w:val="0D0E2527"/>
    <w:rsid w:val="0D0E73B0"/>
    <w:rsid w:val="0D1129FD"/>
    <w:rsid w:val="0D1F15BD"/>
    <w:rsid w:val="0D1F336B"/>
    <w:rsid w:val="0D215336"/>
    <w:rsid w:val="0D224C0A"/>
    <w:rsid w:val="0D240982"/>
    <w:rsid w:val="0D2838C5"/>
    <w:rsid w:val="0D295F98"/>
    <w:rsid w:val="0D2B61B4"/>
    <w:rsid w:val="0D305579"/>
    <w:rsid w:val="0D3357BE"/>
    <w:rsid w:val="0D371F91"/>
    <w:rsid w:val="0D397CED"/>
    <w:rsid w:val="0D4903E8"/>
    <w:rsid w:val="0D4A5F0F"/>
    <w:rsid w:val="0D4B4161"/>
    <w:rsid w:val="0D4C6163"/>
    <w:rsid w:val="0D4E59FF"/>
    <w:rsid w:val="0D5154EF"/>
    <w:rsid w:val="0D51729D"/>
    <w:rsid w:val="0D6214AA"/>
    <w:rsid w:val="0D662D48"/>
    <w:rsid w:val="0D6945E7"/>
    <w:rsid w:val="0D6B4803"/>
    <w:rsid w:val="0D6D445C"/>
    <w:rsid w:val="0D7211BE"/>
    <w:rsid w:val="0D7C07BE"/>
    <w:rsid w:val="0D8105A3"/>
    <w:rsid w:val="0D8238FA"/>
    <w:rsid w:val="0D8633EB"/>
    <w:rsid w:val="0D8B0A01"/>
    <w:rsid w:val="0D8F0682"/>
    <w:rsid w:val="0D907DC5"/>
    <w:rsid w:val="0D984ECC"/>
    <w:rsid w:val="0D9B3761"/>
    <w:rsid w:val="0D9D7749"/>
    <w:rsid w:val="0D9F625A"/>
    <w:rsid w:val="0DA6583B"/>
    <w:rsid w:val="0DA90E87"/>
    <w:rsid w:val="0DA970D9"/>
    <w:rsid w:val="0DB55A7E"/>
    <w:rsid w:val="0DB937C0"/>
    <w:rsid w:val="0DBA12E6"/>
    <w:rsid w:val="0DBA7538"/>
    <w:rsid w:val="0DBB562C"/>
    <w:rsid w:val="0DCA7FFF"/>
    <w:rsid w:val="0DD8702C"/>
    <w:rsid w:val="0DDA3736"/>
    <w:rsid w:val="0DE63E89"/>
    <w:rsid w:val="0DEB5944"/>
    <w:rsid w:val="0DF2282E"/>
    <w:rsid w:val="0DF30354"/>
    <w:rsid w:val="0DF90060"/>
    <w:rsid w:val="0E0620AA"/>
    <w:rsid w:val="0E06277D"/>
    <w:rsid w:val="0E0E5F91"/>
    <w:rsid w:val="0E121122"/>
    <w:rsid w:val="0E1327A4"/>
    <w:rsid w:val="0E1704E7"/>
    <w:rsid w:val="0E1C1C9F"/>
    <w:rsid w:val="0E1C5AFD"/>
    <w:rsid w:val="0E2449B2"/>
    <w:rsid w:val="0E39220B"/>
    <w:rsid w:val="0E3966AF"/>
    <w:rsid w:val="0E43720F"/>
    <w:rsid w:val="0E440BB0"/>
    <w:rsid w:val="0E46753C"/>
    <w:rsid w:val="0E4B734D"/>
    <w:rsid w:val="0E527771"/>
    <w:rsid w:val="0E5C414B"/>
    <w:rsid w:val="0E6574A4"/>
    <w:rsid w:val="0E666D78"/>
    <w:rsid w:val="0E686F94"/>
    <w:rsid w:val="0E6B438E"/>
    <w:rsid w:val="0E6F0323"/>
    <w:rsid w:val="0E705B55"/>
    <w:rsid w:val="0E756C05"/>
    <w:rsid w:val="0E7B6CC7"/>
    <w:rsid w:val="0E8813E4"/>
    <w:rsid w:val="0E8A515C"/>
    <w:rsid w:val="0E8A6E54"/>
    <w:rsid w:val="0E8C2C83"/>
    <w:rsid w:val="0E9733D5"/>
    <w:rsid w:val="0E9953A0"/>
    <w:rsid w:val="0E995A72"/>
    <w:rsid w:val="0E9B1118"/>
    <w:rsid w:val="0E9B2EC6"/>
    <w:rsid w:val="0EA004DC"/>
    <w:rsid w:val="0EA06CB7"/>
    <w:rsid w:val="0EA31D7A"/>
    <w:rsid w:val="0EB977F0"/>
    <w:rsid w:val="0EC51CF1"/>
    <w:rsid w:val="0ECE329B"/>
    <w:rsid w:val="0EDB59B8"/>
    <w:rsid w:val="0EDD34DE"/>
    <w:rsid w:val="0EE26D46"/>
    <w:rsid w:val="0EF600FC"/>
    <w:rsid w:val="0EF66370"/>
    <w:rsid w:val="0EFC54F8"/>
    <w:rsid w:val="0EFE3455"/>
    <w:rsid w:val="0EFF16A6"/>
    <w:rsid w:val="0F07055B"/>
    <w:rsid w:val="0F072309"/>
    <w:rsid w:val="0F144A26"/>
    <w:rsid w:val="0F1A64E0"/>
    <w:rsid w:val="0F1B5DB5"/>
    <w:rsid w:val="0F1B7B63"/>
    <w:rsid w:val="0F227143"/>
    <w:rsid w:val="0F23681D"/>
    <w:rsid w:val="0F242EBB"/>
    <w:rsid w:val="0F2508A7"/>
    <w:rsid w:val="0F264E85"/>
    <w:rsid w:val="0F2C6FEA"/>
    <w:rsid w:val="0F2D1A4D"/>
    <w:rsid w:val="0F44355D"/>
    <w:rsid w:val="0F455179"/>
    <w:rsid w:val="0F4632E8"/>
    <w:rsid w:val="0F4946D0"/>
    <w:rsid w:val="0F4E18BA"/>
    <w:rsid w:val="0F501F02"/>
    <w:rsid w:val="0F5A68DD"/>
    <w:rsid w:val="0F5D69AE"/>
    <w:rsid w:val="0F657030"/>
    <w:rsid w:val="0F6C6610"/>
    <w:rsid w:val="0F6E4136"/>
    <w:rsid w:val="0F76748F"/>
    <w:rsid w:val="0F7C07BB"/>
    <w:rsid w:val="0F7D6A6F"/>
    <w:rsid w:val="0F82781D"/>
    <w:rsid w:val="0F83686B"/>
    <w:rsid w:val="0F9B2D3F"/>
    <w:rsid w:val="0F9D2C6D"/>
    <w:rsid w:val="0FA7589A"/>
    <w:rsid w:val="0FAD05B9"/>
    <w:rsid w:val="0FAE56DB"/>
    <w:rsid w:val="0FB57FB7"/>
    <w:rsid w:val="0FB61209"/>
    <w:rsid w:val="0FC401FA"/>
    <w:rsid w:val="0FC621C4"/>
    <w:rsid w:val="0FC87CEA"/>
    <w:rsid w:val="0FD024F3"/>
    <w:rsid w:val="0FD22917"/>
    <w:rsid w:val="0FD3668F"/>
    <w:rsid w:val="0FD85A54"/>
    <w:rsid w:val="0FDA5C70"/>
    <w:rsid w:val="0FDC3C18"/>
    <w:rsid w:val="0FE272D6"/>
    <w:rsid w:val="0FE611C5"/>
    <w:rsid w:val="0FE97C61"/>
    <w:rsid w:val="10005651"/>
    <w:rsid w:val="10014FAA"/>
    <w:rsid w:val="10066A65"/>
    <w:rsid w:val="10067609"/>
    <w:rsid w:val="100E76C7"/>
    <w:rsid w:val="1010343F"/>
    <w:rsid w:val="103C4234"/>
    <w:rsid w:val="104135F9"/>
    <w:rsid w:val="104763BA"/>
    <w:rsid w:val="104D4694"/>
    <w:rsid w:val="104D6442"/>
    <w:rsid w:val="104E5D16"/>
    <w:rsid w:val="105B7E70"/>
    <w:rsid w:val="106C2D6C"/>
    <w:rsid w:val="10733583"/>
    <w:rsid w:val="107514F4"/>
    <w:rsid w:val="10861954"/>
    <w:rsid w:val="10881228"/>
    <w:rsid w:val="108D683E"/>
    <w:rsid w:val="10936D13"/>
    <w:rsid w:val="10940748"/>
    <w:rsid w:val="10947BCD"/>
    <w:rsid w:val="10960002"/>
    <w:rsid w:val="109C4CD3"/>
    <w:rsid w:val="109E4EEF"/>
    <w:rsid w:val="10A5627E"/>
    <w:rsid w:val="10A80B59"/>
    <w:rsid w:val="10A87B1C"/>
    <w:rsid w:val="10AF4A06"/>
    <w:rsid w:val="10B77D5F"/>
    <w:rsid w:val="10BA30B5"/>
    <w:rsid w:val="10C20BDE"/>
    <w:rsid w:val="10C55A18"/>
    <w:rsid w:val="10C6172C"/>
    <w:rsid w:val="10D66437"/>
    <w:rsid w:val="10D67924"/>
    <w:rsid w:val="10EE19D3"/>
    <w:rsid w:val="10EE6F92"/>
    <w:rsid w:val="10EF12A7"/>
    <w:rsid w:val="10EF574B"/>
    <w:rsid w:val="10F341BB"/>
    <w:rsid w:val="10FD7E68"/>
    <w:rsid w:val="1102547E"/>
    <w:rsid w:val="1104499A"/>
    <w:rsid w:val="110805BA"/>
    <w:rsid w:val="11120F6A"/>
    <w:rsid w:val="11164A85"/>
    <w:rsid w:val="112278CE"/>
    <w:rsid w:val="11230F50"/>
    <w:rsid w:val="112458CC"/>
    <w:rsid w:val="112A22DF"/>
    <w:rsid w:val="11333889"/>
    <w:rsid w:val="113F5E28"/>
    <w:rsid w:val="11457119"/>
    <w:rsid w:val="115B693C"/>
    <w:rsid w:val="115E01DA"/>
    <w:rsid w:val="116003F7"/>
    <w:rsid w:val="11633575"/>
    <w:rsid w:val="11657B94"/>
    <w:rsid w:val="11667BB7"/>
    <w:rsid w:val="117143B2"/>
    <w:rsid w:val="117A3266"/>
    <w:rsid w:val="117D411C"/>
    <w:rsid w:val="1180217B"/>
    <w:rsid w:val="11840968"/>
    <w:rsid w:val="118442FD"/>
    <w:rsid w:val="118934A9"/>
    <w:rsid w:val="11902131"/>
    <w:rsid w:val="11916802"/>
    <w:rsid w:val="1193257A"/>
    <w:rsid w:val="119D04D7"/>
    <w:rsid w:val="11A62DB9"/>
    <w:rsid w:val="11AB0514"/>
    <w:rsid w:val="11B5007E"/>
    <w:rsid w:val="11C00FE7"/>
    <w:rsid w:val="11C06DBB"/>
    <w:rsid w:val="11C82DAE"/>
    <w:rsid w:val="11D32976"/>
    <w:rsid w:val="11DC50B0"/>
    <w:rsid w:val="11DD1A47"/>
    <w:rsid w:val="11DF131B"/>
    <w:rsid w:val="11DF30C9"/>
    <w:rsid w:val="11EB32E7"/>
    <w:rsid w:val="11F969CD"/>
    <w:rsid w:val="11FA7F03"/>
    <w:rsid w:val="11FD79F3"/>
    <w:rsid w:val="12096398"/>
    <w:rsid w:val="120C7C36"/>
    <w:rsid w:val="121511E1"/>
    <w:rsid w:val="12154D3D"/>
    <w:rsid w:val="121E3337"/>
    <w:rsid w:val="12224F7A"/>
    <w:rsid w:val="12260CF8"/>
    <w:rsid w:val="123478B9"/>
    <w:rsid w:val="12372F05"/>
    <w:rsid w:val="123C051C"/>
    <w:rsid w:val="123E7F36"/>
    <w:rsid w:val="12440E9C"/>
    <w:rsid w:val="1246139A"/>
    <w:rsid w:val="12492478"/>
    <w:rsid w:val="12555A81"/>
    <w:rsid w:val="125661BD"/>
    <w:rsid w:val="125D6F45"/>
    <w:rsid w:val="126006AE"/>
    <w:rsid w:val="12617F82"/>
    <w:rsid w:val="12633CFA"/>
    <w:rsid w:val="12677A45"/>
    <w:rsid w:val="126A32DB"/>
    <w:rsid w:val="12704669"/>
    <w:rsid w:val="127E6D86"/>
    <w:rsid w:val="128D521B"/>
    <w:rsid w:val="128F4AEF"/>
    <w:rsid w:val="12940358"/>
    <w:rsid w:val="12977E48"/>
    <w:rsid w:val="129B7938"/>
    <w:rsid w:val="12A8795F"/>
    <w:rsid w:val="12A956B8"/>
    <w:rsid w:val="12AA36D7"/>
    <w:rsid w:val="12AB744F"/>
    <w:rsid w:val="12B44F8D"/>
    <w:rsid w:val="12D54308"/>
    <w:rsid w:val="12D651E1"/>
    <w:rsid w:val="12E34E3B"/>
    <w:rsid w:val="12E56E05"/>
    <w:rsid w:val="12EA2766"/>
    <w:rsid w:val="12EA441C"/>
    <w:rsid w:val="12F157AA"/>
    <w:rsid w:val="12F26E2C"/>
    <w:rsid w:val="12F8085B"/>
    <w:rsid w:val="12F9273B"/>
    <w:rsid w:val="12FA3BCB"/>
    <w:rsid w:val="13021765"/>
    <w:rsid w:val="130354DD"/>
    <w:rsid w:val="130C25E4"/>
    <w:rsid w:val="130E0B4E"/>
    <w:rsid w:val="131B2827"/>
    <w:rsid w:val="13213126"/>
    <w:rsid w:val="132D60B6"/>
    <w:rsid w:val="133A639E"/>
    <w:rsid w:val="133B6A25"/>
    <w:rsid w:val="134578A4"/>
    <w:rsid w:val="134C478E"/>
    <w:rsid w:val="13517FF7"/>
    <w:rsid w:val="13547AE7"/>
    <w:rsid w:val="1356560D"/>
    <w:rsid w:val="135D4BEE"/>
    <w:rsid w:val="13615001"/>
    <w:rsid w:val="136A10B9"/>
    <w:rsid w:val="136E2957"/>
    <w:rsid w:val="136F66CF"/>
    <w:rsid w:val="13781A27"/>
    <w:rsid w:val="137A12BB"/>
    <w:rsid w:val="137B5074"/>
    <w:rsid w:val="13816400"/>
    <w:rsid w:val="1393060F"/>
    <w:rsid w:val="139A439A"/>
    <w:rsid w:val="13A22600"/>
    <w:rsid w:val="13A7230D"/>
    <w:rsid w:val="13A90DBD"/>
    <w:rsid w:val="13AA7707"/>
    <w:rsid w:val="13B10A95"/>
    <w:rsid w:val="13B14F39"/>
    <w:rsid w:val="13B30CB1"/>
    <w:rsid w:val="13BA2040"/>
    <w:rsid w:val="13C70351"/>
    <w:rsid w:val="13C71443"/>
    <w:rsid w:val="13CE1647"/>
    <w:rsid w:val="13D5761D"/>
    <w:rsid w:val="13DA4490"/>
    <w:rsid w:val="13DF1AA7"/>
    <w:rsid w:val="13E7095B"/>
    <w:rsid w:val="13E72709"/>
    <w:rsid w:val="13E94F61"/>
    <w:rsid w:val="13F37300"/>
    <w:rsid w:val="13FF5CA5"/>
    <w:rsid w:val="14073D98"/>
    <w:rsid w:val="14092680"/>
    <w:rsid w:val="14164D9C"/>
    <w:rsid w:val="141C177E"/>
    <w:rsid w:val="141E7F46"/>
    <w:rsid w:val="142E0338"/>
    <w:rsid w:val="1432607A"/>
    <w:rsid w:val="14385F74"/>
    <w:rsid w:val="143C25C5"/>
    <w:rsid w:val="143C6332"/>
    <w:rsid w:val="1444190A"/>
    <w:rsid w:val="14467430"/>
    <w:rsid w:val="144755B8"/>
    <w:rsid w:val="144C46B0"/>
    <w:rsid w:val="14514748"/>
    <w:rsid w:val="14531B4D"/>
    <w:rsid w:val="14534C8C"/>
    <w:rsid w:val="14537D9F"/>
    <w:rsid w:val="145558C5"/>
    <w:rsid w:val="1457747E"/>
    <w:rsid w:val="1457788F"/>
    <w:rsid w:val="14587163"/>
    <w:rsid w:val="14591531"/>
    <w:rsid w:val="145A112D"/>
    <w:rsid w:val="145A737F"/>
    <w:rsid w:val="145C4EA5"/>
    <w:rsid w:val="146B6A48"/>
    <w:rsid w:val="146D0E60"/>
    <w:rsid w:val="14706BA3"/>
    <w:rsid w:val="14733BE2"/>
    <w:rsid w:val="147A357D"/>
    <w:rsid w:val="147F0B94"/>
    <w:rsid w:val="14850C59"/>
    <w:rsid w:val="148B53AB"/>
    <w:rsid w:val="148C251F"/>
    <w:rsid w:val="14902DA1"/>
    <w:rsid w:val="14942891"/>
    <w:rsid w:val="149A3C1F"/>
    <w:rsid w:val="14A66120"/>
    <w:rsid w:val="14AA20B4"/>
    <w:rsid w:val="14B51D51"/>
    <w:rsid w:val="14B7657F"/>
    <w:rsid w:val="14B95E54"/>
    <w:rsid w:val="14BC3B96"/>
    <w:rsid w:val="14CB202B"/>
    <w:rsid w:val="14CB5B87"/>
    <w:rsid w:val="14D233B9"/>
    <w:rsid w:val="14D507B4"/>
    <w:rsid w:val="14E028EA"/>
    <w:rsid w:val="14E03CF0"/>
    <w:rsid w:val="14E54E9B"/>
    <w:rsid w:val="14E804E7"/>
    <w:rsid w:val="14E83C4D"/>
    <w:rsid w:val="14EA24B1"/>
    <w:rsid w:val="14ED3D4F"/>
    <w:rsid w:val="14EE0B13"/>
    <w:rsid w:val="14EF7AC7"/>
    <w:rsid w:val="14F0383F"/>
    <w:rsid w:val="14F055ED"/>
    <w:rsid w:val="14FB2910"/>
    <w:rsid w:val="14FB46BE"/>
    <w:rsid w:val="14FC3F92"/>
    <w:rsid w:val="150A0832"/>
    <w:rsid w:val="150A2B53"/>
    <w:rsid w:val="150B2427"/>
    <w:rsid w:val="15125688"/>
    <w:rsid w:val="1517701E"/>
    <w:rsid w:val="151B6B0E"/>
    <w:rsid w:val="151C63E2"/>
    <w:rsid w:val="151F6419"/>
    <w:rsid w:val="15227E9D"/>
    <w:rsid w:val="1528650F"/>
    <w:rsid w:val="152B4878"/>
    <w:rsid w:val="15393438"/>
    <w:rsid w:val="153B0F5F"/>
    <w:rsid w:val="153B2D0D"/>
    <w:rsid w:val="153E27FD"/>
    <w:rsid w:val="15477903"/>
    <w:rsid w:val="154A73F4"/>
    <w:rsid w:val="154D6539"/>
    <w:rsid w:val="154F0566"/>
    <w:rsid w:val="155142DE"/>
    <w:rsid w:val="15520056"/>
    <w:rsid w:val="15593193"/>
    <w:rsid w:val="1565422D"/>
    <w:rsid w:val="156D6C3E"/>
    <w:rsid w:val="15703044"/>
    <w:rsid w:val="1571672E"/>
    <w:rsid w:val="157F52EF"/>
    <w:rsid w:val="15804BC3"/>
    <w:rsid w:val="15891CCA"/>
    <w:rsid w:val="158A1DF2"/>
    <w:rsid w:val="158F3BAD"/>
    <w:rsid w:val="159266A5"/>
    <w:rsid w:val="1594241D"/>
    <w:rsid w:val="15981F0D"/>
    <w:rsid w:val="159A148B"/>
    <w:rsid w:val="159D2116"/>
    <w:rsid w:val="159D5775"/>
    <w:rsid w:val="159D7523"/>
    <w:rsid w:val="15A20FDE"/>
    <w:rsid w:val="15AC59B8"/>
    <w:rsid w:val="15AE5E78"/>
    <w:rsid w:val="15B8435D"/>
    <w:rsid w:val="15BA6327"/>
    <w:rsid w:val="15BB3A6C"/>
    <w:rsid w:val="15C7479B"/>
    <w:rsid w:val="15CE39E7"/>
    <w:rsid w:val="15D32F45"/>
    <w:rsid w:val="15DA2525"/>
    <w:rsid w:val="15E213DA"/>
    <w:rsid w:val="15E35928"/>
    <w:rsid w:val="15E4457A"/>
    <w:rsid w:val="15E52C78"/>
    <w:rsid w:val="15EF6EDB"/>
    <w:rsid w:val="15F11C35"/>
    <w:rsid w:val="15F335E7"/>
    <w:rsid w:val="16005457"/>
    <w:rsid w:val="16041350"/>
    <w:rsid w:val="160475A2"/>
    <w:rsid w:val="160500E7"/>
    <w:rsid w:val="1609105D"/>
    <w:rsid w:val="160A26DF"/>
    <w:rsid w:val="160B42BE"/>
    <w:rsid w:val="161C0D90"/>
    <w:rsid w:val="161F43DC"/>
    <w:rsid w:val="162501F4"/>
    <w:rsid w:val="162613D1"/>
    <w:rsid w:val="16287735"/>
    <w:rsid w:val="162F7030"/>
    <w:rsid w:val="163545DB"/>
    <w:rsid w:val="1638549E"/>
    <w:rsid w:val="164B6F7F"/>
    <w:rsid w:val="165A3666"/>
    <w:rsid w:val="16640041"/>
    <w:rsid w:val="16681B10"/>
    <w:rsid w:val="166F4D71"/>
    <w:rsid w:val="167E55A7"/>
    <w:rsid w:val="16831978"/>
    <w:rsid w:val="169052DA"/>
    <w:rsid w:val="169E27DE"/>
    <w:rsid w:val="16A440BF"/>
    <w:rsid w:val="16A448E1"/>
    <w:rsid w:val="16A6065A"/>
    <w:rsid w:val="16B5089D"/>
    <w:rsid w:val="16B74615"/>
    <w:rsid w:val="16BC7E7D"/>
    <w:rsid w:val="16C136E5"/>
    <w:rsid w:val="16C32FBA"/>
    <w:rsid w:val="16CB00C0"/>
    <w:rsid w:val="16CF5E02"/>
    <w:rsid w:val="16D2144F"/>
    <w:rsid w:val="16D54CFC"/>
    <w:rsid w:val="16D927DD"/>
    <w:rsid w:val="16DC22CD"/>
    <w:rsid w:val="16DF3B6C"/>
    <w:rsid w:val="16E42F30"/>
    <w:rsid w:val="16E86EC4"/>
    <w:rsid w:val="16F07B27"/>
    <w:rsid w:val="16F13FCB"/>
    <w:rsid w:val="16F72C63"/>
    <w:rsid w:val="16F94C2D"/>
    <w:rsid w:val="16FF7D6A"/>
    <w:rsid w:val="17005FBC"/>
    <w:rsid w:val="1703785A"/>
    <w:rsid w:val="17046B1C"/>
    <w:rsid w:val="1706734A"/>
    <w:rsid w:val="17084E70"/>
    <w:rsid w:val="170F61FF"/>
    <w:rsid w:val="17120964"/>
    <w:rsid w:val="17127A9D"/>
    <w:rsid w:val="171A0C81"/>
    <w:rsid w:val="171C7EEA"/>
    <w:rsid w:val="17237EFC"/>
    <w:rsid w:val="172826F9"/>
    <w:rsid w:val="172F064F"/>
    <w:rsid w:val="172F55D7"/>
    <w:rsid w:val="17306175"/>
    <w:rsid w:val="17340DDB"/>
    <w:rsid w:val="17345C65"/>
    <w:rsid w:val="173503D8"/>
    <w:rsid w:val="173E4D36"/>
    <w:rsid w:val="173F5B96"/>
    <w:rsid w:val="1743218E"/>
    <w:rsid w:val="174F484D"/>
    <w:rsid w:val="175224A4"/>
    <w:rsid w:val="175956CC"/>
    <w:rsid w:val="175C6F6A"/>
    <w:rsid w:val="176457FC"/>
    <w:rsid w:val="17651F74"/>
    <w:rsid w:val="17667DE9"/>
    <w:rsid w:val="17770F0F"/>
    <w:rsid w:val="17773DA4"/>
    <w:rsid w:val="178D1819"/>
    <w:rsid w:val="178D5376"/>
    <w:rsid w:val="17937F85"/>
    <w:rsid w:val="17995E48"/>
    <w:rsid w:val="17A0758E"/>
    <w:rsid w:val="17A0779F"/>
    <w:rsid w:val="17A54B43"/>
    <w:rsid w:val="17A57432"/>
    <w:rsid w:val="17B061C6"/>
    <w:rsid w:val="17B2302E"/>
    <w:rsid w:val="17B44FF8"/>
    <w:rsid w:val="17B62B1E"/>
    <w:rsid w:val="17BB1EE3"/>
    <w:rsid w:val="17BC199D"/>
    <w:rsid w:val="17C3523B"/>
    <w:rsid w:val="17C36FE9"/>
    <w:rsid w:val="17C64631"/>
    <w:rsid w:val="17CA65CA"/>
    <w:rsid w:val="17CB4388"/>
    <w:rsid w:val="17CD1C16"/>
    <w:rsid w:val="17D66D1D"/>
    <w:rsid w:val="17DA4718"/>
    <w:rsid w:val="17DB4333"/>
    <w:rsid w:val="17E70F2A"/>
    <w:rsid w:val="17E90A60"/>
    <w:rsid w:val="17E94CA2"/>
    <w:rsid w:val="17F413BF"/>
    <w:rsid w:val="17F47C73"/>
    <w:rsid w:val="17F60768"/>
    <w:rsid w:val="17F614A8"/>
    <w:rsid w:val="17F63B31"/>
    <w:rsid w:val="17F83137"/>
    <w:rsid w:val="17FA6EAF"/>
    <w:rsid w:val="17FB2E0A"/>
    <w:rsid w:val="17FF6273"/>
    <w:rsid w:val="1800023D"/>
    <w:rsid w:val="1804534D"/>
    <w:rsid w:val="18226406"/>
    <w:rsid w:val="1824217E"/>
    <w:rsid w:val="18365A0D"/>
    <w:rsid w:val="183879D7"/>
    <w:rsid w:val="18477C1A"/>
    <w:rsid w:val="184E71FB"/>
    <w:rsid w:val="18521190"/>
    <w:rsid w:val="18567E5D"/>
    <w:rsid w:val="185A6DDB"/>
    <w:rsid w:val="185F25BF"/>
    <w:rsid w:val="185F31B6"/>
    <w:rsid w:val="18610CDC"/>
    <w:rsid w:val="18691943"/>
    <w:rsid w:val="18714919"/>
    <w:rsid w:val="18776FBC"/>
    <w:rsid w:val="18814EDA"/>
    <w:rsid w:val="188D1AD1"/>
    <w:rsid w:val="188E4696"/>
    <w:rsid w:val="18A312F5"/>
    <w:rsid w:val="18A46E1B"/>
    <w:rsid w:val="18A838A4"/>
    <w:rsid w:val="18AE1A47"/>
    <w:rsid w:val="18B90B18"/>
    <w:rsid w:val="18BD1C8B"/>
    <w:rsid w:val="18C6504B"/>
    <w:rsid w:val="18CB084B"/>
    <w:rsid w:val="18D317F7"/>
    <w:rsid w:val="18D45671"/>
    <w:rsid w:val="18DA0A8E"/>
    <w:rsid w:val="18DA70F0"/>
    <w:rsid w:val="18DB6E09"/>
    <w:rsid w:val="18DF60A5"/>
    <w:rsid w:val="18E50C59"/>
    <w:rsid w:val="18E73779"/>
    <w:rsid w:val="18E92A80"/>
    <w:rsid w:val="18EC2454"/>
    <w:rsid w:val="18F2402A"/>
    <w:rsid w:val="18FC6C57"/>
    <w:rsid w:val="18FF22A3"/>
    <w:rsid w:val="1901601B"/>
    <w:rsid w:val="19053D5D"/>
    <w:rsid w:val="19074ED3"/>
    <w:rsid w:val="190A1374"/>
    <w:rsid w:val="190D49C0"/>
    <w:rsid w:val="19121FD6"/>
    <w:rsid w:val="19145D4E"/>
    <w:rsid w:val="192341E3"/>
    <w:rsid w:val="192D6E10"/>
    <w:rsid w:val="19314B52"/>
    <w:rsid w:val="193208CA"/>
    <w:rsid w:val="19341F4D"/>
    <w:rsid w:val="19375EE1"/>
    <w:rsid w:val="1945415A"/>
    <w:rsid w:val="195E6FCA"/>
    <w:rsid w:val="196A1E12"/>
    <w:rsid w:val="196A5C15"/>
    <w:rsid w:val="196D36B1"/>
    <w:rsid w:val="196E1476"/>
    <w:rsid w:val="197131A1"/>
    <w:rsid w:val="19726F19"/>
    <w:rsid w:val="19790832"/>
    <w:rsid w:val="19793E03"/>
    <w:rsid w:val="197D7D98"/>
    <w:rsid w:val="198A4263"/>
    <w:rsid w:val="1991739F"/>
    <w:rsid w:val="199606E5"/>
    <w:rsid w:val="19A04761"/>
    <w:rsid w:val="19A6182C"/>
    <w:rsid w:val="19A76BC3"/>
    <w:rsid w:val="19A914FA"/>
    <w:rsid w:val="19B1359D"/>
    <w:rsid w:val="19B16A2D"/>
    <w:rsid w:val="19B25567"/>
    <w:rsid w:val="19B337B9"/>
    <w:rsid w:val="19C71013"/>
    <w:rsid w:val="19C808E7"/>
    <w:rsid w:val="19CA465F"/>
    <w:rsid w:val="19CF6119"/>
    <w:rsid w:val="19DD0836"/>
    <w:rsid w:val="19DE010A"/>
    <w:rsid w:val="19E55412"/>
    <w:rsid w:val="19F53DD2"/>
    <w:rsid w:val="19FB0CBC"/>
    <w:rsid w:val="19FD2C86"/>
    <w:rsid w:val="1A0B1B29"/>
    <w:rsid w:val="1A1678A4"/>
    <w:rsid w:val="1A187AC0"/>
    <w:rsid w:val="1A1D0C33"/>
    <w:rsid w:val="1A271AB1"/>
    <w:rsid w:val="1A3D4D69"/>
    <w:rsid w:val="1A3E68BB"/>
    <w:rsid w:val="1A4B28C6"/>
    <w:rsid w:val="1A501008"/>
    <w:rsid w:val="1A50424D"/>
    <w:rsid w:val="1A5403CD"/>
    <w:rsid w:val="1A5D1977"/>
    <w:rsid w:val="1A5D3B77"/>
    <w:rsid w:val="1A685DFD"/>
    <w:rsid w:val="1A6E148E"/>
    <w:rsid w:val="1A772A39"/>
    <w:rsid w:val="1A807414"/>
    <w:rsid w:val="1A845156"/>
    <w:rsid w:val="1A8B4DD7"/>
    <w:rsid w:val="1A901554"/>
    <w:rsid w:val="1A911621"/>
    <w:rsid w:val="1A937147"/>
    <w:rsid w:val="1A976C37"/>
    <w:rsid w:val="1A981558"/>
    <w:rsid w:val="1A9A04D5"/>
    <w:rsid w:val="1AA41354"/>
    <w:rsid w:val="1AAB26E2"/>
    <w:rsid w:val="1AAE21D3"/>
    <w:rsid w:val="1AB01AA7"/>
    <w:rsid w:val="1AB23A71"/>
    <w:rsid w:val="1AB318C0"/>
    <w:rsid w:val="1AB53561"/>
    <w:rsid w:val="1ABC48F0"/>
    <w:rsid w:val="1ABC669E"/>
    <w:rsid w:val="1ACD2659"/>
    <w:rsid w:val="1AD35795"/>
    <w:rsid w:val="1AD82DAC"/>
    <w:rsid w:val="1ADC6D40"/>
    <w:rsid w:val="1AE7386D"/>
    <w:rsid w:val="1AF44089"/>
    <w:rsid w:val="1AF851FC"/>
    <w:rsid w:val="1AFF658A"/>
    <w:rsid w:val="1B0919D7"/>
    <w:rsid w:val="1B0B4F2F"/>
    <w:rsid w:val="1B1169F1"/>
    <w:rsid w:val="1B1738D4"/>
    <w:rsid w:val="1B210BF7"/>
    <w:rsid w:val="1B304996"/>
    <w:rsid w:val="1B356450"/>
    <w:rsid w:val="1B375D24"/>
    <w:rsid w:val="1B410951"/>
    <w:rsid w:val="1B48372E"/>
    <w:rsid w:val="1B5468D6"/>
    <w:rsid w:val="1B58068C"/>
    <w:rsid w:val="1B59213E"/>
    <w:rsid w:val="1B5A74A2"/>
    <w:rsid w:val="1B5B5EB7"/>
    <w:rsid w:val="1B5C0002"/>
    <w:rsid w:val="1B75684C"/>
    <w:rsid w:val="1B79458F"/>
    <w:rsid w:val="1B79633D"/>
    <w:rsid w:val="1B814421"/>
    <w:rsid w:val="1B8A679C"/>
    <w:rsid w:val="1B8D6DFE"/>
    <w:rsid w:val="1B975403"/>
    <w:rsid w:val="1B9C64CF"/>
    <w:rsid w:val="1B9E5DA3"/>
    <w:rsid w:val="1BA17641"/>
    <w:rsid w:val="1BAA0BEC"/>
    <w:rsid w:val="1BAB19A6"/>
    <w:rsid w:val="1BAC5F55"/>
    <w:rsid w:val="1BAD248A"/>
    <w:rsid w:val="1BAF6A1E"/>
    <w:rsid w:val="1BB04757"/>
    <w:rsid w:val="1BC03F6C"/>
    <w:rsid w:val="1BC51582"/>
    <w:rsid w:val="1BCA3FA6"/>
    <w:rsid w:val="1BCA6B98"/>
    <w:rsid w:val="1BCF0653"/>
    <w:rsid w:val="1BD73063"/>
    <w:rsid w:val="1BDB2B53"/>
    <w:rsid w:val="1BDC68CC"/>
    <w:rsid w:val="1BE00EA4"/>
    <w:rsid w:val="1BE340FE"/>
    <w:rsid w:val="1BEC3AAE"/>
    <w:rsid w:val="1BF105C9"/>
    <w:rsid w:val="1BF30A97"/>
    <w:rsid w:val="1BF94DAD"/>
    <w:rsid w:val="1BFB2685"/>
    <w:rsid w:val="1BFD5CCA"/>
    <w:rsid w:val="1C0D3E62"/>
    <w:rsid w:val="1C13053F"/>
    <w:rsid w:val="1C1E6EE4"/>
    <w:rsid w:val="1C2344FA"/>
    <w:rsid w:val="1C237A27"/>
    <w:rsid w:val="1C26547C"/>
    <w:rsid w:val="1C27260F"/>
    <w:rsid w:val="1C321E98"/>
    <w:rsid w:val="1C3B5CE8"/>
    <w:rsid w:val="1C3D5DE8"/>
    <w:rsid w:val="1C3E30E2"/>
    <w:rsid w:val="1C48456B"/>
    <w:rsid w:val="1C4C2426"/>
    <w:rsid w:val="1C512E16"/>
    <w:rsid w:val="1C5407E3"/>
    <w:rsid w:val="1C542906"/>
    <w:rsid w:val="1C574F78"/>
    <w:rsid w:val="1C5F3784"/>
    <w:rsid w:val="1C60574F"/>
    <w:rsid w:val="1C627D55"/>
    <w:rsid w:val="1C6C07FE"/>
    <w:rsid w:val="1C6E7E6B"/>
    <w:rsid w:val="1C7237F8"/>
    <w:rsid w:val="1C7B4336"/>
    <w:rsid w:val="1C7B5CC2"/>
    <w:rsid w:val="1C874A89"/>
    <w:rsid w:val="1C8C02F2"/>
    <w:rsid w:val="1C8E08ED"/>
    <w:rsid w:val="1C99656B"/>
    <w:rsid w:val="1CA473E9"/>
    <w:rsid w:val="1CA76EDA"/>
    <w:rsid w:val="1CAD0994"/>
    <w:rsid w:val="1CB02232"/>
    <w:rsid w:val="1CC01D49"/>
    <w:rsid w:val="1CC06FD5"/>
    <w:rsid w:val="1CC12BCB"/>
    <w:rsid w:val="1CC45CDD"/>
    <w:rsid w:val="1CC47A8B"/>
    <w:rsid w:val="1CCE090A"/>
    <w:rsid w:val="1CD04682"/>
    <w:rsid w:val="1CD557F5"/>
    <w:rsid w:val="1CEC55C4"/>
    <w:rsid w:val="1CF10155"/>
    <w:rsid w:val="1CF13B78"/>
    <w:rsid w:val="1CF441DE"/>
    <w:rsid w:val="1CFA34AD"/>
    <w:rsid w:val="1D007A20"/>
    <w:rsid w:val="1D100F23"/>
    <w:rsid w:val="1D102CD1"/>
    <w:rsid w:val="1D1048A6"/>
    <w:rsid w:val="1D187DD7"/>
    <w:rsid w:val="1D1E53EE"/>
    <w:rsid w:val="1D2B7B0B"/>
    <w:rsid w:val="1D2D73DF"/>
    <w:rsid w:val="1D340CC0"/>
    <w:rsid w:val="1D3F35B6"/>
    <w:rsid w:val="1D444728"/>
    <w:rsid w:val="1D4E79D0"/>
    <w:rsid w:val="1D61549E"/>
    <w:rsid w:val="1D660B43"/>
    <w:rsid w:val="1D682B0D"/>
    <w:rsid w:val="1D6923E1"/>
    <w:rsid w:val="1D70376F"/>
    <w:rsid w:val="1D747B96"/>
    <w:rsid w:val="1D76726F"/>
    <w:rsid w:val="1D792624"/>
    <w:rsid w:val="1D7B2840"/>
    <w:rsid w:val="1D7C3EC2"/>
    <w:rsid w:val="1D7F3958"/>
    <w:rsid w:val="1D8239E8"/>
    <w:rsid w:val="1D8B532E"/>
    <w:rsid w:val="1D8E4E60"/>
    <w:rsid w:val="1D9751A0"/>
    <w:rsid w:val="1D9A259A"/>
    <w:rsid w:val="1D9A4396"/>
    <w:rsid w:val="1D9C27B6"/>
    <w:rsid w:val="1DA35DFA"/>
    <w:rsid w:val="1DA5166B"/>
    <w:rsid w:val="1DB01DBE"/>
    <w:rsid w:val="1DB775F0"/>
    <w:rsid w:val="1DB81196"/>
    <w:rsid w:val="1DBA2C3C"/>
    <w:rsid w:val="1DBA49EB"/>
    <w:rsid w:val="1DC064A5"/>
    <w:rsid w:val="1DC1221D"/>
    <w:rsid w:val="1DCA2E80"/>
    <w:rsid w:val="1DCD5FEE"/>
    <w:rsid w:val="1DD12FDF"/>
    <w:rsid w:val="1DD7559C"/>
    <w:rsid w:val="1DDC3A43"/>
    <w:rsid w:val="1DE017A6"/>
    <w:rsid w:val="1DE06B47"/>
    <w:rsid w:val="1DE1641B"/>
    <w:rsid w:val="1DE54582"/>
    <w:rsid w:val="1DEC54EC"/>
    <w:rsid w:val="1DED4DC0"/>
    <w:rsid w:val="1DF0665E"/>
    <w:rsid w:val="1DF12B02"/>
    <w:rsid w:val="1DF443A0"/>
    <w:rsid w:val="1DFF7113"/>
    <w:rsid w:val="1E0068A1"/>
    <w:rsid w:val="1E036392"/>
    <w:rsid w:val="1E075E82"/>
    <w:rsid w:val="1E085A6B"/>
    <w:rsid w:val="1E0F4D36"/>
    <w:rsid w:val="1E1B192D"/>
    <w:rsid w:val="1E1D38F7"/>
    <w:rsid w:val="1E1D56B9"/>
    <w:rsid w:val="1E220F0E"/>
    <w:rsid w:val="1E236A34"/>
    <w:rsid w:val="1E2458AA"/>
    <w:rsid w:val="1E25455A"/>
    <w:rsid w:val="1E2733A4"/>
    <w:rsid w:val="1E325366"/>
    <w:rsid w:val="1E3649B9"/>
    <w:rsid w:val="1E4A0464"/>
    <w:rsid w:val="1E5B61CE"/>
    <w:rsid w:val="1E5D0198"/>
    <w:rsid w:val="1E780B2E"/>
    <w:rsid w:val="1E7B48D2"/>
    <w:rsid w:val="1E7B6870"/>
    <w:rsid w:val="1E831280"/>
    <w:rsid w:val="1E8A0861"/>
    <w:rsid w:val="1E955531"/>
    <w:rsid w:val="1E960FB4"/>
    <w:rsid w:val="1E9D4427"/>
    <w:rsid w:val="1E9D67E6"/>
    <w:rsid w:val="1EA638ED"/>
    <w:rsid w:val="1EA72C55"/>
    <w:rsid w:val="1EB1403F"/>
    <w:rsid w:val="1EB63404"/>
    <w:rsid w:val="1EB678A8"/>
    <w:rsid w:val="1EB84B12"/>
    <w:rsid w:val="1ECC3F0F"/>
    <w:rsid w:val="1ED32208"/>
    <w:rsid w:val="1EDD3086"/>
    <w:rsid w:val="1EDF2219"/>
    <w:rsid w:val="1EE066D3"/>
    <w:rsid w:val="1EE43929"/>
    <w:rsid w:val="1EE47F71"/>
    <w:rsid w:val="1EE6018D"/>
    <w:rsid w:val="1EFD54D7"/>
    <w:rsid w:val="1F02489B"/>
    <w:rsid w:val="1F04416D"/>
    <w:rsid w:val="1F0B7BF4"/>
    <w:rsid w:val="1F0C571A"/>
    <w:rsid w:val="1F0E06D5"/>
    <w:rsid w:val="1F106FB8"/>
    <w:rsid w:val="1F14679A"/>
    <w:rsid w:val="1F1545CE"/>
    <w:rsid w:val="1F1D082A"/>
    <w:rsid w:val="1F1F369F"/>
    <w:rsid w:val="1F234F3D"/>
    <w:rsid w:val="1F2E1E1B"/>
    <w:rsid w:val="1F3266E1"/>
    <w:rsid w:val="1F334A54"/>
    <w:rsid w:val="1F37249F"/>
    <w:rsid w:val="1F3F33F9"/>
    <w:rsid w:val="1F401C1E"/>
    <w:rsid w:val="1F536EA5"/>
    <w:rsid w:val="1F5662A1"/>
    <w:rsid w:val="1F5930AF"/>
    <w:rsid w:val="1F5B677B"/>
    <w:rsid w:val="1F6A2B6C"/>
    <w:rsid w:val="1F6F0182"/>
    <w:rsid w:val="1F737547"/>
    <w:rsid w:val="1F7532BF"/>
    <w:rsid w:val="1F7B1738"/>
    <w:rsid w:val="1F933745"/>
    <w:rsid w:val="1FAC1AF0"/>
    <w:rsid w:val="1FB02549"/>
    <w:rsid w:val="1FB113FA"/>
    <w:rsid w:val="1FB33234"/>
    <w:rsid w:val="1FB913FE"/>
    <w:rsid w:val="1FBC2C9C"/>
    <w:rsid w:val="1FBE31F2"/>
    <w:rsid w:val="1FC14756"/>
    <w:rsid w:val="1FC54577"/>
    <w:rsid w:val="1FCB2EDF"/>
    <w:rsid w:val="1FCC1E25"/>
    <w:rsid w:val="1FCD4EA9"/>
    <w:rsid w:val="1FD004F5"/>
    <w:rsid w:val="1FD53D5E"/>
    <w:rsid w:val="1FD71884"/>
    <w:rsid w:val="1FE43FA1"/>
    <w:rsid w:val="1FE83989"/>
    <w:rsid w:val="1FE83A91"/>
    <w:rsid w:val="1FE87F35"/>
    <w:rsid w:val="1FF561AE"/>
    <w:rsid w:val="1FF64400"/>
    <w:rsid w:val="1FF918F9"/>
    <w:rsid w:val="1FFE0F1B"/>
    <w:rsid w:val="1FFE32B4"/>
    <w:rsid w:val="1FFF054E"/>
    <w:rsid w:val="2000527E"/>
    <w:rsid w:val="20140D2A"/>
    <w:rsid w:val="201911BF"/>
    <w:rsid w:val="201C29AC"/>
    <w:rsid w:val="201D37D7"/>
    <w:rsid w:val="201F5249"/>
    <w:rsid w:val="202D5948"/>
    <w:rsid w:val="20303671"/>
    <w:rsid w:val="20315438"/>
    <w:rsid w:val="20344F28"/>
    <w:rsid w:val="2040567B"/>
    <w:rsid w:val="20425C91"/>
    <w:rsid w:val="204E4308"/>
    <w:rsid w:val="204F3B10"/>
    <w:rsid w:val="20501323"/>
    <w:rsid w:val="20572AB6"/>
    <w:rsid w:val="2059498F"/>
    <w:rsid w:val="205C7FDB"/>
    <w:rsid w:val="205D6F8F"/>
    <w:rsid w:val="206155F1"/>
    <w:rsid w:val="20631369"/>
    <w:rsid w:val="206A0E38"/>
    <w:rsid w:val="206D45EF"/>
    <w:rsid w:val="20711CD8"/>
    <w:rsid w:val="20717F2A"/>
    <w:rsid w:val="20745325"/>
    <w:rsid w:val="20790B8D"/>
    <w:rsid w:val="207B66B3"/>
    <w:rsid w:val="20801F1B"/>
    <w:rsid w:val="2083394F"/>
    <w:rsid w:val="20880DD0"/>
    <w:rsid w:val="208A5750"/>
    <w:rsid w:val="208C08C0"/>
    <w:rsid w:val="20AA51EA"/>
    <w:rsid w:val="20AD0837"/>
    <w:rsid w:val="20AE4CDA"/>
    <w:rsid w:val="20AE591A"/>
    <w:rsid w:val="20B0398D"/>
    <w:rsid w:val="20B147CB"/>
    <w:rsid w:val="20B56069"/>
    <w:rsid w:val="20B61DE1"/>
    <w:rsid w:val="20B70ABD"/>
    <w:rsid w:val="20B840D6"/>
    <w:rsid w:val="20B85E83"/>
    <w:rsid w:val="20B87907"/>
    <w:rsid w:val="20C0056A"/>
    <w:rsid w:val="20C20786"/>
    <w:rsid w:val="20C938C2"/>
    <w:rsid w:val="20CC6F0F"/>
    <w:rsid w:val="20DE7488"/>
    <w:rsid w:val="20E00C0C"/>
    <w:rsid w:val="20E71F9A"/>
    <w:rsid w:val="20EC135F"/>
    <w:rsid w:val="20F46465"/>
    <w:rsid w:val="21010EBF"/>
    <w:rsid w:val="210668C5"/>
    <w:rsid w:val="210E39CB"/>
    <w:rsid w:val="2110329F"/>
    <w:rsid w:val="211F7986"/>
    <w:rsid w:val="21246D4B"/>
    <w:rsid w:val="21260D15"/>
    <w:rsid w:val="212947EB"/>
    <w:rsid w:val="213276BA"/>
    <w:rsid w:val="21335A42"/>
    <w:rsid w:val="213845A4"/>
    <w:rsid w:val="213F1DD6"/>
    <w:rsid w:val="21407880"/>
    <w:rsid w:val="214401F9"/>
    <w:rsid w:val="214967B1"/>
    <w:rsid w:val="21583DEB"/>
    <w:rsid w:val="215869F4"/>
    <w:rsid w:val="21617EBA"/>
    <w:rsid w:val="21676C37"/>
    <w:rsid w:val="21692022"/>
    <w:rsid w:val="216C24A0"/>
    <w:rsid w:val="216C51F8"/>
    <w:rsid w:val="216C787B"/>
    <w:rsid w:val="21701F90"/>
    <w:rsid w:val="21717AB6"/>
    <w:rsid w:val="21725D08"/>
    <w:rsid w:val="21731A80"/>
    <w:rsid w:val="21745DD0"/>
    <w:rsid w:val="21780E44"/>
    <w:rsid w:val="217C26E3"/>
    <w:rsid w:val="217D645B"/>
    <w:rsid w:val="217F0425"/>
    <w:rsid w:val="218844C3"/>
    <w:rsid w:val="218872DA"/>
    <w:rsid w:val="218E2416"/>
    <w:rsid w:val="21BF7C85"/>
    <w:rsid w:val="21C31D2E"/>
    <w:rsid w:val="21C31F70"/>
    <w:rsid w:val="21C37173"/>
    <w:rsid w:val="21CD2F3E"/>
    <w:rsid w:val="21D16D6F"/>
    <w:rsid w:val="21D56297"/>
    <w:rsid w:val="21DA0F5C"/>
    <w:rsid w:val="21DE19CD"/>
    <w:rsid w:val="21E87D78"/>
    <w:rsid w:val="21E93AF0"/>
    <w:rsid w:val="21ED7916"/>
    <w:rsid w:val="21F4671D"/>
    <w:rsid w:val="21FA7AAB"/>
    <w:rsid w:val="21FC1A76"/>
    <w:rsid w:val="22024228"/>
    <w:rsid w:val="220426D8"/>
    <w:rsid w:val="2208041A"/>
    <w:rsid w:val="22105521"/>
    <w:rsid w:val="22124FE4"/>
    <w:rsid w:val="221768AF"/>
    <w:rsid w:val="221C2118"/>
    <w:rsid w:val="223236E9"/>
    <w:rsid w:val="224439C8"/>
    <w:rsid w:val="22456F79"/>
    <w:rsid w:val="22486A69"/>
    <w:rsid w:val="224F1BA5"/>
    <w:rsid w:val="22521696"/>
    <w:rsid w:val="225300CA"/>
    <w:rsid w:val="22552377"/>
    <w:rsid w:val="225E003A"/>
    <w:rsid w:val="226338A3"/>
    <w:rsid w:val="22655D1C"/>
    <w:rsid w:val="22662BD7"/>
    <w:rsid w:val="226A69DF"/>
    <w:rsid w:val="226C24E9"/>
    <w:rsid w:val="226D2853"/>
    <w:rsid w:val="22743D02"/>
    <w:rsid w:val="227635D6"/>
    <w:rsid w:val="22766430"/>
    <w:rsid w:val="227C6712"/>
    <w:rsid w:val="228201CD"/>
    <w:rsid w:val="228A0E2F"/>
    <w:rsid w:val="228A52D3"/>
    <w:rsid w:val="228D0920"/>
    <w:rsid w:val="229551D6"/>
    <w:rsid w:val="229E30D5"/>
    <w:rsid w:val="22A04AF7"/>
    <w:rsid w:val="22A243CB"/>
    <w:rsid w:val="22AD2D70"/>
    <w:rsid w:val="22B12860"/>
    <w:rsid w:val="22B660C8"/>
    <w:rsid w:val="22B8599C"/>
    <w:rsid w:val="22B96AAD"/>
    <w:rsid w:val="22BE18E0"/>
    <w:rsid w:val="22C571D2"/>
    <w:rsid w:val="22D622C7"/>
    <w:rsid w:val="22E53212"/>
    <w:rsid w:val="22F83FEB"/>
    <w:rsid w:val="22FD7853"/>
    <w:rsid w:val="23024E6A"/>
    <w:rsid w:val="23040BE2"/>
    <w:rsid w:val="230564EA"/>
    <w:rsid w:val="2312765E"/>
    <w:rsid w:val="23137077"/>
    <w:rsid w:val="23152DEF"/>
    <w:rsid w:val="23290648"/>
    <w:rsid w:val="23292678"/>
    <w:rsid w:val="232B0864"/>
    <w:rsid w:val="232B51A4"/>
    <w:rsid w:val="232F1767"/>
    <w:rsid w:val="23492A98"/>
    <w:rsid w:val="234D60D2"/>
    <w:rsid w:val="23501545"/>
    <w:rsid w:val="235A1516"/>
    <w:rsid w:val="235A6A54"/>
    <w:rsid w:val="235D4796"/>
    <w:rsid w:val="23607DE2"/>
    <w:rsid w:val="23616034"/>
    <w:rsid w:val="23646D23"/>
    <w:rsid w:val="236B0C61"/>
    <w:rsid w:val="236E24FF"/>
    <w:rsid w:val="237A5348"/>
    <w:rsid w:val="23855030"/>
    <w:rsid w:val="2389558B"/>
    <w:rsid w:val="2392443F"/>
    <w:rsid w:val="23952182"/>
    <w:rsid w:val="23963804"/>
    <w:rsid w:val="239B0CB8"/>
    <w:rsid w:val="23A423C5"/>
    <w:rsid w:val="23A93537"/>
    <w:rsid w:val="23B73EA6"/>
    <w:rsid w:val="23BD11D0"/>
    <w:rsid w:val="23BD6FE3"/>
    <w:rsid w:val="23C24806"/>
    <w:rsid w:val="23CE0F23"/>
    <w:rsid w:val="23D5432C"/>
    <w:rsid w:val="23DA7039"/>
    <w:rsid w:val="23E05CEF"/>
    <w:rsid w:val="23EE1F44"/>
    <w:rsid w:val="23F94BE6"/>
    <w:rsid w:val="23FF077D"/>
    <w:rsid w:val="23FF584D"/>
    <w:rsid w:val="240D1D18"/>
    <w:rsid w:val="240D3AC6"/>
    <w:rsid w:val="24155071"/>
    <w:rsid w:val="241629E9"/>
    <w:rsid w:val="2418246B"/>
    <w:rsid w:val="241C1F5B"/>
    <w:rsid w:val="24207C9D"/>
    <w:rsid w:val="242B4894"/>
    <w:rsid w:val="242D5F16"/>
    <w:rsid w:val="242F7EE0"/>
    <w:rsid w:val="2432177F"/>
    <w:rsid w:val="2435126F"/>
    <w:rsid w:val="244020ED"/>
    <w:rsid w:val="244D0366"/>
    <w:rsid w:val="24506238"/>
    <w:rsid w:val="24523BCF"/>
    <w:rsid w:val="245416F5"/>
    <w:rsid w:val="24596D0B"/>
    <w:rsid w:val="246D70F4"/>
    <w:rsid w:val="246F29D3"/>
    <w:rsid w:val="24743B45"/>
    <w:rsid w:val="247A70E9"/>
    <w:rsid w:val="247E2C16"/>
    <w:rsid w:val="249275DB"/>
    <w:rsid w:val="24972608"/>
    <w:rsid w:val="249917FE"/>
    <w:rsid w:val="249A1FE5"/>
    <w:rsid w:val="249D12EE"/>
    <w:rsid w:val="24A33F96"/>
    <w:rsid w:val="24A5127D"/>
    <w:rsid w:val="24A900D8"/>
    <w:rsid w:val="24AA57B9"/>
    <w:rsid w:val="24AC6465"/>
    <w:rsid w:val="24AC7783"/>
    <w:rsid w:val="24AE34FB"/>
    <w:rsid w:val="24AE3AD6"/>
    <w:rsid w:val="24B267EF"/>
    <w:rsid w:val="24B91EA0"/>
    <w:rsid w:val="24C148B0"/>
    <w:rsid w:val="24CE594B"/>
    <w:rsid w:val="24D171E9"/>
    <w:rsid w:val="24D32F62"/>
    <w:rsid w:val="24D577E1"/>
    <w:rsid w:val="24DC0746"/>
    <w:rsid w:val="24DC16EA"/>
    <w:rsid w:val="24DF3C35"/>
    <w:rsid w:val="24E011DB"/>
    <w:rsid w:val="24E14A21"/>
    <w:rsid w:val="24E51902"/>
    <w:rsid w:val="24E707BB"/>
    <w:rsid w:val="24E934B5"/>
    <w:rsid w:val="24F353B2"/>
    <w:rsid w:val="24F5112A"/>
    <w:rsid w:val="24FB4266"/>
    <w:rsid w:val="24FB4CFE"/>
    <w:rsid w:val="2503311B"/>
    <w:rsid w:val="25070E5D"/>
    <w:rsid w:val="250749B9"/>
    <w:rsid w:val="250A6257"/>
    <w:rsid w:val="251C3012"/>
    <w:rsid w:val="251F3B7C"/>
    <w:rsid w:val="252E3715"/>
    <w:rsid w:val="253D487F"/>
    <w:rsid w:val="25457290"/>
    <w:rsid w:val="25496D80"/>
    <w:rsid w:val="256040C9"/>
    <w:rsid w:val="2561056D"/>
    <w:rsid w:val="25626093"/>
    <w:rsid w:val="256632D3"/>
    <w:rsid w:val="256A61BD"/>
    <w:rsid w:val="256E2C8A"/>
    <w:rsid w:val="25710085"/>
    <w:rsid w:val="25755DC7"/>
    <w:rsid w:val="25783B09"/>
    <w:rsid w:val="25797736"/>
    <w:rsid w:val="257B0F03"/>
    <w:rsid w:val="257D4C7B"/>
    <w:rsid w:val="257F09F3"/>
    <w:rsid w:val="258129BE"/>
    <w:rsid w:val="2584600A"/>
    <w:rsid w:val="25861D82"/>
    <w:rsid w:val="258B7398"/>
    <w:rsid w:val="258E6E89"/>
    <w:rsid w:val="25900E53"/>
    <w:rsid w:val="259049AF"/>
    <w:rsid w:val="259721E1"/>
    <w:rsid w:val="25984547"/>
    <w:rsid w:val="259A75DB"/>
    <w:rsid w:val="25A14E0E"/>
    <w:rsid w:val="25A95A70"/>
    <w:rsid w:val="25AE2442"/>
    <w:rsid w:val="25AE3087"/>
    <w:rsid w:val="25BA1A2C"/>
    <w:rsid w:val="25C05DCC"/>
    <w:rsid w:val="25C805EC"/>
    <w:rsid w:val="25C94365"/>
    <w:rsid w:val="25CA62F5"/>
    <w:rsid w:val="25D725DE"/>
    <w:rsid w:val="25DC5E46"/>
    <w:rsid w:val="25E22D30"/>
    <w:rsid w:val="25E362D5"/>
    <w:rsid w:val="25E7641F"/>
    <w:rsid w:val="25F11BCE"/>
    <w:rsid w:val="25F27899"/>
    <w:rsid w:val="26025181"/>
    <w:rsid w:val="260333D3"/>
    <w:rsid w:val="260A00C1"/>
    <w:rsid w:val="260C1BD4"/>
    <w:rsid w:val="26115E95"/>
    <w:rsid w:val="261513B9"/>
    <w:rsid w:val="261D1FBA"/>
    <w:rsid w:val="26213859"/>
    <w:rsid w:val="26263565"/>
    <w:rsid w:val="26312E5C"/>
    <w:rsid w:val="26347A30"/>
    <w:rsid w:val="263A491A"/>
    <w:rsid w:val="263B6F44"/>
    <w:rsid w:val="263B7010"/>
    <w:rsid w:val="263F4375"/>
    <w:rsid w:val="26417A3D"/>
    <w:rsid w:val="264439EB"/>
    <w:rsid w:val="264604D7"/>
    <w:rsid w:val="264B2FCC"/>
    <w:rsid w:val="264F6618"/>
    <w:rsid w:val="26543C2E"/>
    <w:rsid w:val="26551754"/>
    <w:rsid w:val="265579A6"/>
    <w:rsid w:val="26591245"/>
    <w:rsid w:val="265C6F87"/>
    <w:rsid w:val="26600825"/>
    <w:rsid w:val="26633E71"/>
    <w:rsid w:val="266424FF"/>
    <w:rsid w:val="2668592C"/>
    <w:rsid w:val="267047E0"/>
    <w:rsid w:val="26715555"/>
    <w:rsid w:val="267870DF"/>
    <w:rsid w:val="26797B39"/>
    <w:rsid w:val="26840989"/>
    <w:rsid w:val="268C3778"/>
    <w:rsid w:val="268F4C66"/>
    <w:rsid w:val="269009DE"/>
    <w:rsid w:val="26924756"/>
    <w:rsid w:val="2694227D"/>
    <w:rsid w:val="26972DEC"/>
    <w:rsid w:val="269C77D2"/>
    <w:rsid w:val="26A06E73"/>
    <w:rsid w:val="26B02E2F"/>
    <w:rsid w:val="26B20955"/>
    <w:rsid w:val="26BB3CAD"/>
    <w:rsid w:val="26C34447"/>
    <w:rsid w:val="26C36CE3"/>
    <w:rsid w:val="26C863CA"/>
    <w:rsid w:val="26D46B1D"/>
    <w:rsid w:val="26DB7EAB"/>
    <w:rsid w:val="26DD00C8"/>
    <w:rsid w:val="26DD111F"/>
    <w:rsid w:val="26E17327"/>
    <w:rsid w:val="26E8081A"/>
    <w:rsid w:val="26F23447"/>
    <w:rsid w:val="26FC7E22"/>
    <w:rsid w:val="2705317A"/>
    <w:rsid w:val="270C62B7"/>
    <w:rsid w:val="270F3FF9"/>
    <w:rsid w:val="27111B1F"/>
    <w:rsid w:val="271217A0"/>
    <w:rsid w:val="27155F77"/>
    <w:rsid w:val="27203CA1"/>
    <w:rsid w:val="27271343"/>
    <w:rsid w:val="27277595"/>
    <w:rsid w:val="27286E69"/>
    <w:rsid w:val="272E0923"/>
    <w:rsid w:val="27346118"/>
    <w:rsid w:val="273B3040"/>
    <w:rsid w:val="273E043A"/>
    <w:rsid w:val="27435A51"/>
    <w:rsid w:val="274517C9"/>
    <w:rsid w:val="274719E5"/>
    <w:rsid w:val="27473BB0"/>
    <w:rsid w:val="27485159"/>
    <w:rsid w:val="275163C0"/>
    <w:rsid w:val="275D384A"/>
    <w:rsid w:val="27637EA1"/>
    <w:rsid w:val="276F4A98"/>
    <w:rsid w:val="277B343D"/>
    <w:rsid w:val="27802253"/>
    <w:rsid w:val="278571CB"/>
    <w:rsid w:val="2786250D"/>
    <w:rsid w:val="278B7B24"/>
    <w:rsid w:val="27912C60"/>
    <w:rsid w:val="279B588D"/>
    <w:rsid w:val="279C5F55"/>
    <w:rsid w:val="27A504B9"/>
    <w:rsid w:val="27A85D92"/>
    <w:rsid w:val="27A913C9"/>
    <w:rsid w:val="27A91D58"/>
    <w:rsid w:val="27AB3D22"/>
    <w:rsid w:val="27AC1E2F"/>
    <w:rsid w:val="27B32BD6"/>
    <w:rsid w:val="27B44ACD"/>
    <w:rsid w:val="27BF77CD"/>
    <w:rsid w:val="27C43035"/>
    <w:rsid w:val="27CA1C32"/>
    <w:rsid w:val="27CC5A46"/>
    <w:rsid w:val="27D019DA"/>
    <w:rsid w:val="27D8088F"/>
    <w:rsid w:val="27DB3EDB"/>
    <w:rsid w:val="27E134C6"/>
    <w:rsid w:val="27E234BC"/>
    <w:rsid w:val="27E45486"/>
    <w:rsid w:val="27E45AD6"/>
    <w:rsid w:val="27E45AEE"/>
    <w:rsid w:val="27F31225"/>
    <w:rsid w:val="27FD7650"/>
    <w:rsid w:val="27FD77CE"/>
    <w:rsid w:val="2807072F"/>
    <w:rsid w:val="28101DD7"/>
    <w:rsid w:val="282211DB"/>
    <w:rsid w:val="28243AD4"/>
    <w:rsid w:val="2826784C"/>
    <w:rsid w:val="282D00E1"/>
    <w:rsid w:val="28383E8A"/>
    <w:rsid w:val="28397580"/>
    <w:rsid w:val="284321AC"/>
    <w:rsid w:val="28485A15"/>
    <w:rsid w:val="284A53F1"/>
    <w:rsid w:val="284E28FF"/>
    <w:rsid w:val="285C14C0"/>
    <w:rsid w:val="285C501C"/>
    <w:rsid w:val="286839C1"/>
    <w:rsid w:val="28734F35"/>
    <w:rsid w:val="288527C5"/>
    <w:rsid w:val="288535FF"/>
    <w:rsid w:val="288D3427"/>
    <w:rsid w:val="28935284"/>
    <w:rsid w:val="289429EA"/>
    <w:rsid w:val="2895052E"/>
    <w:rsid w:val="28997ABC"/>
    <w:rsid w:val="28A6098D"/>
    <w:rsid w:val="28A879F0"/>
    <w:rsid w:val="28AC5FA3"/>
    <w:rsid w:val="28AF3065"/>
    <w:rsid w:val="28BA7F95"/>
    <w:rsid w:val="28BF6807"/>
    <w:rsid w:val="28C97AD5"/>
    <w:rsid w:val="28CA642A"/>
    <w:rsid w:val="28CE0A95"/>
    <w:rsid w:val="28DD2670"/>
    <w:rsid w:val="28DE0127"/>
    <w:rsid w:val="28DE6843"/>
    <w:rsid w:val="28E079FB"/>
    <w:rsid w:val="28E11028"/>
    <w:rsid w:val="28E219C5"/>
    <w:rsid w:val="28E71F78"/>
    <w:rsid w:val="28E868B0"/>
    <w:rsid w:val="28F532B4"/>
    <w:rsid w:val="28F9649D"/>
    <w:rsid w:val="28FB2A87"/>
    <w:rsid w:val="290047F4"/>
    <w:rsid w:val="29015BC3"/>
    <w:rsid w:val="29343221"/>
    <w:rsid w:val="29385A89"/>
    <w:rsid w:val="29422464"/>
    <w:rsid w:val="29424212"/>
    <w:rsid w:val="29453D02"/>
    <w:rsid w:val="294F2FD0"/>
    <w:rsid w:val="295A3BBC"/>
    <w:rsid w:val="29712D49"/>
    <w:rsid w:val="297168A5"/>
    <w:rsid w:val="29763EBB"/>
    <w:rsid w:val="297D349C"/>
    <w:rsid w:val="298011DE"/>
    <w:rsid w:val="29830D4C"/>
    <w:rsid w:val="298A5BB9"/>
    <w:rsid w:val="298C043F"/>
    <w:rsid w:val="299758D1"/>
    <w:rsid w:val="29993327"/>
    <w:rsid w:val="29A053DC"/>
    <w:rsid w:val="29A30A29"/>
    <w:rsid w:val="29A66238"/>
    <w:rsid w:val="29AC1FD3"/>
    <w:rsid w:val="29AE7AF9"/>
    <w:rsid w:val="29B11398"/>
    <w:rsid w:val="29B33362"/>
    <w:rsid w:val="29B65F44"/>
    <w:rsid w:val="29B669AE"/>
    <w:rsid w:val="29B71C43"/>
    <w:rsid w:val="29BF3AB4"/>
    <w:rsid w:val="29C56BF1"/>
    <w:rsid w:val="29D11A3A"/>
    <w:rsid w:val="29D35706"/>
    <w:rsid w:val="29E63C48"/>
    <w:rsid w:val="29E928DF"/>
    <w:rsid w:val="29EF3C6E"/>
    <w:rsid w:val="29F64FFC"/>
    <w:rsid w:val="29F73B69"/>
    <w:rsid w:val="29FA2D3E"/>
    <w:rsid w:val="29FA689B"/>
    <w:rsid w:val="29FF35E7"/>
    <w:rsid w:val="2A070FB7"/>
    <w:rsid w:val="2A092F82"/>
    <w:rsid w:val="2A0B7E73"/>
    <w:rsid w:val="2A0E0598"/>
    <w:rsid w:val="2A135BAE"/>
    <w:rsid w:val="2A222295"/>
    <w:rsid w:val="2A2F5149"/>
    <w:rsid w:val="2A353D77"/>
    <w:rsid w:val="2A3A138D"/>
    <w:rsid w:val="2A467D32"/>
    <w:rsid w:val="2A497822"/>
    <w:rsid w:val="2A547170"/>
    <w:rsid w:val="2A5561C7"/>
    <w:rsid w:val="2A6315C2"/>
    <w:rsid w:val="2A6D74C2"/>
    <w:rsid w:val="2A720B27"/>
    <w:rsid w:val="2A952A67"/>
    <w:rsid w:val="2A9C2048"/>
    <w:rsid w:val="2AAD7DB1"/>
    <w:rsid w:val="2AAF1D7B"/>
    <w:rsid w:val="2AB039F3"/>
    <w:rsid w:val="2AB63109"/>
    <w:rsid w:val="2AC55EB3"/>
    <w:rsid w:val="2AC670C5"/>
    <w:rsid w:val="2AC90AFF"/>
    <w:rsid w:val="2ACA2711"/>
    <w:rsid w:val="2ACC66B4"/>
    <w:rsid w:val="2AD90BA6"/>
    <w:rsid w:val="2AD96DF8"/>
    <w:rsid w:val="2ADB5D35"/>
    <w:rsid w:val="2AE25D11"/>
    <w:rsid w:val="2AE34329"/>
    <w:rsid w:val="2AEB08D9"/>
    <w:rsid w:val="2AED4651"/>
    <w:rsid w:val="2AF11BDF"/>
    <w:rsid w:val="2AF43C32"/>
    <w:rsid w:val="2AF61758"/>
    <w:rsid w:val="2AF7727E"/>
    <w:rsid w:val="2AFA0B1C"/>
    <w:rsid w:val="2B006133"/>
    <w:rsid w:val="2B057BED"/>
    <w:rsid w:val="2B084FE7"/>
    <w:rsid w:val="2B0F709A"/>
    <w:rsid w:val="2B200583"/>
    <w:rsid w:val="2B2752C5"/>
    <w:rsid w:val="2B2D4A4E"/>
    <w:rsid w:val="2B3005B5"/>
    <w:rsid w:val="2B30453E"/>
    <w:rsid w:val="2B3C1135"/>
    <w:rsid w:val="2B41674B"/>
    <w:rsid w:val="2B553117"/>
    <w:rsid w:val="2B612949"/>
    <w:rsid w:val="2B683CD8"/>
    <w:rsid w:val="2B6C1A1A"/>
    <w:rsid w:val="2B6D7540"/>
    <w:rsid w:val="2B865951"/>
    <w:rsid w:val="2B88576B"/>
    <w:rsid w:val="2B8E7BE2"/>
    <w:rsid w:val="2B9351F9"/>
    <w:rsid w:val="2B942D1F"/>
    <w:rsid w:val="2B9B22FF"/>
    <w:rsid w:val="2B9D1BD3"/>
    <w:rsid w:val="2BA24F2F"/>
    <w:rsid w:val="2BB331A5"/>
    <w:rsid w:val="2BBB474F"/>
    <w:rsid w:val="2BD4136D"/>
    <w:rsid w:val="2BDD46C6"/>
    <w:rsid w:val="2BE315B0"/>
    <w:rsid w:val="2BE710A1"/>
    <w:rsid w:val="2BF11F1F"/>
    <w:rsid w:val="2BF57C61"/>
    <w:rsid w:val="2BF832AE"/>
    <w:rsid w:val="2BFA0DD4"/>
    <w:rsid w:val="2BFD0684"/>
    <w:rsid w:val="2C005333"/>
    <w:rsid w:val="2C077995"/>
    <w:rsid w:val="2C0E2AD1"/>
    <w:rsid w:val="2C16395A"/>
    <w:rsid w:val="2C1C51EE"/>
    <w:rsid w:val="2C26606D"/>
    <w:rsid w:val="2C29790B"/>
    <w:rsid w:val="2C3047F6"/>
    <w:rsid w:val="2C332538"/>
    <w:rsid w:val="2C35184A"/>
    <w:rsid w:val="2C365B84"/>
    <w:rsid w:val="2C3A1B18"/>
    <w:rsid w:val="2C46226B"/>
    <w:rsid w:val="2C4A764F"/>
    <w:rsid w:val="2C5129BE"/>
    <w:rsid w:val="2C567FD4"/>
    <w:rsid w:val="2C602C01"/>
    <w:rsid w:val="2C604C61"/>
    <w:rsid w:val="2C6426F1"/>
    <w:rsid w:val="2C680433"/>
    <w:rsid w:val="2C694A8A"/>
    <w:rsid w:val="2C78619D"/>
    <w:rsid w:val="2C7C5C8D"/>
    <w:rsid w:val="2C7D3A1F"/>
    <w:rsid w:val="2C820DC9"/>
    <w:rsid w:val="2C83526D"/>
    <w:rsid w:val="2C8D7E9A"/>
    <w:rsid w:val="2C9034E6"/>
    <w:rsid w:val="2C90798A"/>
    <w:rsid w:val="2C9600AA"/>
    <w:rsid w:val="2C9F04EC"/>
    <w:rsid w:val="2C9F7BCD"/>
    <w:rsid w:val="2CA910B9"/>
    <w:rsid w:val="2CAA4B91"/>
    <w:rsid w:val="2CB2345D"/>
    <w:rsid w:val="2CBA0563"/>
    <w:rsid w:val="2CBC077F"/>
    <w:rsid w:val="2CC43190"/>
    <w:rsid w:val="2CC77A9A"/>
    <w:rsid w:val="2CCB451E"/>
    <w:rsid w:val="2CD75466"/>
    <w:rsid w:val="2CD94E8D"/>
    <w:rsid w:val="2CDE23A5"/>
    <w:rsid w:val="2CDE23AC"/>
    <w:rsid w:val="2CE33F5E"/>
    <w:rsid w:val="2CE35D0C"/>
    <w:rsid w:val="2CE63273"/>
    <w:rsid w:val="2CF9108B"/>
    <w:rsid w:val="2D0619FA"/>
    <w:rsid w:val="2D087520"/>
    <w:rsid w:val="2D0A14EA"/>
    <w:rsid w:val="2D1B463E"/>
    <w:rsid w:val="2D1C4D7A"/>
    <w:rsid w:val="2D244B30"/>
    <w:rsid w:val="2D2A393B"/>
    <w:rsid w:val="2D346567"/>
    <w:rsid w:val="2D451060"/>
    <w:rsid w:val="2D4542D1"/>
    <w:rsid w:val="2D456905"/>
    <w:rsid w:val="2D4848B7"/>
    <w:rsid w:val="2D4A5D8B"/>
    <w:rsid w:val="2D5704A8"/>
    <w:rsid w:val="2D595FCE"/>
    <w:rsid w:val="2D5B7F98"/>
    <w:rsid w:val="2D5C314A"/>
    <w:rsid w:val="2D5C786C"/>
    <w:rsid w:val="2D6066AC"/>
    <w:rsid w:val="2D6C3F53"/>
    <w:rsid w:val="2D6F75A0"/>
    <w:rsid w:val="2D74105A"/>
    <w:rsid w:val="2D744BB6"/>
    <w:rsid w:val="2D770640"/>
    <w:rsid w:val="2D7E3C87"/>
    <w:rsid w:val="2D7F145E"/>
    <w:rsid w:val="2D8172D3"/>
    <w:rsid w:val="2D8803F2"/>
    <w:rsid w:val="2D8C63A3"/>
    <w:rsid w:val="2D990AC0"/>
    <w:rsid w:val="2D9A3018"/>
    <w:rsid w:val="2D9D4EDA"/>
    <w:rsid w:val="2DA52FC1"/>
    <w:rsid w:val="2DA70645"/>
    <w:rsid w:val="2DA76D39"/>
    <w:rsid w:val="2DB33930"/>
    <w:rsid w:val="2DB9256D"/>
    <w:rsid w:val="2DC0604D"/>
    <w:rsid w:val="2DC773DC"/>
    <w:rsid w:val="2DCF6290"/>
    <w:rsid w:val="2DD13A39"/>
    <w:rsid w:val="2DD65871"/>
    <w:rsid w:val="2DD95213"/>
    <w:rsid w:val="2DDE5E7B"/>
    <w:rsid w:val="2DDF3783"/>
    <w:rsid w:val="2DDF6A67"/>
    <w:rsid w:val="2DE03FF9"/>
    <w:rsid w:val="2DE53DAB"/>
    <w:rsid w:val="2DE81100"/>
    <w:rsid w:val="2DF33D2D"/>
    <w:rsid w:val="2DF62596"/>
    <w:rsid w:val="2DFB7085"/>
    <w:rsid w:val="2E012EF6"/>
    <w:rsid w:val="2E026666"/>
    <w:rsid w:val="2E071B75"/>
    <w:rsid w:val="2E0C6B7D"/>
    <w:rsid w:val="2E114AFB"/>
    <w:rsid w:val="2E141EF5"/>
    <w:rsid w:val="2E165C6D"/>
    <w:rsid w:val="2E1D6FFC"/>
    <w:rsid w:val="2E220AB6"/>
    <w:rsid w:val="2E24038A"/>
    <w:rsid w:val="2E2959A0"/>
    <w:rsid w:val="2E2B459F"/>
    <w:rsid w:val="2E2D6274"/>
    <w:rsid w:val="2E3031D3"/>
    <w:rsid w:val="2E3A1F20"/>
    <w:rsid w:val="2E4016CF"/>
    <w:rsid w:val="2E416B78"/>
    <w:rsid w:val="2E47051C"/>
    <w:rsid w:val="2E494294"/>
    <w:rsid w:val="2E510F12"/>
    <w:rsid w:val="2E514EF7"/>
    <w:rsid w:val="2E556795"/>
    <w:rsid w:val="2E5D00D8"/>
    <w:rsid w:val="2E6B0A03"/>
    <w:rsid w:val="2E6B5FB9"/>
    <w:rsid w:val="2E6C3ADF"/>
    <w:rsid w:val="2E756E38"/>
    <w:rsid w:val="2E7806D6"/>
    <w:rsid w:val="2E7A130F"/>
    <w:rsid w:val="2E7B29E2"/>
    <w:rsid w:val="2E84707B"/>
    <w:rsid w:val="2E894691"/>
    <w:rsid w:val="2E9372BE"/>
    <w:rsid w:val="2E96053A"/>
    <w:rsid w:val="2EA27501"/>
    <w:rsid w:val="2EA72D69"/>
    <w:rsid w:val="2EA94D33"/>
    <w:rsid w:val="2EAE40F8"/>
    <w:rsid w:val="2EB127CE"/>
    <w:rsid w:val="2EB21E3A"/>
    <w:rsid w:val="2EB62B06"/>
    <w:rsid w:val="2EB86D24"/>
    <w:rsid w:val="2EC31EDE"/>
    <w:rsid w:val="2EC61441"/>
    <w:rsid w:val="2EC9236B"/>
    <w:rsid w:val="2EDA6C9B"/>
    <w:rsid w:val="2EDE1C71"/>
    <w:rsid w:val="2EE144CD"/>
    <w:rsid w:val="2EE63891"/>
    <w:rsid w:val="2EEA15D4"/>
    <w:rsid w:val="2EEF5CDD"/>
    <w:rsid w:val="2EEF5DFE"/>
    <w:rsid w:val="2EF01A5D"/>
    <w:rsid w:val="2EF266DA"/>
    <w:rsid w:val="2EF64195"/>
    <w:rsid w:val="2EFA10EB"/>
    <w:rsid w:val="2F025061"/>
    <w:rsid w:val="2F195A15"/>
    <w:rsid w:val="2F1E127D"/>
    <w:rsid w:val="2F2A1164"/>
    <w:rsid w:val="2F3111C0"/>
    <w:rsid w:val="2F37105E"/>
    <w:rsid w:val="2F4D3910"/>
    <w:rsid w:val="2F511653"/>
    <w:rsid w:val="2F520F27"/>
    <w:rsid w:val="2F522CD5"/>
    <w:rsid w:val="2F527179"/>
    <w:rsid w:val="2F563C39"/>
    <w:rsid w:val="2F5729E1"/>
    <w:rsid w:val="2F5C7FF7"/>
    <w:rsid w:val="2F641EC5"/>
    <w:rsid w:val="2F6A7DB7"/>
    <w:rsid w:val="2F6D01BA"/>
    <w:rsid w:val="2F707726"/>
    <w:rsid w:val="2F7503D2"/>
    <w:rsid w:val="2F776BDF"/>
    <w:rsid w:val="2F7C41F6"/>
    <w:rsid w:val="2F84262C"/>
    <w:rsid w:val="2F860BD0"/>
    <w:rsid w:val="2F875074"/>
    <w:rsid w:val="2F882B9B"/>
    <w:rsid w:val="2F8A06C1"/>
    <w:rsid w:val="2F8B1FB3"/>
    <w:rsid w:val="2F8C4439"/>
    <w:rsid w:val="2FA15A0A"/>
    <w:rsid w:val="2FA16901"/>
    <w:rsid w:val="2FA23C5C"/>
    <w:rsid w:val="2FA72F65"/>
    <w:rsid w:val="2FAD5733"/>
    <w:rsid w:val="2FBB2F70"/>
    <w:rsid w:val="2FBB6ACC"/>
    <w:rsid w:val="2FC71915"/>
    <w:rsid w:val="2FCD67FF"/>
    <w:rsid w:val="2FD21FB7"/>
    <w:rsid w:val="2FD91648"/>
    <w:rsid w:val="2FE813FF"/>
    <w:rsid w:val="2FEB7E74"/>
    <w:rsid w:val="2FEE6EA1"/>
    <w:rsid w:val="2FF13002"/>
    <w:rsid w:val="2FFF4AB4"/>
    <w:rsid w:val="300D4E4E"/>
    <w:rsid w:val="301663F8"/>
    <w:rsid w:val="301C3965"/>
    <w:rsid w:val="301E705B"/>
    <w:rsid w:val="302647BC"/>
    <w:rsid w:val="30297EDA"/>
    <w:rsid w:val="302C1020"/>
    <w:rsid w:val="30393E95"/>
    <w:rsid w:val="303E14AB"/>
    <w:rsid w:val="30446AC1"/>
    <w:rsid w:val="306318FF"/>
    <w:rsid w:val="306A0F4A"/>
    <w:rsid w:val="307E03F6"/>
    <w:rsid w:val="307F5044"/>
    <w:rsid w:val="307F5D4C"/>
    <w:rsid w:val="3086532C"/>
    <w:rsid w:val="308B0B94"/>
    <w:rsid w:val="308C66BA"/>
    <w:rsid w:val="308F2D74"/>
    <w:rsid w:val="309C4B4F"/>
    <w:rsid w:val="30A25EDE"/>
    <w:rsid w:val="30A6772D"/>
    <w:rsid w:val="30AE4883"/>
    <w:rsid w:val="30B50D25"/>
    <w:rsid w:val="30B579BF"/>
    <w:rsid w:val="30BD4AC6"/>
    <w:rsid w:val="30C642C0"/>
    <w:rsid w:val="30C776F3"/>
    <w:rsid w:val="30C85ACD"/>
    <w:rsid w:val="30D75B88"/>
    <w:rsid w:val="30E166AF"/>
    <w:rsid w:val="30E2572F"/>
    <w:rsid w:val="30E525FE"/>
    <w:rsid w:val="31025FCC"/>
    <w:rsid w:val="310614FD"/>
    <w:rsid w:val="3106646D"/>
    <w:rsid w:val="310855DF"/>
    <w:rsid w:val="31104BF6"/>
    <w:rsid w:val="31143248"/>
    <w:rsid w:val="311961A0"/>
    <w:rsid w:val="311A5597"/>
    <w:rsid w:val="311C359A"/>
    <w:rsid w:val="31280191"/>
    <w:rsid w:val="312D57A8"/>
    <w:rsid w:val="31376626"/>
    <w:rsid w:val="313E3132"/>
    <w:rsid w:val="31411253"/>
    <w:rsid w:val="315076E8"/>
    <w:rsid w:val="31570A76"/>
    <w:rsid w:val="31576CC8"/>
    <w:rsid w:val="316136A3"/>
    <w:rsid w:val="3163741B"/>
    <w:rsid w:val="316970B2"/>
    <w:rsid w:val="31717D8A"/>
    <w:rsid w:val="317B0FC0"/>
    <w:rsid w:val="317C672F"/>
    <w:rsid w:val="31807FCD"/>
    <w:rsid w:val="31903F88"/>
    <w:rsid w:val="31927D00"/>
    <w:rsid w:val="31970A62"/>
    <w:rsid w:val="31992E3D"/>
    <w:rsid w:val="319D3C21"/>
    <w:rsid w:val="319F5F79"/>
    <w:rsid w:val="31A11CF2"/>
    <w:rsid w:val="31AA504A"/>
    <w:rsid w:val="31AD6213"/>
    <w:rsid w:val="31B1462B"/>
    <w:rsid w:val="31B341BA"/>
    <w:rsid w:val="31B5579D"/>
    <w:rsid w:val="31B658ED"/>
    <w:rsid w:val="31C37EBA"/>
    <w:rsid w:val="31C679AA"/>
    <w:rsid w:val="31D53E96"/>
    <w:rsid w:val="31D67BED"/>
    <w:rsid w:val="31DD71CE"/>
    <w:rsid w:val="31DE4CF4"/>
    <w:rsid w:val="31EB67C7"/>
    <w:rsid w:val="31EF2433"/>
    <w:rsid w:val="31F77B64"/>
    <w:rsid w:val="31FE1EB8"/>
    <w:rsid w:val="3206345F"/>
    <w:rsid w:val="32195D2C"/>
    <w:rsid w:val="321B7CF6"/>
    <w:rsid w:val="32250B75"/>
    <w:rsid w:val="32252923"/>
    <w:rsid w:val="32270EF5"/>
    <w:rsid w:val="322E185A"/>
    <w:rsid w:val="32317519"/>
    <w:rsid w:val="3234700A"/>
    <w:rsid w:val="323813AF"/>
    <w:rsid w:val="324361FF"/>
    <w:rsid w:val="32496611"/>
    <w:rsid w:val="324F174E"/>
    <w:rsid w:val="32584AA6"/>
    <w:rsid w:val="32593AF0"/>
    <w:rsid w:val="32596401"/>
    <w:rsid w:val="325D6B09"/>
    <w:rsid w:val="32601BAD"/>
    <w:rsid w:val="32603A6F"/>
    <w:rsid w:val="32717916"/>
    <w:rsid w:val="32737B32"/>
    <w:rsid w:val="32764F2C"/>
    <w:rsid w:val="32767806"/>
    <w:rsid w:val="32780CA4"/>
    <w:rsid w:val="327D450D"/>
    <w:rsid w:val="328B4E7C"/>
    <w:rsid w:val="328E2276"/>
    <w:rsid w:val="32935ADE"/>
    <w:rsid w:val="3293788C"/>
    <w:rsid w:val="32A25D21"/>
    <w:rsid w:val="32A41CDA"/>
    <w:rsid w:val="32A777DC"/>
    <w:rsid w:val="32AB5682"/>
    <w:rsid w:val="32B31CDC"/>
    <w:rsid w:val="32BA1481"/>
    <w:rsid w:val="32BA66E3"/>
    <w:rsid w:val="32BF0681"/>
    <w:rsid w:val="32C54F2C"/>
    <w:rsid w:val="32CC0FF0"/>
    <w:rsid w:val="32CC2D9E"/>
    <w:rsid w:val="32CC6075"/>
    <w:rsid w:val="32E4458C"/>
    <w:rsid w:val="32EA6004"/>
    <w:rsid w:val="32EB2A93"/>
    <w:rsid w:val="32EB3B6C"/>
    <w:rsid w:val="32EC3440"/>
    <w:rsid w:val="32F522F5"/>
    <w:rsid w:val="32FD11AA"/>
    <w:rsid w:val="33005377"/>
    <w:rsid w:val="330241CF"/>
    <w:rsid w:val="3304078A"/>
    <w:rsid w:val="330B1B18"/>
    <w:rsid w:val="331035D3"/>
    <w:rsid w:val="33150BE9"/>
    <w:rsid w:val="331A7FAD"/>
    <w:rsid w:val="33222D0C"/>
    <w:rsid w:val="33264BA4"/>
    <w:rsid w:val="332901F1"/>
    <w:rsid w:val="33323CAB"/>
    <w:rsid w:val="3333075F"/>
    <w:rsid w:val="33332E1D"/>
    <w:rsid w:val="333472C1"/>
    <w:rsid w:val="33356B95"/>
    <w:rsid w:val="333D2BBB"/>
    <w:rsid w:val="333F5C66"/>
    <w:rsid w:val="33446DD8"/>
    <w:rsid w:val="334A3228"/>
    <w:rsid w:val="334E30D9"/>
    <w:rsid w:val="334E5EA9"/>
    <w:rsid w:val="33550FE6"/>
    <w:rsid w:val="33576B0C"/>
    <w:rsid w:val="335F00B6"/>
    <w:rsid w:val="33601D92"/>
    <w:rsid w:val="3364747B"/>
    <w:rsid w:val="33744207"/>
    <w:rsid w:val="337551E4"/>
    <w:rsid w:val="337C6572"/>
    <w:rsid w:val="337E053C"/>
    <w:rsid w:val="337F6063"/>
    <w:rsid w:val="3381778F"/>
    <w:rsid w:val="338418CB"/>
    <w:rsid w:val="33957634"/>
    <w:rsid w:val="33977850"/>
    <w:rsid w:val="33980D24"/>
    <w:rsid w:val="339E298D"/>
    <w:rsid w:val="33A45AC9"/>
    <w:rsid w:val="33AE06F6"/>
    <w:rsid w:val="33B724AA"/>
    <w:rsid w:val="33C817B8"/>
    <w:rsid w:val="33C90550"/>
    <w:rsid w:val="33D10E21"/>
    <w:rsid w:val="33D51FFF"/>
    <w:rsid w:val="33D95773"/>
    <w:rsid w:val="33DB773D"/>
    <w:rsid w:val="33DC6471"/>
    <w:rsid w:val="33DE547F"/>
    <w:rsid w:val="33F151B2"/>
    <w:rsid w:val="33F64577"/>
    <w:rsid w:val="33F7209D"/>
    <w:rsid w:val="33F95361"/>
    <w:rsid w:val="33F95540"/>
    <w:rsid w:val="340071A3"/>
    <w:rsid w:val="340C5B48"/>
    <w:rsid w:val="340D18C0"/>
    <w:rsid w:val="34142C4F"/>
    <w:rsid w:val="341E587B"/>
    <w:rsid w:val="342015F4"/>
    <w:rsid w:val="342235BE"/>
    <w:rsid w:val="34272982"/>
    <w:rsid w:val="342B1D46"/>
    <w:rsid w:val="34305077"/>
    <w:rsid w:val="343706EB"/>
    <w:rsid w:val="343B642D"/>
    <w:rsid w:val="343C3F54"/>
    <w:rsid w:val="344220E2"/>
    <w:rsid w:val="344A2B14"/>
    <w:rsid w:val="344D6161"/>
    <w:rsid w:val="344D7F0F"/>
    <w:rsid w:val="344E27EC"/>
    <w:rsid w:val="344F012B"/>
    <w:rsid w:val="34515C51"/>
    <w:rsid w:val="346040E6"/>
    <w:rsid w:val="346A6D13"/>
    <w:rsid w:val="34767465"/>
    <w:rsid w:val="347831DE"/>
    <w:rsid w:val="347B5185"/>
    <w:rsid w:val="347E39E0"/>
    <w:rsid w:val="348558FB"/>
    <w:rsid w:val="349323A7"/>
    <w:rsid w:val="34967B08"/>
    <w:rsid w:val="34974865"/>
    <w:rsid w:val="349E0FAB"/>
    <w:rsid w:val="34AC2E87"/>
    <w:rsid w:val="34AE6BFF"/>
    <w:rsid w:val="34B40609"/>
    <w:rsid w:val="34B87A7E"/>
    <w:rsid w:val="34C603ED"/>
    <w:rsid w:val="34CC177B"/>
    <w:rsid w:val="34D128EE"/>
    <w:rsid w:val="34D36666"/>
    <w:rsid w:val="34D4418C"/>
    <w:rsid w:val="34D66156"/>
    <w:rsid w:val="34E64046"/>
    <w:rsid w:val="34EE34A0"/>
    <w:rsid w:val="34F211E2"/>
    <w:rsid w:val="34F6462C"/>
    <w:rsid w:val="34FF56AD"/>
    <w:rsid w:val="350A60AB"/>
    <w:rsid w:val="350D601C"/>
    <w:rsid w:val="35152498"/>
    <w:rsid w:val="351B1DBB"/>
    <w:rsid w:val="351F18AB"/>
    <w:rsid w:val="352549E8"/>
    <w:rsid w:val="352B0250"/>
    <w:rsid w:val="352D221A"/>
    <w:rsid w:val="353C06AF"/>
    <w:rsid w:val="353F3CFB"/>
    <w:rsid w:val="353F43E7"/>
    <w:rsid w:val="35415CC5"/>
    <w:rsid w:val="35441312"/>
    <w:rsid w:val="35470E02"/>
    <w:rsid w:val="354B08F2"/>
    <w:rsid w:val="35527ED3"/>
    <w:rsid w:val="355A2849"/>
    <w:rsid w:val="355C2AFF"/>
    <w:rsid w:val="35661288"/>
    <w:rsid w:val="35683252"/>
    <w:rsid w:val="3569521C"/>
    <w:rsid w:val="35696FCA"/>
    <w:rsid w:val="356C2617"/>
    <w:rsid w:val="357065AB"/>
    <w:rsid w:val="35731BF7"/>
    <w:rsid w:val="35773495"/>
    <w:rsid w:val="35782B2D"/>
    <w:rsid w:val="3578720D"/>
    <w:rsid w:val="357A11D7"/>
    <w:rsid w:val="35904557"/>
    <w:rsid w:val="35A46E7E"/>
    <w:rsid w:val="35AD4C64"/>
    <w:rsid w:val="35AF5758"/>
    <w:rsid w:val="35B9585C"/>
    <w:rsid w:val="35BE2E72"/>
    <w:rsid w:val="35BF4E3C"/>
    <w:rsid w:val="35C44201"/>
    <w:rsid w:val="35CA5CBB"/>
    <w:rsid w:val="35DA2A14"/>
    <w:rsid w:val="35DF103A"/>
    <w:rsid w:val="35E36D7D"/>
    <w:rsid w:val="35E548A3"/>
    <w:rsid w:val="35E825E5"/>
    <w:rsid w:val="35E8362A"/>
    <w:rsid w:val="35EF127D"/>
    <w:rsid w:val="35F20D6E"/>
    <w:rsid w:val="35FE5964"/>
    <w:rsid w:val="36054F45"/>
    <w:rsid w:val="360733DD"/>
    <w:rsid w:val="3607352D"/>
    <w:rsid w:val="360C6EC2"/>
    <w:rsid w:val="360F1920"/>
    <w:rsid w:val="36105698"/>
    <w:rsid w:val="361138EA"/>
    <w:rsid w:val="36145188"/>
    <w:rsid w:val="36146F36"/>
    <w:rsid w:val="36176A26"/>
    <w:rsid w:val="361B6516"/>
    <w:rsid w:val="36237179"/>
    <w:rsid w:val="362627CA"/>
    <w:rsid w:val="36321AB2"/>
    <w:rsid w:val="36356EAC"/>
    <w:rsid w:val="36363350"/>
    <w:rsid w:val="363650FE"/>
    <w:rsid w:val="36372C24"/>
    <w:rsid w:val="363B44C3"/>
    <w:rsid w:val="36413AA3"/>
    <w:rsid w:val="365172AD"/>
    <w:rsid w:val="3654172E"/>
    <w:rsid w:val="36592B9B"/>
    <w:rsid w:val="365B6913"/>
    <w:rsid w:val="366559E4"/>
    <w:rsid w:val="3667175C"/>
    <w:rsid w:val="366E079D"/>
    <w:rsid w:val="366F1F2A"/>
    <w:rsid w:val="3676374D"/>
    <w:rsid w:val="367943B2"/>
    <w:rsid w:val="367E6AA5"/>
    <w:rsid w:val="36835E6A"/>
    <w:rsid w:val="3683641F"/>
    <w:rsid w:val="36884358"/>
    <w:rsid w:val="36892FD8"/>
    <w:rsid w:val="368C4D1E"/>
    <w:rsid w:val="368E2E9E"/>
    <w:rsid w:val="369167D9"/>
    <w:rsid w:val="369462C9"/>
    <w:rsid w:val="36985DB9"/>
    <w:rsid w:val="3699743B"/>
    <w:rsid w:val="369B7806"/>
    <w:rsid w:val="369E0EF6"/>
    <w:rsid w:val="36A4650C"/>
    <w:rsid w:val="36B129D7"/>
    <w:rsid w:val="36BB6278"/>
    <w:rsid w:val="36BF1EFC"/>
    <w:rsid w:val="36CF7301"/>
    <w:rsid w:val="36D44917"/>
    <w:rsid w:val="36D641EB"/>
    <w:rsid w:val="36DA0180"/>
    <w:rsid w:val="36DC7282"/>
    <w:rsid w:val="36DE12F2"/>
    <w:rsid w:val="36E032BC"/>
    <w:rsid w:val="36E20DE2"/>
    <w:rsid w:val="36E44B5A"/>
    <w:rsid w:val="36EA7C97"/>
    <w:rsid w:val="36EC1C61"/>
    <w:rsid w:val="36EE3C2B"/>
    <w:rsid w:val="36F079A3"/>
    <w:rsid w:val="36F17277"/>
    <w:rsid w:val="36F43AB2"/>
    <w:rsid w:val="36FB00F6"/>
    <w:rsid w:val="37023232"/>
    <w:rsid w:val="370F0BEF"/>
    <w:rsid w:val="37117919"/>
    <w:rsid w:val="371A67CE"/>
    <w:rsid w:val="371C0798"/>
    <w:rsid w:val="371D2C67"/>
    <w:rsid w:val="3722269B"/>
    <w:rsid w:val="372633C5"/>
    <w:rsid w:val="37294C63"/>
    <w:rsid w:val="37296A11"/>
    <w:rsid w:val="372E4027"/>
    <w:rsid w:val="372E7830"/>
    <w:rsid w:val="37337890"/>
    <w:rsid w:val="373A29CC"/>
    <w:rsid w:val="37421881"/>
    <w:rsid w:val="37463895"/>
    <w:rsid w:val="374E0226"/>
    <w:rsid w:val="37517D16"/>
    <w:rsid w:val="375A12C0"/>
    <w:rsid w:val="37604220"/>
    <w:rsid w:val="37647A49"/>
    <w:rsid w:val="376D2DA2"/>
    <w:rsid w:val="376E2676"/>
    <w:rsid w:val="37735E9F"/>
    <w:rsid w:val="37751C56"/>
    <w:rsid w:val="3776777C"/>
    <w:rsid w:val="37797999"/>
    <w:rsid w:val="377F0D27"/>
    <w:rsid w:val="37824373"/>
    <w:rsid w:val="378679C0"/>
    <w:rsid w:val="378B147A"/>
    <w:rsid w:val="378C0D4E"/>
    <w:rsid w:val="3790083E"/>
    <w:rsid w:val="37920A5A"/>
    <w:rsid w:val="37A92BD3"/>
    <w:rsid w:val="37B54749"/>
    <w:rsid w:val="37C22643"/>
    <w:rsid w:val="37C4498C"/>
    <w:rsid w:val="37C60704"/>
    <w:rsid w:val="37D90437"/>
    <w:rsid w:val="37E666B0"/>
    <w:rsid w:val="37F330E7"/>
    <w:rsid w:val="37F66F1C"/>
    <w:rsid w:val="38046111"/>
    <w:rsid w:val="380B4369"/>
    <w:rsid w:val="380E4181"/>
    <w:rsid w:val="38184CAB"/>
    <w:rsid w:val="38186543"/>
    <w:rsid w:val="3825367C"/>
    <w:rsid w:val="382D5DE1"/>
    <w:rsid w:val="38325D99"/>
    <w:rsid w:val="38360408"/>
    <w:rsid w:val="38404012"/>
    <w:rsid w:val="384257A0"/>
    <w:rsid w:val="38471845"/>
    <w:rsid w:val="38482EC7"/>
    <w:rsid w:val="3848736B"/>
    <w:rsid w:val="38561A88"/>
    <w:rsid w:val="38613F89"/>
    <w:rsid w:val="3862042D"/>
    <w:rsid w:val="386677F1"/>
    <w:rsid w:val="386A72E1"/>
    <w:rsid w:val="386B36A2"/>
    <w:rsid w:val="386B4E07"/>
    <w:rsid w:val="38740160"/>
    <w:rsid w:val="387640BE"/>
    <w:rsid w:val="387719FE"/>
    <w:rsid w:val="38804D57"/>
    <w:rsid w:val="3882287D"/>
    <w:rsid w:val="38867C21"/>
    <w:rsid w:val="388C6E31"/>
    <w:rsid w:val="38991974"/>
    <w:rsid w:val="389B749B"/>
    <w:rsid w:val="38A024EB"/>
    <w:rsid w:val="38A10AA2"/>
    <w:rsid w:val="38AC78FA"/>
    <w:rsid w:val="38AF1198"/>
    <w:rsid w:val="38AF687F"/>
    <w:rsid w:val="38AF73EA"/>
    <w:rsid w:val="38B467AE"/>
    <w:rsid w:val="38B844F1"/>
    <w:rsid w:val="38C2711D"/>
    <w:rsid w:val="38C764E2"/>
    <w:rsid w:val="38D66725"/>
    <w:rsid w:val="38D74A49"/>
    <w:rsid w:val="38D94467"/>
    <w:rsid w:val="38DA20D5"/>
    <w:rsid w:val="38E94996"/>
    <w:rsid w:val="38F963EF"/>
    <w:rsid w:val="38FC7C9A"/>
    <w:rsid w:val="390037A2"/>
    <w:rsid w:val="39093A0F"/>
    <w:rsid w:val="390C0398"/>
    <w:rsid w:val="391266C7"/>
    <w:rsid w:val="391913AE"/>
    <w:rsid w:val="391B4A7F"/>
    <w:rsid w:val="391D4354"/>
    <w:rsid w:val="391F00CC"/>
    <w:rsid w:val="39203E44"/>
    <w:rsid w:val="39290F4A"/>
    <w:rsid w:val="392A6A70"/>
    <w:rsid w:val="39363667"/>
    <w:rsid w:val="393A4F06"/>
    <w:rsid w:val="393F076E"/>
    <w:rsid w:val="394713D0"/>
    <w:rsid w:val="394915ED"/>
    <w:rsid w:val="39530584"/>
    <w:rsid w:val="39602492"/>
    <w:rsid w:val="39673821"/>
    <w:rsid w:val="396C0E37"/>
    <w:rsid w:val="39700927"/>
    <w:rsid w:val="397414E7"/>
    <w:rsid w:val="39777AB5"/>
    <w:rsid w:val="39777F08"/>
    <w:rsid w:val="39783C80"/>
    <w:rsid w:val="398048E2"/>
    <w:rsid w:val="398443D3"/>
    <w:rsid w:val="39882115"/>
    <w:rsid w:val="398B39B3"/>
    <w:rsid w:val="39904B26"/>
    <w:rsid w:val="39922AD8"/>
    <w:rsid w:val="39AE76A2"/>
    <w:rsid w:val="39B32F0A"/>
    <w:rsid w:val="39B55597"/>
    <w:rsid w:val="39C37E83"/>
    <w:rsid w:val="39C62C3D"/>
    <w:rsid w:val="39CB7802"/>
    <w:rsid w:val="39CD3FCC"/>
    <w:rsid w:val="39D215E2"/>
    <w:rsid w:val="39D72754"/>
    <w:rsid w:val="39E06D4C"/>
    <w:rsid w:val="39F518F6"/>
    <w:rsid w:val="39F8754E"/>
    <w:rsid w:val="39FA28E7"/>
    <w:rsid w:val="39FC040D"/>
    <w:rsid w:val="39FE23D7"/>
    <w:rsid w:val="3A0237CA"/>
    <w:rsid w:val="3A0A0D7C"/>
    <w:rsid w:val="3A0B0650"/>
    <w:rsid w:val="3A0B4AF4"/>
    <w:rsid w:val="3A0E1EEE"/>
    <w:rsid w:val="3A137505"/>
    <w:rsid w:val="3A1A0893"/>
    <w:rsid w:val="3A234FAC"/>
    <w:rsid w:val="3A330458"/>
    <w:rsid w:val="3A3556CD"/>
    <w:rsid w:val="3A36041C"/>
    <w:rsid w:val="3A3E0A25"/>
    <w:rsid w:val="3A4B49B1"/>
    <w:rsid w:val="3A500759"/>
    <w:rsid w:val="3A50111B"/>
    <w:rsid w:val="3A5A5133"/>
    <w:rsid w:val="3A5B15D7"/>
    <w:rsid w:val="3A5C18CA"/>
    <w:rsid w:val="3A612966"/>
    <w:rsid w:val="3A6430DE"/>
    <w:rsid w:val="3A65584C"/>
    <w:rsid w:val="3A655FB2"/>
    <w:rsid w:val="3A660B22"/>
    <w:rsid w:val="3A6A7A6C"/>
    <w:rsid w:val="3A78089B"/>
    <w:rsid w:val="3A7B3A28"/>
    <w:rsid w:val="3A7D12BA"/>
    <w:rsid w:val="3A7E7074"/>
    <w:rsid w:val="3A850402"/>
    <w:rsid w:val="3A8F1281"/>
    <w:rsid w:val="3A9C3531"/>
    <w:rsid w:val="3A9E14C4"/>
    <w:rsid w:val="3AA638F3"/>
    <w:rsid w:val="3AA7481D"/>
    <w:rsid w:val="3AAA60BB"/>
    <w:rsid w:val="3AAC1E33"/>
    <w:rsid w:val="3AAF722D"/>
    <w:rsid w:val="3AB201C8"/>
    <w:rsid w:val="3AB64A60"/>
    <w:rsid w:val="3ABB13C6"/>
    <w:rsid w:val="3AD62A0C"/>
    <w:rsid w:val="3AD957D4"/>
    <w:rsid w:val="3ADB2718"/>
    <w:rsid w:val="3AE0388B"/>
    <w:rsid w:val="3AE570F3"/>
    <w:rsid w:val="3AE96BE3"/>
    <w:rsid w:val="3AEF1D20"/>
    <w:rsid w:val="3AF64C51"/>
    <w:rsid w:val="3AF64E5C"/>
    <w:rsid w:val="3B027CA5"/>
    <w:rsid w:val="3B037579"/>
    <w:rsid w:val="3B057795"/>
    <w:rsid w:val="3B0B25F5"/>
    <w:rsid w:val="3B135A0E"/>
    <w:rsid w:val="3B147304"/>
    <w:rsid w:val="3B1479D8"/>
    <w:rsid w:val="3B245E6D"/>
    <w:rsid w:val="3B255741"/>
    <w:rsid w:val="3B27770B"/>
    <w:rsid w:val="3B2910FA"/>
    <w:rsid w:val="3B2A0DFA"/>
    <w:rsid w:val="3B3140E6"/>
    <w:rsid w:val="3B345984"/>
    <w:rsid w:val="3B3B6D13"/>
    <w:rsid w:val="3B420F75"/>
    <w:rsid w:val="3B4A3293"/>
    <w:rsid w:val="3B4A3E1F"/>
    <w:rsid w:val="3B5129DA"/>
    <w:rsid w:val="3B567FF1"/>
    <w:rsid w:val="3B5A188F"/>
    <w:rsid w:val="3B5F19D5"/>
    <w:rsid w:val="3B60677A"/>
    <w:rsid w:val="3B690F5B"/>
    <w:rsid w:val="3B697D2B"/>
    <w:rsid w:val="3B6E0E96"/>
    <w:rsid w:val="3B7514E4"/>
    <w:rsid w:val="3B7751BC"/>
    <w:rsid w:val="3B96663F"/>
    <w:rsid w:val="3B9D79CE"/>
    <w:rsid w:val="3B9F54F4"/>
    <w:rsid w:val="3BA501C5"/>
    <w:rsid w:val="3BA66882"/>
    <w:rsid w:val="3BB445FE"/>
    <w:rsid w:val="3BBA40DC"/>
    <w:rsid w:val="3BBF7944"/>
    <w:rsid w:val="3BC1190E"/>
    <w:rsid w:val="3BC136BC"/>
    <w:rsid w:val="3BC60CD2"/>
    <w:rsid w:val="3BC919D0"/>
    <w:rsid w:val="3BCC3E0F"/>
    <w:rsid w:val="3BD11425"/>
    <w:rsid w:val="3BDD601C"/>
    <w:rsid w:val="3BDF3B42"/>
    <w:rsid w:val="3BE61375"/>
    <w:rsid w:val="3BED2703"/>
    <w:rsid w:val="3BED44B1"/>
    <w:rsid w:val="3BEE2C67"/>
    <w:rsid w:val="3BEE58FD"/>
    <w:rsid w:val="3BF5780A"/>
    <w:rsid w:val="3BF61B61"/>
    <w:rsid w:val="3BF86CA6"/>
    <w:rsid w:val="3BFA6BCE"/>
    <w:rsid w:val="3C033CD5"/>
    <w:rsid w:val="3C047A4D"/>
    <w:rsid w:val="3C0C7B5B"/>
    <w:rsid w:val="3C0E2679"/>
    <w:rsid w:val="3C131A3E"/>
    <w:rsid w:val="3C277297"/>
    <w:rsid w:val="3C2D66ED"/>
    <w:rsid w:val="3C2D6FA3"/>
    <w:rsid w:val="3C300842"/>
    <w:rsid w:val="3C371D2D"/>
    <w:rsid w:val="3C37468D"/>
    <w:rsid w:val="3C3C3388"/>
    <w:rsid w:val="3C432323"/>
    <w:rsid w:val="3C463BC1"/>
    <w:rsid w:val="3C501823"/>
    <w:rsid w:val="3C551BA8"/>
    <w:rsid w:val="3C5938F5"/>
    <w:rsid w:val="3C5A5481"/>
    <w:rsid w:val="3C5C0A19"/>
    <w:rsid w:val="3C5E0F0B"/>
    <w:rsid w:val="3C5F2ED5"/>
    <w:rsid w:val="3C65673D"/>
    <w:rsid w:val="3C74072E"/>
    <w:rsid w:val="3C776471"/>
    <w:rsid w:val="3C7C3A87"/>
    <w:rsid w:val="3C7E77FF"/>
    <w:rsid w:val="3C8D359E"/>
    <w:rsid w:val="3C8D46AF"/>
    <w:rsid w:val="3C9C7C85"/>
    <w:rsid w:val="3CA733D2"/>
    <w:rsid w:val="3CB21D24"/>
    <w:rsid w:val="3CB274A9"/>
    <w:rsid w:val="3CC65718"/>
    <w:rsid w:val="3CC66AB0"/>
    <w:rsid w:val="3CC66D60"/>
    <w:rsid w:val="3CCA2A44"/>
    <w:rsid w:val="3CD7491E"/>
    <w:rsid w:val="3CDB69FF"/>
    <w:rsid w:val="3CE05DC4"/>
    <w:rsid w:val="3CE6506B"/>
    <w:rsid w:val="3CED6733"/>
    <w:rsid w:val="3CEE5F6C"/>
    <w:rsid w:val="3CEF24AB"/>
    <w:rsid w:val="3CF8135F"/>
    <w:rsid w:val="3CFF6A97"/>
    <w:rsid w:val="3D021EBB"/>
    <w:rsid w:val="3D0C0685"/>
    <w:rsid w:val="3D0F07D2"/>
    <w:rsid w:val="3D0F66A9"/>
    <w:rsid w:val="3D1A57DD"/>
    <w:rsid w:val="3D2F0C00"/>
    <w:rsid w:val="3D332398"/>
    <w:rsid w:val="3D3F3EDD"/>
    <w:rsid w:val="3D430101"/>
    <w:rsid w:val="3D436353"/>
    <w:rsid w:val="3D485717"/>
    <w:rsid w:val="3D4C16AB"/>
    <w:rsid w:val="3D4F2F4A"/>
    <w:rsid w:val="3D5440BC"/>
    <w:rsid w:val="3D581DFE"/>
    <w:rsid w:val="3D5A3BB9"/>
    <w:rsid w:val="3D6562C9"/>
    <w:rsid w:val="3D69400B"/>
    <w:rsid w:val="3D6F7148"/>
    <w:rsid w:val="3D70539A"/>
    <w:rsid w:val="3D78424E"/>
    <w:rsid w:val="3D7A7FC6"/>
    <w:rsid w:val="3D7B5AED"/>
    <w:rsid w:val="3D800436"/>
    <w:rsid w:val="3D804EB1"/>
    <w:rsid w:val="3D820C29"/>
    <w:rsid w:val="3D826E7B"/>
    <w:rsid w:val="3D891FB8"/>
    <w:rsid w:val="3D931088"/>
    <w:rsid w:val="3D945F5C"/>
    <w:rsid w:val="3D9646D4"/>
    <w:rsid w:val="3D974EDB"/>
    <w:rsid w:val="3D9D4376"/>
    <w:rsid w:val="3DA133E7"/>
    <w:rsid w:val="3DA45043"/>
    <w:rsid w:val="3DBA4867"/>
    <w:rsid w:val="3DBD39A1"/>
    <w:rsid w:val="3DC079A3"/>
    <w:rsid w:val="3DC2371B"/>
    <w:rsid w:val="3DCA7658"/>
    <w:rsid w:val="3DCC459A"/>
    <w:rsid w:val="3DCC6348"/>
    <w:rsid w:val="3DCD68B3"/>
    <w:rsid w:val="3DCF4FDB"/>
    <w:rsid w:val="3DD1570D"/>
    <w:rsid w:val="3DD72E24"/>
    <w:rsid w:val="3DD86A9B"/>
    <w:rsid w:val="3DDF7506"/>
    <w:rsid w:val="3DDF7E2A"/>
    <w:rsid w:val="3DE2791A"/>
    <w:rsid w:val="3DE62522"/>
    <w:rsid w:val="3DEE62BF"/>
    <w:rsid w:val="3DFE02B7"/>
    <w:rsid w:val="3DFE649C"/>
    <w:rsid w:val="3E012496"/>
    <w:rsid w:val="3E0F1D6F"/>
    <w:rsid w:val="3E0F597E"/>
    <w:rsid w:val="3E1675C3"/>
    <w:rsid w:val="3E2148E6"/>
    <w:rsid w:val="3E247F32"/>
    <w:rsid w:val="3E265A58"/>
    <w:rsid w:val="3E280068"/>
    <w:rsid w:val="3E2F347E"/>
    <w:rsid w:val="3E32264F"/>
    <w:rsid w:val="3E330175"/>
    <w:rsid w:val="3E38158B"/>
    <w:rsid w:val="3E3839DE"/>
    <w:rsid w:val="3E3A59A8"/>
    <w:rsid w:val="3E3D5935"/>
    <w:rsid w:val="3E4D41C5"/>
    <w:rsid w:val="3E691DE9"/>
    <w:rsid w:val="3E693B97"/>
    <w:rsid w:val="3E6F6C06"/>
    <w:rsid w:val="3E7039E5"/>
    <w:rsid w:val="3E774506"/>
    <w:rsid w:val="3E7C38CA"/>
    <w:rsid w:val="3E7E2ED5"/>
    <w:rsid w:val="3E7F6F44"/>
    <w:rsid w:val="3E817133"/>
    <w:rsid w:val="3E921340"/>
    <w:rsid w:val="3E9C5B43"/>
    <w:rsid w:val="3EA03A5D"/>
    <w:rsid w:val="3EA11583"/>
    <w:rsid w:val="3EA370A9"/>
    <w:rsid w:val="3EA572C5"/>
    <w:rsid w:val="3EAA5ED4"/>
    <w:rsid w:val="3EAB5656"/>
    <w:rsid w:val="3EAF3EDB"/>
    <w:rsid w:val="3EB91EB8"/>
    <w:rsid w:val="3EC07671"/>
    <w:rsid w:val="3EC314F9"/>
    <w:rsid w:val="3EC3599D"/>
    <w:rsid w:val="3EC3774B"/>
    <w:rsid w:val="3EC40321"/>
    <w:rsid w:val="3ED04BB5"/>
    <w:rsid w:val="3ED656D0"/>
    <w:rsid w:val="3ED951C1"/>
    <w:rsid w:val="3EDA7C6B"/>
    <w:rsid w:val="3EDC080D"/>
    <w:rsid w:val="3EE15E23"/>
    <w:rsid w:val="3EE80F60"/>
    <w:rsid w:val="3EEA4CD8"/>
    <w:rsid w:val="3EEA5BEC"/>
    <w:rsid w:val="3EEB2FF4"/>
    <w:rsid w:val="3EEC6CA2"/>
    <w:rsid w:val="3EF142B8"/>
    <w:rsid w:val="3EF26282"/>
    <w:rsid w:val="3F0264C5"/>
    <w:rsid w:val="3F087854"/>
    <w:rsid w:val="3F167906"/>
    <w:rsid w:val="3F1735F3"/>
    <w:rsid w:val="3F1D11D0"/>
    <w:rsid w:val="3F201A49"/>
    <w:rsid w:val="3F204B9E"/>
    <w:rsid w:val="3F3146B5"/>
    <w:rsid w:val="3F3254A4"/>
    <w:rsid w:val="3F3348D1"/>
    <w:rsid w:val="3F367F1D"/>
    <w:rsid w:val="3F373C95"/>
    <w:rsid w:val="3F375A43"/>
    <w:rsid w:val="3F381EE7"/>
    <w:rsid w:val="3F3E6DD2"/>
    <w:rsid w:val="3F402B4A"/>
    <w:rsid w:val="3F4B4473"/>
    <w:rsid w:val="3F4F3C54"/>
    <w:rsid w:val="3F544847"/>
    <w:rsid w:val="3F577E93"/>
    <w:rsid w:val="3F5D7BA0"/>
    <w:rsid w:val="3F620D12"/>
    <w:rsid w:val="3F672034"/>
    <w:rsid w:val="3F696545"/>
    <w:rsid w:val="3F6A7BC7"/>
    <w:rsid w:val="3F6F78D3"/>
    <w:rsid w:val="3F744EE9"/>
    <w:rsid w:val="3F7A122D"/>
    <w:rsid w:val="3F7E3CE4"/>
    <w:rsid w:val="3F852C53"/>
    <w:rsid w:val="3F892743"/>
    <w:rsid w:val="3F9D74F5"/>
    <w:rsid w:val="3F9F2526"/>
    <w:rsid w:val="3FA0183A"/>
    <w:rsid w:val="3FA05CDE"/>
    <w:rsid w:val="3FA23805"/>
    <w:rsid w:val="3FA255B3"/>
    <w:rsid w:val="3FB13A48"/>
    <w:rsid w:val="3FB452E6"/>
    <w:rsid w:val="3FB6105E"/>
    <w:rsid w:val="3FBB616B"/>
    <w:rsid w:val="3FC03C8B"/>
    <w:rsid w:val="3FC31E3A"/>
    <w:rsid w:val="3FC512A1"/>
    <w:rsid w:val="3FC75019"/>
    <w:rsid w:val="3FC96FE3"/>
    <w:rsid w:val="3FCF3ECE"/>
    <w:rsid w:val="3FD55988"/>
    <w:rsid w:val="3FD61700"/>
    <w:rsid w:val="3FD77EAC"/>
    <w:rsid w:val="3FD95DE0"/>
    <w:rsid w:val="3FDD382F"/>
    <w:rsid w:val="3FE67B95"/>
    <w:rsid w:val="3FFA0F4B"/>
    <w:rsid w:val="3FFD0A3B"/>
    <w:rsid w:val="3FFF24EE"/>
    <w:rsid w:val="4001360A"/>
    <w:rsid w:val="4001677D"/>
    <w:rsid w:val="4004626D"/>
    <w:rsid w:val="400B1FA5"/>
    <w:rsid w:val="400B75FC"/>
    <w:rsid w:val="4013025E"/>
    <w:rsid w:val="401B50F1"/>
    <w:rsid w:val="40214D95"/>
    <w:rsid w:val="402204A1"/>
    <w:rsid w:val="402340A1"/>
    <w:rsid w:val="40316936"/>
    <w:rsid w:val="40354679"/>
    <w:rsid w:val="40416B7A"/>
    <w:rsid w:val="40455E36"/>
    <w:rsid w:val="40477F08"/>
    <w:rsid w:val="40490124"/>
    <w:rsid w:val="405239CC"/>
    <w:rsid w:val="4058042A"/>
    <w:rsid w:val="40644F5E"/>
    <w:rsid w:val="40672971"/>
    <w:rsid w:val="40686651"/>
    <w:rsid w:val="406960D0"/>
    <w:rsid w:val="406A5788"/>
    <w:rsid w:val="406B3BF6"/>
    <w:rsid w:val="40707624"/>
    <w:rsid w:val="40714F85"/>
    <w:rsid w:val="40796DE3"/>
    <w:rsid w:val="408128F7"/>
    <w:rsid w:val="40827192"/>
    <w:rsid w:val="40844CB8"/>
    <w:rsid w:val="40907B01"/>
    <w:rsid w:val="40925627"/>
    <w:rsid w:val="409F7D44"/>
    <w:rsid w:val="40A23390"/>
    <w:rsid w:val="40A92971"/>
    <w:rsid w:val="40AB493B"/>
    <w:rsid w:val="40C04C4A"/>
    <w:rsid w:val="40C17CBA"/>
    <w:rsid w:val="40C33A32"/>
    <w:rsid w:val="40D0614F"/>
    <w:rsid w:val="40D20119"/>
    <w:rsid w:val="40D23C76"/>
    <w:rsid w:val="40D7128C"/>
    <w:rsid w:val="40D907B3"/>
    <w:rsid w:val="40D95004"/>
    <w:rsid w:val="40DC2D46"/>
    <w:rsid w:val="40E94EFA"/>
    <w:rsid w:val="40EC329C"/>
    <w:rsid w:val="40EF2A79"/>
    <w:rsid w:val="40FE4A6B"/>
    <w:rsid w:val="41067DC3"/>
    <w:rsid w:val="410A490A"/>
    <w:rsid w:val="411029F0"/>
    <w:rsid w:val="41111524"/>
    <w:rsid w:val="41210759"/>
    <w:rsid w:val="4122712F"/>
    <w:rsid w:val="412A5860"/>
    <w:rsid w:val="41314E40"/>
    <w:rsid w:val="41326E0A"/>
    <w:rsid w:val="41390199"/>
    <w:rsid w:val="413C37E5"/>
    <w:rsid w:val="41454198"/>
    <w:rsid w:val="41474664"/>
    <w:rsid w:val="414929AE"/>
    <w:rsid w:val="414C7ECC"/>
    <w:rsid w:val="414F176A"/>
    <w:rsid w:val="414F52C6"/>
    <w:rsid w:val="41524DB6"/>
    <w:rsid w:val="415917A6"/>
    <w:rsid w:val="41601281"/>
    <w:rsid w:val="4168282C"/>
    <w:rsid w:val="416C231C"/>
    <w:rsid w:val="416F7716"/>
    <w:rsid w:val="41735459"/>
    <w:rsid w:val="41780CC1"/>
    <w:rsid w:val="41790595"/>
    <w:rsid w:val="41801923"/>
    <w:rsid w:val="4182569C"/>
    <w:rsid w:val="41870F04"/>
    <w:rsid w:val="41881076"/>
    <w:rsid w:val="418823F5"/>
    <w:rsid w:val="418C2F58"/>
    <w:rsid w:val="418C651A"/>
    <w:rsid w:val="419158DF"/>
    <w:rsid w:val="41923405"/>
    <w:rsid w:val="419D0727"/>
    <w:rsid w:val="41A33AD6"/>
    <w:rsid w:val="41A3710D"/>
    <w:rsid w:val="41BB6E00"/>
    <w:rsid w:val="41BE41FA"/>
    <w:rsid w:val="41C04416"/>
    <w:rsid w:val="41C77552"/>
    <w:rsid w:val="41CF69EC"/>
    <w:rsid w:val="41D00D65"/>
    <w:rsid w:val="41D144B4"/>
    <w:rsid w:val="41D33FF9"/>
    <w:rsid w:val="41D95EFE"/>
    <w:rsid w:val="41DB1250"/>
    <w:rsid w:val="41DF489C"/>
    <w:rsid w:val="41E41EB2"/>
    <w:rsid w:val="41EE0F83"/>
    <w:rsid w:val="41F36599"/>
    <w:rsid w:val="41F7648B"/>
    <w:rsid w:val="42012F0A"/>
    <w:rsid w:val="42045ACA"/>
    <w:rsid w:val="42075BA1"/>
    <w:rsid w:val="42100EF9"/>
    <w:rsid w:val="42220C2D"/>
    <w:rsid w:val="4227585F"/>
    <w:rsid w:val="42290561"/>
    <w:rsid w:val="42295B17"/>
    <w:rsid w:val="422E137F"/>
    <w:rsid w:val="42312C1E"/>
    <w:rsid w:val="42360234"/>
    <w:rsid w:val="423C54A6"/>
    <w:rsid w:val="423F533B"/>
    <w:rsid w:val="42495CDF"/>
    <w:rsid w:val="424B1F31"/>
    <w:rsid w:val="424D3EFC"/>
    <w:rsid w:val="425012F6"/>
    <w:rsid w:val="425228BE"/>
    <w:rsid w:val="425608D6"/>
    <w:rsid w:val="425828A0"/>
    <w:rsid w:val="42584396"/>
    <w:rsid w:val="42611755"/>
    <w:rsid w:val="42707BEA"/>
    <w:rsid w:val="4283797F"/>
    <w:rsid w:val="4284397F"/>
    <w:rsid w:val="42884608"/>
    <w:rsid w:val="428B0580"/>
    <w:rsid w:val="4290798E"/>
    <w:rsid w:val="42924B84"/>
    <w:rsid w:val="42927B60"/>
    <w:rsid w:val="42937435"/>
    <w:rsid w:val="42B71375"/>
    <w:rsid w:val="42B850ED"/>
    <w:rsid w:val="42BC698B"/>
    <w:rsid w:val="42BF647C"/>
    <w:rsid w:val="42C106D5"/>
    <w:rsid w:val="42C17E7C"/>
    <w:rsid w:val="42C35BF5"/>
    <w:rsid w:val="42C45840"/>
    <w:rsid w:val="42C615B8"/>
    <w:rsid w:val="42D27F5D"/>
    <w:rsid w:val="42D55C9F"/>
    <w:rsid w:val="42D812EB"/>
    <w:rsid w:val="42DF23F3"/>
    <w:rsid w:val="42E3660E"/>
    <w:rsid w:val="42E925DE"/>
    <w:rsid w:val="42EB101F"/>
    <w:rsid w:val="42F02AD9"/>
    <w:rsid w:val="42F27EB0"/>
    <w:rsid w:val="42F9198D"/>
    <w:rsid w:val="42FF4C8F"/>
    <w:rsid w:val="43056584"/>
    <w:rsid w:val="430F2F5F"/>
    <w:rsid w:val="43100A85"/>
    <w:rsid w:val="4313015A"/>
    <w:rsid w:val="43156CB5"/>
    <w:rsid w:val="43192030"/>
    <w:rsid w:val="43197030"/>
    <w:rsid w:val="43217136"/>
    <w:rsid w:val="43284021"/>
    <w:rsid w:val="43293D5B"/>
    <w:rsid w:val="43302ED5"/>
    <w:rsid w:val="4332389E"/>
    <w:rsid w:val="43326C4D"/>
    <w:rsid w:val="43370708"/>
    <w:rsid w:val="433D6DC4"/>
    <w:rsid w:val="43413334"/>
    <w:rsid w:val="43442BD9"/>
    <w:rsid w:val="434D3A87"/>
    <w:rsid w:val="43566DE0"/>
    <w:rsid w:val="435751CF"/>
    <w:rsid w:val="435766B4"/>
    <w:rsid w:val="435C1F1C"/>
    <w:rsid w:val="435C3CCA"/>
    <w:rsid w:val="435E5C94"/>
    <w:rsid w:val="43607C5E"/>
    <w:rsid w:val="43670FED"/>
    <w:rsid w:val="436C3880"/>
    <w:rsid w:val="437F45F4"/>
    <w:rsid w:val="438356FB"/>
    <w:rsid w:val="438576C5"/>
    <w:rsid w:val="439822B0"/>
    <w:rsid w:val="43AD4526"/>
    <w:rsid w:val="43BE504E"/>
    <w:rsid w:val="43BF7806"/>
    <w:rsid w:val="43CB59ED"/>
    <w:rsid w:val="43CC2BFE"/>
    <w:rsid w:val="43CC38E4"/>
    <w:rsid w:val="43D00D02"/>
    <w:rsid w:val="43D749C3"/>
    <w:rsid w:val="43D9356D"/>
    <w:rsid w:val="43DB5537"/>
    <w:rsid w:val="43E066A9"/>
    <w:rsid w:val="43F3462F"/>
    <w:rsid w:val="43F6212D"/>
    <w:rsid w:val="43F6327B"/>
    <w:rsid w:val="43F959BD"/>
    <w:rsid w:val="43FB7987"/>
    <w:rsid w:val="44044A8E"/>
    <w:rsid w:val="440700DA"/>
    <w:rsid w:val="440C56F0"/>
    <w:rsid w:val="440D6621"/>
    <w:rsid w:val="440E68EE"/>
    <w:rsid w:val="44120728"/>
    <w:rsid w:val="441A5A24"/>
    <w:rsid w:val="441E71D2"/>
    <w:rsid w:val="442567B2"/>
    <w:rsid w:val="443033A4"/>
    <w:rsid w:val="44330ECF"/>
    <w:rsid w:val="44352E99"/>
    <w:rsid w:val="44384737"/>
    <w:rsid w:val="444C1F91"/>
    <w:rsid w:val="444E5D09"/>
    <w:rsid w:val="44507864"/>
    <w:rsid w:val="44511355"/>
    <w:rsid w:val="445A645C"/>
    <w:rsid w:val="445B0426"/>
    <w:rsid w:val="445F73DC"/>
    <w:rsid w:val="446472DA"/>
    <w:rsid w:val="447128A2"/>
    <w:rsid w:val="44764A00"/>
    <w:rsid w:val="44782D86"/>
    <w:rsid w:val="447A4D50"/>
    <w:rsid w:val="447C7629"/>
    <w:rsid w:val="447F2366"/>
    <w:rsid w:val="448C0A5E"/>
    <w:rsid w:val="448E07FB"/>
    <w:rsid w:val="448F147A"/>
    <w:rsid w:val="449000D0"/>
    <w:rsid w:val="449556E6"/>
    <w:rsid w:val="44986F84"/>
    <w:rsid w:val="449E4BE9"/>
    <w:rsid w:val="449F1381"/>
    <w:rsid w:val="44A122DD"/>
    <w:rsid w:val="44A26055"/>
    <w:rsid w:val="44A703AC"/>
    <w:rsid w:val="44A75419"/>
    <w:rsid w:val="44A91191"/>
    <w:rsid w:val="44B00772"/>
    <w:rsid w:val="44B62D91"/>
    <w:rsid w:val="44BA514C"/>
    <w:rsid w:val="44BC2C73"/>
    <w:rsid w:val="44BC3197"/>
    <w:rsid w:val="44BE2E8F"/>
    <w:rsid w:val="44C438AE"/>
    <w:rsid w:val="44C85ABB"/>
    <w:rsid w:val="44CB735A"/>
    <w:rsid w:val="44CD30D2"/>
    <w:rsid w:val="44CD4CD0"/>
    <w:rsid w:val="44CD726E"/>
    <w:rsid w:val="44CE29A6"/>
    <w:rsid w:val="44D3620E"/>
    <w:rsid w:val="44D51F86"/>
    <w:rsid w:val="44E41A8A"/>
    <w:rsid w:val="44E56A3F"/>
    <w:rsid w:val="44E95A32"/>
    <w:rsid w:val="44EB17AA"/>
    <w:rsid w:val="44ED72CC"/>
    <w:rsid w:val="44F20D8A"/>
    <w:rsid w:val="45060392"/>
    <w:rsid w:val="450B0799"/>
    <w:rsid w:val="45107462"/>
    <w:rsid w:val="4513485D"/>
    <w:rsid w:val="451A29F5"/>
    <w:rsid w:val="451B32E0"/>
    <w:rsid w:val="451E392D"/>
    <w:rsid w:val="45244351"/>
    <w:rsid w:val="452847AC"/>
    <w:rsid w:val="452B7DF8"/>
    <w:rsid w:val="453018B3"/>
    <w:rsid w:val="4530540F"/>
    <w:rsid w:val="453818F2"/>
    <w:rsid w:val="453C4912"/>
    <w:rsid w:val="454113CA"/>
    <w:rsid w:val="454224FD"/>
    <w:rsid w:val="454315E6"/>
    <w:rsid w:val="45482758"/>
    <w:rsid w:val="454F7F8B"/>
    <w:rsid w:val="45592BB7"/>
    <w:rsid w:val="455B6DB0"/>
    <w:rsid w:val="455C6204"/>
    <w:rsid w:val="45616DE1"/>
    <w:rsid w:val="45653101"/>
    <w:rsid w:val="45725A27"/>
    <w:rsid w:val="4574354D"/>
    <w:rsid w:val="457C0654"/>
    <w:rsid w:val="457C2804"/>
    <w:rsid w:val="45800144"/>
    <w:rsid w:val="45877724"/>
    <w:rsid w:val="458F482B"/>
    <w:rsid w:val="45946363"/>
    <w:rsid w:val="459A4AD1"/>
    <w:rsid w:val="459E05CA"/>
    <w:rsid w:val="45A02594"/>
    <w:rsid w:val="45A57BAB"/>
    <w:rsid w:val="45A90D10"/>
    <w:rsid w:val="45B75347"/>
    <w:rsid w:val="45B85B30"/>
    <w:rsid w:val="45C83899"/>
    <w:rsid w:val="45CD072E"/>
    <w:rsid w:val="45D24718"/>
    <w:rsid w:val="45D70ED3"/>
    <w:rsid w:val="45E11743"/>
    <w:rsid w:val="45E52F84"/>
    <w:rsid w:val="45E87A97"/>
    <w:rsid w:val="45ED3300"/>
    <w:rsid w:val="45F36B68"/>
    <w:rsid w:val="45F428E0"/>
    <w:rsid w:val="45F45AED"/>
    <w:rsid w:val="45F91CA4"/>
    <w:rsid w:val="45FC6D34"/>
    <w:rsid w:val="45FE7882"/>
    <w:rsid w:val="460105EC"/>
    <w:rsid w:val="46050649"/>
    <w:rsid w:val="460C19D8"/>
    <w:rsid w:val="46130FB8"/>
    <w:rsid w:val="4618037D"/>
    <w:rsid w:val="461D1E37"/>
    <w:rsid w:val="461D3BE5"/>
    <w:rsid w:val="462705C0"/>
    <w:rsid w:val="46342CDD"/>
    <w:rsid w:val="46440E3E"/>
    <w:rsid w:val="464463B7"/>
    <w:rsid w:val="46455BE3"/>
    <w:rsid w:val="46492C2C"/>
    <w:rsid w:val="464F7B16"/>
    <w:rsid w:val="465B2159"/>
    <w:rsid w:val="46601D24"/>
    <w:rsid w:val="466E2692"/>
    <w:rsid w:val="46704064"/>
    <w:rsid w:val="4670640B"/>
    <w:rsid w:val="467316CE"/>
    <w:rsid w:val="467D6D60"/>
    <w:rsid w:val="468936D7"/>
    <w:rsid w:val="468B05FB"/>
    <w:rsid w:val="46963997"/>
    <w:rsid w:val="46966893"/>
    <w:rsid w:val="46981D25"/>
    <w:rsid w:val="46A95479"/>
    <w:rsid w:val="46AA2F9F"/>
    <w:rsid w:val="46B27790"/>
    <w:rsid w:val="46BA7686"/>
    <w:rsid w:val="46C10A14"/>
    <w:rsid w:val="46CB53EF"/>
    <w:rsid w:val="46D06EA9"/>
    <w:rsid w:val="46D50E83"/>
    <w:rsid w:val="46DF533E"/>
    <w:rsid w:val="46E12E64"/>
    <w:rsid w:val="46E42955"/>
    <w:rsid w:val="46E42EB1"/>
    <w:rsid w:val="46E85588"/>
    <w:rsid w:val="46F26E20"/>
    <w:rsid w:val="46FE66EC"/>
    <w:rsid w:val="47084B21"/>
    <w:rsid w:val="470E1780"/>
    <w:rsid w:val="471713C5"/>
    <w:rsid w:val="471C5C4A"/>
    <w:rsid w:val="471D19C3"/>
    <w:rsid w:val="471E5E67"/>
    <w:rsid w:val="4723522B"/>
    <w:rsid w:val="472D42FC"/>
    <w:rsid w:val="473016F6"/>
    <w:rsid w:val="47356D0C"/>
    <w:rsid w:val="47376F28"/>
    <w:rsid w:val="47381122"/>
    <w:rsid w:val="47391BF8"/>
    <w:rsid w:val="47397B2D"/>
    <w:rsid w:val="473A11DF"/>
    <w:rsid w:val="473E2065"/>
    <w:rsid w:val="47401A0B"/>
    <w:rsid w:val="47411B55"/>
    <w:rsid w:val="474B280E"/>
    <w:rsid w:val="474D04FA"/>
    <w:rsid w:val="47530125"/>
    <w:rsid w:val="475573AE"/>
    <w:rsid w:val="47581425"/>
    <w:rsid w:val="47636894"/>
    <w:rsid w:val="476615BC"/>
    <w:rsid w:val="4769382D"/>
    <w:rsid w:val="476A10AC"/>
    <w:rsid w:val="477F442B"/>
    <w:rsid w:val="478244B2"/>
    <w:rsid w:val="47857C94"/>
    <w:rsid w:val="478E6A4B"/>
    <w:rsid w:val="479C322F"/>
    <w:rsid w:val="479C33AA"/>
    <w:rsid w:val="47A11724"/>
    <w:rsid w:val="47A619B8"/>
    <w:rsid w:val="47B642F1"/>
    <w:rsid w:val="47C50677"/>
    <w:rsid w:val="47C702AC"/>
    <w:rsid w:val="47CD33E9"/>
    <w:rsid w:val="47CF3897"/>
    <w:rsid w:val="47D26C51"/>
    <w:rsid w:val="47D442E4"/>
    <w:rsid w:val="47D66741"/>
    <w:rsid w:val="47D83CEB"/>
    <w:rsid w:val="47DC7063"/>
    <w:rsid w:val="47DD7AD0"/>
    <w:rsid w:val="47E744AA"/>
    <w:rsid w:val="47E96F16"/>
    <w:rsid w:val="47EC1AC1"/>
    <w:rsid w:val="47F24BFD"/>
    <w:rsid w:val="47F85616"/>
    <w:rsid w:val="47F941DE"/>
    <w:rsid w:val="47FC5A7C"/>
    <w:rsid w:val="480411E7"/>
    <w:rsid w:val="480F4442"/>
    <w:rsid w:val="481334F1"/>
    <w:rsid w:val="481E3C44"/>
    <w:rsid w:val="48311BC9"/>
    <w:rsid w:val="48376AB4"/>
    <w:rsid w:val="484551F8"/>
    <w:rsid w:val="484672C1"/>
    <w:rsid w:val="484D62D8"/>
    <w:rsid w:val="48580F04"/>
    <w:rsid w:val="485B27A2"/>
    <w:rsid w:val="485F106F"/>
    <w:rsid w:val="48604660"/>
    <w:rsid w:val="48621D83"/>
    <w:rsid w:val="48623B31"/>
    <w:rsid w:val="48671147"/>
    <w:rsid w:val="486D24D6"/>
    <w:rsid w:val="486E697A"/>
    <w:rsid w:val="487675DC"/>
    <w:rsid w:val="487B4BF3"/>
    <w:rsid w:val="487C1D53"/>
    <w:rsid w:val="487E46E3"/>
    <w:rsid w:val="4885201D"/>
    <w:rsid w:val="48873598"/>
    <w:rsid w:val="48897310"/>
    <w:rsid w:val="488A12DA"/>
    <w:rsid w:val="488E0DCA"/>
    <w:rsid w:val="488F069E"/>
    <w:rsid w:val="48914416"/>
    <w:rsid w:val="48981A66"/>
    <w:rsid w:val="489857A5"/>
    <w:rsid w:val="489932CB"/>
    <w:rsid w:val="489F4B13"/>
    <w:rsid w:val="48A56114"/>
    <w:rsid w:val="48A70474"/>
    <w:rsid w:val="48A95C04"/>
    <w:rsid w:val="48B545A9"/>
    <w:rsid w:val="48C06AA9"/>
    <w:rsid w:val="48C22822"/>
    <w:rsid w:val="48C61310"/>
    <w:rsid w:val="48C7608A"/>
    <w:rsid w:val="48C91E02"/>
    <w:rsid w:val="48CB3DCC"/>
    <w:rsid w:val="48CC18F2"/>
    <w:rsid w:val="48CC544E"/>
    <w:rsid w:val="48D34A2F"/>
    <w:rsid w:val="48D72771"/>
    <w:rsid w:val="48DF5182"/>
    <w:rsid w:val="48E42798"/>
    <w:rsid w:val="48E72288"/>
    <w:rsid w:val="48F826E7"/>
    <w:rsid w:val="48FC3F85"/>
    <w:rsid w:val="491B2179"/>
    <w:rsid w:val="491F1A22"/>
    <w:rsid w:val="4924528A"/>
    <w:rsid w:val="492B03C7"/>
    <w:rsid w:val="49314C62"/>
    <w:rsid w:val="493279A7"/>
    <w:rsid w:val="49494CF1"/>
    <w:rsid w:val="494D2A33"/>
    <w:rsid w:val="494D47E1"/>
    <w:rsid w:val="494F582F"/>
    <w:rsid w:val="494F5C61"/>
    <w:rsid w:val="49552D71"/>
    <w:rsid w:val="495B686C"/>
    <w:rsid w:val="495E5892"/>
    <w:rsid w:val="495F2766"/>
    <w:rsid w:val="49667651"/>
    <w:rsid w:val="496836E0"/>
    <w:rsid w:val="496D4E83"/>
    <w:rsid w:val="49757894"/>
    <w:rsid w:val="497A4025"/>
    <w:rsid w:val="497E532A"/>
    <w:rsid w:val="49830203"/>
    <w:rsid w:val="49875150"/>
    <w:rsid w:val="49890455"/>
    <w:rsid w:val="498E0956"/>
    <w:rsid w:val="49926698"/>
    <w:rsid w:val="499A379E"/>
    <w:rsid w:val="499F48B0"/>
    <w:rsid w:val="49A308A5"/>
    <w:rsid w:val="49A3509A"/>
    <w:rsid w:val="49B00E63"/>
    <w:rsid w:val="49B605D8"/>
    <w:rsid w:val="49B8518A"/>
    <w:rsid w:val="49B875BA"/>
    <w:rsid w:val="49BC4A5E"/>
    <w:rsid w:val="49BC54C3"/>
    <w:rsid w:val="49BE1BEC"/>
    <w:rsid w:val="49CD147E"/>
    <w:rsid w:val="49D071C0"/>
    <w:rsid w:val="49DE6303"/>
    <w:rsid w:val="49E36DB3"/>
    <w:rsid w:val="49E669E4"/>
    <w:rsid w:val="49EB06D2"/>
    <w:rsid w:val="49F11610"/>
    <w:rsid w:val="49F17862"/>
    <w:rsid w:val="49F61BA3"/>
    <w:rsid w:val="4A004A46"/>
    <w:rsid w:val="4A0155CC"/>
    <w:rsid w:val="4A062BE2"/>
    <w:rsid w:val="4A280DAA"/>
    <w:rsid w:val="4A2A68D0"/>
    <w:rsid w:val="4A2C1BDE"/>
    <w:rsid w:val="4A2C2648"/>
    <w:rsid w:val="4A361711"/>
    <w:rsid w:val="4A365275"/>
    <w:rsid w:val="4A4442E1"/>
    <w:rsid w:val="4A4831FA"/>
    <w:rsid w:val="4A4D25BF"/>
    <w:rsid w:val="4A541B9F"/>
    <w:rsid w:val="4A5E0FBF"/>
    <w:rsid w:val="4A600544"/>
    <w:rsid w:val="4A62250E"/>
    <w:rsid w:val="4A6A0EE9"/>
    <w:rsid w:val="4A730277"/>
    <w:rsid w:val="4A757905"/>
    <w:rsid w:val="4A7D0628"/>
    <w:rsid w:val="4A82670C"/>
    <w:rsid w:val="4A834233"/>
    <w:rsid w:val="4A8450BC"/>
    <w:rsid w:val="4A873D23"/>
    <w:rsid w:val="4A8A736F"/>
    <w:rsid w:val="4A8D0434"/>
    <w:rsid w:val="4A9106FD"/>
    <w:rsid w:val="4A914BA1"/>
    <w:rsid w:val="4A96379A"/>
    <w:rsid w:val="4A9B5A20"/>
    <w:rsid w:val="4A9F3331"/>
    <w:rsid w:val="4AA541A9"/>
    <w:rsid w:val="4AA743C5"/>
    <w:rsid w:val="4AA77F21"/>
    <w:rsid w:val="4AA80674"/>
    <w:rsid w:val="4AA86C73"/>
    <w:rsid w:val="4AAA27C8"/>
    <w:rsid w:val="4AAE12AF"/>
    <w:rsid w:val="4AB12B4E"/>
    <w:rsid w:val="4AB32D6A"/>
    <w:rsid w:val="4ABB2098"/>
    <w:rsid w:val="4ACF77B7"/>
    <w:rsid w:val="4AE64EED"/>
    <w:rsid w:val="4AEC627C"/>
    <w:rsid w:val="4AFB201B"/>
    <w:rsid w:val="4B005883"/>
    <w:rsid w:val="4B09206F"/>
    <w:rsid w:val="4B234F75"/>
    <w:rsid w:val="4B26353C"/>
    <w:rsid w:val="4B28307C"/>
    <w:rsid w:val="4B3774F7"/>
    <w:rsid w:val="4B394FC8"/>
    <w:rsid w:val="4B495E11"/>
    <w:rsid w:val="4B5340A0"/>
    <w:rsid w:val="4B5722D5"/>
    <w:rsid w:val="4B5B32F8"/>
    <w:rsid w:val="4B5D6832"/>
    <w:rsid w:val="4B6202EC"/>
    <w:rsid w:val="4B6218CE"/>
    <w:rsid w:val="4B6B0446"/>
    <w:rsid w:val="4B6B0F4E"/>
    <w:rsid w:val="4B6E0A3F"/>
    <w:rsid w:val="4B742F47"/>
    <w:rsid w:val="4B7F49FA"/>
    <w:rsid w:val="4B83098E"/>
    <w:rsid w:val="4B8464B4"/>
    <w:rsid w:val="4B8733F9"/>
    <w:rsid w:val="4B887D52"/>
    <w:rsid w:val="4B8D180D"/>
    <w:rsid w:val="4B8D5369"/>
    <w:rsid w:val="4B985ABC"/>
    <w:rsid w:val="4B9E1324"/>
    <w:rsid w:val="4B9F3A97"/>
    <w:rsid w:val="4BA10E14"/>
    <w:rsid w:val="4BA206E8"/>
    <w:rsid w:val="4BA3693A"/>
    <w:rsid w:val="4BA6326A"/>
    <w:rsid w:val="4BAD5A0B"/>
    <w:rsid w:val="4BAD7FF0"/>
    <w:rsid w:val="4BB072A9"/>
    <w:rsid w:val="4BBC489A"/>
    <w:rsid w:val="4BBC78A8"/>
    <w:rsid w:val="4BBE5D6A"/>
    <w:rsid w:val="4BC0573E"/>
    <w:rsid w:val="4BC82845"/>
    <w:rsid w:val="4BCA0873"/>
    <w:rsid w:val="4BCE0934"/>
    <w:rsid w:val="4BD765E4"/>
    <w:rsid w:val="4BD905AE"/>
    <w:rsid w:val="4BD96800"/>
    <w:rsid w:val="4BDA4326"/>
    <w:rsid w:val="4BDB2578"/>
    <w:rsid w:val="4BE40D01"/>
    <w:rsid w:val="4BEF22EA"/>
    <w:rsid w:val="4BEF7DD1"/>
    <w:rsid w:val="4BF47196"/>
    <w:rsid w:val="4BFC429C"/>
    <w:rsid w:val="4C115F9A"/>
    <w:rsid w:val="4C12586E"/>
    <w:rsid w:val="4C15535E"/>
    <w:rsid w:val="4C177328"/>
    <w:rsid w:val="4C1A3686"/>
    <w:rsid w:val="4C1A43F2"/>
    <w:rsid w:val="4C1B2975"/>
    <w:rsid w:val="4C1F3D5F"/>
    <w:rsid w:val="4C20442F"/>
    <w:rsid w:val="4C2A705C"/>
    <w:rsid w:val="4C2F01CE"/>
    <w:rsid w:val="4C3A4F7D"/>
    <w:rsid w:val="4C426A60"/>
    <w:rsid w:val="4C43011D"/>
    <w:rsid w:val="4C500371"/>
    <w:rsid w:val="4C5C2F08"/>
    <w:rsid w:val="4C6836E0"/>
    <w:rsid w:val="4C6B4F7E"/>
    <w:rsid w:val="4C72630D"/>
    <w:rsid w:val="4C76404F"/>
    <w:rsid w:val="4C787DC7"/>
    <w:rsid w:val="4C7F0B8C"/>
    <w:rsid w:val="4C84760C"/>
    <w:rsid w:val="4C87000A"/>
    <w:rsid w:val="4C871DB8"/>
    <w:rsid w:val="4C8A18A8"/>
    <w:rsid w:val="4C8B2099"/>
    <w:rsid w:val="4C8F19B5"/>
    <w:rsid w:val="4C972C2F"/>
    <w:rsid w:val="4C9D15DC"/>
    <w:rsid w:val="4CA77E00"/>
    <w:rsid w:val="4CAA5AA7"/>
    <w:rsid w:val="4CB70BDB"/>
    <w:rsid w:val="4CB86415"/>
    <w:rsid w:val="4CBB7CB4"/>
    <w:rsid w:val="4CBD3A2C"/>
    <w:rsid w:val="4CBF59F6"/>
    <w:rsid w:val="4CC56D84"/>
    <w:rsid w:val="4CCC3C6F"/>
    <w:rsid w:val="4CCF375F"/>
    <w:rsid w:val="4CD11285"/>
    <w:rsid w:val="4CDC0C72"/>
    <w:rsid w:val="4CDC5CAC"/>
    <w:rsid w:val="4CDD5E7C"/>
    <w:rsid w:val="4CEC4311"/>
    <w:rsid w:val="4CEE66F6"/>
    <w:rsid w:val="4CF65190"/>
    <w:rsid w:val="4D027691"/>
    <w:rsid w:val="4D0C49B3"/>
    <w:rsid w:val="4D115B26"/>
    <w:rsid w:val="4D19053A"/>
    <w:rsid w:val="4D1F46E6"/>
    <w:rsid w:val="4D237C8F"/>
    <w:rsid w:val="4D2515D1"/>
    <w:rsid w:val="4D2C0BB1"/>
    <w:rsid w:val="4D2D098B"/>
    <w:rsid w:val="4D3637DE"/>
    <w:rsid w:val="4D3C7046"/>
    <w:rsid w:val="4D3D691B"/>
    <w:rsid w:val="4D40640B"/>
    <w:rsid w:val="4D4345E2"/>
    <w:rsid w:val="4D444572"/>
    <w:rsid w:val="4D4B1038"/>
    <w:rsid w:val="4D4C1808"/>
    <w:rsid w:val="4D4E28D6"/>
    <w:rsid w:val="4D4F1DCF"/>
    <w:rsid w:val="4D510618"/>
    <w:rsid w:val="4D5123C6"/>
    <w:rsid w:val="4D547655"/>
    <w:rsid w:val="4D5957E0"/>
    <w:rsid w:val="4D6420F9"/>
    <w:rsid w:val="4D655FF2"/>
    <w:rsid w:val="4D720CBA"/>
    <w:rsid w:val="4D73233C"/>
    <w:rsid w:val="4D7367E0"/>
    <w:rsid w:val="4D7560B4"/>
    <w:rsid w:val="4D822712"/>
    <w:rsid w:val="4D8B58D8"/>
    <w:rsid w:val="4D903E21"/>
    <w:rsid w:val="4D907392"/>
    <w:rsid w:val="4D9329DF"/>
    <w:rsid w:val="4D956757"/>
    <w:rsid w:val="4D970721"/>
    <w:rsid w:val="4D9935AD"/>
    <w:rsid w:val="4D9C1893"/>
    <w:rsid w:val="4DA370C6"/>
    <w:rsid w:val="4DA70238"/>
    <w:rsid w:val="4DA846B4"/>
    <w:rsid w:val="4DC06935"/>
    <w:rsid w:val="4DC4528E"/>
    <w:rsid w:val="4DCB3F26"/>
    <w:rsid w:val="4DCD5EF0"/>
    <w:rsid w:val="4DD23507"/>
    <w:rsid w:val="4DDA37B9"/>
    <w:rsid w:val="4DEA6AA2"/>
    <w:rsid w:val="4DEF40B9"/>
    <w:rsid w:val="4DF23BA9"/>
    <w:rsid w:val="4E035DB6"/>
    <w:rsid w:val="4E0631B0"/>
    <w:rsid w:val="4E08379C"/>
    <w:rsid w:val="4E0B4C6B"/>
    <w:rsid w:val="4E0B7EEB"/>
    <w:rsid w:val="4E0F66E3"/>
    <w:rsid w:val="4E1A58D1"/>
    <w:rsid w:val="4E231FB4"/>
    <w:rsid w:val="4E263853"/>
    <w:rsid w:val="4E2A3343"/>
    <w:rsid w:val="4E320449"/>
    <w:rsid w:val="4E3917D8"/>
    <w:rsid w:val="4E3A07F6"/>
    <w:rsid w:val="4E403A57"/>
    <w:rsid w:val="4E41243B"/>
    <w:rsid w:val="4E437F61"/>
    <w:rsid w:val="4E4D5283"/>
    <w:rsid w:val="4E4F6905"/>
    <w:rsid w:val="4E522680"/>
    <w:rsid w:val="4E52289A"/>
    <w:rsid w:val="4E54216E"/>
    <w:rsid w:val="4E573A0C"/>
    <w:rsid w:val="4E6178C7"/>
    <w:rsid w:val="4E63592D"/>
    <w:rsid w:val="4E683E6B"/>
    <w:rsid w:val="4E6A5BA3"/>
    <w:rsid w:val="4E7037AF"/>
    <w:rsid w:val="4E740BC9"/>
    <w:rsid w:val="4E74636C"/>
    <w:rsid w:val="4E7A27CF"/>
    <w:rsid w:val="4E7E49AE"/>
    <w:rsid w:val="4E807407"/>
    <w:rsid w:val="4E8567CB"/>
    <w:rsid w:val="4E8B3C32"/>
    <w:rsid w:val="4E8C5A4A"/>
    <w:rsid w:val="4E964115"/>
    <w:rsid w:val="4E9B5FEF"/>
    <w:rsid w:val="4EA90541"/>
    <w:rsid w:val="4EAA4484"/>
    <w:rsid w:val="4EB250E6"/>
    <w:rsid w:val="4EB26B6B"/>
    <w:rsid w:val="4EB35262"/>
    <w:rsid w:val="4EB90223"/>
    <w:rsid w:val="4EBA414E"/>
    <w:rsid w:val="4EBB043F"/>
    <w:rsid w:val="4EC64458"/>
    <w:rsid w:val="4EC85307"/>
    <w:rsid w:val="4EC866B8"/>
    <w:rsid w:val="4ECA68D4"/>
    <w:rsid w:val="4ECE3447"/>
    <w:rsid w:val="4ECF7A46"/>
    <w:rsid w:val="4ED340C3"/>
    <w:rsid w:val="4ED80FF1"/>
    <w:rsid w:val="4ED86247"/>
    <w:rsid w:val="4ED876D7"/>
    <w:rsid w:val="4EDD1F11"/>
    <w:rsid w:val="4EE2777A"/>
    <w:rsid w:val="4EE554BC"/>
    <w:rsid w:val="4EE74D90"/>
    <w:rsid w:val="4EEA0D24"/>
    <w:rsid w:val="4EEA10D5"/>
    <w:rsid w:val="4EEA1ADA"/>
    <w:rsid w:val="4EED611E"/>
    <w:rsid w:val="4EF456FF"/>
    <w:rsid w:val="4EF92D15"/>
    <w:rsid w:val="4EFB083B"/>
    <w:rsid w:val="4EFC5913"/>
    <w:rsid w:val="4EFC79A4"/>
    <w:rsid w:val="4F133DD7"/>
    <w:rsid w:val="4F135B85"/>
    <w:rsid w:val="4F28594F"/>
    <w:rsid w:val="4F337FD5"/>
    <w:rsid w:val="4F38383D"/>
    <w:rsid w:val="4F3A75B6"/>
    <w:rsid w:val="4F3B332E"/>
    <w:rsid w:val="4F3F1ACC"/>
    <w:rsid w:val="4F402411"/>
    <w:rsid w:val="4F42646A"/>
    <w:rsid w:val="4F470DFC"/>
    <w:rsid w:val="4F5A37B4"/>
    <w:rsid w:val="4F60497D"/>
    <w:rsid w:val="4F644633"/>
    <w:rsid w:val="4F79349D"/>
    <w:rsid w:val="4F7A5C04"/>
    <w:rsid w:val="4F7B372A"/>
    <w:rsid w:val="4F814BFC"/>
    <w:rsid w:val="4F854968"/>
    <w:rsid w:val="4F876801"/>
    <w:rsid w:val="4F894099"/>
    <w:rsid w:val="4F8B1BBF"/>
    <w:rsid w:val="4F8D45A2"/>
    <w:rsid w:val="4F8E5B53"/>
    <w:rsid w:val="4F8E7C69"/>
    <w:rsid w:val="4F9D7B44"/>
    <w:rsid w:val="4FA15887"/>
    <w:rsid w:val="4FAF2D55"/>
    <w:rsid w:val="4FB03596"/>
    <w:rsid w:val="4FBB1B33"/>
    <w:rsid w:val="4FC155E1"/>
    <w:rsid w:val="4FCC3F86"/>
    <w:rsid w:val="4FD01CC8"/>
    <w:rsid w:val="4FD60B72"/>
    <w:rsid w:val="4FDC241B"/>
    <w:rsid w:val="4FDC4179"/>
    <w:rsid w:val="4FDE5BC3"/>
    <w:rsid w:val="4FE614EB"/>
    <w:rsid w:val="4FE87012"/>
    <w:rsid w:val="4FE958A7"/>
    <w:rsid w:val="4FED4628"/>
    <w:rsid w:val="50025BF9"/>
    <w:rsid w:val="50087CE2"/>
    <w:rsid w:val="500C6CB4"/>
    <w:rsid w:val="500D6A78"/>
    <w:rsid w:val="500F0A42"/>
    <w:rsid w:val="500F6513"/>
    <w:rsid w:val="501716A5"/>
    <w:rsid w:val="5019541D"/>
    <w:rsid w:val="502344EE"/>
    <w:rsid w:val="5023629C"/>
    <w:rsid w:val="50265D8C"/>
    <w:rsid w:val="502B5150"/>
    <w:rsid w:val="50324731"/>
    <w:rsid w:val="503264DF"/>
    <w:rsid w:val="503404A9"/>
    <w:rsid w:val="503F0BFC"/>
    <w:rsid w:val="503F5FB8"/>
    <w:rsid w:val="5046242C"/>
    <w:rsid w:val="504F11FD"/>
    <w:rsid w:val="505226DD"/>
    <w:rsid w:val="505446A7"/>
    <w:rsid w:val="50555AB2"/>
    <w:rsid w:val="505731A0"/>
    <w:rsid w:val="50630D8E"/>
    <w:rsid w:val="506568B4"/>
    <w:rsid w:val="506B19F1"/>
    <w:rsid w:val="50722D7F"/>
    <w:rsid w:val="507B60D8"/>
    <w:rsid w:val="50830AE8"/>
    <w:rsid w:val="50874B44"/>
    <w:rsid w:val="5087507D"/>
    <w:rsid w:val="508D5E0B"/>
    <w:rsid w:val="50934DF9"/>
    <w:rsid w:val="50A05224"/>
    <w:rsid w:val="50A32F39"/>
    <w:rsid w:val="50B25872"/>
    <w:rsid w:val="50BB0AF2"/>
    <w:rsid w:val="50BC3FFA"/>
    <w:rsid w:val="50C17863"/>
    <w:rsid w:val="50C2771A"/>
    <w:rsid w:val="50C43E93"/>
    <w:rsid w:val="50C555A5"/>
    <w:rsid w:val="50CC06E1"/>
    <w:rsid w:val="50CC248F"/>
    <w:rsid w:val="50D17AA6"/>
    <w:rsid w:val="50D852D8"/>
    <w:rsid w:val="50DC0030"/>
    <w:rsid w:val="50E023DF"/>
    <w:rsid w:val="50E34643"/>
    <w:rsid w:val="50F10148"/>
    <w:rsid w:val="50FD6AED"/>
    <w:rsid w:val="51031C29"/>
    <w:rsid w:val="51051E45"/>
    <w:rsid w:val="51053BF3"/>
    <w:rsid w:val="5107796B"/>
    <w:rsid w:val="510F05CE"/>
    <w:rsid w:val="511029EB"/>
    <w:rsid w:val="51134562"/>
    <w:rsid w:val="511E6E18"/>
    <w:rsid w:val="5121235D"/>
    <w:rsid w:val="5124051D"/>
    <w:rsid w:val="51275918"/>
    <w:rsid w:val="512C2F2E"/>
    <w:rsid w:val="512C73D2"/>
    <w:rsid w:val="51361FFF"/>
    <w:rsid w:val="513B5867"/>
    <w:rsid w:val="513D338D"/>
    <w:rsid w:val="51422751"/>
    <w:rsid w:val="51477D68"/>
    <w:rsid w:val="5149784B"/>
    <w:rsid w:val="514C1822"/>
    <w:rsid w:val="51510BE7"/>
    <w:rsid w:val="5151508A"/>
    <w:rsid w:val="51556929"/>
    <w:rsid w:val="5158319B"/>
    <w:rsid w:val="515B7CB7"/>
    <w:rsid w:val="516528E4"/>
    <w:rsid w:val="516721B8"/>
    <w:rsid w:val="517170A5"/>
    <w:rsid w:val="5178031B"/>
    <w:rsid w:val="517D7C2E"/>
    <w:rsid w:val="51823496"/>
    <w:rsid w:val="51865E2A"/>
    <w:rsid w:val="518811F5"/>
    <w:rsid w:val="518C7E71"/>
    <w:rsid w:val="51937451"/>
    <w:rsid w:val="519D3E2C"/>
    <w:rsid w:val="51A20156"/>
    <w:rsid w:val="51A72EFC"/>
    <w:rsid w:val="51A96C75"/>
    <w:rsid w:val="51AC406F"/>
    <w:rsid w:val="51AE428B"/>
    <w:rsid w:val="51B3364F"/>
    <w:rsid w:val="51B353FD"/>
    <w:rsid w:val="51B7313F"/>
    <w:rsid w:val="51BA49DE"/>
    <w:rsid w:val="51BD44CE"/>
    <w:rsid w:val="51C07B1A"/>
    <w:rsid w:val="51C55073"/>
    <w:rsid w:val="51C90134"/>
    <w:rsid w:val="51D44F32"/>
    <w:rsid w:val="51D57A6A"/>
    <w:rsid w:val="51DC4954"/>
    <w:rsid w:val="51DF4444"/>
    <w:rsid w:val="51E2285C"/>
    <w:rsid w:val="51E43809"/>
    <w:rsid w:val="51E77166"/>
    <w:rsid w:val="51EA6C53"/>
    <w:rsid w:val="51F223CA"/>
    <w:rsid w:val="51F6353C"/>
    <w:rsid w:val="5202044A"/>
    <w:rsid w:val="52021EE1"/>
    <w:rsid w:val="52033F5F"/>
    <w:rsid w:val="52112DE3"/>
    <w:rsid w:val="52191529"/>
    <w:rsid w:val="521A547C"/>
    <w:rsid w:val="521C7446"/>
    <w:rsid w:val="521E0598"/>
    <w:rsid w:val="521F55F8"/>
    <w:rsid w:val="52263E21"/>
    <w:rsid w:val="523227C6"/>
    <w:rsid w:val="52412A09"/>
    <w:rsid w:val="52426781"/>
    <w:rsid w:val="5247445F"/>
    <w:rsid w:val="524A3FB4"/>
    <w:rsid w:val="524B2587"/>
    <w:rsid w:val="524D7600"/>
    <w:rsid w:val="525210BA"/>
    <w:rsid w:val="525B3289"/>
    <w:rsid w:val="525F10E1"/>
    <w:rsid w:val="526037D7"/>
    <w:rsid w:val="526F3036"/>
    <w:rsid w:val="52770B21"/>
    <w:rsid w:val="52796647"/>
    <w:rsid w:val="527F1783"/>
    <w:rsid w:val="528238AF"/>
    <w:rsid w:val="528A0854"/>
    <w:rsid w:val="528A2602"/>
    <w:rsid w:val="528B0128"/>
    <w:rsid w:val="528E48AC"/>
    <w:rsid w:val="528F7C18"/>
    <w:rsid w:val="52927709"/>
    <w:rsid w:val="52976ACD"/>
    <w:rsid w:val="52987AF8"/>
    <w:rsid w:val="529D39F8"/>
    <w:rsid w:val="529E7E5B"/>
    <w:rsid w:val="529F2249"/>
    <w:rsid w:val="52A116FA"/>
    <w:rsid w:val="52A21CB5"/>
    <w:rsid w:val="52A31916"/>
    <w:rsid w:val="52B07B8F"/>
    <w:rsid w:val="52B50487"/>
    <w:rsid w:val="52B551A5"/>
    <w:rsid w:val="52B753C1"/>
    <w:rsid w:val="52BB6C5F"/>
    <w:rsid w:val="52D41ACF"/>
    <w:rsid w:val="52D715BF"/>
    <w:rsid w:val="52D7336D"/>
    <w:rsid w:val="52D931F0"/>
    <w:rsid w:val="52E37F64"/>
    <w:rsid w:val="52EB0BC7"/>
    <w:rsid w:val="52ED0070"/>
    <w:rsid w:val="52ED2B91"/>
    <w:rsid w:val="52FD1026"/>
    <w:rsid w:val="52FE08FA"/>
    <w:rsid w:val="53021ACB"/>
    <w:rsid w:val="531A7D56"/>
    <w:rsid w:val="531C6FD2"/>
    <w:rsid w:val="53234805"/>
    <w:rsid w:val="532742F5"/>
    <w:rsid w:val="53313D67"/>
    <w:rsid w:val="53334A48"/>
    <w:rsid w:val="53373E0C"/>
    <w:rsid w:val="5338205E"/>
    <w:rsid w:val="533A4B08"/>
    <w:rsid w:val="533E33EC"/>
    <w:rsid w:val="53400F13"/>
    <w:rsid w:val="53456529"/>
    <w:rsid w:val="534D53DE"/>
    <w:rsid w:val="53530C46"/>
    <w:rsid w:val="535350EA"/>
    <w:rsid w:val="5358625C"/>
    <w:rsid w:val="535B5D4C"/>
    <w:rsid w:val="535D446B"/>
    <w:rsid w:val="53616834"/>
    <w:rsid w:val="53642E53"/>
    <w:rsid w:val="53664A92"/>
    <w:rsid w:val="536D1BD1"/>
    <w:rsid w:val="537A08C9"/>
    <w:rsid w:val="537D5CC3"/>
    <w:rsid w:val="538205AC"/>
    <w:rsid w:val="53831340"/>
    <w:rsid w:val="5386726D"/>
    <w:rsid w:val="538B4D5E"/>
    <w:rsid w:val="538E7ED0"/>
    <w:rsid w:val="538F3C48"/>
    <w:rsid w:val="53A21BCD"/>
    <w:rsid w:val="53AB6CD4"/>
    <w:rsid w:val="53AC0356"/>
    <w:rsid w:val="53AE0572"/>
    <w:rsid w:val="53B86CFB"/>
    <w:rsid w:val="53B91E38"/>
    <w:rsid w:val="53C11E92"/>
    <w:rsid w:val="53C25DCC"/>
    <w:rsid w:val="53C33417"/>
    <w:rsid w:val="53D0531B"/>
    <w:rsid w:val="53D245DC"/>
    <w:rsid w:val="53D26A73"/>
    <w:rsid w:val="53D53D51"/>
    <w:rsid w:val="53D855EF"/>
    <w:rsid w:val="53E02764"/>
    <w:rsid w:val="53E2646E"/>
    <w:rsid w:val="53E421E6"/>
    <w:rsid w:val="53E61ABA"/>
    <w:rsid w:val="53EC2E48"/>
    <w:rsid w:val="53ED70FA"/>
    <w:rsid w:val="53F71F19"/>
    <w:rsid w:val="53FC4C3E"/>
    <w:rsid w:val="53FD32A8"/>
    <w:rsid w:val="541505F1"/>
    <w:rsid w:val="541A1764"/>
    <w:rsid w:val="541C54DC"/>
    <w:rsid w:val="541F6D7A"/>
    <w:rsid w:val="54210D44"/>
    <w:rsid w:val="54280A35"/>
    <w:rsid w:val="542919A7"/>
    <w:rsid w:val="54372316"/>
    <w:rsid w:val="54387DE9"/>
    <w:rsid w:val="543C792C"/>
    <w:rsid w:val="543F3D7B"/>
    <w:rsid w:val="54422A68"/>
    <w:rsid w:val="54462559"/>
    <w:rsid w:val="544D7D8B"/>
    <w:rsid w:val="545A24A8"/>
    <w:rsid w:val="545A4256"/>
    <w:rsid w:val="54640C31"/>
    <w:rsid w:val="54680721"/>
    <w:rsid w:val="546832F7"/>
    <w:rsid w:val="546926EB"/>
    <w:rsid w:val="546B0211"/>
    <w:rsid w:val="546D5D37"/>
    <w:rsid w:val="5476081C"/>
    <w:rsid w:val="547674E4"/>
    <w:rsid w:val="547C5F18"/>
    <w:rsid w:val="548001A1"/>
    <w:rsid w:val="548F4706"/>
    <w:rsid w:val="549332C4"/>
    <w:rsid w:val="54A11584"/>
    <w:rsid w:val="54A31759"/>
    <w:rsid w:val="54A61249"/>
    <w:rsid w:val="54AA0D3A"/>
    <w:rsid w:val="54AD1C76"/>
    <w:rsid w:val="54AD4386"/>
    <w:rsid w:val="54B03E76"/>
    <w:rsid w:val="54B15EA4"/>
    <w:rsid w:val="54BA5701"/>
    <w:rsid w:val="54BE6593"/>
    <w:rsid w:val="54C16083"/>
    <w:rsid w:val="54EB4435"/>
    <w:rsid w:val="54EC1DE8"/>
    <w:rsid w:val="54F00716"/>
    <w:rsid w:val="54F24DEA"/>
    <w:rsid w:val="54FA1555"/>
    <w:rsid w:val="54FE4BE1"/>
    <w:rsid w:val="55020B76"/>
    <w:rsid w:val="5504397D"/>
    <w:rsid w:val="55067A64"/>
    <w:rsid w:val="550A5706"/>
    <w:rsid w:val="550C37A2"/>
    <w:rsid w:val="55164621"/>
    <w:rsid w:val="551C150B"/>
    <w:rsid w:val="551F0EE2"/>
    <w:rsid w:val="552A1E7A"/>
    <w:rsid w:val="552A3C28"/>
    <w:rsid w:val="552F7491"/>
    <w:rsid w:val="55364BBD"/>
    <w:rsid w:val="553960B9"/>
    <w:rsid w:val="55482300"/>
    <w:rsid w:val="554B1295"/>
    <w:rsid w:val="55517407"/>
    <w:rsid w:val="555B0286"/>
    <w:rsid w:val="555B73CE"/>
    <w:rsid w:val="555C37D1"/>
    <w:rsid w:val="555D2250"/>
    <w:rsid w:val="5560764A"/>
    <w:rsid w:val="556B3D92"/>
    <w:rsid w:val="556C4241"/>
    <w:rsid w:val="556F3D31"/>
    <w:rsid w:val="5576344A"/>
    <w:rsid w:val="55774994"/>
    <w:rsid w:val="55793CE3"/>
    <w:rsid w:val="557D644E"/>
    <w:rsid w:val="558269CB"/>
    <w:rsid w:val="55853555"/>
    <w:rsid w:val="5585631A"/>
    <w:rsid w:val="558A46C7"/>
    <w:rsid w:val="558B4BDA"/>
    <w:rsid w:val="558E065B"/>
    <w:rsid w:val="55935C72"/>
    <w:rsid w:val="55992B5C"/>
    <w:rsid w:val="559E5443"/>
    <w:rsid w:val="55A27C63"/>
    <w:rsid w:val="55AE2AAB"/>
    <w:rsid w:val="55AE4859"/>
    <w:rsid w:val="55B1525D"/>
    <w:rsid w:val="55B55BE8"/>
    <w:rsid w:val="55B94FAC"/>
    <w:rsid w:val="55BD4A9D"/>
    <w:rsid w:val="55C01E15"/>
    <w:rsid w:val="55CA49EA"/>
    <w:rsid w:val="55D10548"/>
    <w:rsid w:val="55D41DE6"/>
    <w:rsid w:val="55D83684"/>
    <w:rsid w:val="55DD416C"/>
    <w:rsid w:val="55E42029"/>
    <w:rsid w:val="55FB7373"/>
    <w:rsid w:val="55FD30EB"/>
    <w:rsid w:val="56024BA5"/>
    <w:rsid w:val="560501F2"/>
    <w:rsid w:val="560A5808"/>
    <w:rsid w:val="560D1D28"/>
    <w:rsid w:val="560D2D92"/>
    <w:rsid w:val="56130B60"/>
    <w:rsid w:val="561346BC"/>
    <w:rsid w:val="56177149"/>
    <w:rsid w:val="56242D6E"/>
    <w:rsid w:val="56293EE0"/>
    <w:rsid w:val="56350AD7"/>
    <w:rsid w:val="563D6DCF"/>
    <w:rsid w:val="563F54B2"/>
    <w:rsid w:val="56400A1E"/>
    <w:rsid w:val="564C210C"/>
    <w:rsid w:val="564C7BCE"/>
    <w:rsid w:val="56507598"/>
    <w:rsid w:val="565200FD"/>
    <w:rsid w:val="56576C9F"/>
    <w:rsid w:val="565847C5"/>
    <w:rsid w:val="5661367A"/>
    <w:rsid w:val="5665229F"/>
    <w:rsid w:val="5665784B"/>
    <w:rsid w:val="566B13F7"/>
    <w:rsid w:val="566E223B"/>
    <w:rsid w:val="566F7A8D"/>
    <w:rsid w:val="56735F9A"/>
    <w:rsid w:val="56753EA2"/>
    <w:rsid w:val="56772E9D"/>
    <w:rsid w:val="567F1D52"/>
    <w:rsid w:val="56811F6E"/>
    <w:rsid w:val="56837A94"/>
    <w:rsid w:val="568B06F7"/>
    <w:rsid w:val="568E01E7"/>
    <w:rsid w:val="56973683"/>
    <w:rsid w:val="56A23B74"/>
    <w:rsid w:val="56A537A9"/>
    <w:rsid w:val="56AE2780"/>
    <w:rsid w:val="56B07A41"/>
    <w:rsid w:val="56B539C6"/>
    <w:rsid w:val="56B934B6"/>
    <w:rsid w:val="56D71B8E"/>
    <w:rsid w:val="56D976B4"/>
    <w:rsid w:val="56E42DC5"/>
    <w:rsid w:val="56E542AB"/>
    <w:rsid w:val="56F157DD"/>
    <w:rsid w:val="56F25850"/>
    <w:rsid w:val="56FA587C"/>
    <w:rsid w:val="56FE424E"/>
    <w:rsid w:val="56FF1E43"/>
    <w:rsid w:val="570D1A54"/>
    <w:rsid w:val="570D55B0"/>
    <w:rsid w:val="57191275"/>
    <w:rsid w:val="571E156B"/>
    <w:rsid w:val="57224D2D"/>
    <w:rsid w:val="57234DD3"/>
    <w:rsid w:val="57266671"/>
    <w:rsid w:val="57294AC3"/>
    <w:rsid w:val="572F19CA"/>
    <w:rsid w:val="572F6536"/>
    <w:rsid w:val="57306B37"/>
    <w:rsid w:val="57373FAB"/>
    <w:rsid w:val="5739204F"/>
    <w:rsid w:val="573A3ECB"/>
    <w:rsid w:val="574272C5"/>
    <w:rsid w:val="57435D74"/>
    <w:rsid w:val="574C257C"/>
    <w:rsid w:val="57527466"/>
    <w:rsid w:val="57551E64"/>
    <w:rsid w:val="575552A4"/>
    <w:rsid w:val="57566F57"/>
    <w:rsid w:val="57572CCF"/>
    <w:rsid w:val="575765D4"/>
    <w:rsid w:val="575C2093"/>
    <w:rsid w:val="575E22AF"/>
    <w:rsid w:val="57603931"/>
    <w:rsid w:val="576378C6"/>
    <w:rsid w:val="576553EC"/>
    <w:rsid w:val="5766272E"/>
    <w:rsid w:val="57783371"/>
    <w:rsid w:val="57790E97"/>
    <w:rsid w:val="577C44E3"/>
    <w:rsid w:val="57833AC4"/>
    <w:rsid w:val="579730CB"/>
    <w:rsid w:val="57A44166"/>
    <w:rsid w:val="57A71560"/>
    <w:rsid w:val="57A8352A"/>
    <w:rsid w:val="57AF0644"/>
    <w:rsid w:val="57C33D01"/>
    <w:rsid w:val="57C87729"/>
    <w:rsid w:val="57CA16F3"/>
    <w:rsid w:val="57CA182E"/>
    <w:rsid w:val="57D13D7A"/>
    <w:rsid w:val="57D21DB8"/>
    <w:rsid w:val="57DC69EE"/>
    <w:rsid w:val="57DD1426"/>
    <w:rsid w:val="57DE0CFA"/>
    <w:rsid w:val="57DE6F4C"/>
    <w:rsid w:val="57E427B4"/>
    <w:rsid w:val="57EE3633"/>
    <w:rsid w:val="57EE53E1"/>
    <w:rsid w:val="57F92AD7"/>
    <w:rsid w:val="57FB5D50"/>
    <w:rsid w:val="57FD5624"/>
    <w:rsid w:val="57FF6046"/>
    <w:rsid w:val="58052271"/>
    <w:rsid w:val="5806097D"/>
    <w:rsid w:val="58074F90"/>
    <w:rsid w:val="58112E7E"/>
    <w:rsid w:val="5818245E"/>
    <w:rsid w:val="581B3CFC"/>
    <w:rsid w:val="581F1A3E"/>
    <w:rsid w:val="582E3A30"/>
    <w:rsid w:val="58300CB0"/>
    <w:rsid w:val="583079F7"/>
    <w:rsid w:val="583152CE"/>
    <w:rsid w:val="58366D88"/>
    <w:rsid w:val="584E5E80"/>
    <w:rsid w:val="58564D34"/>
    <w:rsid w:val="58586CFE"/>
    <w:rsid w:val="585C67EF"/>
    <w:rsid w:val="586B56A1"/>
    <w:rsid w:val="587873A1"/>
    <w:rsid w:val="587F072F"/>
    <w:rsid w:val="58840403"/>
    <w:rsid w:val="588A0F54"/>
    <w:rsid w:val="588B2C30"/>
    <w:rsid w:val="58920412"/>
    <w:rsid w:val="589568A2"/>
    <w:rsid w:val="58977827"/>
    <w:rsid w:val="589917F1"/>
    <w:rsid w:val="58996EE8"/>
    <w:rsid w:val="589A339E"/>
    <w:rsid w:val="589C6BEB"/>
    <w:rsid w:val="58A22362"/>
    <w:rsid w:val="58A67A6A"/>
    <w:rsid w:val="58A82635"/>
    <w:rsid w:val="58B8779D"/>
    <w:rsid w:val="58CB5722"/>
    <w:rsid w:val="58D04AE7"/>
    <w:rsid w:val="58DC348C"/>
    <w:rsid w:val="58DC7930"/>
    <w:rsid w:val="58E36F99"/>
    <w:rsid w:val="58ED7447"/>
    <w:rsid w:val="58F307D5"/>
    <w:rsid w:val="58F41BBE"/>
    <w:rsid w:val="58F44C79"/>
    <w:rsid w:val="58F9403E"/>
    <w:rsid w:val="59034EBC"/>
    <w:rsid w:val="59040944"/>
    <w:rsid w:val="59060509"/>
    <w:rsid w:val="59097FF9"/>
    <w:rsid w:val="590E560F"/>
    <w:rsid w:val="59101387"/>
    <w:rsid w:val="59103135"/>
    <w:rsid w:val="59115731"/>
    <w:rsid w:val="59123351"/>
    <w:rsid w:val="591325C3"/>
    <w:rsid w:val="5919648E"/>
    <w:rsid w:val="591B04C7"/>
    <w:rsid w:val="59215342"/>
    <w:rsid w:val="592866D1"/>
    <w:rsid w:val="59301876"/>
    <w:rsid w:val="593257A1"/>
    <w:rsid w:val="59365AD0"/>
    <w:rsid w:val="593E4146"/>
    <w:rsid w:val="5943175D"/>
    <w:rsid w:val="5944486A"/>
    <w:rsid w:val="594A190B"/>
    <w:rsid w:val="594B0611"/>
    <w:rsid w:val="595D2309"/>
    <w:rsid w:val="595D761E"/>
    <w:rsid w:val="59611BE3"/>
    <w:rsid w:val="59690CB1"/>
    <w:rsid w:val="596E0723"/>
    <w:rsid w:val="59701E26"/>
    <w:rsid w:val="597A632B"/>
    <w:rsid w:val="59824719"/>
    <w:rsid w:val="598558D1"/>
    <w:rsid w:val="5987789B"/>
    <w:rsid w:val="598D29D8"/>
    <w:rsid w:val="59917454"/>
    <w:rsid w:val="59973856"/>
    <w:rsid w:val="59977583"/>
    <w:rsid w:val="59A71CEC"/>
    <w:rsid w:val="59AC10B0"/>
    <w:rsid w:val="59AD00F6"/>
    <w:rsid w:val="59AF294E"/>
    <w:rsid w:val="59B83EF9"/>
    <w:rsid w:val="59BB5797"/>
    <w:rsid w:val="59C81C62"/>
    <w:rsid w:val="59CA59DA"/>
    <w:rsid w:val="59CD1026"/>
    <w:rsid w:val="59D40607"/>
    <w:rsid w:val="59D6437F"/>
    <w:rsid w:val="59E22D24"/>
    <w:rsid w:val="59F111B9"/>
    <w:rsid w:val="59F44805"/>
    <w:rsid w:val="59F64A21"/>
    <w:rsid w:val="5A0A227A"/>
    <w:rsid w:val="5A105AE3"/>
    <w:rsid w:val="5A19426B"/>
    <w:rsid w:val="5A2F79F0"/>
    <w:rsid w:val="5A307F33"/>
    <w:rsid w:val="5A360B29"/>
    <w:rsid w:val="5A380B96"/>
    <w:rsid w:val="5A3937E2"/>
    <w:rsid w:val="5A3A2B60"/>
    <w:rsid w:val="5A455061"/>
    <w:rsid w:val="5A470DD9"/>
    <w:rsid w:val="5A517EA9"/>
    <w:rsid w:val="5A5D23AA"/>
    <w:rsid w:val="5A5D28F5"/>
    <w:rsid w:val="5A5D684E"/>
    <w:rsid w:val="5A5F4374"/>
    <w:rsid w:val="5A5F6122"/>
    <w:rsid w:val="5A60061E"/>
    <w:rsid w:val="5A66709D"/>
    <w:rsid w:val="5A683CB1"/>
    <w:rsid w:val="5A68490F"/>
    <w:rsid w:val="5A6F1BA6"/>
    <w:rsid w:val="5A763A35"/>
    <w:rsid w:val="5A7A2F5C"/>
    <w:rsid w:val="5A7B0F8B"/>
    <w:rsid w:val="5A7D0C9E"/>
    <w:rsid w:val="5A820063"/>
    <w:rsid w:val="5A8738CB"/>
    <w:rsid w:val="5A8C2C8F"/>
    <w:rsid w:val="5A907813"/>
    <w:rsid w:val="5A956CA1"/>
    <w:rsid w:val="5A972409"/>
    <w:rsid w:val="5AA44488"/>
    <w:rsid w:val="5AA73A34"/>
    <w:rsid w:val="5AAC50E0"/>
    <w:rsid w:val="5AB04BD0"/>
    <w:rsid w:val="5ABB5323"/>
    <w:rsid w:val="5ABC3575"/>
    <w:rsid w:val="5AC62645"/>
    <w:rsid w:val="5AC97A40"/>
    <w:rsid w:val="5AD3266C"/>
    <w:rsid w:val="5AD76600"/>
    <w:rsid w:val="5ADB5D36"/>
    <w:rsid w:val="5ADC7426"/>
    <w:rsid w:val="5AE606EB"/>
    <w:rsid w:val="5AE76118"/>
    <w:rsid w:val="5AEB57AD"/>
    <w:rsid w:val="5AF16E35"/>
    <w:rsid w:val="5AF32D0E"/>
    <w:rsid w:val="5AF87D1D"/>
    <w:rsid w:val="5AFB2E7A"/>
    <w:rsid w:val="5AFD38AE"/>
    <w:rsid w:val="5B060C94"/>
    <w:rsid w:val="5B13515F"/>
    <w:rsid w:val="5B157129"/>
    <w:rsid w:val="5B1C23FD"/>
    <w:rsid w:val="5B21162A"/>
    <w:rsid w:val="5B24111A"/>
    <w:rsid w:val="5B264E92"/>
    <w:rsid w:val="5B307ABF"/>
    <w:rsid w:val="5B33135D"/>
    <w:rsid w:val="5B3E21DC"/>
    <w:rsid w:val="5B433C96"/>
    <w:rsid w:val="5B4C2B06"/>
    <w:rsid w:val="5B4F3EBC"/>
    <w:rsid w:val="5B512DF8"/>
    <w:rsid w:val="5B590DC3"/>
    <w:rsid w:val="5B5C6B06"/>
    <w:rsid w:val="5B600401"/>
    <w:rsid w:val="5B615ECA"/>
    <w:rsid w:val="5B634608"/>
    <w:rsid w:val="5B6A2FD1"/>
    <w:rsid w:val="5B7B3430"/>
    <w:rsid w:val="5B7D70FD"/>
    <w:rsid w:val="5B7E05BC"/>
    <w:rsid w:val="5B804591"/>
    <w:rsid w:val="5B81031A"/>
    <w:rsid w:val="5B8376C7"/>
    <w:rsid w:val="5B8B2F47"/>
    <w:rsid w:val="5B8C73EB"/>
    <w:rsid w:val="5B9067AF"/>
    <w:rsid w:val="5BA34735"/>
    <w:rsid w:val="5BA74225"/>
    <w:rsid w:val="5BA83AF9"/>
    <w:rsid w:val="5BAD48CA"/>
    <w:rsid w:val="5BAE1102"/>
    <w:rsid w:val="5BB0125B"/>
    <w:rsid w:val="5BB266DD"/>
    <w:rsid w:val="5BB701E0"/>
    <w:rsid w:val="5BBE331C"/>
    <w:rsid w:val="5BC85F49"/>
    <w:rsid w:val="5BD718B6"/>
    <w:rsid w:val="5BD753E8"/>
    <w:rsid w:val="5BD963A8"/>
    <w:rsid w:val="5BE35796"/>
    <w:rsid w:val="5BF3746A"/>
    <w:rsid w:val="5BF62AB6"/>
    <w:rsid w:val="5C001B87"/>
    <w:rsid w:val="5C043425"/>
    <w:rsid w:val="5C074CC3"/>
    <w:rsid w:val="5C0C4088"/>
    <w:rsid w:val="5C0F1DCA"/>
    <w:rsid w:val="5C1D0043"/>
    <w:rsid w:val="5C1D44E7"/>
    <w:rsid w:val="5C245875"/>
    <w:rsid w:val="5C2602D2"/>
    <w:rsid w:val="5C277114"/>
    <w:rsid w:val="5C2869E8"/>
    <w:rsid w:val="5C294C3A"/>
    <w:rsid w:val="5C2F7412"/>
    <w:rsid w:val="5C317F92"/>
    <w:rsid w:val="5C34538D"/>
    <w:rsid w:val="5C351B8F"/>
    <w:rsid w:val="5C381321"/>
    <w:rsid w:val="5C3E620B"/>
    <w:rsid w:val="5C425CFC"/>
    <w:rsid w:val="5C44536A"/>
    <w:rsid w:val="5C4B1054"/>
    <w:rsid w:val="5C4E644E"/>
    <w:rsid w:val="5C5123E2"/>
    <w:rsid w:val="5C594A4F"/>
    <w:rsid w:val="5C5D2B35"/>
    <w:rsid w:val="5C5E4FDD"/>
    <w:rsid w:val="5C621EFA"/>
    <w:rsid w:val="5C63573E"/>
    <w:rsid w:val="5C69772C"/>
    <w:rsid w:val="5C6B34A4"/>
    <w:rsid w:val="5C6E6AF1"/>
    <w:rsid w:val="5C705D9F"/>
    <w:rsid w:val="5C734107"/>
    <w:rsid w:val="5C7D6D34"/>
    <w:rsid w:val="5C7F0CFE"/>
    <w:rsid w:val="5C806824"/>
    <w:rsid w:val="5C8370A6"/>
    <w:rsid w:val="5C8B4F26"/>
    <w:rsid w:val="5C8B76A2"/>
    <w:rsid w:val="5C8C4253"/>
    <w:rsid w:val="5C8E7193"/>
    <w:rsid w:val="5C902F0B"/>
    <w:rsid w:val="5C910A31"/>
    <w:rsid w:val="5C930305"/>
    <w:rsid w:val="5C9867FD"/>
    <w:rsid w:val="5C9A5B38"/>
    <w:rsid w:val="5CA44DD3"/>
    <w:rsid w:val="5CAA564F"/>
    <w:rsid w:val="5CAB03FA"/>
    <w:rsid w:val="5CB14C2F"/>
    <w:rsid w:val="5CB171AC"/>
    <w:rsid w:val="5CBB785C"/>
    <w:rsid w:val="5CCB39B9"/>
    <w:rsid w:val="5CCC024F"/>
    <w:rsid w:val="5CCC3817"/>
    <w:rsid w:val="5CCF46F1"/>
    <w:rsid w:val="5CD728E8"/>
    <w:rsid w:val="5CDB3CDE"/>
    <w:rsid w:val="5CDB4A89"/>
    <w:rsid w:val="5CE13766"/>
    <w:rsid w:val="5CE15514"/>
    <w:rsid w:val="5CE401AB"/>
    <w:rsid w:val="5CE964D1"/>
    <w:rsid w:val="5CEC553F"/>
    <w:rsid w:val="5CF05758"/>
    <w:rsid w:val="5CF54B1C"/>
    <w:rsid w:val="5CFB5EAA"/>
    <w:rsid w:val="5D0134C1"/>
    <w:rsid w:val="5D026770"/>
    <w:rsid w:val="5D0631CD"/>
    <w:rsid w:val="5D0C00B7"/>
    <w:rsid w:val="5D0E3E30"/>
    <w:rsid w:val="5D232912"/>
    <w:rsid w:val="5D256502"/>
    <w:rsid w:val="5D2D2508"/>
    <w:rsid w:val="5D30024A"/>
    <w:rsid w:val="5D331AE8"/>
    <w:rsid w:val="5D3708CB"/>
    <w:rsid w:val="5D3715D8"/>
    <w:rsid w:val="5D373386"/>
    <w:rsid w:val="5D3F048D"/>
    <w:rsid w:val="5D410FCC"/>
    <w:rsid w:val="5D465377"/>
    <w:rsid w:val="5D4D6706"/>
    <w:rsid w:val="5D4F3D2E"/>
    <w:rsid w:val="5D5A7075"/>
    <w:rsid w:val="5D5C12A2"/>
    <w:rsid w:val="5D5C1BA6"/>
    <w:rsid w:val="5D6121B1"/>
    <w:rsid w:val="5D622736"/>
    <w:rsid w:val="5D697FBE"/>
    <w:rsid w:val="5D72616D"/>
    <w:rsid w:val="5D7F0889"/>
    <w:rsid w:val="5D804D2D"/>
    <w:rsid w:val="5D867E6A"/>
    <w:rsid w:val="5D96282B"/>
    <w:rsid w:val="5D9B40B7"/>
    <w:rsid w:val="5D9C4696"/>
    <w:rsid w:val="5D9E1657"/>
    <w:rsid w:val="5D9E51B4"/>
    <w:rsid w:val="5DA12EF6"/>
    <w:rsid w:val="5DAD331D"/>
    <w:rsid w:val="5DB6074F"/>
    <w:rsid w:val="5DBC7D30"/>
    <w:rsid w:val="5DBE7604"/>
    <w:rsid w:val="5DC36E05"/>
    <w:rsid w:val="5DC50992"/>
    <w:rsid w:val="5DC7295C"/>
    <w:rsid w:val="5DC7551E"/>
    <w:rsid w:val="5DC87B92"/>
    <w:rsid w:val="5DCB607E"/>
    <w:rsid w:val="5DD70731"/>
    <w:rsid w:val="5DE31EF3"/>
    <w:rsid w:val="5DE96E1D"/>
    <w:rsid w:val="5DF3411C"/>
    <w:rsid w:val="5DF3582C"/>
    <w:rsid w:val="5DF9063C"/>
    <w:rsid w:val="5DF94AE0"/>
    <w:rsid w:val="5DFA328C"/>
    <w:rsid w:val="5DFC1EDA"/>
    <w:rsid w:val="5E005E6E"/>
    <w:rsid w:val="5E065484"/>
    <w:rsid w:val="5E065C18"/>
    <w:rsid w:val="5E1B2CA8"/>
    <w:rsid w:val="5E1B6804"/>
    <w:rsid w:val="5E2751A9"/>
    <w:rsid w:val="5E2F0501"/>
    <w:rsid w:val="5E3F0455"/>
    <w:rsid w:val="5E4C2E61"/>
    <w:rsid w:val="5E567F41"/>
    <w:rsid w:val="5E5B3B59"/>
    <w:rsid w:val="5E5D0072"/>
    <w:rsid w:val="5E5E15E7"/>
    <w:rsid w:val="5E60690D"/>
    <w:rsid w:val="5E653F23"/>
    <w:rsid w:val="5E6C3504"/>
    <w:rsid w:val="5E781EA8"/>
    <w:rsid w:val="5E7B54F5"/>
    <w:rsid w:val="5E7D74BF"/>
    <w:rsid w:val="5E7F13AD"/>
    <w:rsid w:val="5E820631"/>
    <w:rsid w:val="5E8D1A99"/>
    <w:rsid w:val="5E8E4E52"/>
    <w:rsid w:val="5E9323AC"/>
    <w:rsid w:val="5E9465B6"/>
    <w:rsid w:val="5E9F11E3"/>
    <w:rsid w:val="5EA52572"/>
    <w:rsid w:val="5EA66A16"/>
    <w:rsid w:val="5EA93E10"/>
    <w:rsid w:val="5EAA7B88"/>
    <w:rsid w:val="5EBB1D95"/>
    <w:rsid w:val="5EC155FD"/>
    <w:rsid w:val="5EC410EE"/>
    <w:rsid w:val="5EC7698C"/>
    <w:rsid w:val="5ED80DB4"/>
    <w:rsid w:val="5EDD31BB"/>
    <w:rsid w:val="5EDF7832"/>
    <w:rsid w:val="5EE50336"/>
    <w:rsid w:val="5EF955E3"/>
    <w:rsid w:val="5EFC4888"/>
    <w:rsid w:val="5F021772"/>
    <w:rsid w:val="5F08363F"/>
    <w:rsid w:val="5F136978"/>
    <w:rsid w:val="5F14677E"/>
    <w:rsid w:val="5F181807"/>
    <w:rsid w:val="5F1A2F60"/>
    <w:rsid w:val="5F1C6CD8"/>
    <w:rsid w:val="5F3B6A32"/>
    <w:rsid w:val="5F433550"/>
    <w:rsid w:val="5F4B136B"/>
    <w:rsid w:val="5F5C5326"/>
    <w:rsid w:val="5F610B8F"/>
    <w:rsid w:val="5F645F89"/>
    <w:rsid w:val="5F685A79"/>
    <w:rsid w:val="5F6D278C"/>
    <w:rsid w:val="5F750196"/>
    <w:rsid w:val="5F757F83"/>
    <w:rsid w:val="5F7C6FDB"/>
    <w:rsid w:val="5F9D0869"/>
    <w:rsid w:val="5FA016B7"/>
    <w:rsid w:val="5FA10F8B"/>
    <w:rsid w:val="5FA56CCD"/>
    <w:rsid w:val="5FAA42E4"/>
    <w:rsid w:val="5FB11C77"/>
    <w:rsid w:val="5FB65130"/>
    <w:rsid w:val="5FB92779"/>
    <w:rsid w:val="5FB962D5"/>
    <w:rsid w:val="5FBE1B3D"/>
    <w:rsid w:val="5FC32C98"/>
    <w:rsid w:val="5FD17AC2"/>
    <w:rsid w:val="5FDA449D"/>
    <w:rsid w:val="5FE534AA"/>
    <w:rsid w:val="5FE57B44"/>
    <w:rsid w:val="5FEA46E0"/>
    <w:rsid w:val="5FEE1571"/>
    <w:rsid w:val="5FF15F27"/>
    <w:rsid w:val="5FFF5CB2"/>
    <w:rsid w:val="600532C8"/>
    <w:rsid w:val="60107EBF"/>
    <w:rsid w:val="601E082E"/>
    <w:rsid w:val="60207E52"/>
    <w:rsid w:val="602120CC"/>
    <w:rsid w:val="6025396A"/>
    <w:rsid w:val="60271DD0"/>
    <w:rsid w:val="6031230F"/>
    <w:rsid w:val="603718EF"/>
    <w:rsid w:val="603B13E0"/>
    <w:rsid w:val="603B4F3C"/>
    <w:rsid w:val="60402552"/>
    <w:rsid w:val="604609F3"/>
    <w:rsid w:val="604F7944"/>
    <w:rsid w:val="60530BE2"/>
    <w:rsid w:val="60563B24"/>
    <w:rsid w:val="605E50CE"/>
    <w:rsid w:val="606326E4"/>
    <w:rsid w:val="60651FB9"/>
    <w:rsid w:val="606A75CF"/>
    <w:rsid w:val="606D70BF"/>
    <w:rsid w:val="60791F08"/>
    <w:rsid w:val="607B61CE"/>
    <w:rsid w:val="6086345A"/>
    <w:rsid w:val="608C1C3B"/>
    <w:rsid w:val="608E78BF"/>
    <w:rsid w:val="60940B1E"/>
    <w:rsid w:val="609F2317"/>
    <w:rsid w:val="60A6332C"/>
    <w:rsid w:val="60A80430"/>
    <w:rsid w:val="60B151FE"/>
    <w:rsid w:val="60BF3DBF"/>
    <w:rsid w:val="60C211B9"/>
    <w:rsid w:val="60C43183"/>
    <w:rsid w:val="60C65448"/>
    <w:rsid w:val="60D333C6"/>
    <w:rsid w:val="60D8660F"/>
    <w:rsid w:val="60F352FE"/>
    <w:rsid w:val="60FA5216"/>
    <w:rsid w:val="60FB46CB"/>
    <w:rsid w:val="61025759"/>
    <w:rsid w:val="611063C8"/>
    <w:rsid w:val="611A2DA3"/>
    <w:rsid w:val="611C2FBF"/>
    <w:rsid w:val="61260372"/>
    <w:rsid w:val="6126799A"/>
    <w:rsid w:val="612B1454"/>
    <w:rsid w:val="612E4AA0"/>
    <w:rsid w:val="61357BDD"/>
    <w:rsid w:val="61371BA7"/>
    <w:rsid w:val="6138591F"/>
    <w:rsid w:val="613C540F"/>
    <w:rsid w:val="6142054C"/>
    <w:rsid w:val="614E6EF1"/>
    <w:rsid w:val="614F58AC"/>
    <w:rsid w:val="614F6706"/>
    <w:rsid w:val="61573FF7"/>
    <w:rsid w:val="615D05E8"/>
    <w:rsid w:val="615E38B2"/>
    <w:rsid w:val="616109D2"/>
    <w:rsid w:val="616E7593"/>
    <w:rsid w:val="61700C15"/>
    <w:rsid w:val="617050B9"/>
    <w:rsid w:val="617A1A94"/>
    <w:rsid w:val="61880654"/>
    <w:rsid w:val="618E74D8"/>
    <w:rsid w:val="61930DA7"/>
    <w:rsid w:val="619568CD"/>
    <w:rsid w:val="61994610"/>
    <w:rsid w:val="61A30FEA"/>
    <w:rsid w:val="61AB7E9F"/>
    <w:rsid w:val="61B551C2"/>
    <w:rsid w:val="61BD56B4"/>
    <w:rsid w:val="61C947C9"/>
    <w:rsid w:val="61CB0541"/>
    <w:rsid w:val="61CD6067"/>
    <w:rsid w:val="61CE2536"/>
    <w:rsid w:val="61D218D0"/>
    <w:rsid w:val="61D307EA"/>
    <w:rsid w:val="61D4389A"/>
    <w:rsid w:val="61D53073"/>
    <w:rsid w:val="61D90EB0"/>
    <w:rsid w:val="61E0223F"/>
    <w:rsid w:val="61E17D65"/>
    <w:rsid w:val="61E3588B"/>
    <w:rsid w:val="61E433B1"/>
    <w:rsid w:val="61E909C7"/>
    <w:rsid w:val="61EB0BE3"/>
    <w:rsid w:val="61F714E9"/>
    <w:rsid w:val="61F94B53"/>
    <w:rsid w:val="61FA4982"/>
    <w:rsid w:val="6200643D"/>
    <w:rsid w:val="62045801"/>
    <w:rsid w:val="62051CA5"/>
    <w:rsid w:val="620A33F2"/>
    <w:rsid w:val="620D2908"/>
    <w:rsid w:val="620D6DAC"/>
    <w:rsid w:val="620F48D2"/>
    <w:rsid w:val="621041A6"/>
    <w:rsid w:val="621719D8"/>
    <w:rsid w:val="621912AD"/>
    <w:rsid w:val="621A6570"/>
    <w:rsid w:val="62314848"/>
    <w:rsid w:val="623954AB"/>
    <w:rsid w:val="623E0D13"/>
    <w:rsid w:val="62421BA5"/>
    <w:rsid w:val="624327CD"/>
    <w:rsid w:val="624F1172"/>
    <w:rsid w:val="6250081A"/>
    <w:rsid w:val="62514EEA"/>
    <w:rsid w:val="6252656D"/>
    <w:rsid w:val="625A74E6"/>
    <w:rsid w:val="626046B2"/>
    <w:rsid w:val="6260512D"/>
    <w:rsid w:val="6263077A"/>
    <w:rsid w:val="62634C1E"/>
    <w:rsid w:val="62682234"/>
    <w:rsid w:val="62724E61"/>
    <w:rsid w:val="627806C9"/>
    <w:rsid w:val="627C722C"/>
    <w:rsid w:val="627E7090"/>
    <w:rsid w:val="628232F6"/>
    <w:rsid w:val="62837359"/>
    <w:rsid w:val="6288755B"/>
    <w:rsid w:val="628A6F9E"/>
    <w:rsid w:val="62922E0D"/>
    <w:rsid w:val="62946B85"/>
    <w:rsid w:val="62976675"/>
    <w:rsid w:val="62985974"/>
    <w:rsid w:val="629F0190"/>
    <w:rsid w:val="62A04CAC"/>
    <w:rsid w:val="62A22A60"/>
    <w:rsid w:val="62AB35CC"/>
    <w:rsid w:val="62B208A8"/>
    <w:rsid w:val="62B40FD5"/>
    <w:rsid w:val="62B9483E"/>
    <w:rsid w:val="62BB6808"/>
    <w:rsid w:val="62BE3C02"/>
    <w:rsid w:val="62C92CD3"/>
    <w:rsid w:val="62CA6A4B"/>
    <w:rsid w:val="62CB72D6"/>
    <w:rsid w:val="62D022B3"/>
    <w:rsid w:val="62D11B87"/>
    <w:rsid w:val="62D602AD"/>
    <w:rsid w:val="62D84CC4"/>
    <w:rsid w:val="62E573E1"/>
    <w:rsid w:val="62EC076F"/>
    <w:rsid w:val="62F15D85"/>
    <w:rsid w:val="62F57F55"/>
    <w:rsid w:val="62F85366"/>
    <w:rsid w:val="62FA7330"/>
    <w:rsid w:val="630006BE"/>
    <w:rsid w:val="630B359A"/>
    <w:rsid w:val="630C4B2C"/>
    <w:rsid w:val="631D6E2D"/>
    <w:rsid w:val="6324615B"/>
    <w:rsid w:val="63292D05"/>
    <w:rsid w:val="6335216A"/>
    <w:rsid w:val="63366BC7"/>
    <w:rsid w:val="633B0812"/>
    <w:rsid w:val="633D0FCB"/>
    <w:rsid w:val="634C7460"/>
    <w:rsid w:val="63501F3D"/>
    <w:rsid w:val="63576933"/>
    <w:rsid w:val="635A7DCF"/>
    <w:rsid w:val="636E387A"/>
    <w:rsid w:val="63716EC6"/>
    <w:rsid w:val="63770981"/>
    <w:rsid w:val="637D1CE4"/>
    <w:rsid w:val="637F15E3"/>
    <w:rsid w:val="637F5A87"/>
    <w:rsid w:val="63822E81"/>
    <w:rsid w:val="638B5EB4"/>
    <w:rsid w:val="63911317"/>
    <w:rsid w:val="63923C7F"/>
    <w:rsid w:val="63927568"/>
    <w:rsid w:val="639F1C85"/>
    <w:rsid w:val="63A252D2"/>
    <w:rsid w:val="63AB23D8"/>
    <w:rsid w:val="63B219B9"/>
    <w:rsid w:val="63BC45E5"/>
    <w:rsid w:val="63C344C1"/>
    <w:rsid w:val="63C90AB0"/>
    <w:rsid w:val="63CD2788"/>
    <w:rsid w:val="63DC4C88"/>
    <w:rsid w:val="63E94CAF"/>
    <w:rsid w:val="63EA73A4"/>
    <w:rsid w:val="63EB6C79"/>
    <w:rsid w:val="63EC31D2"/>
    <w:rsid w:val="63ED0C43"/>
    <w:rsid w:val="63F20007"/>
    <w:rsid w:val="63F55D49"/>
    <w:rsid w:val="63F605E7"/>
    <w:rsid w:val="63FD02BC"/>
    <w:rsid w:val="63FF44D2"/>
    <w:rsid w:val="6410048D"/>
    <w:rsid w:val="64136F88"/>
    <w:rsid w:val="6416019A"/>
    <w:rsid w:val="641A755E"/>
    <w:rsid w:val="642D26EE"/>
    <w:rsid w:val="64356146"/>
    <w:rsid w:val="64370110"/>
    <w:rsid w:val="643A375C"/>
    <w:rsid w:val="6445282D"/>
    <w:rsid w:val="644545DB"/>
    <w:rsid w:val="644C3BBB"/>
    <w:rsid w:val="644D348F"/>
    <w:rsid w:val="644D6FB3"/>
    <w:rsid w:val="64504D2E"/>
    <w:rsid w:val="64520AA6"/>
    <w:rsid w:val="64687945"/>
    <w:rsid w:val="646F1658"/>
    <w:rsid w:val="647E5D3F"/>
    <w:rsid w:val="64835103"/>
    <w:rsid w:val="64836EB1"/>
    <w:rsid w:val="64872E45"/>
    <w:rsid w:val="648B3FB8"/>
    <w:rsid w:val="64963088"/>
    <w:rsid w:val="64987E61"/>
    <w:rsid w:val="64995812"/>
    <w:rsid w:val="64996C5F"/>
    <w:rsid w:val="649B41FB"/>
    <w:rsid w:val="64A05CB5"/>
    <w:rsid w:val="64A357A5"/>
    <w:rsid w:val="64A5151D"/>
    <w:rsid w:val="64A84B6A"/>
    <w:rsid w:val="64B81251"/>
    <w:rsid w:val="64BC4585"/>
    <w:rsid w:val="64C00105"/>
    <w:rsid w:val="64C64FF0"/>
    <w:rsid w:val="64C80D68"/>
    <w:rsid w:val="64CA4AE0"/>
    <w:rsid w:val="64D616D7"/>
    <w:rsid w:val="64D61A0F"/>
    <w:rsid w:val="64E16127"/>
    <w:rsid w:val="64E2007C"/>
    <w:rsid w:val="64E61D2E"/>
    <w:rsid w:val="64EC0C11"/>
    <w:rsid w:val="64EC2CA8"/>
    <w:rsid w:val="64ED3551"/>
    <w:rsid w:val="64F14763"/>
    <w:rsid w:val="64F257C4"/>
    <w:rsid w:val="64F45566"/>
    <w:rsid w:val="64F61D79"/>
    <w:rsid w:val="650E0E71"/>
    <w:rsid w:val="650E1E51"/>
    <w:rsid w:val="65140FB5"/>
    <w:rsid w:val="65167D25"/>
    <w:rsid w:val="65183A9D"/>
    <w:rsid w:val="651956D4"/>
    <w:rsid w:val="651B533C"/>
    <w:rsid w:val="65215F60"/>
    <w:rsid w:val="65230039"/>
    <w:rsid w:val="65242442"/>
    <w:rsid w:val="65274378"/>
    <w:rsid w:val="652C12F7"/>
    <w:rsid w:val="652C7549"/>
    <w:rsid w:val="652F2B95"/>
    <w:rsid w:val="653A1C66"/>
    <w:rsid w:val="653F54CE"/>
    <w:rsid w:val="654725D5"/>
    <w:rsid w:val="655820EC"/>
    <w:rsid w:val="655D7702"/>
    <w:rsid w:val="65605444"/>
    <w:rsid w:val="65644F35"/>
    <w:rsid w:val="65660CAD"/>
    <w:rsid w:val="656F7435"/>
    <w:rsid w:val="65752C9E"/>
    <w:rsid w:val="657809E0"/>
    <w:rsid w:val="65796113"/>
    <w:rsid w:val="657E4776"/>
    <w:rsid w:val="657F58CB"/>
    <w:rsid w:val="65801643"/>
    <w:rsid w:val="65870C23"/>
    <w:rsid w:val="658729D1"/>
    <w:rsid w:val="65880FA5"/>
    <w:rsid w:val="658B0713"/>
    <w:rsid w:val="65957971"/>
    <w:rsid w:val="659A0956"/>
    <w:rsid w:val="659B022A"/>
    <w:rsid w:val="659B647C"/>
    <w:rsid w:val="659C46CE"/>
    <w:rsid w:val="659D0447"/>
    <w:rsid w:val="659E5E1D"/>
    <w:rsid w:val="659F7D1B"/>
    <w:rsid w:val="65A417D5"/>
    <w:rsid w:val="65A43583"/>
    <w:rsid w:val="65AE7F5E"/>
    <w:rsid w:val="65B36980"/>
    <w:rsid w:val="65BA4B55"/>
    <w:rsid w:val="65BA6903"/>
    <w:rsid w:val="65BC2FFF"/>
    <w:rsid w:val="65C14135"/>
    <w:rsid w:val="65C15EE3"/>
    <w:rsid w:val="65C47781"/>
    <w:rsid w:val="65E10333"/>
    <w:rsid w:val="65E87914"/>
    <w:rsid w:val="65EE0CA2"/>
    <w:rsid w:val="65F067C8"/>
    <w:rsid w:val="65F362B8"/>
    <w:rsid w:val="65F83E6C"/>
    <w:rsid w:val="65FD2C93"/>
    <w:rsid w:val="6608077B"/>
    <w:rsid w:val="660B3602"/>
    <w:rsid w:val="660B53B0"/>
    <w:rsid w:val="661D4084"/>
    <w:rsid w:val="66240156"/>
    <w:rsid w:val="66240220"/>
    <w:rsid w:val="66263F98"/>
    <w:rsid w:val="663012BB"/>
    <w:rsid w:val="66344907"/>
    <w:rsid w:val="663743F7"/>
    <w:rsid w:val="663C3391"/>
    <w:rsid w:val="663E7534"/>
    <w:rsid w:val="66456706"/>
    <w:rsid w:val="664D6D7F"/>
    <w:rsid w:val="66543B95"/>
    <w:rsid w:val="665B6338"/>
    <w:rsid w:val="665C20B0"/>
    <w:rsid w:val="665C3E5E"/>
    <w:rsid w:val="665C5C0C"/>
    <w:rsid w:val="66664CDC"/>
    <w:rsid w:val="666D606B"/>
    <w:rsid w:val="667747F4"/>
    <w:rsid w:val="668313EA"/>
    <w:rsid w:val="66846F11"/>
    <w:rsid w:val="66967370"/>
    <w:rsid w:val="66974E96"/>
    <w:rsid w:val="669B6734"/>
    <w:rsid w:val="669E4476"/>
    <w:rsid w:val="66A6332B"/>
    <w:rsid w:val="66A63C4D"/>
    <w:rsid w:val="66AB26EF"/>
    <w:rsid w:val="66AC6B93"/>
    <w:rsid w:val="66B378FA"/>
    <w:rsid w:val="66BA2932"/>
    <w:rsid w:val="66BB6DD6"/>
    <w:rsid w:val="66BC48FC"/>
    <w:rsid w:val="66BE68C6"/>
    <w:rsid w:val="66C10F53"/>
    <w:rsid w:val="66C51A03"/>
    <w:rsid w:val="66CD6B09"/>
    <w:rsid w:val="66D22888"/>
    <w:rsid w:val="66D34BDA"/>
    <w:rsid w:val="66E02A2C"/>
    <w:rsid w:val="66E04A8F"/>
    <w:rsid w:val="66E14363"/>
    <w:rsid w:val="66E6229C"/>
    <w:rsid w:val="66ED0F5A"/>
    <w:rsid w:val="66F26570"/>
    <w:rsid w:val="66F422E8"/>
    <w:rsid w:val="66F61BBC"/>
    <w:rsid w:val="66F95B50"/>
    <w:rsid w:val="670267B3"/>
    <w:rsid w:val="6705773C"/>
    <w:rsid w:val="67065B78"/>
    <w:rsid w:val="670818F0"/>
    <w:rsid w:val="67083C71"/>
    <w:rsid w:val="670C401E"/>
    <w:rsid w:val="670D5158"/>
    <w:rsid w:val="6717165B"/>
    <w:rsid w:val="67184229"/>
    <w:rsid w:val="671B2095"/>
    <w:rsid w:val="672C55DE"/>
    <w:rsid w:val="673152EA"/>
    <w:rsid w:val="673D3C8F"/>
    <w:rsid w:val="67424E02"/>
    <w:rsid w:val="674D7B77"/>
    <w:rsid w:val="674F5770"/>
    <w:rsid w:val="67515045"/>
    <w:rsid w:val="67564D51"/>
    <w:rsid w:val="675D250E"/>
    <w:rsid w:val="675D60DF"/>
    <w:rsid w:val="67640D2E"/>
    <w:rsid w:val="67674868"/>
    <w:rsid w:val="67685FA3"/>
    <w:rsid w:val="67696F23"/>
    <w:rsid w:val="676C6322"/>
    <w:rsid w:val="678243B9"/>
    <w:rsid w:val="67852F40"/>
    <w:rsid w:val="67892A30"/>
    <w:rsid w:val="678D19AE"/>
    <w:rsid w:val="678E44EB"/>
    <w:rsid w:val="679D64DC"/>
    <w:rsid w:val="679F25CD"/>
    <w:rsid w:val="67A01BE8"/>
    <w:rsid w:val="67A5382C"/>
    <w:rsid w:val="67AB6E4B"/>
    <w:rsid w:val="67AC2BC3"/>
    <w:rsid w:val="67AE06E9"/>
    <w:rsid w:val="67AF7FBD"/>
    <w:rsid w:val="67B37AAD"/>
    <w:rsid w:val="67B57CC9"/>
    <w:rsid w:val="67B657F0"/>
    <w:rsid w:val="67BA52E0"/>
    <w:rsid w:val="67C41CBB"/>
    <w:rsid w:val="67C63C85"/>
    <w:rsid w:val="67CC6DC1"/>
    <w:rsid w:val="67D53EC8"/>
    <w:rsid w:val="67DA79CD"/>
    <w:rsid w:val="67E80301"/>
    <w:rsid w:val="67F316DB"/>
    <w:rsid w:val="67F476DB"/>
    <w:rsid w:val="67F73E3E"/>
    <w:rsid w:val="67F85E08"/>
    <w:rsid w:val="67FB3202"/>
    <w:rsid w:val="68014CBD"/>
    <w:rsid w:val="680227E3"/>
    <w:rsid w:val="680D18B3"/>
    <w:rsid w:val="68162E07"/>
    <w:rsid w:val="681744E0"/>
    <w:rsid w:val="681C66AF"/>
    <w:rsid w:val="681E586F"/>
    <w:rsid w:val="681F15E7"/>
    <w:rsid w:val="681F2B11"/>
    <w:rsid w:val="68294CBC"/>
    <w:rsid w:val="682B1D3A"/>
    <w:rsid w:val="682C160E"/>
    <w:rsid w:val="683A01CF"/>
    <w:rsid w:val="683B2101"/>
    <w:rsid w:val="68464DC5"/>
    <w:rsid w:val="68476448"/>
    <w:rsid w:val="684C0C7C"/>
    <w:rsid w:val="68583560"/>
    <w:rsid w:val="68594AF9"/>
    <w:rsid w:val="686D5EAE"/>
    <w:rsid w:val="68774F7F"/>
    <w:rsid w:val="68792B01"/>
    <w:rsid w:val="687C2595"/>
    <w:rsid w:val="687F39C5"/>
    <w:rsid w:val="688A4CB2"/>
    <w:rsid w:val="688B0361"/>
    <w:rsid w:val="688D3066"/>
    <w:rsid w:val="6893631F"/>
    <w:rsid w:val="68955405"/>
    <w:rsid w:val="68996CA3"/>
    <w:rsid w:val="689B6EBF"/>
    <w:rsid w:val="68A35A2F"/>
    <w:rsid w:val="68A67612"/>
    <w:rsid w:val="68A815DC"/>
    <w:rsid w:val="68AD7E12"/>
    <w:rsid w:val="68B47F81"/>
    <w:rsid w:val="68BB30BE"/>
    <w:rsid w:val="68BF0B7A"/>
    <w:rsid w:val="68D00856"/>
    <w:rsid w:val="68D128E1"/>
    <w:rsid w:val="68D67EF7"/>
    <w:rsid w:val="68D75A1D"/>
    <w:rsid w:val="68DA49D9"/>
    <w:rsid w:val="68EA74FF"/>
    <w:rsid w:val="68EE43AE"/>
    <w:rsid w:val="68FB5BB0"/>
    <w:rsid w:val="68FD36D6"/>
    <w:rsid w:val="6905258B"/>
    <w:rsid w:val="69083E29"/>
    <w:rsid w:val="690C1B6B"/>
    <w:rsid w:val="691130A7"/>
    <w:rsid w:val="69132EFA"/>
    <w:rsid w:val="691B0000"/>
    <w:rsid w:val="691C78D4"/>
    <w:rsid w:val="691E189E"/>
    <w:rsid w:val="69232A11"/>
    <w:rsid w:val="69280027"/>
    <w:rsid w:val="692C7D4C"/>
    <w:rsid w:val="692D637E"/>
    <w:rsid w:val="692F4A98"/>
    <w:rsid w:val="693469CC"/>
    <w:rsid w:val="693A1BAB"/>
    <w:rsid w:val="693D39ED"/>
    <w:rsid w:val="694B324F"/>
    <w:rsid w:val="69554E38"/>
    <w:rsid w:val="69586B5E"/>
    <w:rsid w:val="695928D6"/>
    <w:rsid w:val="695C0723"/>
    <w:rsid w:val="69624849"/>
    <w:rsid w:val="696372B1"/>
    <w:rsid w:val="69780FAF"/>
    <w:rsid w:val="697A2F79"/>
    <w:rsid w:val="697E40EB"/>
    <w:rsid w:val="699102C2"/>
    <w:rsid w:val="69937B96"/>
    <w:rsid w:val="699658D9"/>
    <w:rsid w:val="699851AD"/>
    <w:rsid w:val="69A2602B"/>
    <w:rsid w:val="69A7279E"/>
    <w:rsid w:val="69AA3132"/>
    <w:rsid w:val="69AF24F6"/>
    <w:rsid w:val="69B526F0"/>
    <w:rsid w:val="69BA741F"/>
    <w:rsid w:val="69BB0E9B"/>
    <w:rsid w:val="69C01011"/>
    <w:rsid w:val="69CF004C"/>
    <w:rsid w:val="69D00DEB"/>
    <w:rsid w:val="69D106BF"/>
    <w:rsid w:val="69D81A4D"/>
    <w:rsid w:val="69DC105A"/>
    <w:rsid w:val="69DD3507"/>
    <w:rsid w:val="69E421A0"/>
    <w:rsid w:val="69E46644"/>
    <w:rsid w:val="69E71C90"/>
    <w:rsid w:val="69E76134"/>
    <w:rsid w:val="69E97FD0"/>
    <w:rsid w:val="69EC54F9"/>
    <w:rsid w:val="69F34AD9"/>
    <w:rsid w:val="69FD7706"/>
    <w:rsid w:val="6A010FA4"/>
    <w:rsid w:val="6A06480C"/>
    <w:rsid w:val="6A097E59"/>
    <w:rsid w:val="6A0E36C1"/>
    <w:rsid w:val="6A131864"/>
    <w:rsid w:val="6A136FD5"/>
    <w:rsid w:val="6A1C5DDE"/>
    <w:rsid w:val="6A2747E1"/>
    <w:rsid w:val="6A2D7FEB"/>
    <w:rsid w:val="6A3824EC"/>
    <w:rsid w:val="6A445335"/>
    <w:rsid w:val="6A484E25"/>
    <w:rsid w:val="6A4B66C3"/>
    <w:rsid w:val="6A4C75C7"/>
    <w:rsid w:val="6A4E3ABD"/>
    <w:rsid w:val="6A535578"/>
    <w:rsid w:val="6A58493C"/>
    <w:rsid w:val="6A590DE0"/>
    <w:rsid w:val="6A5C0D00"/>
    <w:rsid w:val="6A607681"/>
    <w:rsid w:val="6A682DD1"/>
    <w:rsid w:val="6A7259FE"/>
    <w:rsid w:val="6A745C1A"/>
    <w:rsid w:val="6A7F30E7"/>
    <w:rsid w:val="6A836411"/>
    <w:rsid w:val="6A845731"/>
    <w:rsid w:val="6A8D6CDC"/>
    <w:rsid w:val="6A924B08"/>
    <w:rsid w:val="6AA67D9D"/>
    <w:rsid w:val="6AAE4F02"/>
    <w:rsid w:val="6AB04778"/>
    <w:rsid w:val="6ABA1153"/>
    <w:rsid w:val="6AC00E5F"/>
    <w:rsid w:val="6AC2254E"/>
    <w:rsid w:val="6AC238D2"/>
    <w:rsid w:val="6AC344AB"/>
    <w:rsid w:val="6AC83870"/>
    <w:rsid w:val="6AD541DF"/>
    <w:rsid w:val="6ADC731B"/>
    <w:rsid w:val="6AE306AA"/>
    <w:rsid w:val="6AE368FC"/>
    <w:rsid w:val="6AE91002"/>
    <w:rsid w:val="6AEA5EDC"/>
    <w:rsid w:val="6AED1528"/>
    <w:rsid w:val="6AED777A"/>
    <w:rsid w:val="6AEF04B2"/>
    <w:rsid w:val="6AEF34F2"/>
    <w:rsid w:val="6AF25D71"/>
    <w:rsid w:val="6AF403DC"/>
    <w:rsid w:val="6AF90E69"/>
    <w:rsid w:val="6AF9611F"/>
    <w:rsid w:val="6AFC79BD"/>
    <w:rsid w:val="6AFD04B4"/>
    <w:rsid w:val="6AFF300A"/>
    <w:rsid w:val="6B071A62"/>
    <w:rsid w:val="6B120F8F"/>
    <w:rsid w:val="6B1B42E7"/>
    <w:rsid w:val="6B2018FE"/>
    <w:rsid w:val="6B241A6F"/>
    <w:rsid w:val="6B256F14"/>
    <w:rsid w:val="6B301415"/>
    <w:rsid w:val="6B3453A9"/>
    <w:rsid w:val="6B3B2900"/>
    <w:rsid w:val="6B4F2206"/>
    <w:rsid w:val="6B4F3718"/>
    <w:rsid w:val="6B517D09"/>
    <w:rsid w:val="6B5477F9"/>
    <w:rsid w:val="6B5567B3"/>
    <w:rsid w:val="6B59096C"/>
    <w:rsid w:val="6B594E10"/>
    <w:rsid w:val="6B5E25AA"/>
    <w:rsid w:val="6B625A72"/>
    <w:rsid w:val="6B64068D"/>
    <w:rsid w:val="6B657311"/>
    <w:rsid w:val="6B6C68F1"/>
    <w:rsid w:val="6B6F63E1"/>
    <w:rsid w:val="6B717923"/>
    <w:rsid w:val="6B741C4A"/>
    <w:rsid w:val="6B777044"/>
    <w:rsid w:val="6B785296"/>
    <w:rsid w:val="6B79100E"/>
    <w:rsid w:val="6B7C4299"/>
    <w:rsid w:val="6B824366"/>
    <w:rsid w:val="6B9713B5"/>
    <w:rsid w:val="6B9F6CC6"/>
    <w:rsid w:val="6BA0659B"/>
    <w:rsid w:val="6BA72126"/>
    <w:rsid w:val="6BB81B36"/>
    <w:rsid w:val="6BC009EB"/>
    <w:rsid w:val="6BC02799"/>
    <w:rsid w:val="6BCB7ABB"/>
    <w:rsid w:val="6BCE3108"/>
    <w:rsid w:val="6BCF0720"/>
    <w:rsid w:val="6BD06D1B"/>
    <w:rsid w:val="6BD10E4A"/>
    <w:rsid w:val="6BD61FBC"/>
    <w:rsid w:val="6BD91EF0"/>
    <w:rsid w:val="6BDF3567"/>
    <w:rsid w:val="6BE446D9"/>
    <w:rsid w:val="6BF055A6"/>
    <w:rsid w:val="6BF608B1"/>
    <w:rsid w:val="6BFD1C3F"/>
    <w:rsid w:val="6C046B2A"/>
    <w:rsid w:val="6C1256EA"/>
    <w:rsid w:val="6C19016D"/>
    <w:rsid w:val="6C276CBC"/>
    <w:rsid w:val="6C3118E9"/>
    <w:rsid w:val="6C354F35"/>
    <w:rsid w:val="6C39250B"/>
    <w:rsid w:val="6C3C4515"/>
    <w:rsid w:val="6C405EB4"/>
    <w:rsid w:val="6C4258A4"/>
    <w:rsid w:val="6C445178"/>
    <w:rsid w:val="6C44552F"/>
    <w:rsid w:val="6C450EF0"/>
    <w:rsid w:val="6C465394"/>
    <w:rsid w:val="6C4F2053"/>
    <w:rsid w:val="6C517895"/>
    <w:rsid w:val="6C5850C7"/>
    <w:rsid w:val="6C5B4564"/>
    <w:rsid w:val="6C600B2F"/>
    <w:rsid w:val="6C606A58"/>
    <w:rsid w:val="6C6B6BA9"/>
    <w:rsid w:val="6C6C46CF"/>
    <w:rsid w:val="6C702411"/>
    <w:rsid w:val="6C724133"/>
    <w:rsid w:val="6C77379F"/>
    <w:rsid w:val="6C7C7008"/>
    <w:rsid w:val="6C7F08A6"/>
    <w:rsid w:val="6C7F4402"/>
    <w:rsid w:val="6C821BB4"/>
    <w:rsid w:val="6C845EBC"/>
    <w:rsid w:val="6C8934D3"/>
    <w:rsid w:val="6C895281"/>
    <w:rsid w:val="6C9158E3"/>
    <w:rsid w:val="6C9C3206"/>
    <w:rsid w:val="6C9F6852"/>
    <w:rsid w:val="6CA36342"/>
    <w:rsid w:val="6CA83959"/>
    <w:rsid w:val="6CB2396F"/>
    <w:rsid w:val="6CB95B66"/>
    <w:rsid w:val="6CBE13CE"/>
    <w:rsid w:val="6CBF0CA2"/>
    <w:rsid w:val="6CC60283"/>
    <w:rsid w:val="6CD10672"/>
    <w:rsid w:val="6CD81D64"/>
    <w:rsid w:val="6CD9741C"/>
    <w:rsid w:val="6CDB59D3"/>
    <w:rsid w:val="6CE10C19"/>
    <w:rsid w:val="6CE60925"/>
    <w:rsid w:val="6CE95B6D"/>
    <w:rsid w:val="6CEB1A97"/>
    <w:rsid w:val="6CEB5F3B"/>
    <w:rsid w:val="6CF272CA"/>
    <w:rsid w:val="6CF866F7"/>
    <w:rsid w:val="6CFA7F2C"/>
    <w:rsid w:val="6D00207B"/>
    <w:rsid w:val="6D033285"/>
    <w:rsid w:val="6D05152D"/>
    <w:rsid w:val="6D082649"/>
    <w:rsid w:val="6D090170"/>
    <w:rsid w:val="6D0D1A0E"/>
    <w:rsid w:val="6D144FD8"/>
    <w:rsid w:val="6D1E2490"/>
    <w:rsid w:val="6D1F1741"/>
    <w:rsid w:val="6D2356D5"/>
    <w:rsid w:val="6D260D22"/>
    <w:rsid w:val="6D2C3677"/>
    <w:rsid w:val="6D2F5E28"/>
    <w:rsid w:val="6D323B6A"/>
    <w:rsid w:val="6D3276C6"/>
    <w:rsid w:val="6D372F2F"/>
    <w:rsid w:val="6D413009"/>
    <w:rsid w:val="6D4713C4"/>
    <w:rsid w:val="6D480C98"/>
    <w:rsid w:val="6D512242"/>
    <w:rsid w:val="6D527D69"/>
    <w:rsid w:val="6D5533B5"/>
    <w:rsid w:val="6D5A3613"/>
    <w:rsid w:val="6D667370"/>
    <w:rsid w:val="6D6830E8"/>
    <w:rsid w:val="6D687CDD"/>
    <w:rsid w:val="6D707ED9"/>
    <w:rsid w:val="6D765805"/>
    <w:rsid w:val="6D774709"/>
    <w:rsid w:val="6D7970A3"/>
    <w:rsid w:val="6D7A7094"/>
    <w:rsid w:val="6D8048D6"/>
    <w:rsid w:val="6D875C64"/>
    <w:rsid w:val="6D920165"/>
    <w:rsid w:val="6D943EDD"/>
    <w:rsid w:val="6D9640F9"/>
    <w:rsid w:val="6D9D5488"/>
    <w:rsid w:val="6D9E2FAE"/>
    <w:rsid w:val="6DA00AD4"/>
    <w:rsid w:val="6DA34120"/>
    <w:rsid w:val="6DA4550E"/>
    <w:rsid w:val="6DAD5558"/>
    <w:rsid w:val="6DAE3992"/>
    <w:rsid w:val="6DB225B5"/>
    <w:rsid w:val="6DB93AFD"/>
    <w:rsid w:val="6DBB0EAC"/>
    <w:rsid w:val="6DBC5E5A"/>
    <w:rsid w:val="6DC25CF5"/>
    <w:rsid w:val="6DC81DD9"/>
    <w:rsid w:val="6DC9627D"/>
    <w:rsid w:val="6DD16EDF"/>
    <w:rsid w:val="6DD87247"/>
    <w:rsid w:val="6DDB5FB0"/>
    <w:rsid w:val="6DE02402"/>
    <w:rsid w:val="6DEA7FA1"/>
    <w:rsid w:val="6DF40E20"/>
    <w:rsid w:val="6DF957E8"/>
    <w:rsid w:val="6DFF4E07"/>
    <w:rsid w:val="6E096053"/>
    <w:rsid w:val="6E100C14"/>
    <w:rsid w:val="6E113780"/>
    <w:rsid w:val="6E11552E"/>
    <w:rsid w:val="6E250FD9"/>
    <w:rsid w:val="6E25722B"/>
    <w:rsid w:val="6E315BD0"/>
    <w:rsid w:val="6E361438"/>
    <w:rsid w:val="6E396833"/>
    <w:rsid w:val="6E3A55AE"/>
    <w:rsid w:val="6E526272"/>
    <w:rsid w:val="6E533D98"/>
    <w:rsid w:val="6E535B46"/>
    <w:rsid w:val="6E647D53"/>
    <w:rsid w:val="6E663A12"/>
    <w:rsid w:val="6E681920"/>
    <w:rsid w:val="6E6838E7"/>
    <w:rsid w:val="6E6B7721"/>
    <w:rsid w:val="6E6F222C"/>
    <w:rsid w:val="6E791F84"/>
    <w:rsid w:val="6E79287A"/>
    <w:rsid w:val="6E86698B"/>
    <w:rsid w:val="6E891568"/>
    <w:rsid w:val="6E8C2E06"/>
    <w:rsid w:val="6E8E4DD0"/>
    <w:rsid w:val="6E921DF0"/>
    <w:rsid w:val="6E9D5013"/>
    <w:rsid w:val="6EB02659"/>
    <w:rsid w:val="6EB8009F"/>
    <w:rsid w:val="6EB97E1E"/>
    <w:rsid w:val="6EC16F54"/>
    <w:rsid w:val="6EC204ED"/>
    <w:rsid w:val="6EC425A0"/>
    <w:rsid w:val="6EC46A44"/>
    <w:rsid w:val="6ED76777"/>
    <w:rsid w:val="6EE132C7"/>
    <w:rsid w:val="6EE175F6"/>
    <w:rsid w:val="6EE42C42"/>
    <w:rsid w:val="6EE9112B"/>
    <w:rsid w:val="6EE964AB"/>
    <w:rsid w:val="6EF72976"/>
    <w:rsid w:val="6EF966EE"/>
    <w:rsid w:val="6EFE3D04"/>
    <w:rsid w:val="6F0357BE"/>
    <w:rsid w:val="6F1306F7"/>
    <w:rsid w:val="6F1C062E"/>
    <w:rsid w:val="6F1C32F1"/>
    <w:rsid w:val="6F1F3C7A"/>
    <w:rsid w:val="6F282B2F"/>
    <w:rsid w:val="6F2F210F"/>
    <w:rsid w:val="6F387EFA"/>
    <w:rsid w:val="6F3C482C"/>
    <w:rsid w:val="6F4638FD"/>
    <w:rsid w:val="6F4F27B2"/>
    <w:rsid w:val="6F5002D8"/>
    <w:rsid w:val="6F51379F"/>
    <w:rsid w:val="6F541B76"/>
    <w:rsid w:val="6F54601A"/>
    <w:rsid w:val="6F55769C"/>
    <w:rsid w:val="6F573414"/>
    <w:rsid w:val="6F595014"/>
    <w:rsid w:val="6F5953DE"/>
    <w:rsid w:val="6F5B73A8"/>
    <w:rsid w:val="6F5C6C7D"/>
    <w:rsid w:val="6F5E787C"/>
    <w:rsid w:val="6F6049BF"/>
    <w:rsid w:val="6F67462E"/>
    <w:rsid w:val="6F7044D6"/>
    <w:rsid w:val="6F7E3097"/>
    <w:rsid w:val="6F8166E3"/>
    <w:rsid w:val="6F854425"/>
    <w:rsid w:val="6F8549A7"/>
    <w:rsid w:val="6F863CF9"/>
    <w:rsid w:val="6F865AA7"/>
    <w:rsid w:val="6F873BA8"/>
    <w:rsid w:val="6F881820"/>
    <w:rsid w:val="6F8A37EA"/>
    <w:rsid w:val="6F8B6E16"/>
    <w:rsid w:val="6F8D32DA"/>
    <w:rsid w:val="6F8F71F2"/>
    <w:rsid w:val="6F9B59F7"/>
    <w:rsid w:val="6FA0300D"/>
    <w:rsid w:val="6FA04DBB"/>
    <w:rsid w:val="6FA7614A"/>
    <w:rsid w:val="6FAA3E8C"/>
    <w:rsid w:val="6FB6638D"/>
    <w:rsid w:val="6FB940CF"/>
    <w:rsid w:val="6FBA49DC"/>
    <w:rsid w:val="6FC02F30"/>
    <w:rsid w:val="6FC22F83"/>
    <w:rsid w:val="6FCA62DC"/>
    <w:rsid w:val="6FCF744E"/>
    <w:rsid w:val="6FD809F9"/>
    <w:rsid w:val="6FE00A2E"/>
    <w:rsid w:val="6FE0165C"/>
    <w:rsid w:val="6FE078AE"/>
    <w:rsid w:val="6FE70E9D"/>
    <w:rsid w:val="6FF670D1"/>
    <w:rsid w:val="6FFB0243"/>
    <w:rsid w:val="6FFE23DD"/>
    <w:rsid w:val="70045FE7"/>
    <w:rsid w:val="700510C2"/>
    <w:rsid w:val="700C41FF"/>
    <w:rsid w:val="700F0193"/>
    <w:rsid w:val="7019691C"/>
    <w:rsid w:val="701A2115"/>
    <w:rsid w:val="701D640C"/>
    <w:rsid w:val="7020266E"/>
    <w:rsid w:val="70221C74"/>
    <w:rsid w:val="702309F4"/>
    <w:rsid w:val="702C664F"/>
    <w:rsid w:val="703A5210"/>
    <w:rsid w:val="703A6FBE"/>
    <w:rsid w:val="703B2327"/>
    <w:rsid w:val="70422316"/>
    <w:rsid w:val="70455F0A"/>
    <w:rsid w:val="7047792D"/>
    <w:rsid w:val="704931F4"/>
    <w:rsid w:val="705067E1"/>
    <w:rsid w:val="7053007F"/>
    <w:rsid w:val="705B6F34"/>
    <w:rsid w:val="705C33D8"/>
    <w:rsid w:val="7060454A"/>
    <w:rsid w:val="70710506"/>
    <w:rsid w:val="70756248"/>
    <w:rsid w:val="707678CF"/>
    <w:rsid w:val="707D6EAA"/>
    <w:rsid w:val="70853504"/>
    <w:rsid w:val="708741CD"/>
    <w:rsid w:val="708A15C7"/>
    <w:rsid w:val="708E719D"/>
    <w:rsid w:val="708E730A"/>
    <w:rsid w:val="709D12FB"/>
    <w:rsid w:val="709F32C5"/>
    <w:rsid w:val="70A72464"/>
    <w:rsid w:val="70A97C9F"/>
    <w:rsid w:val="70AB7EBB"/>
    <w:rsid w:val="70B65178"/>
    <w:rsid w:val="70B76147"/>
    <w:rsid w:val="70B8410C"/>
    <w:rsid w:val="70C26FB3"/>
    <w:rsid w:val="70C40F7D"/>
    <w:rsid w:val="70D311C0"/>
    <w:rsid w:val="70D94A29"/>
    <w:rsid w:val="70DC1D9A"/>
    <w:rsid w:val="70DD5B9B"/>
    <w:rsid w:val="70E433CD"/>
    <w:rsid w:val="70EA1A7C"/>
    <w:rsid w:val="70EF55BF"/>
    <w:rsid w:val="70FA04FB"/>
    <w:rsid w:val="71066EA0"/>
    <w:rsid w:val="710B2708"/>
    <w:rsid w:val="710B69A9"/>
    <w:rsid w:val="710C022E"/>
    <w:rsid w:val="710E3FA6"/>
    <w:rsid w:val="71153587"/>
    <w:rsid w:val="711570BB"/>
    <w:rsid w:val="71175551"/>
    <w:rsid w:val="712209C4"/>
    <w:rsid w:val="71235A57"/>
    <w:rsid w:val="712437CA"/>
    <w:rsid w:val="7126136C"/>
    <w:rsid w:val="712A5284"/>
    <w:rsid w:val="712D08D1"/>
    <w:rsid w:val="71324139"/>
    <w:rsid w:val="7132683E"/>
    <w:rsid w:val="71333A0D"/>
    <w:rsid w:val="71347EB1"/>
    <w:rsid w:val="71354916"/>
    <w:rsid w:val="713752AB"/>
    <w:rsid w:val="713F23B2"/>
    <w:rsid w:val="714B0B42"/>
    <w:rsid w:val="714E4404"/>
    <w:rsid w:val="71500A63"/>
    <w:rsid w:val="715A30D5"/>
    <w:rsid w:val="715A5D6A"/>
    <w:rsid w:val="715C2F64"/>
    <w:rsid w:val="715E6CDC"/>
    <w:rsid w:val="71644468"/>
    <w:rsid w:val="7167585B"/>
    <w:rsid w:val="716943CF"/>
    <w:rsid w:val="7169742F"/>
    <w:rsid w:val="716F0EE9"/>
    <w:rsid w:val="71713FF1"/>
    <w:rsid w:val="71752277"/>
    <w:rsid w:val="717C1104"/>
    <w:rsid w:val="71804EA4"/>
    <w:rsid w:val="719170B1"/>
    <w:rsid w:val="71962F97"/>
    <w:rsid w:val="71981BCC"/>
    <w:rsid w:val="71AB7A47"/>
    <w:rsid w:val="71B33B6B"/>
    <w:rsid w:val="71B903B6"/>
    <w:rsid w:val="71BE0661"/>
    <w:rsid w:val="71C62176"/>
    <w:rsid w:val="71C823A7"/>
    <w:rsid w:val="71C91C08"/>
    <w:rsid w:val="71DF1931"/>
    <w:rsid w:val="71E035F5"/>
    <w:rsid w:val="71E13469"/>
    <w:rsid w:val="71E33685"/>
    <w:rsid w:val="71E65BAD"/>
    <w:rsid w:val="71F47640"/>
    <w:rsid w:val="71F87130"/>
    <w:rsid w:val="71FF56EE"/>
    <w:rsid w:val="71FF6A6A"/>
    <w:rsid w:val="72074008"/>
    <w:rsid w:val="7218332F"/>
    <w:rsid w:val="72203F91"/>
    <w:rsid w:val="7221493E"/>
    <w:rsid w:val="722577FA"/>
    <w:rsid w:val="72275320"/>
    <w:rsid w:val="722C56E4"/>
    <w:rsid w:val="722C6DDA"/>
    <w:rsid w:val="722D66AE"/>
    <w:rsid w:val="722F2426"/>
    <w:rsid w:val="72312642"/>
    <w:rsid w:val="723637B5"/>
    <w:rsid w:val="72395053"/>
    <w:rsid w:val="72435ED2"/>
    <w:rsid w:val="72442376"/>
    <w:rsid w:val="72445916"/>
    <w:rsid w:val="7249173A"/>
    <w:rsid w:val="724946A0"/>
    <w:rsid w:val="724C2FD8"/>
    <w:rsid w:val="7251239D"/>
    <w:rsid w:val="72552FA5"/>
    <w:rsid w:val="725956F5"/>
    <w:rsid w:val="725974A3"/>
    <w:rsid w:val="725D3B45"/>
    <w:rsid w:val="726908F7"/>
    <w:rsid w:val="726B5B54"/>
    <w:rsid w:val="726C367A"/>
    <w:rsid w:val="727442DD"/>
    <w:rsid w:val="727D565B"/>
    <w:rsid w:val="727F515C"/>
    <w:rsid w:val="72836B80"/>
    <w:rsid w:val="72874010"/>
    <w:rsid w:val="729C3F60"/>
    <w:rsid w:val="72A72905"/>
    <w:rsid w:val="72A9042B"/>
    <w:rsid w:val="72CA214F"/>
    <w:rsid w:val="72CC7726"/>
    <w:rsid w:val="72D40328"/>
    <w:rsid w:val="72D8486C"/>
    <w:rsid w:val="72DC25AE"/>
    <w:rsid w:val="72E27499"/>
    <w:rsid w:val="72E94CCB"/>
    <w:rsid w:val="72F77FF6"/>
    <w:rsid w:val="73012015"/>
    <w:rsid w:val="730C2768"/>
    <w:rsid w:val="730D2CFE"/>
    <w:rsid w:val="731F693F"/>
    <w:rsid w:val="73247AB1"/>
    <w:rsid w:val="73357F10"/>
    <w:rsid w:val="733C4DFB"/>
    <w:rsid w:val="733D4BF7"/>
    <w:rsid w:val="735008A6"/>
    <w:rsid w:val="73506AF8"/>
    <w:rsid w:val="7364145E"/>
    <w:rsid w:val="736B7A45"/>
    <w:rsid w:val="73722F12"/>
    <w:rsid w:val="73771670"/>
    <w:rsid w:val="738467A2"/>
    <w:rsid w:val="738642C8"/>
    <w:rsid w:val="738844E4"/>
    <w:rsid w:val="73893DB8"/>
    <w:rsid w:val="739015EB"/>
    <w:rsid w:val="73971B4D"/>
    <w:rsid w:val="739764D5"/>
    <w:rsid w:val="73994421"/>
    <w:rsid w:val="73B250BD"/>
    <w:rsid w:val="73B920AC"/>
    <w:rsid w:val="73C60B68"/>
    <w:rsid w:val="73C82B32"/>
    <w:rsid w:val="73CA33F6"/>
    <w:rsid w:val="73D02C33"/>
    <w:rsid w:val="73D17C39"/>
    <w:rsid w:val="73D56FFD"/>
    <w:rsid w:val="73D634A1"/>
    <w:rsid w:val="73D6524F"/>
    <w:rsid w:val="73D96AEE"/>
    <w:rsid w:val="73E071AD"/>
    <w:rsid w:val="73E21E46"/>
    <w:rsid w:val="73E3266B"/>
    <w:rsid w:val="73E831D5"/>
    <w:rsid w:val="73E84F83"/>
    <w:rsid w:val="73ED2599"/>
    <w:rsid w:val="73ED4347"/>
    <w:rsid w:val="73F41B79"/>
    <w:rsid w:val="73F92CEC"/>
    <w:rsid w:val="74033B6B"/>
    <w:rsid w:val="741B2C62"/>
    <w:rsid w:val="741E2752"/>
    <w:rsid w:val="74253AE1"/>
    <w:rsid w:val="74406B6D"/>
    <w:rsid w:val="74452F75"/>
    <w:rsid w:val="744535F3"/>
    <w:rsid w:val="74575C64"/>
    <w:rsid w:val="7463285B"/>
    <w:rsid w:val="74636DFA"/>
    <w:rsid w:val="74656837"/>
    <w:rsid w:val="74690375"/>
    <w:rsid w:val="746C5BB4"/>
    <w:rsid w:val="7472484C"/>
    <w:rsid w:val="7479207F"/>
    <w:rsid w:val="747D1765"/>
    <w:rsid w:val="747E4F0D"/>
    <w:rsid w:val="74842EFD"/>
    <w:rsid w:val="748648CD"/>
    <w:rsid w:val="748D3469"/>
    <w:rsid w:val="748D7763"/>
    <w:rsid w:val="748F53FE"/>
    <w:rsid w:val="749173C8"/>
    <w:rsid w:val="74921EAE"/>
    <w:rsid w:val="74936C9D"/>
    <w:rsid w:val="749649DF"/>
    <w:rsid w:val="749B093C"/>
    <w:rsid w:val="749D1F97"/>
    <w:rsid w:val="74A013B9"/>
    <w:rsid w:val="74A40EAA"/>
    <w:rsid w:val="74A56B2B"/>
    <w:rsid w:val="74A964C0"/>
    <w:rsid w:val="74AC4202"/>
    <w:rsid w:val="74B66E2F"/>
    <w:rsid w:val="74B80DF9"/>
    <w:rsid w:val="74C03943"/>
    <w:rsid w:val="74C2223B"/>
    <w:rsid w:val="74C50E20"/>
    <w:rsid w:val="74CC28B6"/>
    <w:rsid w:val="74D55507"/>
    <w:rsid w:val="74D80B53"/>
    <w:rsid w:val="74DF0134"/>
    <w:rsid w:val="74DF1EE2"/>
    <w:rsid w:val="74DF6386"/>
    <w:rsid w:val="74F40472"/>
    <w:rsid w:val="750556C0"/>
    <w:rsid w:val="750A2CD7"/>
    <w:rsid w:val="751175FE"/>
    <w:rsid w:val="75134281"/>
    <w:rsid w:val="75136CEA"/>
    <w:rsid w:val="75153B55"/>
    <w:rsid w:val="751B5CA0"/>
    <w:rsid w:val="751F1FE6"/>
    <w:rsid w:val="75260EE2"/>
    <w:rsid w:val="75267B11"/>
    <w:rsid w:val="752E10BB"/>
    <w:rsid w:val="7532789A"/>
    <w:rsid w:val="753C7334"/>
    <w:rsid w:val="75483F2B"/>
    <w:rsid w:val="75502DDF"/>
    <w:rsid w:val="7553467E"/>
    <w:rsid w:val="75556648"/>
    <w:rsid w:val="75575F1C"/>
    <w:rsid w:val="755F3034"/>
    <w:rsid w:val="756D573F"/>
    <w:rsid w:val="757C6535"/>
    <w:rsid w:val="757E5B9F"/>
    <w:rsid w:val="75812F99"/>
    <w:rsid w:val="75846F2D"/>
    <w:rsid w:val="758D4034"/>
    <w:rsid w:val="759251A6"/>
    <w:rsid w:val="75953AE0"/>
    <w:rsid w:val="75976C60"/>
    <w:rsid w:val="75A35605"/>
    <w:rsid w:val="75B0387E"/>
    <w:rsid w:val="75B11D8B"/>
    <w:rsid w:val="75B13E24"/>
    <w:rsid w:val="75B82733"/>
    <w:rsid w:val="75B85F0F"/>
    <w:rsid w:val="75C30EA0"/>
    <w:rsid w:val="75EC68E9"/>
    <w:rsid w:val="75EF54CD"/>
    <w:rsid w:val="75F145C2"/>
    <w:rsid w:val="75F23E97"/>
    <w:rsid w:val="75F72270"/>
    <w:rsid w:val="75F75951"/>
    <w:rsid w:val="75F93477"/>
    <w:rsid w:val="75FC2F67"/>
    <w:rsid w:val="75FE45EA"/>
    <w:rsid w:val="75FF0362"/>
    <w:rsid w:val="7601057E"/>
    <w:rsid w:val="76041DE7"/>
    <w:rsid w:val="76051E1C"/>
    <w:rsid w:val="76112455"/>
    <w:rsid w:val="76165DD7"/>
    <w:rsid w:val="76206C56"/>
    <w:rsid w:val="7625433F"/>
    <w:rsid w:val="7627242E"/>
    <w:rsid w:val="763149BF"/>
    <w:rsid w:val="763D17F2"/>
    <w:rsid w:val="763E0E8A"/>
    <w:rsid w:val="763F782D"/>
    <w:rsid w:val="764010A6"/>
    <w:rsid w:val="76511C56"/>
    <w:rsid w:val="765A744B"/>
    <w:rsid w:val="765B5EE0"/>
    <w:rsid w:val="765C02AC"/>
    <w:rsid w:val="766703E1"/>
    <w:rsid w:val="7668099F"/>
    <w:rsid w:val="76687A41"/>
    <w:rsid w:val="766F54E7"/>
    <w:rsid w:val="7671300D"/>
    <w:rsid w:val="76766876"/>
    <w:rsid w:val="767E13E1"/>
    <w:rsid w:val="76876CD5"/>
    <w:rsid w:val="768C2781"/>
    <w:rsid w:val="769431A0"/>
    <w:rsid w:val="769665B4"/>
    <w:rsid w:val="7699408F"/>
    <w:rsid w:val="76A038F3"/>
    <w:rsid w:val="76A827A7"/>
    <w:rsid w:val="76B5630A"/>
    <w:rsid w:val="76C22992"/>
    <w:rsid w:val="76C92E49"/>
    <w:rsid w:val="76CC46E8"/>
    <w:rsid w:val="76D57A40"/>
    <w:rsid w:val="76DA32A9"/>
    <w:rsid w:val="76DD06A3"/>
    <w:rsid w:val="76DE441B"/>
    <w:rsid w:val="76E063E5"/>
    <w:rsid w:val="76E55FB6"/>
    <w:rsid w:val="76E61C4D"/>
    <w:rsid w:val="76E97048"/>
    <w:rsid w:val="76EB2D83"/>
    <w:rsid w:val="76EE0B02"/>
    <w:rsid w:val="76F0011C"/>
    <w:rsid w:val="76FA1255"/>
    <w:rsid w:val="77022676"/>
    <w:rsid w:val="770245AD"/>
    <w:rsid w:val="77043E82"/>
    <w:rsid w:val="77057BFA"/>
    <w:rsid w:val="770A7336"/>
    <w:rsid w:val="771F0CBB"/>
    <w:rsid w:val="772368CE"/>
    <w:rsid w:val="77286763"/>
    <w:rsid w:val="77310C0E"/>
    <w:rsid w:val="77364FB5"/>
    <w:rsid w:val="773A3D47"/>
    <w:rsid w:val="773D52C2"/>
    <w:rsid w:val="7746449A"/>
    <w:rsid w:val="77602422"/>
    <w:rsid w:val="776B2153"/>
    <w:rsid w:val="776B3F01"/>
    <w:rsid w:val="777032C5"/>
    <w:rsid w:val="7772528F"/>
    <w:rsid w:val="777845DF"/>
    <w:rsid w:val="77830295"/>
    <w:rsid w:val="77860D3A"/>
    <w:rsid w:val="779D6084"/>
    <w:rsid w:val="77A15B74"/>
    <w:rsid w:val="77A411C1"/>
    <w:rsid w:val="77A967D7"/>
    <w:rsid w:val="77AB73AB"/>
    <w:rsid w:val="77AE3DED"/>
    <w:rsid w:val="77BA09E4"/>
    <w:rsid w:val="77C27719"/>
    <w:rsid w:val="77C27899"/>
    <w:rsid w:val="77C62D2E"/>
    <w:rsid w:val="77C85360"/>
    <w:rsid w:val="77CD0717"/>
    <w:rsid w:val="77CD7F01"/>
    <w:rsid w:val="77CE3980"/>
    <w:rsid w:val="77D25D2E"/>
    <w:rsid w:val="77DB72F8"/>
    <w:rsid w:val="77E20795"/>
    <w:rsid w:val="77E8618B"/>
    <w:rsid w:val="77F019DE"/>
    <w:rsid w:val="77FA34D6"/>
    <w:rsid w:val="780126CE"/>
    <w:rsid w:val="78034139"/>
    <w:rsid w:val="78036A26"/>
    <w:rsid w:val="780A371A"/>
    <w:rsid w:val="78146346"/>
    <w:rsid w:val="78191BAF"/>
    <w:rsid w:val="781E350C"/>
    <w:rsid w:val="781E71C5"/>
    <w:rsid w:val="78267E28"/>
    <w:rsid w:val="782C3F56"/>
    <w:rsid w:val="78306EF8"/>
    <w:rsid w:val="78322C70"/>
    <w:rsid w:val="784750B7"/>
    <w:rsid w:val="78526E6F"/>
    <w:rsid w:val="7859644F"/>
    <w:rsid w:val="785B43FB"/>
    <w:rsid w:val="785F4CF5"/>
    <w:rsid w:val="78650608"/>
    <w:rsid w:val="786E3CFF"/>
    <w:rsid w:val="787B4617"/>
    <w:rsid w:val="788334CC"/>
    <w:rsid w:val="788A485A"/>
    <w:rsid w:val="788F1E71"/>
    <w:rsid w:val="78952D76"/>
    <w:rsid w:val="789E0306"/>
    <w:rsid w:val="78A50215"/>
    <w:rsid w:val="78AA0A59"/>
    <w:rsid w:val="78B10039"/>
    <w:rsid w:val="78B35B5F"/>
    <w:rsid w:val="78B74F24"/>
    <w:rsid w:val="78B95140"/>
    <w:rsid w:val="78BB2C66"/>
    <w:rsid w:val="78BE0D19"/>
    <w:rsid w:val="78C50386"/>
    <w:rsid w:val="78CA10FB"/>
    <w:rsid w:val="78CF27ED"/>
    <w:rsid w:val="78D930EC"/>
    <w:rsid w:val="78DB3308"/>
    <w:rsid w:val="78DD498A"/>
    <w:rsid w:val="78E57CE3"/>
    <w:rsid w:val="78E8332F"/>
    <w:rsid w:val="78EE2E94"/>
    <w:rsid w:val="790A14F7"/>
    <w:rsid w:val="790B66C2"/>
    <w:rsid w:val="790D79B9"/>
    <w:rsid w:val="791505C8"/>
    <w:rsid w:val="7919798C"/>
    <w:rsid w:val="791D56CF"/>
    <w:rsid w:val="791D5BB1"/>
    <w:rsid w:val="79222CE5"/>
    <w:rsid w:val="79243D01"/>
    <w:rsid w:val="792720A9"/>
    <w:rsid w:val="79272686"/>
    <w:rsid w:val="7927654D"/>
    <w:rsid w:val="792A16CA"/>
    <w:rsid w:val="792D255D"/>
    <w:rsid w:val="79330A4E"/>
    <w:rsid w:val="793D367B"/>
    <w:rsid w:val="795A422D"/>
    <w:rsid w:val="795F5CE7"/>
    <w:rsid w:val="79675A48"/>
    <w:rsid w:val="79692F9A"/>
    <w:rsid w:val="796B468C"/>
    <w:rsid w:val="79711576"/>
    <w:rsid w:val="797C0647"/>
    <w:rsid w:val="79846CED"/>
    <w:rsid w:val="798B2638"/>
    <w:rsid w:val="798C63B0"/>
    <w:rsid w:val="7998436F"/>
    <w:rsid w:val="799D236B"/>
    <w:rsid w:val="799F7A71"/>
    <w:rsid w:val="79A25BD8"/>
    <w:rsid w:val="79A67472"/>
    <w:rsid w:val="79AF441E"/>
    <w:rsid w:val="79B853F7"/>
    <w:rsid w:val="79C773E8"/>
    <w:rsid w:val="79CC49FF"/>
    <w:rsid w:val="79D42231"/>
    <w:rsid w:val="79D7762B"/>
    <w:rsid w:val="79DA536E"/>
    <w:rsid w:val="79F44681"/>
    <w:rsid w:val="7A007440"/>
    <w:rsid w:val="7A047D54"/>
    <w:rsid w:val="7A083C89"/>
    <w:rsid w:val="7A190C87"/>
    <w:rsid w:val="7A1C7734"/>
    <w:rsid w:val="7A2461F0"/>
    <w:rsid w:val="7A2B3E1B"/>
    <w:rsid w:val="7A2E1C41"/>
    <w:rsid w:val="7A306988"/>
    <w:rsid w:val="7A396538"/>
    <w:rsid w:val="7A3A5E0C"/>
    <w:rsid w:val="7A3C1B84"/>
    <w:rsid w:val="7A4647B1"/>
    <w:rsid w:val="7A466C31"/>
    <w:rsid w:val="7A4B0019"/>
    <w:rsid w:val="7A4F1D6E"/>
    <w:rsid w:val="7A4F7B0A"/>
    <w:rsid w:val="7A546ECE"/>
    <w:rsid w:val="7A66046D"/>
    <w:rsid w:val="7A6A04A0"/>
    <w:rsid w:val="7A6C06BC"/>
    <w:rsid w:val="7A6C5C7E"/>
    <w:rsid w:val="7A765096"/>
    <w:rsid w:val="7A7D67F9"/>
    <w:rsid w:val="7A831561"/>
    <w:rsid w:val="7A930690"/>
    <w:rsid w:val="7A9674E6"/>
    <w:rsid w:val="7A9D6AC7"/>
    <w:rsid w:val="7AA00B7E"/>
    <w:rsid w:val="7AA53BCD"/>
    <w:rsid w:val="7AA80FC8"/>
    <w:rsid w:val="7AAA2F92"/>
    <w:rsid w:val="7AAA4D40"/>
    <w:rsid w:val="7AAD1536"/>
    <w:rsid w:val="7AB14CA2"/>
    <w:rsid w:val="7AB21E46"/>
    <w:rsid w:val="7AB81225"/>
    <w:rsid w:val="7ABE4C8F"/>
    <w:rsid w:val="7AC7079F"/>
    <w:rsid w:val="7AC90730"/>
    <w:rsid w:val="7AC929BC"/>
    <w:rsid w:val="7ACA7190"/>
    <w:rsid w:val="7AD16771"/>
    <w:rsid w:val="7AD324E9"/>
    <w:rsid w:val="7AE2272C"/>
    <w:rsid w:val="7AEC5358"/>
    <w:rsid w:val="7AEC7106"/>
    <w:rsid w:val="7AF97A75"/>
    <w:rsid w:val="7AFE6E3A"/>
    <w:rsid w:val="7B0A7317"/>
    <w:rsid w:val="7B0C1557"/>
    <w:rsid w:val="7B0E1773"/>
    <w:rsid w:val="7B0E4177"/>
    <w:rsid w:val="7B1623D5"/>
    <w:rsid w:val="7B187EFC"/>
    <w:rsid w:val="7B193C74"/>
    <w:rsid w:val="7B1E74DC"/>
    <w:rsid w:val="7B2A40D3"/>
    <w:rsid w:val="7B2E3BC3"/>
    <w:rsid w:val="7B381431"/>
    <w:rsid w:val="7B3A4316"/>
    <w:rsid w:val="7B4231CA"/>
    <w:rsid w:val="7B474C85"/>
    <w:rsid w:val="7B4C2AE9"/>
    <w:rsid w:val="7B500EA2"/>
    <w:rsid w:val="7B541A95"/>
    <w:rsid w:val="7B5E24C3"/>
    <w:rsid w:val="7B610C8A"/>
    <w:rsid w:val="7B6969A9"/>
    <w:rsid w:val="7B735A7A"/>
    <w:rsid w:val="7B7F0241"/>
    <w:rsid w:val="7B852066"/>
    <w:rsid w:val="7B8E0E64"/>
    <w:rsid w:val="7B9D2AF7"/>
    <w:rsid w:val="7BA21EBB"/>
    <w:rsid w:val="7BA4768F"/>
    <w:rsid w:val="7BA94FF8"/>
    <w:rsid w:val="7BAE6AB2"/>
    <w:rsid w:val="7BB666BF"/>
    <w:rsid w:val="7BB87930"/>
    <w:rsid w:val="7BBA7205"/>
    <w:rsid w:val="7BC40083"/>
    <w:rsid w:val="7BC418DD"/>
    <w:rsid w:val="7BC77B74"/>
    <w:rsid w:val="7BCB1412"/>
    <w:rsid w:val="7BCC6F38"/>
    <w:rsid w:val="7BD04C7A"/>
    <w:rsid w:val="7BD1454E"/>
    <w:rsid w:val="7BD227A0"/>
    <w:rsid w:val="7BDA1655"/>
    <w:rsid w:val="7BDA78A7"/>
    <w:rsid w:val="7BDC717B"/>
    <w:rsid w:val="7BDF3D5F"/>
    <w:rsid w:val="7BE10C35"/>
    <w:rsid w:val="7BF73FB5"/>
    <w:rsid w:val="7BFB32AA"/>
    <w:rsid w:val="7C016BE2"/>
    <w:rsid w:val="7C06069C"/>
    <w:rsid w:val="7C0B031C"/>
    <w:rsid w:val="7C0C64DE"/>
    <w:rsid w:val="7C29438A"/>
    <w:rsid w:val="7C2D5C29"/>
    <w:rsid w:val="7C352D2F"/>
    <w:rsid w:val="7C3A6597"/>
    <w:rsid w:val="7C3F3BAE"/>
    <w:rsid w:val="7C4137BD"/>
    <w:rsid w:val="7C442B2E"/>
    <w:rsid w:val="7C464F3C"/>
    <w:rsid w:val="7C572CA5"/>
    <w:rsid w:val="7C5D6F97"/>
    <w:rsid w:val="7C727ADF"/>
    <w:rsid w:val="7C844961"/>
    <w:rsid w:val="7C8B6DF3"/>
    <w:rsid w:val="7C8E41ED"/>
    <w:rsid w:val="7C8F243F"/>
    <w:rsid w:val="7C907F65"/>
    <w:rsid w:val="7C920181"/>
    <w:rsid w:val="7C945CA8"/>
    <w:rsid w:val="7CA3413D"/>
    <w:rsid w:val="7CA51C63"/>
    <w:rsid w:val="7CB974BC"/>
    <w:rsid w:val="7CC06A09"/>
    <w:rsid w:val="7CCF7322"/>
    <w:rsid w:val="7CD442F6"/>
    <w:rsid w:val="7CD460A4"/>
    <w:rsid w:val="7CD6006E"/>
    <w:rsid w:val="7CD95DB0"/>
    <w:rsid w:val="7CE0251F"/>
    <w:rsid w:val="7CE107C1"/>
    <w:rsid w:val="7CE309DD"/>
    <w:rsid w:val="7CE64029"/>
    <w:rsid w:val="7CE9012A"/>
    <w:rsid w:val="7CED7166"/>
    <w:rsid w:val="7CF14EA8"/>
    <w:rsid w:val="7CF27B8C"/>
    <w:rsid w:val="7CF84488"/>
    <w:rsid w:val="7CF90201"/>
    <w:rsid w:val="7CFB0824"/>
    <w:rsid w:val="7CFC55FB"/>
    <w:rsid w:val="7CFE1373"/>
    <w:rsid w:val="7D012C11"/>
    <w:rsid w:val="7D0177EB"/>
    <w:rsid w:val="7D036989"/>
    <w:rsid w:val="7D1110A6"/>
    <w:rsid w:val="7D223911"/>
    <w:rsid w:val="7D254B52"/>
    <w:rsid w:val="7D256900"/>
    <w:rsid w:val="7D2955BD"/>
    <w:rsid w:val="7D2C5EE0"/>
    <w:rsid w:val="7D31799A"/>
    <w:rsid w:val="7D330B01"/>
    <w:rsid w:val="7D384885"/>
    <w:rsid w:val="7D39684F"/>
    <w:rsid w:val="7D4274B2"/>
    <w:rsid w:val="7D450D50"/>
    <w:rsid w:val="7D4A45B8"/>
    <w:rsid w:val="7D52346D"/>
    <w:rsid w:val="7D5316BF"/>
    <w:rsid w:val="7D541A68"/>
    <w:rsid w:val="7D562F5D"/>
    <w:rsid w:val="7D5645DA"/>
    <w:rsid w:val="7D567401"/>
    <w:rsid w:val="7D580A83"/>
    <w:rsid w:val="7D5B67C5"/>
    <w:rsid w:val="7D614519"/>
    <w:rsid w:val="7D6C452F"/>
    <w:rsid w:val="7D730CDE"/>
    <w:rsid w:val="7D733B0F"/>
    <w:rsid w:val="7D736BF4"/>
    <w:rsid w:val="7D7564C5"/>
    <w:rsid w:val="7D7B408C"/>
    <w:rsid w:val="7D807FDA"/>
    <w:rsid w:val="7D82550F"/>
    <w:rsid w:val="7D8555F0"/>
    <w:rsid w:val="7D935F5F"/>
    <w:rsid w:val="7D9D6DDE"/>
    <w:rsid w:val="7D9F4904"/>
    <w:rsid w:val="7DAE2D99"/>
    <w:rsid w:val="7DAF266D"/>
    <w:rsid w:val="7DB55ED6"/>
    <w:rsid w:val="7DBB6570"/>
    <w:rsid w:val="7DC205F3"/>
    <w:rsid w:val="7DCC64D0"/>
    <w:rsid w:val="7DD10836"/>
    <w:rsid w:val="7DD345AE"/>
    <w:rsid w:val="7DD56578"/>
    <w:rsid w:val="7DD81BC4"/>
    <w:rsid w:val="7DE62533"/>
    <w:rsid w:val="7DE642E1"/>
    <w:rsid w:val="7DF2712A"/>
    <w:rsid w:val="7DF4243B"/>
    <w:rsid w:val="7DF55A1C"/>
    <w:rsid w:val="7DF84014"/>
    <w:rsid w:val="7DFC3B04"/>
    <w:rsid w:val="7DFE6AF4"/>
    <w:rsid w:val="7E010718"/>
    <w:rsid w:val="7E096221"/>
    <w:rsid w:val="7E0E36C9"/>
    <w:rsid w:val="7E130E4E"/>
    <w:rsid w:val="7E17093E"/>
    <w:rsid w:val="7E1B4BCD"/>
    <w:rsid w:val="7E2412AD"/>
    <w:rsid w:val="7E265025"/>
    <w:rsid w:val="7E282B4B"/>
    <w:rsid w:val="7E287A39"/>
    <w:rsid w:val="7E290672"/>
    <w:rsid w:val="7E2B6198"/>
    <w:rsid w:val="7E301A00"/>
    <w:rsid w:val="7E3A2694"/>
    <w:rsid w:val="7E467C5B"/>
    <w:rsid w:val="7E494870"/>
    <w:rsid w:val="7E4C7508"/>
    <w:rsid w:val="7E4F1FDB"/>
    <w:rsid w:val="7E5020A2"/>
    <w:rsid w:val="7E573431"/>
    <w:rsid w:val="7E5E47BF"/>
    <w:rsid w:val="7E7062A0"/>
    <w:rsid w:val="7E71642D"/>
    <w:rsid w:val="7E795155"/>
    <w:rsid w:val="7E7F0292"/>
    <w:rsid w:val="7E8714FF"/>
    <w:rsid w:val="7E8F4979"/>
    <w:rsid w:val="7E906943"/>
    <w:rsid w:val="7E9136EF"/>
    <w:rsid w:val="7E924469"/>
    <w:rsid w:val="7E927FC5"/>
    <w:rsid w:val="7E953F59"/>
    <w:rsid w:val="7E997407"/>
    <w:rsid w:val="7EA63A70"/>
    <w:rsid w:val="7EA937E4"/>
    <w:rsid w:val="7EAB3BCD"/>
    <w:rsid w:val="7EB64B61"/>
    <w:rsid w:val="7EB96E60"/>
    <w:rsid w:val="7EBB576E"/>
    <w:rsid w:val="7EBC7738"/>
    <w:rsid w:val="7EC14D4E"/>
    <w:rsid w:val="7EC1547B"/>
    <w:rsid w:val="7EC21E7E"/>
    <w:rsid w:val="7EC505F5"/>
    <w:rsid w:val="7ECA3C03"/>
    <w:rsid w:val="7ECD54A1"/>
    <w:rsid w:val="7ED405DD"/>
    <w:rsid w:val="7EDC56E4"/>
    <w:rsid w:val="7EDC7492"/>
    <w:rsid w:val="7EE2719E"/>
    <w:rsid w:val="7EE54599"/>
    <w:rsid w:val="7EE83FBD"/>
    <w:rsid w:val="7EF36BEB"/>
    <w:rsid w:val="7EF46ED2"/>
    <w:rsid w:val="7F007624"/>
    <w:rsid w:val="7F030EC3"/>
    <w:rsid w:val="7F0313EE"/>
    <w:rsid w:val="7F076C05"/>
    <w:rsid w:val="7F0A2251"/>
    <w:rsid w:val="7F114CF9"/>
    <w:rsid w:val="7F233313"/>
    <w:rsid w:val="7F264BB1"/>
    <w:rsid w:val="7F267854"/>
    <w:rsid w:val="7F2C666B"/>
    <w:rsid w:val="7F342666"/>
    <w:rsid w:val="7F37774F"/>
    <w:rsid w:val="7F3948E4"/>
    <w:rsid w:val="7F435B58"/>
    <w:rsid w:val="7F4514DB"/>
    <w:rsid w:val="7F4B4FD4"/>
    <w:rsid w:val="7F4C286A"/>
    <w:rsid w:val="7F5B2B4F"/>
    <w:rsid w:val="7F5B63C2"/>
    <w:rsid w:val="7F6268AB"/>
    <w:rsid w:val="7F6556D9"/>
    <w:rsid w:val="7F6D458E"/>
    <w:rsid w:val="7F6F71EC"/>
    <w:rsid w:val="7F710522"/>
    <w:rsid w:val="7F710AA7"/>
    <w:rsid w:val="7F713969"/>
    <w:rsid w:val="7F743B6E"/>
    <w:rsid w:val="7F81040F"/>
    <w:rsid w:val="7F8813C8"/>
    <w:rsid w:val="7F8F6BFA"/>
    <w:rsid w:val="7FB421BD"/>
    <w:rsid w:val="7FBD72C3"/>
    <w:rsid w:val="7FC40652"/>
    <w:rsid w:val="7FC96A64"/>
    <w:rsid w:val="7FCC7A47"/>
    <w:rsid w:val="7FCF6FF7"/>
    <w:rsid w:val="7FD26186"/>
    <w:rsid w:val="7FD5285F"/>
    <w:rsid w:val="7FD60385"/>
    <w:rsid w:val="7FD837D1"/>
    <w:rsid w:val="7FD91C23"/>
    <w:rsid w:val="7FDA4591"/>
    <w:rsid w:val="7FDD36C2"/>
    <w:rsid w:val="7FE231CE"/>
    <w:rsid w:val="7FEE272C"/>
    <w:rsid w:val="7FF2186C"/>
    <w:rsid w:val="7FFC2C33"/>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uiPriority="0" w:name="toc 4"/>
    <w:lsdException w:uiPriority="0" w:name="toc 5"/>
    <w:lsdException w:uiPriority="0" w:name="toc 6"/>
    <w:lsdException w:qFormat="1" w:uiPriority="39" w:semiHidden="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9"/>
    <w:autoRedefine/>
    <w:qFormat/>
    <w:uiPriority w:val="0"/>
    <w:pPr>
      <w:keepNext/>
      <w:keepLines/>
      <w:numPr>
        <w:ilvl w:val="0"/>
        <w:numId w:val="1"/>
      </w:numPr>
      <w:spacing w:before="240" w:after="120"/>
      <w:outlineLvl w:val="0"/>
    </w:pPr>
    <w:rPr>
      <w:b/>
      <w:sz w:val="44"/>
    </w:rPr>
  </w:style>
  <w:style w:type="paragraph" w:styleId="3">
    <w:name w:val="heading 2"/>
    <w:basedOn w:val="2"/>
    <w:next w:val="1"/>
    <w:autoRedefine/>
    <w:qFormat/>
    <w:uiPriority w:val="0"/>
    <w:pPr>
      <w:outlineLvl w:val="1"/>
    </w:pPr>
  </w:style>
  <w:style w:type="paragraph" w:styleId="4">
    <w:name w:val="heading 3"/>
    <w:basedOn w:val="1"/>
    <w:next w:val="1"/>
    <w:link w:val="33"/>
    <w:autoRedefine/>
    <w:qFormat/>
    <w:uiPriority w:val="0"/>
    <w:pPr>
      <w:keepNext/>
      <w:keepLines/>
      <w:numPr>
        <w:ilvl w:val="2"/>
        <w:numId w:val="1"/>
      </w:numPr>
      <w:outlineLvl w:val="2"/>
    </w:pPr>
    <w:rPr>
      <w:b/>
      <w:sz w:val="32"/>
    </w:rPr>
  </w:style>
  <w:style w:type="paragraph" w:styleId="5">
    <w:name w:val="heading 4"/>
    <w:basedOn w:val="1"/>
    <w:next w:val="1"/>
    <w:autoRedefine/>
    <w:qFormat/>
    <w:uiPriority w:val="0"/>
    <w:pPr>
      <w:keepNext/>
      <w:keepLines/>
      <w:numPr>
        <w:ilvl w:val="3"/>
        <w:numId w:val="1"/>
      </w:numPr>
      <w:outlineLvl w:val="3"/>
    </w:pPr>
    <w:rPr>
      <w:rFonts w:ascii="Arial" w:hAnsi="Arial" w:eastAsia="黑体"/>
      <w:b/>
      <w:kern w:val="28"/>
      <w:sz w:val="28"/>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ind w:left="1260"/>
      <w:jc w:val="left"/>
    </w:pPr>
    <w:rPr>
      <w:rFonts w:cs="Calibri"/>
      <w:sz w:val="18"/>
      <w:szCs w:val="18"/>
    </w:rPr>
  </w:style>
  <w:style w:type="paragraph" w:styleId="7">
    <w:name w:val="annotation text"/>
    <w:basedOn w:val="1"/>
    <w:link w:val="34"/>
    <w:autoRedefine/>
    <w:qFormat/>
    <w:uiPriority w:val="0"/>
    <w:pPr>
      <w:jc w:val="left"/>
    </w:pPr>
  </w:style>
  <w:style w:type="paragraph" w:styleId="8">
    <w:name w:val="Salutation"/>
    <w:basedOn w:val="1"/>
    <w:next w:val="1"/>
    <w:autoRedefine/>
    <w:qFormat/>
    <w:uiPriority w:val="0"/>
  </w:style>
  <w:style w:type="paragraph" w:styleId="9">
    <w:name w:val="Closing"/>
    <w:basedOn w:val="1"/>
    <w:autoRedefine/>
    <w:qFormat/>
    <w:uiPriority w:val="0"/>
    <w:pPr>
      <w:ind w:left="100" w:leftChars="2100"/>
    </w:pPr>
    <w:rPr>
      <w:rFonts w:ascii="Arial" w:hAnsi="Arial" w:eastAsia="楷体_GB2312" w:cs="Arial"/>
      <w:b/>
      <w:sz w:val="24"/>
    </w:rPr>
  </w:style>
  <w:style w:type="paragraph" w:styleId="10">
    <w:name w:val="Body Text"/>
    <w:basedOn w:val="1"/>
    <w:autoRedefine/>
    <w:qFormat/>
    <w:uiPriority w:val="0"/>
    <w:pPr>
      <w:spacing w:line="360" w:lineRule="auto"/>
    </w:pPr>
    <w:rPr>
      <w:b/>
      <w:bCs/>
      <w:kern w:val="0"/>
      <w:sz w:val="24"/>
    </w:rPr>
  </w:style>
  <w:style w:type="paragraph" w:styleId="11">
    <w:name w:val="Body Text Indent"/>
    <w:basedOn w:val="1"/>
    <w:link w:val="60"/>
    <w:autoRedefine/>
    <w:qFormat/>
    <w:uiPriority w:val="0"/>
    <w:pPr>
      <w:spacing w:line="360" w:lineRule="auto"/>
      <w:ind w:firstLine="480" w:firstLineChars="200"/>
    </w:pPr>
    <w:rPr>
      <w:rFonts w:ascii="Times New Roman" w:hAnsi="Times New Roman" w:eastAsia="宋体"/>
      <w:sz w:val="24"/>
    </w:rPr>
  </w:style>
  <w:style w:type="paragraph" w:styleId="12">
    <w:name w:val="toc 3"/>
    <w:basedOn w:val="1"/>
    <w:next w:val="1"/>
    <w:autoRedefine/>
    <w:qFormat/>
    <w:uiPriority w:val="0"/>
    <w:pPr>
      <w:ind w:left="840" w:leftChars="400"/>
    </w:pPr>
  </w:style>
  <w:style w:type="paragraph" w:styleId="13">
    <w:name w:val="Plain Text"/>
    <w:basedOn w:val="1"/>
    <w:autoRedefine/>
    <w:qFormat/>
    <w:uiPriority w:val="0"/>
    <w:rPr>
      <w:rFonts w:ascii="宋体" w:hAnsi="Courier New"/>
    </w:rPr>
  </w:style>
  <w:style w:type="paragraph" w:styleId="14">
    <w:name w:val="Body Text Indent 2"/>
    <w:basedOn w:val="1"/>
    <w:autoRedefine/>
    <w:qFormat/>
    <w:uiPriority w:val="0"/>
    <w:pPr>
      <w:spacing w:line="360" w:lineRule="auto"/>
      <w:ind w:firstLine="360" w:firstLineChars="150"/>
    </w:pPr>
    <w:rPr>
      <w:sz w:val="24"/>
      <w:szCs w:val="20"/>
    </w:rPr>
  </w:style>
  <w:style w:type="paragraph" w:styleId="15">
    <w:name w:val="Balloon Text"/>
    <w:basedOn w:val="1"/>
    <w:link w:val="35"/>
    <w:autoRedefine/>
    <w:qFormat/>
    <w:uiPriority w:val="0"/>
    <w:rPr>
      <w:sz w:val="18"/>
      <w:szCs w:val="18"/>
    </w:rPr>
  </w:style>
  <w:style w:type="paragraph" w:styleId="16">
    <w:name w:val="footer"/>
    <w:basedOn w:val="1"/>
    <w:autoRedefine/>
    <w:qFormat/>
    <w:uiPriority w:val="0"/>
    <w:pPr>
      <w:tabs>
        <w:tab w:val="center" w:pos="4153"/>
        <w:tab w:val="right" w:pos="8306"/>
      </w:tabs>
      <w:snapToGrid w:val="0"/>
      <w:jc w:val="left"/>
    </w:pPr>
    <w:rPr>
      <w:sz w:val="18"/>
    </w:rPr>
  </w:style>
  <w:style w:type="paragraph" w:styleId="1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autoRedefine/>
    <w:qFormat/>
    <w:uiPriority w:val="0"/>
    <w:pPr>
      <w:tabs>
        <w:tab w:val="right" w:leader="dot" w:pos="8312"/>
      </w:tabs>
    </w:pPr>
    <w:rPr>
      <w:b/>
    </w:rPr>
  </w:style>
  <w:style w:type="paragraph" w:styleId="19">
    <w:name w:val="toc 2"/>
    <w:basedOn w:val="1"/>
    <w:next w:val="1"/>
    <w:autoRedefine/>
    <w:qFormat/>
    <w:uiPriority w:val="0"/>
    <w:pPr>
      <w:ind w:left="420" w:leftChars="200"/>
    </w:pPr>
  </w:style>
  <w:style w:type="paragraph" w:styleId="20">
    <w:name w:val="Normal (Web)"/>
    <w:basedOn w:val="1"/>
    <w:autoRedefine/>
    <w:qFormat/>
    <w:uiPriority w:val="0"/>
    <w:pPr>
      <w:spacing w:before="100" w:beforeAutospacing="1" w:after="100" w:afterAutospacing="1"/>
      <w:jc w:val="left"/>
    </w:pPr>
    <w:rPr>
      <w:kern w:val="0"/>
      <w:sz w:val="24"/>
    </w:rPr>
  </w:style>
  <w:style w:type="paragraph" w:styleId="21">
    <w:name w:val="annotation subject"/>
    <w:basedOn w:val="7"/>
    <w:next w:val="7"/>
    <w:link w:val="36"/>
    <w:autoRedefine/>
    <w:qFormat/>
    <w:uiPriority w:val="0"/>
    <w:rPr>
      <w:b/>
      <w:bCs/>
    </w:rPr>
  </w:style>
  <w:style w:type="paragraph" w:styleId="22">
    <w:name w:val="Body Text First Indent 2"/>
    <w:basedOn w:val="11"/>
    <w:autoRedefine/>
    <w:qFormat/>
    <w:uiPriority w:val="0"/>
    <w:pPr>
      <w:ind w:firstLine="420"/>
      <w:jc w:val="left"/>
    </w:pPr>
    <w:rPr>
      <w:rFonts w:hAnsi="Times New Roman"/>
    </w:rPr>
  </w:style>
  <w:style w:type="table" w:styleId="24">
    <w:name w:val="Table Grid"/>
    <w:basedOn w:val="2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rPr>
  </w:style>
  <w:style w:type="character" w:styleId="27">
    <w:name w:val="page number"/>
    <w:autoRedefine/>
    <w:qFormat/>
    <w:uiPriority w:val="0"/>
    <w:rPr>
      <w:rFonts w:ascii="宋体" w:hAnsi="宋体" w:eastAsia="宋体"/>
    </w:rPr>
  </w:style>
  <w:style w:type="character" w:styleId="28">
    <w:name w:val="Hyperlink"/>
    <w:autoRedefine/>
    <w:qFormat/>
    <w:uiPriority w:val="0"/>
    <w:rPr>
      <w:rFonts w:hint="default" w:ascii="ˎ̥" w:hAnsi="ˎ̥"/>
      <w:color w:val="3193C1"/>
      <w:sz w:val="18"/>
      <w:szCs w:val="18"/>
      <w:u w:val="none"/>
    </w:rPr>
  </w:style>
  <w:style w:type="character" w:styleId="29">
    <w:name w:val="annotation reference"/>
    <w:autoRedefine/>
    <w:qFormat/>
    <w:uiPriority w:val="0"/>
    <w:rPr>
      <w:sz w:val="21"/>
      <w:szCs w:val="21"/>
    </w:rPr>
  </w:style>
  <w:style w:type="paragraph" w:customStyle="1" w:styleId="30">
    <w:name w:val="Default"/>
    <w:next w:val="31"/>
    <w:autoRedefine/>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1">
    <w:name w:val="正文文字 6"/>
    <w:next w:val="1"/>
    <w:autoRedefine/>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32">
    <w:name w:val="Default1"/>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3">
    <w:name w:val="标题 3 字符"/>
    <w:link w:val="4"/>
    <w:autoRedefine/>
    <w:qFormat/>
    <w:uiPriority w:val="0"/>
    <w:rPr>
      <w:b/>
      <w:sz w:val="32"/>
    </w:rPr>
  </w:style>
  <w:style w:type="character" w:customStyle="1" w:styleId="34">
    <w:name w:val="批注文字 字符"/>
    <w:link w:val="7"/>
    <w:autoRedefine/>
    <w:qFormat/>
    <w:uiPriority w:val="0"/>
    <w:rPr>
      <w:rFonts w:ascii="Calibri" w:hAnsi="Calibri"/>
      <w:kern w:val="2"/>
      <w:sz w:val="21"/>
      <w:szCs w:val="24"/>
    </w:rPr>
  </w:style>
  <w:style w:type="character" w:customStyle="1" w:styleId="35">
    <w:name w:val="批注框文本 字符"/>
    <w:link w:val="15"/>
    <w:autoRedefine/>
    <w:qFormat/>
    <w:uiPriority w:val="0"/>
    <w:rPr>
      <w:rFonts w:ascii="Calibri" w:hAnsi="Calibri"/>
      <w:kern w:val="2"/>
      <w:sz w:val="18"/>
      <w:szCs w:val="18"/>
    </w:rPr>
  </w:style>
  <w:style w:type="character" w:customStyle="1" w:styleId="36">
    <w:name w:val="批注主题 字符"/>
    <w:link w:val="21"/>
    <w:autoRedefine/>
    <w:qFormat/>
    <w:uiPriority w:val="0"/>
  </w:style>
  <w:style w:type="paragraph" w:customStyle="1" w:styleId="37">
    <w:name w:val="样式2"/>
    <w:basedOn w:val="1"/>
    <w:autoRedefine/>
    <w:qFormat/>
    <w:uiPriority w:val="0"/>
    <w:pPr>
      <w:ind w:left="170"/>
    </w:pPr>
    <w:rPr>
      <w:b/>
    </w:rPr>
  </w:style>
  <w:style w:type="character" w:customStyle="1" w:styleId="38">
    <w:name w:val="NormalCharacter"/>
    <w:autoRedefine/>
    <w:semiHidden/>
    <w:qFormat/>
    <w:uiPriority w:val="0"/>
  </w:style>
  <w:style w:type="paragraph" w:customStyle="1" w:styleId="39">
    <w:name w:val="标准正文"/>
    <w:basedOn w:val="1"/>
    <w:autoRedefine/>
    <w:qFormat/>
    <w:uiPriority w:val="0"/>
    <w:pPr>
      <w:spacing w:line="460" w:lineRule="atLeast"/>
      <w:ind w:firstLine="567"/>
    </w:pPr>
    <w:rPr>
      <w:kern w:val="28"/>
      <w:sz w:val="28"/>
    </w:rPr>
  </w:style>
  <w:style w:type="paragraph" w:customStyle="1" w:styleId="40">
    <w:name w:val="填表内容"/>
    <w:basedOn w:val="1"/>
    <w:autoRedefine/>
    <w:qFormat/>
    <w:uiPriority w:val="0"/>
    <w:pPr>
      <w:spacing w:line="480" w:lineRule="exact"/>
      <w:ind w:firstLine="560" w:firstLineChars="200"/>
    </w:pPr>
    <w:rPr>
      <w:rFonts w:ascii="楷体_GB2312" w:eastAsia="楷体_GB2312"/>
      <w:sz w:val="28"/>
    </w:rPr>
  </w:style>
  <w:style w:type="paragraph" w:customStyle="1" w:styleId="41">
    <w:name w:val="纯文本1"/>
    <w:basedOn w:val="1"/>
    <w:autoRedefine/>
    <w:qFormat/>
    <w:uiPriority w:val="0"/>
    <w:pPr>
      <w:adjustRightInd w:val="0"/>
      <w:jc w:val="left"/>
      <w:textAlignment w:val="baseline"/>
    </w:pPr>
    <w:rPr>
      <w:rFonts w:ascii="宋体" w:hAnsi="Courier New"/>
      <w:sz w:val="24"/>
      <w:szCs w:val="20"/>
    </w:rPr>
  </w:style>
  <w:style w:type="paragraph" w:customStyle="1" w:styleId="42">
    <w:name w:val="已有表格"/>
    <w:basedOn w:val="1"/>
    <w:autoRedefine/>
    <w:qFormat/>
    <w:uiPriority w:val="0"/>
    <w:pPr>
      <w:jc w:val="center"/>
    </w:pPr>
    <w:rPr>
      <w:b/>
    </w:rPr>
  </w:style>
  <w:style w:type="paragraph" w:styleId="43">
    <w:name w:val="No Spacing"/>
    <w:autoRedefine/>
    <w:qFormat/>
    <w:uiPriority w:val="1"/>
    <w:pPr>
      <w:widowControl w:val="0"/>
      <w:adjustRightInd w:val="0"/>
      <w:snapToGrid w:val="0"/>
      <w:spacing w:line="20" w:lineRule="atLeast"/>
      <w:jc w:val="center"/>
    </w:pPr>
    <w:rPr>
      <w:rFonts w:ascii="Times New Roman" w:hAnsi="Times New Roman" w:eastAsia="宋体" w:cs="Times New Roman"/>
      <w:kern w:val="2"/>
      <w:sz w:val="21"/>
      <w:szCs w:val="22"/>
      <w:lang w:val="en-US" w:eastAsia="zh-CN" w:bidi="ar-SA"/>
    </w:rPr>
  </w:style>
  <w:style w:type="paragraph" w:customStyle="1" w:styleId="44">
    <w:name w:val="报告表正文"/>
    <w:basedOn w:val="1"/>
    <w:autoRedefine/>
    <w:qFormat/>
    <w:uiPriority w:val="0"/>
    <w:pPr>
      <w:adjustRightInd w:val="0"/>
      <w:spacing w:line="312" w:lineRule="auto"/>
      <w:ind w:left="113" w:right="113" w:firstLine="482"/>
      <w:jc w:val="left"/>
      <w:textAlignment w:val="baseline"/>
    </w:pPr>
    <w:rPr>
      <w:kern w:val="0"/>
      <w:sz w:val="24"/>
      <w:szCs w:val="20"/>
    </w:rPr>
  </w:style>
  <w:style w:type="paragraph" w:customStyle="1" w:styleId="45">
    <w:name w:val="列出段落1"/>
    <w:basedOn w:val="1"/>
    <w:autoRedefine/>
    <w:unhideWhenUsed/>
    <w:qFormat/>
    <w:uiPriority w:val="99"/>
    <w:pPr>
      <w:ind w:firstLine="420" w:firstLineChars="200"/>
    </w:pPr>
  </w:style>
  <w:style w:type="paragraph" w:customStyle="1" w:styleId="46">
    <w:name w:val="Table Paragraph"/>
    <w:basedOn w:val="1"/>
    <w:autoRedefine/>
    <w:qFormat/>
    <w:uiPriority w:val="1"/>
  </w:style>
  <w:style w:type="paragraph" w:customStyle="1" w:styleId="47">
    <w:name w:val="无间隔1"/>
    <w:autoRedefine/>
    <w:qFormat/>
    <w:uiPriority w:val="1"/>
    <w:pPr>
      <w:widowControl w:val="0"/>
      <w:adjustRightInd w:val="0"/>
      <w:snapToGrid w:val="0"/>
      <w:spacing w:line="20" w:lineRule="atLeast"/>
      <w:jc w:val="center"/>
    </w:pPr>
    <w:rPr>
      <w:rFonts w:ascii="Times New Roman" w:hAnsi="Times New Roman" w:eastAsia="宋体" w:cs="Times New Roman"/>
      <w:kern w:val="2"/>
      <w:sz w:val="21"/>
      <w:szCs w:val="22"/>
      <w:lang w:val="en-US" w:eastAsia="zh-CN" w:bidi="ar-SA"/>
    </w:rPr>
  </w:style>
  <w:style w:type="paragraph" w:customStyle="1" w:styleId="48">
    <w:name w:val="p0"/>
    <w:basedOn w:val="1"/>
    <w:autoRedefine/>
    <w:qFormat/>
    <w:uiPriority w:val="0"/>
    <w:pPr>
      <w:widowControl/>
    </w:pPr>
    <w:rPr>
      <w:szCs w:val="21"/>
    </w:rPr>
  </w:style>
  <w:style w:type="paragraph" w:customStyle="1" w:styleId="49">
    <w:name w:val="_Style 1"/>
    <w:autoRedefine/>
    <w:qFormat/>
    <w:uiPriority w:val="1"/>
    <w:pPr>
      <w:widowControl w:val="0"/>
      <w:adjustRightInd w:val="0"/>
      <w:snapToGrid w:val="0"/>
      <w:spacing w:line="20" w:lineRule="atLeast"/>
      <w:jc w:val="center"/>
    </w:pPr>
    <w:rPr>
      <w:rFonts w:ascii="Calibri" w:hAnsi="Calibri" w:eastAsia="宋体" w:cs="Times New Roman"/>
      <w:kern w:val="2"/>
      <w:sz w:val="21"/>
      <w:szCs w:val="22"/>
      <w:lang w:val="en-US" w:eastAsia="zh-CN" w:bidi="ar-SA"/>
    </w:rPr>
  </w:style>
  <w:style w:type="paragraph" w:customStyle="1" w:styleId="50">
    <w:name w:val="_Style 2"/>
    <w:autoRedefine/>
    <w:qFormat/>
    <w:uiPriority w:val="1"/>
    <w:pPr>
      <w:widowControl w:val="0"/>
      <w:adjustRightInd w:val="0"/>
      <w:snapToGrid w:val="0"/>
      <w:spacing w:line="20" w:lineRule="atLeast"/>
      <w:jc w:val="center"/>
    </w:pPr>
    <w:rPr>
      <w:rFonts w:ascii="Calibri" w:hAnsi="Calibri" w:eastAsia="宋体" w:cs="Times New Roman"/>
      <w:kern w:val="2"/>
      <w:sz w:val="21"/>
      <w:szCs w:val="22"/>
      <w:lang w:val="en-US" w:eastAsia="zh-CN" w:bidi="ar-SA"/>
    </w:rPr>
  </w:style>
  <w:style w:type="paragraph" w:customStyle="1" w:styleId="51">
    <w:name w:val="报告"/>
    <w:basedOn w:val="1"/>
    <w:autoRedefine/>
    <w:qFormat/>
    <w:uiPriority w:val="0"/>
    <w:pPr>
      <w:spacing w:line="360" w:lineRule="auto"/>
      <w:ind w:firstLine="505"/>
    </w:pPr>
  </w:style>
  <w:style w:type="paragraph" w:customStyle="1" w:styleId="52">
    <w:name w:val="应填表格"/>
    <w:basedOn w:val="42"/>
    <w:autoRedefine/>
    <w:qFormat/>
    <w:uiPriority w:val="0"/>
    <w:pPr>
      <w:jc w:val="center"/>
    </w:pPr>
    <w:rPr>
      <w:rFonts w:ascii="Times New Roman" w:hAnsi="Times New Roman" w:eastAsia="宋体"/>
      <w:b w:val="0"/>
    </w:rPr>
  </w:style>
  <w:style w:type="paragraph" w:styleId="53">
    <w:name w:val="List Paragraph"/>
    <w:basedOn w:val="1"/>
    <w:autoRedefine/>
    <w:qFormat/>
    <w:uiPriority w:val="99"/>
    <w:pPr>
      <w:ind w:firstLine="420" w:firstLineChars="200"/>
    </w:pPr>
  </w:style>
  <w:style w:type="character" w:customStyle="1" w:styleId="54">
    <w:name w:val="font31"/>
    <w:autoRedefine/>
    <w:qFormat/>
    <w:uiPriority w:val="0"/>
    <w:rPr>
      <w:rFonts w:hint="eastAsia" w:ascii="宋体" w:hAnsi="宋体" w:eastAsia="宋体" w:cs="宋体"/>
      <w:color w:val="000000"/>
      <w:sz w:val="21"/>
      <w:szCs w:val="21"/>
      <w:u w:val="none"/>
    </w:rPr>
  </w:style>
  <w:style w:type="character" w:customStyle="1" w:styleId="55">
    <w:name w:val="font41"/>
    <w:autoRedefine/>
    <w:qFormat/>
    <w:uiPriority w:val="0"/>
    <w:rPr>
      <w:rFonts w:hint="default" w:ascii="Times New Roman" w:hAnsi="Times New Roman" w:cs="Times New Roman"/>
      <w:color w:val="0000FF"/>
      <w:sz w:val="21"/>
      <w:szCs w:val="21"/>
      <w:u w:val="none"/>
    </w:rPr>
  </w:style>
  <w:style w:type="character" w:customStyle="1" w:styleId="56">
    <w:name w:val="font11"/>
    <w:autoRedefine/>
    <w:qFormat/>
    <w:uiPriority w:val="0"/>
    <w:rPr>
      <w:rFonts w:hint="eastAsia" w:ascii="宋体" w:hAnsi="宋体" w:eastAsia="宋体" w:cs="宋体"/>
      <w:color w:val="0000FF"/>
      <w:sz w:val="21"/>
      <w:szCs w:val="21"/>
      <w:u w:val="none"/>
    </w:rPr>
  </w:style>
  <w:style w:type="character" w:customStyle="1" w:styleId="57">
    <w:name w:val="font21"/>
    <w:autoRedefine/>
    <w:qFormat/>
    <w:uiPriority w:val="0"/>
    <w:rPr>
      <w:rFonts w:hint="default" w:ascii="Times New Roman" w:hAnsi="Times New Roman" w:cs="Times New Roman"/>
      <w:color w:val="0000C7"/>
      <w:sz w:val="21"/>
      <w:szCs w:val="21"/>
      <w:u w:val="none"/>
    </w:rPr>
  </w:style>
  <w:style w:type="table" w:customStyle="1" w:styleId="58">
    <w:name w:val="Table Normal"/>
    <w:autoRedefine/>
    <w:unhideWhenUsed/>
    <w:qFormat/>
    <w:uiPriority w:val="0"/>
    <w:tblPr>
      <w:tblCellMar>
        <w:top w:w="0" w:type="dxa"/>
        <w:left w:w="0" w:type="dxa"/>
        <w:bottom w:w="0" w:type="dxa"/>
        <w:right w:w="0" w:type="dxa"/>
      </w:tblCellMar>
    </w:tblPr>
  </w:style>
  <w:style w:type="character" w:customStyle="1" w:styleId="59">
    <w:name w:val="标题 1 字符"/>
    <w:link w:val="2"/>
    <w:autoRedefine/>
    <w:qFormat/>
    <w:uiPriority w:val="0"/>
    <w:rPr>
      <w:b/>
      <w:sz w:val="44"/>
    </w:rPr>
  </w:style>
  <w:style w:type="character" w:customStyle="1" w:styleId="60">
    <w:name w:val="正文文本缩进 Char"/>
    <w:link w:val="11"/>
    <w:qFormat/>
    <w:uiPriority w:val="0"/>
    <w:rPr>
      <w:rFonts w:ascii="Times New Roman" w:hAnsi="Times New Roman" w:eastAsia="宋体"/>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oleObject" Target="embeddings/oleObject12.bin"/><Relationship Id="rId43" Type="http://schemas.openxmlformats.org/officeDocument/2006/relationships/oleObject" Target="embeddings/oleObject11.bin"/><Relationship Id="rId42" Type="http://schemas.openxmlformats.org/officeDocument/2006/relationships/image" Target="media/image24.wmf"/><Relationship Id="rId41" Type="http://schemas.openxmlformats.org/officeDocument/2006/relationships/oleObject" Target="embeddings/oleObject10.bin"/><Relationship Id="rId40" Type="http://schemas.openxmlformats.org/officeDocument/2006/relationships/image" Target="media/image23.wmf"/><Relationship Id="rId4" Type="http://schemas.openxmlformats.org/officeDocument/2006/relationships/footer" Target="footer2.xml"/><Relationship Id="rId39" Type="http://schemas.openxmlformats.org/officeDocument/2006/relationships/image" Target="media/image22.wmf"/><Relationship Id="rId38" Type="http://schemas.openxmlformats.org/officeDocument/2006/relationships/oleObject" Target="embeddings/oleObject9.bin"/><Relationship Id="rId37" Type="http://schemas.openxmlformats.org/officeDocument/2006/relationships/image" Target="media/image21.wmf"/><Relationship Id="rId36" Type="http://schemas.openxmlformats.org/officeDocument/2006/relationships/oleObject" Target="embeddings/oleObject8.bin"/><Relationship Id="rId35" Type="http://schemas.openxmlformats.org/officeDocument/2006/relationships/image" Target="media/image20.wmf"/><Relationship Id="rId34" Type="http://schemas.openxmlformats.org/officeDocument/2006/relationships/oleObject" Target="embeddings/oleObject7.bin"/><Relationship Id="rId33" Type="http://schemas.openxmlformats.org/officeDocument/2006/relationships/image" Target="media/image19.wmf"/><Relationship Id="rId32" Type="http://schemas.openxmlformats.org/officeDocument/2006/relationships/oleObject" Target="embeddings/oleObject6.bin"/><Relationship Id="rId31" Type="http://schemas.openxmlformats.org/officeDocument/2006/relationships/image" Target="media/image18.wmf"/><Relationship Id="rId30" Type="http://schemas.openxmlformats.org/officeDocument/2006/relationships/oleObject" Target="embeddings/oleObject5.bin"/><Relationship Id="rId3" Type="http://schemas.openxmlformats.org/officeDocument/2006/relationships/footer" Target="footer1.xml"/><Relationship Id="rId29" Type="http://schemas.openxmlformats.org/officeDocument/2006/relationships/image" Target="media/image17.wmf"/><Relationship Id="rId28" Type="http://schemas.openxmlformats.org/officeDocument/2006/relationships/oleObject" Target="embeddings/oleObject4.bin"/><Relationship Id="rId27" Type="http://schemas.openxmlformats.org/officeDocument/2006/relationships/image" Target="media/image16.wmf"/><Relationship Id="rId26" Type="http://schemas.openxmlformats.org/officeDocument/2006/relationships/oleObject" Target="embeddings/oleObject3.bin"/><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emf"/><Relationship Id="rId18" Type="http://schemas.openxmlformats.org/officeDocument/2006/relationships/oleObject" Target="embeddings/oleObject2.bin"/><Relationship Id="rId17" Type="http://schemas.openxmlformats.org/officeDocument/2006/relationships/image" Target="media/image8.emf"/><Relationship Id="rId16" Type="http://schemas.openxmlformats.org/officeDocument/2006/relationships/oleObject" Target="embeddings/oleObject1.bin"/><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82</Pages>
  <Words>9230</Words>
  <Characters>10485</Characters>
  <Lines>464</Lines>
  <Paragraphs>130</Paragraphs>
  <TotalTime>53</TotalTime>
  <ScaleCrop>false</ScaleCrop>
  <LinksUpToDate>false</LinksUpToDate>
  <CharactersWithSpaces>10623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2025-01-08T08:33:00Z</dcterms:created>
  <dc:creator>Administrator</dc:creator>
  <cp:lastModifiedBy>漱日</cp:lastModifiedBy>
  <cp:lastPrinted>2026-04-07T07:40:00Z</cp:lastPrinted>
  <dcterms:modified xsi:type="dcterms:W3CDTF">2026-05-08T01:46:29Z</dcterms:modified>
  <dc:title>核技术利用建设项目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1411890E82B4406E9C1354F520CB442A_13</vt:lpwstr>
  </property>
  <property fmtid="{D5CDD505-2E9C-101B-9397-08002B2CF9AE}" pid="4" name="KSOTemplateDocerSaveRecord">
    <vt:lpwstr>eyJoZGlkIjoiZDBkOTA3YTZjZDVlYmUwNmVlMDFjYzIxZTA4OTM4Y2MiLCJ1c2VySWQiOiIxMjMwNzQ1MzQ3In0=</vt:lpwstr>
  </property>
</Properties>
</file>